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F09F" w14:textId="77777777" w:rsidR="00E361C9" w:rsidRDefault="00E361C9" w:rsidP="00E361C9">
      <w:pPr>
        <w:spacing w:line="240" w:lineRule="auto"/>
        <w:jc w:val="center"/>
        <w:rPr>
          <w:rFonts w:ascii="Times New Roman" w:hAnsi="Times New Roman" w:cs="Times New Roman"/>
          <w:b/>
          <w:sz w:val="32"/>
          <w:szCs w:val="24"/>
          <w:shd w:val="clear" w:color="auto" w:fill="FFFFFF"/>
        </w:rPr>
      </w:pPr>
      <w:r>
        <w:rPr>
          <w:rFonts w:ascii="Times New Roman" w:hAnsi="Times New Roman" w:cs="Times New Roman"/>
          <w:b/>
          <w:sz w:val="32"/>
          <w:szCs w:val="24"/>
          <w:shd w:val="clear" w:color="auto" w:fill="FFFFFF"/>
        </w:rPr>
        <w:t>IMPACT OF PROPERTY MANAGEMENT PRACTICES ON RENTAL VALUE STABILITY IN URBAN HOUSING MARKETS IN LAGOS</w:t>
      </w:r>
    </w:p>
    <w:p w14:paraId="62601F97" w14:textId="77777777" w:rsidR="00910033" w:rsidRPr="00910033" w:rsidRDefault="00910033" w:rsidP="00910033">
      <w:pPr>
        <w:pStyle w:val="Compact"/>
        <w:rPr>
          <w:rFonts w:ascii="Times New Roman" w:hAnsi="Times New Roman" w:cs="Times New Roman"/>
          <w:shd w:val="clear" w:color="auto" w:fill="FFFFFF"/>
        </w:rPr>
      </w:pPr>
    </w:p>
    <w:p w14:paraId="1CA8C185" w14:textId="77777777" w:rsidR="00E361C9" w:rsidRDefault="00E361C9" w:rsidP="00E361C9">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Abstract</w:t>
      </w:r>
    </w:p>
    <w:p w14:paraId="1114C0BE" w14:textId="77777777" w:rsidR="006816AF" w:rsidRPr="00487EDA" w:rsidRDefault="006816AF" w:rsidP="00E361C9">
      <w:pPr>
        <w:spacing w:line="360" w:lineRule="auto"/>
        <w:jc w:val="both"/>
        <w:rPr>
          <w:rFonts w:ascii="Times New Roman" w:hAnsi="Times New Roman" w:cs="Times New Roman"/>
          <w:b/>
          <w:i/>
          <w:sz w:val="24"/>
          <w:szCs w:val="24"/>
          <w:shd w:val="clear" w:color="auto" w:fill="FFFFFF"/>
        </w:rPr>
      </w:pPr>
      <w:r w:rsidRPr="00487EDA">
        <w:rPr>
          <w:rFonts w:ascii="Times New Roman" w:hAnsi="Times New Roman" w:cs="Times New Roman"/>
          <w:i/>
          <w:sz w:val="24"/>
          <w:szCs w:val="24"/>
        </w:rPr>
        <w:t xml:space="preserve">Rapid urbanization has intensified pressure on housing markets in fast-growing cities such as </w:t>
      </w:r>
      <w:r w:rsidRPr="00487EDA">
        <w:rPr>
          <w:rStyle w:val="whitespace-normal"/>
          <w:rFonts w:ascii="Times New Roman" w:hAnsi="Times New Roman" w:cs="Times New Roman"/>
          <w:i/>
          <w:sz w:val="24"/>
          <w:szCs w:val="24"/>
        </w:rPr>
        <w:t>Lagos</w:t>
      </w:r>
      <w:r w:rsidRPr="00487EDA">
        <w:rPr>
          <w:rFonts w:ascii="Times New Roman" w:hAnsi="Times New Roman" w:cs="Times New Roman"/>
          <w:i/>
          <w:sz w:val="24"/>
          <w:szCs w:val="24"/>
        </w:rPr>
        <w:t>, leading to rising demand for residential accommodation and unstable rental values. Property management practices are increasingly recognized as critical determinants of rental housing market performance and stability. However, inconsistent management approaches, poor maintenance, and ineffective tenant management often contribute to rental price disparities across urban residential areas. This study examines the influence of property management practices on the stability of residential rental values in Lagos. It investigates commonly used management methods, the role of maintenance practices, tenant management strategies, and the contribution of professional property management. The findings show that regular property inspections (30%) and routine maintenance and repairs (25%) are among the most widely used management practices. Maintenance activities contribute 35% toward maintaining stable rental values, while proper tenant screening accounts for 32.5% in ensuring consistent rental income. Professional property managers also enhance operational efficiency and maintenance performance by 30%. The study concludes that effective maintenance, structured tenant management, and professional property management are essential for sustaining stable residential rental values in urban housing markets.</w:t>
      </w:r>
    </w:p>
    <w:p w14:paraId="6433000E" w14:textId="77777777" w:rsidR="00E361C9" w:rsidRDefault="00E361C9" w:rsidP="00E361C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Property management, rental value stability, urban housing market, residential properties, property maintenance, Lagos.</w:t>
      </w:r>
    </w:p>
    <w:p w14:paraId="1395FA6C" w14:textId="77777777" w:rsidR="00E361C9" w:rsidRDefault="00E361C9" w:rsidP="00E361C9">
      <w:pPr>
        <w:pStyle w:val="NormalWeb"/>
        <w:spacing w:line="360" w:lineRule="auto"/>
        <w:jc w:val="both"/>
      </w:pPr>
    </w:p>
    <w:p w14:paraId="7BB4B2D5" w14:textId="77777777" w:rsidR="00E361C9" w:rsidRDefault="00E361C9" w:rsidP="00E361C9">
      <w:pPr>
        <w:pStyle w:val="NormalWeb"/>
        <w:spacing w:line="360" w:lineRule="auto"/>
        <w:jc w:val="both"/>
      </w:pPr>
    </w:p>
    <w:p w14:paraId="5E3D9F05" w14:textId="77777777" w:rsidR="000165B3" w:rsidRDefault="000165B3" w:rsidP="00E361C9">
      <w:pPr>
        <w:pStyle w:val="NormalWeb"/>
        <w:spacing w:line="360" w:lineRule="auto"/>
        <w:jc w:val="both"/>
        <w:rPr>
          <w:b/>
        </w:rPr>
      </w:pPr>
    </w:p>
    <w:p w14:paraId="7D0A7694" w14:textId="77777777" w:rsidR="00E361C9" w:rsidRDefault="00E361C9" w:rsidP="00E361C9">
      <w:pPr>
        <w:pStyle w:val="NormalWeb"/>
        <w:spacing w:line="360" w:lineRule="auto"/>
        <w:jc w:val="both"/>
        <w:rPr>
          <w:b/>
        </w:rPr>
      </w:pPr>
      <w:r>
        <w:rPr>
          <w:b/>
        </w:rPr>
        <w:t xml:space="preserve"> Introduction </w:t>
      </w:r>
    </w:p>
    <w:p w14:paraId="1573FDF6" w14:textId="77777777" w:rsidR="00C87472" w:rsidRPr="00C87472"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lastRenderedPageBreak/>
        <w:t>Rapid urbanization in fast-growing cities often creates instability in residential rental values due to economic, social, and management-related factors. In Lagos</w:t>
      </w:r>
      <w:r w:rsidR="002E5170">
        <w:rPr>
          <w:rFonts w:ascii="Times New Roman" w:eastAsia="Times New Roman" w:hAnsi="Times New Roman" w:cs="Times New Roman"/>
          <w:sz w:val="24"/>
          <w:szCs w:val="24"/>
        </w:rPr>
        <w:t xml:space="preserve"> </w:t>
      </w:r>
      <w:r w:rsidRPr="00C87472">
        <w:rPr>
          <w:rFonts w:ascii="Times New Roman" w:eastAsia="Times New Roman" w:hAnsi="Times New Roman" w:cs="Times New Roman"/>
          <w:sz w:val="24"/>
          <w:szCs w:val="24"/>
        </w:rPr>
        <w:t>one of the fastest-</w:t>
      </w:r>
      <w:r w:rsidR="002E5170">
        <w:rPr>
          <w:rFonts w:ascii="Times New Roman" w:eastAsia="Times New Roman" w:hAnsi="Times New Roman" w:cs="Times New Roman"/>
          <w:sz w:val="24"/>
          <w:szCs w:val="24"/>
        </w:rPr>
        <w:t xml:space="preserve">growing urban centres in Africa </w:t>
      </w:r>
      <w:r w:rsidRPr="00C87472">
        <w:rPr>
          <w:rFonts w:ascii="Times New Roman" w:eastAsia="Times New Roman" w:hAnsi="Times New Roman" w:cs="Times New Roman"/>
          <w:sz w:val="24"/>
          <w:szCs w:val="24"/>
        </w:rPr>
        <w:t>population growth, migration, and expanding economic opportunities have significantly increased the demand for housing. Consequently, the stability of rental values has become a major concern for property owners, tenants, and policymakers. Property management practices play a crucial role in maintaining rental stability and ensuring the provision of quality housing (Adeyemo &amp; Olaitan, 2024). Studies indicate that well-managed residential properties tend to command higher and more stable rents because tenants prefer properties that are properly maintained and efficiently managed (Sani &amp; Mohammed, 2022).</w:t>
      </w:r>
    </w:p>
    <w:p w14:paraId="1DE272F4" w14:textId="77777777" w:rsidR="00C87472" w:rsidRPr="00C87472"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t xml:space="preserve">Neighbourhood characteristics </w:t>
      </w:r>
      <w:r w:rsidR="002E5170">
        <w:rPr>
          <w:rFonts w:ascii="Times New Roman" w:eastAsia="Times New Roman" w:hAnsi="Times New Roman" w:cs="Times New Roman"/>
          <w:sz w:val="24"/>
          <w:szCs w:val="24"/>
        </w:rPr>
        <w:t xml:space="preserve">and infrastructure availability </w:t>
      </w:r>
      <w:r w:rsidRPr="00C87472">
        <w:rPr>
          <w:rFonts w:ascii="Times New Roman" w:eastAsia="Times New Roman" w:hAnsi="Times New Roman" w:cs="Times New Roman"/>
          <w:sz w:val="24"/>
          <w:szCs w:val="24"/>
        </w:rPr>
        <w:t>such as roads, schools, healthcare facilit</w:t>
      </w:r>
      <w:r w:rsidR="007A0907">
        <w:rPr>
          <w:rFonts w:ascii="Times New Roman" w:eastAsia="Times New Roman" w:hAnsi="Times New Roman" w:cs="Times New Roman"/>
          <w:sz w:val="24"/>
          <w:szCs w:val="24"/>
        </w:rPr>
        <w:t xml:space="preserve">ies, and recreational amenities </w:t>
      </w:r>
      <w:r w:rsidRPr="00C87472">
        <w:rPr>
          <w:rFonts w:ascii="Times New Roman" w:eastAsia="Times New Roman" w:hAnsi="Times New Roman" w:cs="Times New Roman"/>
          <w:sz w:val="24"/>
          <w:szCs w:val="24"/>
        </w:rPr>
        <w:t>also significantly influence rental value stability. Residential properties located in well-serviced neighbourhoods often experience more consistent rental performance (Akinwale &amp; Fayomi, 2025). Similarly, property attributes such as the number of bedrooms, property size, design quality, and structural condition influence tenants’ willingness to pay and shape rental outcomes (Osagie, Otegbulu, &amp; Onibudo, 2025). Rental value dynamics are also evident in informal settlements such as Makoko, where socio-economic conditions, infrastructure constraints, and housing quality affect rental pricing (Oduwaye, Ilechukwu, &amp; Yardua, 2024). In addition, intermediaries such as property agents and estate managers influence rental pricing through tenant selection, marketing, and property maintenance coordination (Bamiteko &amp; Adebiyi, 2020).</w:t>
      </w:r>
    </w:p>
    <w:p w14:paraId="1360B10B" w14:textId="77777777" w:rsidR="00C87472" w:rsidRPr="00C87472"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t>Government policies and urban development initiatives further shape property values. Infrastructure improvements under programs such as the Lagos Metropolitan Development and Governance Project have enhanced neighbourhood attractiveness and increased residential property values (Onyekwelu, Ogbuefi, &amp; Nnamani, 2022/2023). Emerging trends such as short-term rental accommodation are also reshaping urban housing markets and influencing rental price patterns (Oyedeji et al., 2025). Furthermore, increasing investor interest in residential real estate reflects the profitability of the market, with some high-end properties generating rental yields of approximately 5.5% (Vanguard News, 2025).</w:t>
      </w:r>
    </w:p>
    <w:p w14:paraId="7F74A186" w14:textId="77777777" w:rsidR="00C87472" w:rsidRPr="007A0907" w:rsidRDefault="00C87472" w:rsidP="007A0907">
      <w:pPr>
        <w:spacing w:before="100" w:beforeAutospacing="1" w:after="100" w:afterAutospacing="1" w:line="360" w:lineRule="auto"/>
        <w:jc w:val="both"/>
        <w:rPr>
          <w:rFonts w:ascii="Times New Roman" w:eastAsia="Times New Roman" w:hAnsi="Times New Roman" w:cs="Times New Roman"/>
          <w:sz w:val="24"/>
          <w:szCs w:val="24"/>
        </w:rPr>
      </w:pPr>
      <w:r w:rsidRPr="00C87472">
        <w:rPr>
          <w:rFonts w:ascii="Times New Roman" w:eastAsia="Times New Roman" w:hAnsi="Times New Roman" w:cs="Times New Roman"/>
          <w:sz w:val="24"/>
          <w:szCs w:val="24"/>
        </w:rPr>
        <w:lastRenderedPageBreak/>
        <w:t>Despite the growing body of literature on housing markets and rental value determinants, limited empirical attention has been given to how property management practices specifically influence the stability of residential rental values in Lagos. Existing studies largely emphasize property characteristics, neighbourhood factors, and market conditions, with less focus on the role of management practices in sustaining rental performance. This study therefore examines the influence of property management practices on the stability of residential rental values in Lagos, with particular attention to maintenance practices, tenant management strategies, and the role of professional property management in enhancing rental value stability within the urban housing market.</w:t>
      </w:r>
    </w:p>
    <w:p w14:paraId="38658A2A" w14:textId="77777777" w:rsidR="00E361C9" w:rsidRDefault="00E361C9" w:rsidP="00C87472">
      <w:pPr>
        <w:tabs>
          <w:tab w:val="center" w:pos="4680"/>
        </w:tabs>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Statement of the Problem </w:t>
      </w:r>
      <w:r w:rsidR="00C87472">
        <w:rPr>
          <w:rFonts w:ascii="Times New Roman" w:eastAsia="Times New Roman" w:hAnsi="Times New Roman" w:cs="Times New Roman"/>
          <w:b/>
          <w:sz w:val="24"/>
          <w:szCs w:val="24"/>
        </w:rPr>
        <w:tab/>
      </w:r>
    </w:p>
    <w:p w14:paraId="2A724A18" w14:textId="77777777" w:rsidR="00D06369" w:rsidRPr="00D06369" w:rsidRDefault="00D06369" w:rsidP="00F6248E">
      <w:pPr>
        <w:spacing w:before="100" w:beforeAutospacing="1" w:after="100" w:afterAutospacing="1" w:line="360" w:lineRule="auto"/>
        <w:jc w:val="both"/>
        <w:rPr>
          <w:rFonts w:ascii="Times New Roman" w:eastAsia="Times New Roman" w:hAnsi="Times New Roman" w:cs="Times New Roman"/>
          <w:sz w:val="24"/>
          <w:szCs w:val="24"/>
        </w:rPr>
      </w:pPr>
      <w:r w:rsidRPr="00D06369">
        <w:rPr>
          <w:rFonts w:ascii="Times New Roman" w:eastAsia="Times New Roman" w:hAnsi="Times New Roman" w:cs="Times New Roman"/>
          <w:sz w:val="24"/>
          <w:szCs w:val="24"/>
        </w:rPr>
        <w:t>Rapid urbanization and population growth in Lagos have intensified pressure on the residential housing market, leading to fluctuating rental prices and unstable rental value trends across many neighbourhoods. While property owners depend on rental income for investment returns, tenants require affordable and stable housing costs. However, inconsistent property management practices, inadequate maintenance culture, and weak tenant management systems continue to contribute to irregular rental value patterns in many residential properties.</w:t>
      </w:r>
    </w:p>
    <w:p w14:paraId="7D915694" w14:textId="77777777" w:rsidR="00D06369" w:rsidRPr="00D06369" w:rsidRDefault="00D06369" w:rsidP="00F6248E">
      <w:pPr>
        <w:spacing w:before="100" w:beforeAutospacing="1" w:after="100" w:afterAutospacing="1" w:line="360" w:lineRule="auto"/>
        <w:jc w:val="both"/>
        <w:rPr>
          <w:rFonts w:ascii="Times New Roman" w:eastAsia="Times New Roman" w:hAnsi="Times New Roman" w:cs="Times New Roman"/>
          <w:sz w:val="24"/>
          <w:szCs w:val="24"/>
        </w:rPr>
      </w:pPr>
      <w:r w:rsidRPr="00D06369">
        <w:rPr>
          <w:rFonts w:ascii="Times New Roman" w:eastAsia="Times New Roman" w:hAnsi="Times New Roman" w:cs="Times New Roman"/>
          <w:sz w:val="24"/>
          <w:szCs w:val="24"/>
        </w:rPr>
        <w:t>Despite the increasing importance of effective property management in sustaining property performance and tenant satisfaction, many residential buildings in Lagos are still managed by property owners or informal agents without professional expertise. This often results in delayed maintenance, poor facility management, inadequate tenant screening, and weak supervision, which collectively reduce property quality and contribute to rental value instability.</w:t>
      </w:r>
    </w:p>
    <w:p w14:paraId="4BB36021" w14:textId="77777777" w:rsidR="0041681A" w:rsidRPr="00D06369" w:rsidRDefault="00D06369" w:rsidP="00F6248E">
      <w:pPr>
        <w:spacing w:before="100" w:beforeAutospacing="1" w:after="100" w:afterAutospacing="1" w:line="360" w:lineRule="auto"/>
        <w:jc w:val="both"/>
        <w:rPr>
          <w:rFonts w:ascii="Times New Roman" w:eastAsia="Times New Roman" w:hAnsi="Times New Roman" w:cs="Times New Roman"/>
          <w:sz w:val="24"/>
          <w:szCs w:val="24"/>
        </w:rPr>
      </w:pPr>
      <w:r w:rsidRPr="00D06369">
        <w:rPr>
          <w:rFonts w:ascii="Times New Roman" w:eastAsia="Times New Roman" w:hAnsi="Times New Roman" w:cs="Times New Roman"/>
          <w:sz w:val="24"/>
          <w:szCs w:val="24"/>
        </w:rPr>
        <w:t>Although existing studies on rental housing in Lagos largely focus on property characteristics, location advantages, and neighbourhood facilities, limited empirical attention has been given to the role of property management practices in maintaining stable rental values. This gap highlights the need for empirical investigation into how property management practices influence the stability of residential rental values in Lagos.</w:t>
      </w:r>
    </w:p>
    <w:p w14:paraId="3B7BAF46" w14:textId="77777777" w:rsidR="00F6248E" w:rsidRDefault="00F6248E" w:rsidP="00E361C9">
      <w:pPr>
        <w:pStyle w:val="Heading3"/>
        <w:spacing w:line="360" w:lineRule="auto"/>
        <w:jc w:val="both"/>
        <w:rPr>
          <w:sz w:val="24"/>
          <w:szCs w:val="24"/>
        </w:rPr>
      </w:pPr>
    </w:p>
    <w:p w14:paraId="12FFEFBE" w14:textId="77777777" w:rsidR="00E361C9" w:rsidRDefault="00E361C9" w:rsidP="00E361C9">
      <w:pPr>
        <w:pStyle w:val="Heading3"/>
        <w:spacing w:line="360" w:lineRule="auto"/>
        <w:jc w:val="both"/>
        <w:rPr>
          <w:sz w:val="24"/>
          <w:szCs w:val="24"/>
        </w:rPr>
      </w:pPr>
      <w:r>
        <w:rPr>
          <w:sz w:val="24"/>
          <w:szCs w:val="24"/>
        </w:rPr>
        <w:lastRenderedPageBreak/>
        <w:t>Aim and Objectives</w:t>
      </w:r>
    </w:p>
    <w:p w14:paraId="7F9D014B" w14:textId="77777777" w:rsidR="00E361C9" w:rsidRDefault="00E361C9" w:rsidP="00E361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w:t>
      </w:r>
      <w:r>
        <w:rPr>
          <w:rFonts w:ascii="Times New Roman" w:eastAsia="Times New Roman" w:hAnsi="Times New Roman" w:cs="Times New Roman"/>
          <w:sz w:val="24"/>
          <w:szCs w:val="24"/>
        </w:rPr>
        <w:br/>
        <w:t>The aim of this study is to examine the impact of property management practices on rental value stability in the urban housing market</w:t>
      </w:r>
      <w:r w:rsidR="0017198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Lagos.</w:t>
      </w:r>
    </w:p>
    <w:p w14:paraId="4547A011" w14:textId="77777777" w:rsidR="00E361C9" w:rsidRDefault="00E361C9" w:rsidP="00E361C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Objectives</w:t>
      </w:r>
    </w:p>
    <w:p w14:paraId="67D495E6" w14:textId="77777777" w:rsidR="009A1BDE" w:rsidRPr="009A1BDE" w:rsidRDefault="009A1BDE" w:rsidP="00E361C9">
      <w:pPr>
        <w:spacing w:before="100" w:beforeAutospacing="1" w:after="100" w:afterAutospacing="1" w:line="360" w:lineRule="auto"/>
        <w:jc w:val="both"/>
        <w:rPr>
          <w:rFonts w:ascii="Times New Roman" w:eastAsia="Times New Roman" w:hAnsi="Times New Roman" w:cs="Times New Roman"/>
          <w:sz w:val="24"/>
          <w:szCs w:val="24"/>
        </w:rPr>
      </w:pPr>
      <w:r w:rsidRPr="009A1BDE">
        <w:rPr>
          <w:rFonts w:ascii="Times New Roman" w:eastAsia="Times New Roman" w:hAnsi="Times New Roman" w:cs="Times New Roman"/>
          <w:bCs/>
          <w:sz w:val="24"/>
          <w:szCs w:val="24"/>
        </w:rPr>
        <w:t>The specific objectives of the study are</w:t>
      </w:r>
      <w:r>
        <w:rPr>
          <w:rFonts w:ascii="Times New Roman" w:eastAsia="Times New Roman" w:hAnsi="Times New Roman" w:cs="Times New Roman"/>
          <w:bCs/>
          <w:sz w:val="24"/>
          <w:szCs w:val="24"/>
        </w:rPr>
        <w:t xml:space="preserve"> to</w:t>
      </w:r>
      <w:r w:rsidRPr="009A1BDE">
        <w:rPr>
          <w:rFonts w:ascii="Times New Roman" w:eastAsia="Times New Roman" w:hAnsi="Times New Roman" w:cs="Times New Roman"/>
          <w:bCs/>
          <w:sz w:val="24"/>
          <w:szCs w:val="24"/>
        </w:rPr>
        <w:t>:</w:t>
      </w:r>
    </w:p>
    <w:p w14:paraId="61877DB5" w14:textId="77777777" w:rsidR="00E361C9" w:rsidRDefault="009A1BDE"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w:t>
      </w:r>
      <w:r w:rsidR="00E361C9">
        <w:rPr>
          <w:rFonts w:ascii="Times New Roman" w:eastAsia="Times New Roman" w:hAnsi="Times New Roman" w:cs="Times New Roman"/>
          <w:sz w:val="24"/>
          <w:szCs w:val="24"/>
        </w:rPr>
        <w:t>dentify the common property management practices used in residential properties in Lagos.</w:t>
      </w:r>
    </w:p>
    <w:p w14:paraId="25EE6AD6" w14:textId="77777777" w:rsidR="00E361C9" w:rsidRDefault="009A1BDE"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361C9">
        <w:rPr>
          <w:rFonts w:ascii="Times New Roman" w:eastAsia="Times New Roman" w:hAnsi="Times New Roman" w:cs="Times New Roman"/>
          <w:sz w:val="24"/>
          <w:szCs w:val="24"/>
        </w:rPr>
        <w:t>xamine the relationship between property maintenance practices and rental value stability in urban housing.</w:t>
      </w:r>
    </w:p>
    <w:p w14:paraId="468564AA" w14:textId="77777777" w:rsidR="00E361C9" w:rsidRDefault="00B20413"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361C9">
        <w:rPr>
          <w:rFonts w:ascii="Times New Roman" w:eastAsia="Times New Roman" w:hAnsi="Times New Roman" w:cs="Times New Roman"/>
          <w:sz w:val="24"/>
          <w:szCs w:val="24"/>
        </w:rPr>
        <w:t>ssess the influence of tenant management and service delivery on rental value stability.</w:t>
      </w:r>
    </w:p>
    <w:p w14:paraId="0673AE32" w14:textId="77777777" w:rsidR="00E361C9" w:rsidRDefault="00EF4463" w:rsidP="00E361C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361C9">
        <w:rPr>
          <w:rFonts w:ascii="Times New Roman" w:eastAsia="Times New Roman" w:hAnsi="Times New Roman" w:cs="Times New Roman"/>
          <w:sz w:val="24"/>
          <w:szCs w:val="24"/>
        </w:rPr>
        <w:t>valuate the role of professional property management in maintaining consistent rental values in Lagos.</w:t>
      </w:r>
    </w:p>
    <w:p w14:paraId="1EEE5EE0" w14:textId="77777777" w:rsidR="00E361C9" w:rsidRDefault="00E361C9" w:rsidP="00E361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Research Questions</w:t>
      </w:r>
    </w:p>
    <w:p w14:paraId="39BA7F62" w14:textId="77777777"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property management practices are commonly adopted in residential properties in Lagos?</w:t>
      </w:r>
    </w:p>
    <w:p w14:paraId="42B59B6F" w14:textId="77777777"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maintenance practices affect the stability of rental values in urban housing markets?</w:t>
      </w:r>
    </w:p>
    <w:p w14:paraId="4C18BA14" w14:textId="77777777"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does tenant management</w:t>
      </w:r>
      <w:r w:rsidR="00C85360">
        <w:rPr>
          <w:rFonts w:ascii="Times New Roman" w:eastAsia="Times New Roman" w:hAnsi="Times New Roman" w:cs="Times New Roman"/>
          <w:sz w:val="24"/>
          <w:szCs w:val="24"/>
        </w:rPr>
        <w:t xml:space="preserve"> and service delivery</w:t>
      </w:r>
      <w:r>
        <w:rPr>
          <w:rFonts w:ascii="Times New Roman" w:eastAsia="Times New Roman" w:hAnsi="Times New Roman" w:cs="Times New Roman"/>
          <w:sz w:val="24"/>
          <w:szCs w:val="24"/>
        </w:rPr>
        <w:t xml:space="preserve"> influence rental value stability?</w:t>
      </w:r>
    </w:p>
    <w:p w14:paraId="6BA7796A" w14:textId="77777777" w:rsidR="00E361C9" w:rsidRDefault="00E361C9" w:rsidP="00E361C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role does professional property management play in maintaining stable rental values in Lagos?</w:t>
      </w:r>
    </w:p>
    <w:p w14:paraId="12E9C3C8" w14:textId="77777777" w:rsidR="00E361C9" w:rsidRDefault="00E361C9" w:rsidP="00E361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Research Hypotheses</w:t>
      </w:r>
    </w:p>
    <w:p w14:paraId="2D089544" w14:textId="77777777" w:rsidR="00B51C30" w:rsidRDefault="00B51C30" w:rsidP="00B51C30">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Cambria Math" w:hAnsi="Cambria Math" w:cs="Cambria Math"/>
          <w:b/>
          <w:bCs/>
          <w:sz w:val="24"/>
          <w:szCs w:val="24"/>
        </w:rPr>
        <w:t>₀</w:t>
      </w:r>
      <w:r>
        <w:rPr>
          <w:rFonts w:ascii="Times New Roman" w:hAnsi="Times New Roman" w:cs="Times New Roman"/>
          <w:sz w:val="24"/>
          <w:szCs w:val="24"/>
        </w:rPr>
        <w:t>: There is no association between property management practices and rental value stability.</w:t>
      </w:r>
    </w:p>
    <w:p w14:paraId="3D5321BA" w14:textId="77777777" w:rsidR="00B51C30" w:rsidRDefault="00B51C30" w:rsidP="00B51C30">
      <w:p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w:t>
      </w:r>
      <w:r>
        <w:rPr>
          <w:rFonts w:ascii="Cambria Math" w:hAnsi="Cambria Math" w:cs="Cambria Math"/>
          <w:b/>
          <w:bCs/>
          <w:sz w:val="24"/>
          <w:szCs w:val="24"/>
        </w:rPr>
        <w:t>₁</w:t>
      </w:r>
      <w:r>
        <w:rPr>
          <w:rFonts w:ascii="Times New Roman" w:hAnsi="Times New Roman" w:cs="Times New Roman"/>
          <w:sz w:val="24"/>
          <w:szCs w:val="24"/>
        </w:rPr>
        <w:t>: There is an association between property management practices and rental value stability.</w:t>
      </w:r>
    </w:p>
    <w:p w14:paraId="3941B61C" w14:textId="77777777" w:rsidR="002C2925" w:rsidRDefault="002C2925" w:rsidP="00E361C9">
      <w:pPr>
        <w:spacing w:line="360" w:lineRule="auto"/>
        <w:jc w:val="both"/>
        <w:rPr>
          <w:rFonts w:ascii="Times New Roman" w:hAnsi="Times New Roman" w:cs="Times New Roman"/>
          <w:b/>
          <w:sz w:val="24"/>
          <w:szCs w:val="24"/>
          <w:shd w:val="clear" w:color="auto" w:fill="FFFFFF"/>
        </w:rPr>
      </w:pPr>
    </w:p>
    <w:p w14:paraId="28F42C56" w14:textId="77777777" w:rsidR="00E361C9" w:rsidRDefault="00E361C9" w:rsidP="00E361C9">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Significance</w:t>
      </w:r>
    </w:p>
    <w:p w14:paraId="3A55A2C1" w14:textId="77777777" w:rsidR="00505F54" w:rsidRPr="00505F54" w:rsidRDefault="00505F54" w:rsidP="00505F54">
      <w:pPr>
        <w:spacing w:line="360" w:lineRule="auto"/>
        <w:jc w:val="both"/>
        <w:rPr>
          <w:rFonts w:ascii="Times New Roman" w:hAnsi="Times New Roman" w:cs="Times New Roman"/>
          <w:b/>
          <w:sz w:val="24"/>
          <w:szCs w:val="24"/>
          <w:shd w:val="clear" w:color="auto" w:fill="FFFFFF"/>
        </w:rPr>
      </w:pPr>
      <w:r w:rsidRPr="00505F54">
        <w:rPr>
          <w:rFonts w:ascii="Times New Roman" w:hAnsi="Times New Roman" w:cs="Times New Roman"/>
          <w:sz w:val="24"/>
          <w:szCs w:val="24"/>
        </w:rPr>
        <w:t xml:space="preserve">This study provides insights into how property management practices influence the stability of residential rental values in </w:t>
      </w:r>
      <w:r w:rsidRPr="00505F54">
        <w:rPr>
          <w:rStyle w:val="whitespace-normal"/>
          <w:rFonts w:ascii="Times New Roman" w:hAnsi="Times New Roman" w:cs="Times New Roman"/>
          <w:sz w:val="24"/>
          <w:szCs w:val="24"/>
        </w:rPr>
        <w:t>Lagos</w:t>
      </w:r>
      <w:r w:rsidRPr="00505F54">
        <w:rPr>
          <w:rFonts w:ascii="Times New Roman" w:hAnsi="Times New Roman" w:cs="Times New Roman"/>
          <w:sz w:val="24"/>
          <w:szCs w:val="24"/>
        </w:rPr>
        <w:t>. The findings will be valuable to property owners, estate managers, real estate investors, and policymakers by highlighting the importance of effective management strategies in ensuring stable rental income and maintaining housing quality. In addition, the study contributes to the existing body of knowledge in real estate and property management by providing empirical evidence on the relationship between management practices and ren</w:t>
      </w:r>
      <w:r w:rsidR="00AA6056">
        <w:rPr>
          <w:rFonts w:ascii="Times New Roman" w:hAnsi="Times New Roman" w:cs="Times New Roman"/>
          <w:sz w:val="24"/>
          <w:szCs w:val="24"/>
        </w:rPr>
        <w:t>tal performance. The results will</w:t>
      </w:r>
      <w:r w:rsidRPr="00505F54">
        <w:rPr>
          <w:rFonts w:ascii="Times New Roman" w:hAnsi="Times New Roman" w:cs="Times New Roman"/>
          <w:sz w:val="24"/>
          <w:szCs w:val="24"/>
        </w:rPr>
        <w:t xml:space="preserve"> also assist government agencies and urban planners in developing policies that encourage professional property management, thereby supporting sustainable housing development and improving the performance of the urban rental housing market.</w:t>
      </w:r>
    </w:p>
    <w:p w14:paraId="025192D8" w14:textId="77777777" w:rsidR="00E361C9" w:rsidRDefault="00E361C9" w:rsidP="00E361C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Literature Review </w:t>
      </w:r>
    </w:p>
    <w:p w14:paraId="0E7B1BF3"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The concept of </w:t>
      </w:r>
      <w:r w:rsidRPr="003813F3">
        <w:rPr>
          <w:rFonts w:ascii="Times New Roman" w:eastAsia="Times New Roman" w:hAnsi="Times New Roman" w:cs="Times New Roman"/>
          <w:bCs/>
          <w:sz w:val="24"/>
          <w:szCs w:val="24"/>
        </w:rPr>
        <w:t>rental value stability</w:t>
      </w:r>
      <w:r w:rsidRPr="004C7407">
        <w:rPr>
          <w:rFonts w:ascii="Times New Roman" w:eastAsia="Times New Roman" w:hAnsi="Times New Roman" w:cs="Times New Roman"/>
          <w:sz w:val="24"/>
          <w:szCs w:val="24"/>
        </w:rPr>
        <w:t xml:space="preserve"> in urban housing markets has gained increasing attention in real estate and urban development studies. Rental value stability refers to the ability of residential properties to maintain consistent rental income without significant fluctuations caused by poor management, property deterioration, or market instability. In rapidly growing cities such as Lagos, housing demand continues to increase due to population growth, urban migration, and economic expansion. This situation intensifies competition in the rental market and compels property owners to adopt effective management practices to maintain rental values and attract tenants. Consequently, property management practices have become an important factor influencing the performance and stability of residential rental properties.</w:t>
      </w:r>
    </w:p>
    <w:p w14:paraId="23EBE497"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Property management involves the administration, operation, and maintenance of residential and commercial properties with the aim of preserving property value and ensuring tenant satisfaction. Adeyemo and Olaitan (2024) emphasize that effective property management includes maintenance planning, tenant management, financial accountability, and periodic inspection of property facilities. These practices help maintain the attractiveness and functionality of properties, thereby supporting consistent rental income. Conversely, inadequate management can result in property deterioration, reduced rental values, and lower investment returns for property owners.</w:t>
      </w:r>
    </w:p>
    <w:p w14:paraId="2BAD3EE3"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lastRenderedPageBreak/>
        <w:t>Maintenance and upkeep represent one of the most critical aspects of property management. Proper maintenance ensures that structural components, utilities, and shared facilities remain functional and safe for occupants. Poor maintenance often leads to deteriorating property conditions, which negatively affect tenant satisfaction and rental demand. Research indicates that tenants are more likely to remain in well-maintained and professionally managed properties, contributing to the long-term stability of rental values (Sani &amp; Mohammed, 2022). For this reason, property owners and managers must prioritize regular maintenance and timely repairs to maintain property competitiveness within the housing market.</w:t>
      </w:r>
    </w:p>
    <w:p w14:paraId="30524FA0"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Neighbourhood characteristics also play an important role in determining residential rental values. Access to infrastructure and social amenities such as good road networks, educational institutions, healthcare facilities, and recreational centres significantly increases the attractiveness of residential areas. Akinwale and Fayomi (2025) found that rental values of residential properties in high-density neighbourhoods of Lagos are strongly influenced by the availability of such facilities. Properties located in areas with well-developed infrastructure and accessible services tend to command higher and more stable rental values than those in less developed neighbourhoods.</w:t>
      </w:r>
    </w:p>
    <w:p w14:paraId="60C579B3"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In addition to neighbourhood factors, the physical attributes of residential properties significantly influence rental values. Features such as building design, number of rooms, floor area, and overall building condition are important determinants of rental prices in urban housing markets. A study of residential properties in Ebute-Metta found that the number of bedrooms per housing unit is directly related to rental value, with larger houses typically commanding higher rents and experiencing greater demand (Osagie, Otegbulu, and Onibudo, 2025). Property managers therefore play a crucial role in maintaining and improving these structural characteristics to sustain rental values over time.</w:t>
      </w:r>
    </w:p>
    <w:p w14:paraId="12DABA4C"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Informal settlements also form part of the urban housing system in Lagos and present unique challenges for property management and rental value stability. The Makoko informal settlement, for instance, is characterized by poor infrastructure, inconsistent building standards, and socio-economic constraints that influence housing values. Oduwaye, Ilechukwu, and Yardua (2024) note that environmental conditions, accessibility, and housing quality significantly affect rental values in such communities. Property management practices in informal settlements are often less </w:t>
      </w:r>
      <w:r w:rsidRPr="004C7407">
        <w:rPr>
          <w:rFonts w:ascii="Times New Roman" w:eastAsia="Times New Roman" w:hAnsi="Times New Roman" w:cs="Times New Roman"/>
          <w:sz w:val="24"/>
          <w:szCs w:val="24"/>
        </w:rPr>
        <w:lastRenderedPageBreak/>
        <w:t>formalized, which can result in uncertainty in rental pricing and greater fluctuations in housing markets.</w:t>
      </w:r>
    </w:p>
    <w:p w14:paraId="6C29A928"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Real estate intermediaries, including property agents and estate managers, also influence rental value stability. These professionals act as intermediaries between landlords and tenants by marketing properties, screening tenants, collecting rent, and coordinating maintenance. Bamiteko and Adebiyi (2020) observe that real estate intermediaries play an important role in shaping housing prices in the Lagos residential market. Their professionalism and efficiency can influence rental pricing, tenant satisfaction, and the overall performance of rental properties.</w:t>
      </w:r>
    </w:p>
    <w:p w14:paraId="154B628A"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Government policies and urban development initiatives also affect property values and the stability of the rental market. Urban renewal programmes, infrastructure improvements, and environmental development projects can increase the attractiveness of residential neighbourhoods and enhance property values. For example, the Lagos Metropolitan Development and Governance Project has been associated with infrastructure improvements and rising residential property values in several communities in Lagos (Onyekwelu, Ogbuefi, and Nnamani, 2022/2023). Such developments create opportunities for property managers to improve housing quality and maintain stable rental returns.</w:t>
      </w:r>
    </w:p>
    <w:p w14:paraId="080FF71E" w14:textId="77777777" w:rsidR="004C7407" w:rsidRPr="004C7407" w:rsidRDefault="004C7407" w:rsidP="00D1714B">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Recent developments in the Lagos housing market have also introduced alternative rental models such as short-term rentals. These services provide property owners with new income opportunities, particularly in high-demand urban areas. Research shows that the short-term rental sector in Lagos is expanding and contributing to the diversification of rental housing options (Oyedeji et al., 2025). However, effective management remains essential to ensure service quality and maintain consistent rental income.</w:t>
      </w:r>
    </w:p>
    <w:p w14:paraId="6787E91A" w14:textId="77777777" w:rsidR="004C7407" w:rsidRPr="00070E06" w:rsidRDefault="004C7407" w:rsidP="00E361C9">
      <w:pPr>
        <w:spacing w:before="100" w:beforeAutospacing="1" w:after="100" w:afterAutospacing="1" w:line="360" w:lineRule="auto"/>
        <w:jc w:val="both"/>
        <w:rPr>
          <w:rFonts w:ascii="Times New Roman" w:eastAsia="Times New Roman" w:hAnsi="Times New Roman" w:cs="Times New Roman"/>
          <w:sz w:val="24"/>
          <w:szCs w:val="24"/>
        </w:rPr>
      </w:pPr>
      <w:r w:rsidRPr="004C7407">
        <w:rPr>
          <w:rFonts w:ascii="Times New Roman" w:eastAsia="Times New Roman" w:hAnsi="Times New Roman" w:cs="Times New Roman"/>
          <w:sz w:val="24"/>
          <w:szCs w:val="24"/>
        </w:rPr>
        <w:t xml:space="preserve">Overall, existing literature suggests that rental value stability in urban housing markets is influenced by a combination of property management practices, neighbourhood characteristics, property attributes, and broader urban development policies. While previous studies have examined individual factors affecting rental values in Lagos, there remains a need to better understand how property management practices interact with these factors to influence rental value stability. This study therefore seeks to contribute to existing knowledge by examining the role of </w:t>
      </w:r>
      <w:r w:rsidRPr="004C7407">
        <w:rPr>
          <w:rFonts w:ascii="Times New Roman" w:eastAsia="Times New Roman" w:hAnsi="Times New Roman" w:cs="Times New Roman"/>
          <w:sz w:val="24"/>
          <w:szCs w:val="24"/>
        </w:rPr>
        <w:lastRenderedPageBreak/>
        <w:t>property management practices in maintaining rental value stability in the urban housing market of Lagos.</w:t>
      </w:r>
    </w:p>
    <w:p w14:paraId="640674EB" w14:textId="77777777" w:rsidR="00E361C9" w:rsidRDefault="00E361C9" w:rsidP="00E361C9">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14:paraId="66C0397B" w14:textId="77777777" w:rsidR="003B6BD9" w:rsidRPr="00F34BD1" w:rsidRDefault="003B6BD9" w:rsidP="00757FDD">
      <w:pPr>
        <w:spacing w:before="100" w:beforeAutospacing="1" w:after="100" w:afterAutospacing="1" w:line="360" w:lineRule="auto"/>
        <w:jc w:val="both"/>
        <w:rPr>
          <w:rFonts w:ascii="Times New Roman" w:eastAsia="Times New Roman" w:hAnsi="Times New Roman" w:cs="Times New Roman"/>
          <w:sz w:val="24"/>
          <w:szCs w:val="24"/>
        </w:rPr>
      </w:pPr>
      <w:r w:rsidRPr="003B6BD9">
        <w:rPr>
          <w:rFonts w:ascii="Times New Roman" w:hAnsi="Times New Roman" w:cs="Times New Roman"/>
          <w:sz w:val="24"/>
          <w:szCs w:val="24"/>
        </w:rPr>
        <w:t xml:space="preserve">This study </w:t>
      </w:r>
      <w:r w:rsidRPr="0054729A">
        <w:rPr>
          <w:rFonts w:ascii="Times New Roman" w:hAnsi="Times New Roman" w:cs="Times New Roman"/>
          <w:sz w:val="24"/>
          <w:szCs w:val="24"/>
        </w:rPr>
        <w:t>adopts</w:t>
      </w:r>
      <w:r w:rsidRPr="0054729A">
        <w:rPr>
          <w:rFonts w:ascii="Times New Roman" w:hAnsi="Times New Roman" w:cs="Times New Roman"/>
          <w:b/>
          <w:sz w:val="24"/>
          <w:szCs w:val="24"/>
        </w:rPr>
        <w:t xml:space="preserve"> </w:t>
      </w:r>
      <w:r w:rsidRPr="00D333A7">
        <w:rPr>
          <w:rFonts w:ascii="Times New Roman" w:hAnsi="Times New Roman" w:cs="Times New Roman"/>
          <w:sz w:val="24"/>
          <w:szCs w:val="24"/>
        </w:rPr>
        <w:t>a</w:t>
      </w:r>
      <w:r w:rsidRPr="0054729A">
        <w:rPr>
          <w:rFonts w:ascii="Times New Roman" w:hAnsi="Times New Roman" w:cs="Times New Roman"/>
          <w:b/>
          <w:sz w:val="24"/>
          <w:szCs w:val="24"/>
        </w:rPr>
        <w:t xml:space="preserve"> </w:t>
      </w:r>
      <w:r w:rsidRPr="0054729A">
        <w:rPr>
          <w:rStyle w:val="Strong"/>
          <w:rFonts w:ascii="Times New Roman" w:hAnsi="Times New Roman" w:cs="Times New Roman"/>
          <w:b w:val="0"/>
          <w:sz w:val="24"/>
          <w:szCs w:val="24"/>
        </w:rPr>
        <w:t>qualitative research approach</w:t>
      </w:r>
      <w:r w:rsidRPr="003B6BD9">
        <w:rPr>
          <w:rFonts w:ascii="Times New Roman" w:hAnsi="Times New Roman" w:cs="Times New Roman"/>
          <w:sz w:val="24"/>
          <w:szCs w:val="24"/>
        </w:rPr>
        <w:t xml:space="preserve"> to examine the influence of property management practices on rental value stability in the urban housi</w:t>
      </w:r>
      <w:r w:rsidR="006D765A">
        <w:rPr>
          <w:rFonts w:ascii="Times New Roman" w:hAnsi="Times New Roman" w:cs="Times New Roman"/>
          <w:sz w:val="24"/>
          <w:szCs w:val="24"/>
        </w:rPr>
        <w:t>ng market of Lagos. Data was</w:t>
      </w:r>
      <w:r w:rsidRPr="003B6BD9">
        <w:rPr>
          <w:rFonts w:ascii="Times New Roman" w:hAnsi="Times New Roman" w:cs="Times New Roman"/>
          <w:sz w:val="24"/>
          <w:szCs w:val="24"/>
        </w:rPr>
        <w:t xml:space="preserve"> collected through </w:t>
      </w:r>
      <w:r w:rsidRPr="00CB3AA5">
        <w:rPr>
          <w:rStyle w:val="Strong"/>
          <w:rFonts w:ascii="Times New Roman" w:hAnsi="Times New Roman" w:cs="Times New Roman"/>
          <w:b w:val="0"/>
          <w:sz w:val="24"/>
          <w:szCs w:val="24"/>
        </w:rPr>
        <w:t>semi-structured interviews and document review</w:t>
      </w:r>
      <w:r w:rsidRPr="003B6BD9">
        <w:rPr>
          <w:rFonts w:ascii="Times New Roman" w:hAnsi="Times New Roman" w:cs="Times New Roman"/>
          <w:sz w:val="24"/>
          <w:szCs w:val="24"/>
        </w:rPr>
        <w:t xml:space="preserve"> involving key stakeholders, including property managers, estate surveyors, landlords, and selected tenants in various residential areas. </w:t>
      </w:r>
      <w:r w:rsidRPr="00B328BE">
        <w:rPr>
          <w:rStyle w:val="Strong"/>
          <w:rFonts w:ascii="Times New Roman" w:hAnsi="Times New Roman" w:cs="Times New Roman"/>
          <w:b w:val="0"/>
          <w:sz w:val="24"/>
          <w:szCs w:val="24"/>
        </w:rPr>
        <w:t>Purposive sampling</w:t>
      </w:r>
      <w:r w:rsidR="00B328BE">
        <w:rPr>
          <w:rFonts w:ascii="Times New Roman" w:hAnsi="Times New Roman" w:cs="Times New Roman"/>
          <w:sz w:val="24"/>
          <w:szCs w:val="24"/>
        </w:rPr>
        <w:t xml:space="preserve"> was</w:t>
      </w:r>
      <w:r w:rsidRPr="003B6BD9">
        <w:rPr>
          <w:rFonts w:ascii="Times New Roman" w:hAnsi="Times New Roman" w:cs="Times New Roman"/>
          <w:sz w:val="24"/>
          <w:szCs w:val="24"/>
        </w:rPr>
        <w:t xml:space="preserve"> used to select participants with relevant knowledge and experience in property management and rental housing. The approach enables the collection of in-depth insights into management practices and the challenges affecting rental value stability in Lagos’ urban housing market</w:t>
      </w:r>
      <w:r>
        <w:t>.</w:t>
      </w:r>
    </w:p>
    <w:p w14:paraId="776A02EA" w14:textId="77777777" w:rsidR="00E361C9" w:rsidRPr="00044B40" w:rsidRDefault="00E361C9" w:rsidP="00E361C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 of Data Analysis </w:t>
      </w:r>
    </w:p>
    <w:p w14:paraId="38FEC60A" w14:textId="77777777" w:rsidR="00E361C9" w:rsidRDefault="00E361C9" w:rsidP="0051689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for this study were analyzed using descriptive statistics to summarize and present the characteristics of the responses, including measures such as frequencies, percentages, and means. Additionally, the Chi-square test was employed to test the study’s hypotheses and examine the relationship between property management practices and rental value stability in the urban housing market of Lagos. The results are presented in tabular and narrative form, highlighting significant patterns and relationships observed in the data</w:t>
      </w:r>
      <w:r w:rsidR="00DC1A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100515D" w14:textId="77777777" w:rsidR="00E361C9" w:rsidRDefault="00E361C9" w:rsidP="00E361C9">
      <w:pPr>
        <w:pStyle w:val="Heading3"/>
        <w:spacing w:line="360" w:lineRule="auto"/>
        <w:jc w:val="both"/>
        <w:rPr>
          <w:sz w:val="24"/>
          <w:szCs w:val="24"/>
        </w:rPr>
      </w:pPr>
      <w:r>
        <w:rPr>
          <w:sz w:val="24"/>
          <w:szCs w:val="24"/>
        </w:rPr>
        <w:t xml:space="preserve"> Results and Discussion</w:t>
      </w:r>
    </w:p>
    <w:p w14:paraId="243E2D8F" w14:textId="77777777"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4.1.1 Property Management Practices Adopted in Residential Properties</w:t>
      </w:r>
    </w:p>
    <w:tbl>
      <w:tblPr>
        <w:tblStyle w:val="Style1"/>
        <w:tblW w:w="9245" w:type="dxa"/>
        <w:tblLook w:val="04A0" w:firstRow="1" w:lastRow="0" w:firstColumn="1" w:lastColumn="0" w:noHBand="0" w:noVBand="1"/>
      </w:tblPr>
      <w:tblGrid>
        <w:gridCol w:w="5410"/>
        <w:gridCol w:w="1626"/>
        <w:gridCol w:w="2209"/>
      </w:tblGrid>
      <w:tr w:rsidR="00E361C9" w14:paraId="41138A23" w14:textId="77777777" w:rsidTr="0021639B">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0" w:type="auto"/>
          </w:tcPr>
          <w:p w14:paraId="00669973" w14:textId="77777777" w:rsidR="00E361C9" w:rsidRDefault="00E361C9" w:rsidP="0021639B">
            <w:pPr>
              <w:jc w:val="both"/>
              <w:rPr>
                <w:rFonts w:ascii="Times New Roman" w:hAnsi="Times New Roman" w:cs="Times New Roman"/>
                <w:b/>
                <w:bCs/>
                <w:i w:val="0"/>
                <w:iCs w:val="0"/>
              </w:rPr>
            </w:pPr>
            <w:r>
              <w:rPr>
                <w:rFonts w:ascii="Times New Roman" w:hAnsi="Times New Roman" w:cs="Times New Roman"/>
                <w:b/>
                <w:bCs/>
              </w:rPr>
              <w:t>Property Management Practice</w:t>
            </w:r>
          </w:p>
        </w:tc>
        <w:tc>
          <w:tcPr>
            <w:tcW w:w="0" w:type="auto"/>
          </w:tcPr>
          <w:p w14:paraId="7B1983BA" w14:textId="77777777"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14:paraId="1CDF6432" w14:textId="77777777"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14:paraId="103BDFBB" w14:textId="77777777" w:rsidTr="0021639B">
        <w:trPr>
          <w:trHeight w:val="369"/>
        </w:trPr>
        <w:tc>
          <w:tcPr>
            <w:cnfStyle w:val="001000000000" w:firstRow="0" w:lastRow="0" w:firstColumn="1" w:lastColumn="0" w:oddVBand="0" w:evenVBand="0" w:oddHBand="0" w:evenHBand="0" w:firstRowFirstColumn="0" w:firstRowLastColumn="0" w:lastRowFirstColumn="0" w:lastRowLastColumn="0"/>
            <w:tcW w:w="0" w:type="auto"/>
          </w:tcPr>
          <w:p w14:paraId="25A72E7E" w14:textId="77777777" w:rsidR="00E361C9" w:rsidRDefault="00E361C9" w:rsidP="0021639B">
            <w:pPr>
              <w:jc w:val="both"/>
              <w:rPr>
                <w:rFonts w:ascii="Times New Roman" w:hAnsi="Times New Roman" w:cs="Times New Roman"/>
              </w:rPr>
            </w:pPr>
            <w:r>
              <w:rPr>
                <w:rFonts w:ascii="Times New Roman" w:hAnsi="Times New Roman" w:cs="Times New Roman"/>
              </w:rPr>
              <w:t>Regular property inspection</w:t>
            </w:r>
          </w:p>
        </w:tc>
        <w:tc>
          <w:tcPr>
            <w:tcW w:w="0" w:type="auto"/>
          </w:tcPr>
          <w:p w14:paraId="19AF6015"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0" w:type="auto"/>
          </w:tcPr>
          <w:p w14:paraId="7805C3F7"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E361C9" w14:paraId="5F2A5CA3" w14:textId="77777777" w:rsidTr="0021639B">
        <w:trPr>
          <w:trHeight w:val="408"/>
        </w:trPr>
        <w:tc>
          <w:tcPr>
            <w:cnfStyle w:val="001000000000" w:firstRow="0" w:lastRow="0" w:firstColumn="1" w:lastColumn="0" w:oddVBand="0" w:evenVBand="0" w:oddHBand="0" w:evenHBand="0" w:firstRowFirstColumn="0" w:firstRowLastColumn="0" w:lastRowFirstColumn="0" w:lastRowLastColumn="0"/>
            <w:tcW w:w="0" w:type="auto"/>
          </w:tcPr>
          <w:p w14:paraId="6402CC4B" w14:textId="77777777" w:rsidR="00E361C9" w:rsidRDefault="00E361C9" w:rsidP="0021639B">
            <w:pPr>
              <w:jc w:val="both"/>
              <w:rPr>
                <w:rFonts w:ascii="Times New Roman" w:hAnsi="Times New Roman" w:cs="Times New Roman"/>
              </w:rPr>
            </w:pPr>
            <w:r>
              <w:rPr>
                <w:rFonts w:ascii="Times New Roman" w:hAnsi="Times New Roman" w:cs="Times New Roman"/>
              </w:rPr>
              <w:t>Routine maintenance and repairs</w:t>
            </w:r>
          </w:p>
        </w:tc>
        <w:tc>
          <w:tcPr>
            <w:tcW w:w="0" w:type="auto"/>
          </w:tcPr>
          <w:p w14:paraId="5A643E66"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14:paraId="52BAB123"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14:paraId="14CEFC76" w14:textId="77777777" w:rsidTr="0021639B">
        <w:trPr>
          <w:trHeight w:val="389"/>
        </w:trPr>
        <w:tc>
          <w:tcPr>
            <w:cnfStyle w:val="001000000000" w:firstRow="0" w:lastRow="0" w:firstColumn="1" w:lastColumn="0" w:oddVBand="0" w:evenVBand="0" w:oddHBand="0" w:evenHBand="0" w:firstRowFirstColumn="0" w:firstRowLastColumn="0" w:lastRowFirstColumn="0" w:lastRowLastColumn="0"/>
            <w:tcW w:w="0" w:type="auto"/>
          </w:tcPr>
          <w:p w14:paraId="7730B9A5" w14:textId="77777777" w:rsidR="00E361C9" w:rsidRDefault="00E361C9" w:rsidP="0021639B">
            <w:pPr>
              <w:jc w:val="both"/>
              <w:rPr>
                <w:rFonts w:ascii="Times New Roman" w:hAnsi="Times New Roman" w:cs="Times New Roman"/>
              </w:rPr>
            </w:pPr>
            <w:r>
              <w:rPr>
                <w:rFonts w:ascii="Times New Roman" w:hAnsi="Times New Roman" w:cs="Times New Roman"/>
              </w:rPr>
              <w:t>Tenant screening and selection</w:t>
            </w:r>
          </w:p>
        </w:tc>
        <w:tc>
          <w:tcPr>
            <w:tcW w:w="0" w:type="auto"/>
          </w:tcPr>
          <w:p w14:paraId="234EE661"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14:paraId="24E8DF65"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14:paraId="4B60269A" w14:textId="77777777" w:rsidTr="0021639B">
        <w:trPr>
          <w:trHeight w:val="408"/>
        </w:trPr>
        <w:tc>
          <w:tcPr>
            <w:cnfStyle w:val="001000000000" w:firstRow="0" w:lastRow="0" w:firstColumn="1" w:lastColumn="0" w:oddVBand="0" w:evenVBand="0" w:oddHBand="0" w:evenHBand="0" w:firstRowFirstColumn="0" w:firstRowLastColumn="0" w:lastRowFirstColumn="0" w:lastRowLastColumn="0"/>
            <w:tcW w:w="0" w:type="auto"/>
          </w:tcPr>
          <w:p w14:paraId="63B7FB61" w14:textId="77777777" w:rsidR="00E361C9" w:rsidRDefault="00E361C9" w:rsidP="0021639B">
            <w:pPr>
              <w:jc w:val="both"/>
              <w:rPr>
                <w:rFonts w:ascii="Times New Roman" w:hAnsi="Times New Roman" w:cs="Times New Roman"/>
              </w:rPr>
            </w:pPr>
            <w:r>
              <w:rPr>
                <w:rFonts w:ascii="Times New Roman" w:hAnsi="Times New Roman" w:cs="Times New Roman"/>
              </w:rPr>
              <w:t>Rent collection and financial management</w:t>
            </w:r>
          </w:p>
        </w:tc>
        <w:tc>
          <w:tcPr>
            <w:tcW w:w="0" w:type="auto"/>
          </w:tcPr>
          <w:p w14:paraId="2433A124"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0" w:type="auto"/>
          </w:tcPr>
          <w:p w14:paraId="6BB9A0F1"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E361C9" w14:paraId="19D40BA7" w14:textId="77777777" w:rsidTr="0021639B">
        <w:trPr>
          <w:trHeight w:val="389"/>
        </w:trPr>
        <w:tc>
          <w:tcPr>
            <w:cnfStyle w:val="001000000000" w:firstRow="0" w:lastRow="0" w:firstColumn="1" w:lastColumn="0" w:oddVBand="0" w:evenVBand="0" w:oddHBand="0" w:evenHBand="0" w:firstRowFirstColumn="0" w:firstRowLastColumn="0" w:lastRowFirstColumn="0" w:lastRowLastColumn="0"/>
            <w:tcW w:w="0" w:type="auto"/>
          </w:tcPr>
          <w:p w14:paraId="42B5AEE6" w14:textId="77777777" w:rsidR="00E361C9" w:rsidRDefault="00E361C9" w:rsidP="0021639B">
            <w:pPr>
              <w:jc w:val="both"/>
              <w:rPr>
                <w:rFonts w:ascii="Times New Roman" w:hAnsi="Times New Roman" w:cs="Times New Roman"/>
              </w:rPr>
            </w:pPr>
            <w:r>
              <w:rPr>
                <w:rFonts w:ascii="Times New Roman" w:hAnsi="Times New Roman" w:cs="Times New Roman"/>
              </w:rPr>
              <w:t>Use of professional property managers</w:t>
            </w:r>
          </w:p>
        </w:tc>
        <w:tc>
          <w:tcPr>
            <w:tcW w:w="0" w:type="auto"/>
          </w:tcPr>
          <w:p w14:paraId="4F0375EF"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0" w:type="auto"/>
          </w:tcPr>
          <w:p w14:paraId="52D03D7F"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E361C9" w14:paraId="0EC92CDD" w14:textId="77777777" w:rsidTr="0021639B">
        <w:trPr>
          <w:trHeight w:val="408"/>
        </w:trPr>
        <w:tc>
          <w:tcPr>
            <w:cnfStyle w:val="001000000000" w:firstRow="0" w:lastRow="0" w:firstColumn="1" w:lastColumn="0" w:oddVBand="0" w:evenVBand="0" w:oddHBand="0" w:evenHBand="0" w:firstRowFirstColumn="0" w:firstRowLastColumn="0" w:lastRowFirstColumn="0" w:lastRowLastColumn="0"/>
            <w:tcW w:w="0" w:type="auto"/>
          </w:tcPr>
          <w:p w14:paraId="76CFC953" w14:textId="77777777" w:rsidR="00E361C9" w:rsidRDefault="00E361C9" w:rsidP="0021639B">
            <w:pPr>
              <w:jc w:val="both"/>
              <w:rPr>
                <w:rFonts w:ascii="Times New Roman" w:hAnsi="Times New Roman" w:cs="Times New Roman"/>
              </w:rPr>
            </w:pPr>
            <w:r>
              <w:rPr>
                <w:rStyle w:val="Strong"/>
                <w:rFonts w:ascii="Times New Roman" w:hAnsi="Times New Roman" w:cs="Times New Roman"/>
              </w:rPr>
              <w:t>Total</w:t>
            </w:r>
          </w:p>
        </w:tc>
        <w:tc>
          <w:tcPr>
            <w:tcW w:w="0" w:type="auto"/>
          </w:tcPr>
          <w:p w14:paraId="1C6B762E"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14:paraId="61A19475"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14:paraId="56CAE463" w14:textId="77777777" w:rsidR="00E361C9" w:rsidRDefault="00E361C9" w:rsidP="00E361C9">
      <w:pPr>
        <w:pStyle w:val="NormalWeb"/>
        <w:spacing w:line="360" w:lineRule="auto"/>
        <w:jc w:val="both"/>
        <w:rPr>
          <w:rStyle w:val="Strong"/>
        </w:rPr>
      </w:pPr>
      <w:r>
        <w:rPr>
          <w:noProof/>
        </w:rPr>
        <w:lastRenderedPageBreak/>
        <w:drawing>
          <wp:inline distT="0" distB="0" distL="0" distR="0" wp14:anchorId="60049360" wp14:editId="2A96A776">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A89C75" w14:textId="77777777" w:rsidR="00E361C9" w:rsidRDefault="00E361C9" w:rsidP="00E361C9">
      <w:pPr>
        <w:pStyle w:val="NormalWeb"/>
        <w:spacing w:line="360" w:lineRule="auto"/>
        <w:jc w:val="both"/>
      </w:pPr>
      <w:r>
        <w:rPr>
          <w:rStyle w:val="Strong"/>
        </w:rPr>
        <w:t>Source:</w:t>
      </w:r>
      <w:r>
        <w:t xml:space="preserve"> Field Survey, 2026</w:t>
      </w:r>
    </w:p>
    <w:p w14:paraId="1F86FCF6" w14:textId="77777777" w:rsidR="00E361C9" w:rsidRDefault="00E361C9" w:rsidP="00882D82">
      <w:pPr>
        <w:pStyle w:val="NormalWeb"/>
        <w:spacing w:line="360" w:lineRule="auto"/>
        <w:jc w:val="both"/>
      </w:pPr>
      <w:r>
        <w:t xml:space="preserve">The table shows the common property management practices adopted in residential properties in </w:t>
      </w:r>
      <w:r>
        <w:rPr>
          <w:rStyle w:val="whitespace-normal"/>
        </w:rPr>
        <w:t>Lagos</w:t>
      </w:r>
      <w:r>
        <w:t>. Regular property inspection recorded the highest frequency (30%), followed by routine maintenance and repairs (25%). Tenant screening accounted for 20%, while rent collection and financial management represented 15%. The use of professional property managers had the lowest percentage (10%). This suggests that while some management practices are commonly implemented, professional property management services are less frequently utilized, which may affect the overall efficiency of property management and the stability of rental values.</w:t>
      </w:r>
    </w:p>
    <w:p w14:paraId="18A335A6" w14:textId="77777777"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4.1.2 Influence of Maintenance Practices on Rental Value Stability</w:t>
      </w:r>
    </w:p>
    <w:tbl>
      <w:tblPr>
        <w:tblStyle w:val="Style1"/>
        <w:tblW w:w="9341" w:type="dxa"/>
        <w:tblLook w:val="04A0" w:firstRow="1" w:lastRow="0" w:firstColumn="1" w:lastColumn="0" w:noHBand="0" w:noVBand="1"/>
      </w:tblPr>
      <w:tblGrid>
        <w:gridCol w:w="4985"/>
        <w:gridCol w:w="1847"/>
        <w:gridCol w:w="2509"/>
      </w:tblGrid>
      <w:tr w:rsidR="00E361C9" w14:paraId="37103A41" w14:textId="77777777" w:rsidTr="0021639B">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0" w:type="auto"/>
          </w:tcPr>
          <w:p w14:paraId="484DD155" w14:textId="77777777" w:rsidR="00E361C9" w:rsidRDefault="00E361C9" w:rsidP="0021639B">
            <w:pPr>
              <w:jc w:val="both"/>
              <w:rPr>
                <w:rFonts w:ascii="Times New Roman" w:hAnsi="Times New Roman" w:cs="Times New Roman"/>
                <w:b/>
                <w:bCs/>
                <w:i w:val="0"/>
                <w:iCs w:val="0"/>
              </w:rPr>
            </w:pPr>
            <w:r>
              <w:rPr>
                <w:rFonts w:ascii="Times New Roman" w:hAnsi="Times New Roman" w:cs="Times New Roman"/>
                <w:b/>
                <w:bCs/>
              </w:rPr>
              <w:t>Maintenance Practice</w:t>
            </w:r>
          </w:p>
        </w:tc>
        <w:tc>
          <w:tcPr>
            <w:tcW w:w="0" w:type="auto"/>
          </w:tcPr>
          <w:p w14:paraId="6C649446" w14:textId="77777777"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14:paraId="69993EEF" w14:textId="77777777"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14:paraId="42CC1EB8" w14:textId="77777777" w:rsidTr="0021639B">
        <w:trPr>
          <w:trHeight w:val="314"/>
        </w:trPr>
        <w:tc>
          <w:tcPr>
            <w:cnfStyle w:val="001000000000" w:firstRow="0" w:lastRow="0" w:firstColumn="1" w:lastColumn="0" w:oddVBand="0" w:evenVBand="0" w:oddHBand="0" w:evenHBand="0" w:firstRowFirstColumn="0" w:firstRowLastColumn="0" w:lastRowFirstColumn="0" w:lastRowLastColumn="0"/>
            <w:tcW w:w="0" w:type="auto"/>
          </w:tcPr>
          <w:p w14:paraId="0497AAE1" w14:textId="77777777" w:rsidR="00E361C9" w:rsidRDefault="00E361C9" w:rsidP="0021639B">
            <w:pPr>
              <w:jc w:val="both"/>
              <w:rPr>
                <w:rFonts w:ascii="Times New Roman" w:hAnsi="Times New Roman" w:cs="Times New Roman"/>
              </w:rPr>
            </w:pPr>
            <w:r>
              <w:rPr>
                <w:rFonts w:ascii="Times New Roman" w:hAnsi="Times New Roman" w:cs="Times New Roman"/>
              </w:rPr>
              <w:t>Regular repairs and maintenance</w:t>
            </w:r>
          </w:p>
        </w:tc>
        <w:tc>
          <w:tcPr>
            <w:tcW w:w="0" w:type="auto"/>
          </w:tcPr>
          <w:p w14:paraId="4983365B"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0" w:type="auto"/>
          </w:tcPr>
          <w:p w14:paraId="49C918E0"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tc>
      </w:tr>
      <w:tr w:rsidR="00E361C9" w14:paraId="67D5B575" w14:textId="77777777" w:rsidTr="0021639B">
        <w:trPr>
          <w:trHeight w:val="314"/>
        </w:trPr>
        <w:tc>
          <w:tcPr>
            <w:cnfStyle w:val="001000000000" w:firstRow="0" w:lastRow="0" w:firstColumn="1" w:lastColumn="0" w:oddVBand="0" w:evenVBand="0" w:oddHBand="0" w:evenHBand="0" w:firstRowFirstColumn="0" w:firstRowLastColumn="0" w:lastRowFirstColumn="0" w:lastRowLastColumn="0"/>
            <w:tcW w:w="0" w:type="auto"/>
          </w:tcPr>
          <w:p w14:paraId="2BC34E6A" w14:textId="77777777" w:rsidR="00E361C9" w:rsidRDefault="00E361C9" w:rsidP="0021639B">
            <w:pPr>
              <w:jc w:val="both"/>
              <w:rPr>
                <w:rFonts w:ascii="Times New Roman" w:hAnsi="Times New Roman" w:cs="Times New Roman"/>
              </w:rPr>
            </w:pPr>
            <w:r>
              <w:rPr>
                <w:rFonts w:ascii="Times New Roman" w:hAnsi="Times New Roman" w:cs="Times New Roman"/>
              </w:rPr>
              <w:t>Preventive maintenance planning</w:t>
            </w:r>
          </w:p>
        </w:tc>
        <w:tc>
          <w:tcPr>
            <w:tcW w:w="0" w:type="auto"/>
          </w:tcPr>
          <w:p w14:paraId="7EA3FC9D"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14:paraId="741F1781"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14:paraId="62C8C658" w14:textId="77777777" w:rsidTr="0021639B">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0C9F449D" w14:textId="77777777" w:rsidR="00E361C9" w:rsidRDefault="00E361C9" w:rsidP="0021639B">
            <w:pPr>
              <w:jc w:val="both"/>
              <w:rPr>
                <w:rFonts w:ascii="Times New Roman" w:hAnsi="Times New Roman" w:cs="Times New Roman"/>
              </w:rPr>
            </w:pPr>
            <w:r>
              <w:rPr>
                <w:rFonts w:ascii="Times New Roman" w:hAnsi="Times New Roman" w:cs="Times New Roman"/>
              </w:rPr>
              <w:t>Facility upgrades and renovations</w:t>
            </w:r>
          </w:p>
        </w:tc>
        <w:tc>
          <w:tcPr>
            <w:tcW w:w="0" w:type="auto"/>
          </w:tcPr>
          <w:p w14:paraId="5517FF38"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14:paraId="14A6EC6D"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14:paraId="7216257B" w14:textId="77777777" w:rsidTr="0021639B">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4B6E1960" w14:textId="77777777" w:rsidR="00E361C9" w:rsidRDefault="00E361C9" w:rsidP="0021639B">
            <w:pPr>
              <w:jc w:val="both"/>
              <w:rPr>
                <w:rFonts w:ascii="Times New Roman" w:hAnsi="Times New Roman" w:cs="Times New Roman"/>
              </w:rPr>
            </w:pPr>
            <w:r>
              <w:rPr>
                <w:rFonts w:ascii="Times New Roman" w:hAnsi="Times New Roman" w:cs="Times New Roman"/>
              </w:rPr>
              <w:t>Delayed or irregular maintenance</w:t>
            </w:r>
          </w:p>
        </w:tc>
        <w:tc>
          <w:tcPr>
            <w:tcW w:w="0" w:type="auto"/>
          </w:tcPr>
          <w:p w14:paraId="59D057EF"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0" w:type="auto"/>
          </w:tcPr>
          <w:p w14:paraId="28CA406C"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12.5</w:t>
            </w:r>
          </w:p>
        </w:tc>
      </w:tr>
      <w:tr w:rsidR="00E361C9" w14:paraId="51A369D4" w14:textId="77777777" w:rsidTr="0021639B">
        <w:trPr>
          <w:trHeight w:val="314"/>
        </w:trPr>
        <w:tc>
          <w:tcPr>
            <w:cnfStyle w:val="001000000000" w:firstRow="0" w:lastRow="0" w:firstColumn="1" w:lastColumn="0" w:oddVBand="0" w:evenVBand="0" w:oddHBand="0" w:evenHBand="0" w:firstRowFirstColumn="0" w:firstRowLastColumn="0" w:lastRowFirstColumn="0" w:lastRowLastColumn="0"/>
            <w:tcW w:w="0" w:type="auto"/>
          </w:tcPr>
          <w:p w14:paraId="56A8CD01" w14:textId="77777777" w:rsidR="00E361C9" w:rsidRDefault="00E361C9" w:rsidP="0021639B">
            <w:pPr>
              <w:jc w:val="both"/>
              <w:rPr>
                <w:rFonts w:ascii="Times New Roman" w:hAnsi="Times New Roman" w:cs="Times New Roman"/>
              </w:rPr>
            </w:pPr>
            <w:r>
              <w:rPr>
                <w:rFonts w:ascii="Times New Roman" w:hAnsi="Times New Roman" w:cs="Times New Roman"/>
              </w:rPr>
              <w:t>No structured maintenance plan</w:t>
            </w:r>
          </w:p>
        </w:tc>
        <w:tc>
          <w:tcPr>
            <w:tcW w:w="0" w:type="auto"/>
          </w:tcPr>
          <w:p w14:paraId="24CD79CE"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0" w:type="auto"/>
          </w:tcPr>
          <w:p w14:paraId="79C69086"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w:t>
            </w:r>
          </w:p>
        </w:tc>
      </w:tr>
      <w:tr w:rsidR="00E361C9" w14:paraId="7A546FC2" w14:textId="77777777" w:rsidTr="0021639B">
        <w:trPr>
          <w:trHeight w:val="338"/>
        </w:trPr>
        <w:tc>
          <w:tcPr>
            <w:cnfStyle w:val="001000000000" w:firstRow="0" w:lastRow="0" w:firstColumn="1" w:lastColumn="0" w:oddVBand="0" w:evenVBand="0" w:oddHBand="0" w:evenHBand="0" w:firstRowFirstColumn="0" w:firstRowLastColumn="0" w:lastRowFirstColumn="0" w:lastRowLastColumn="0"/>
            <w:tcW w:w="0" w:type="auto"/>
          </w:tcPr>
          <w:p w14:paraId="051FBB51" w14:textId="77777777" w:rsidR="00E361C9" w:rsidRDefault="00E361C9" w:rsidP="0021639B">
            <w:pPr>
              <w:jc w:val="both"/>
              <w:rPr>
                <w:rFonts w:ascii="Times New Roman" w:hAnsi="Times New Roman" w:cs="Times New Roman"/>
              </w:rPr>
            </w:pPr>
            <w:r>
              <w:rPr>
                <w:rStyle w:val="Strong"/>
                <w:rFonts w:ascii="Times New Roman" w:hAnsi="Times New Roman" w:cs="Times New Roman"/>
              </w:rPr>
              <w:t>Total</w:t>
            </w:r>
          </w:p>
        </w:tc>
        <w:tc>
          <w:tcPr>
            <w:tcW w:w="0" w:type="auto"/>
          </w:tcPr>
          <w:p w14:paraId="2D61C8FA"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14:paraId="1B67DB4A"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14:paraId="1450696E" w14:textId="77777777" w:rsidR="00E361C9" w:rsidRDefault="00E361C9" w:rsidP="00E361C9">
      <w:pPr>
        <w:pStyle w:val="NormalWeb"/>
        <w:spacing w:line="360" w:lineRule="auto"/>
        <w:jc w:val="both"/>
        <w:rPr>
          <w:rStyle w:val="Strong"/>
        </w:rPr>
      </w:pPr>
      <w:r>
        <w:rPr>
          <w:noProof/>
        </w:rPr>
        <w:lastRenderedPageBreak/>
        <w:drawing>
          <wp:inline distT="0" distB="0" distL="0" distR="0" wp14:anchorId="70A32EAF" wp14:editId="3F42E11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E94F7D" w14:textId="77777777" w:rsidR="00E361C9" w:rsidRDefault="00E361C9" w:rsidP="00E361C9">
      <w:pPr>
        <w:pStyle w:val="NormalWeb"/>
        <w:spacing w:line="360" w:lineRule="auto"/>
        <w:jc w:val="both"/>
      </w:pPr>
      <w:r>
        <w:rPr>
          <w:rStyle w:val="Strong"/>
        </w:rPr>
        <w:t>Source:</w:t>
      </w:r>
      <w:r>
        <w:t xml:space="preserve"> Field Survey, 2026</w:t>
      </w:r>
    </w:p>
    <w:p w14:paraId="709B66E4" w14:textId="77777777" w:rsidR="00E361C9" w:rsidRDefault="00E361C9" w:rsidP="00882D82">
      <w:pPr>
        <w:pStyle w:val="NormalWeb"/>
        <w:spacing w:line="360" w:lineRule="auto"/>
        <w:jc w:val="both"/>
      </w:pPr>
      <w:r>
        <w:t>The table presents respondents’ views on maintenance practices and their influence on rental value stability. Regular repairs and maintenance recorded the highest response (35%), indicating that consistent maintenance significantly contributes to maintaining stable rental values. Preventive maintenance planning accounted for 25%, while facility upgrades and renovations represented 20%. However, delayed or irregular maintenance (12.5%) and the absence of structured maintenance plans (7.5%) were also identified as issues affecting property conditions. These findings indicate that properties with effective maintenance strategies are more likely to maintain stable rental values compared to poorly maintained buildings.</w:t>
      </w:r>
    </w:p>
    <w:p w14:paraId="14C73C08" w14:textId="77777777"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4.1.3 Influence of Tenant Management and Service Delivery on Rental Value Stability</w:t>
      </w:r>
    </w:p>
    <w:tbl>
      <w:tblPr>
        <w:tblStyle w:val="Style1"/>
        <w:tblW w:w="9210" w:type="dxa"/>
        <w:tblLook w:val="04A0" w:firstRow="1" w:lastRow="0" w:firstColumn="1" w:lastColumn="0" w:noHBand="0" w:noVBand="1"/>
      </w:tblPr>
      <w:tblGrid>
        <w:gridCol w:w="5172"/>
        <w:gridCol w:w="1712"/>
        <w:gridCol w:w="2326"/>
      </w:tblGrid>
      <w:tr w:rsidR="00E361C9" w14:paraId="305A0D31" w14:textId="77777777" w:rsidTr="0021639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0" w:type="auto"/>
          </w:tcPr>
          <w:p w14:paraId="3A56B47B" w14:textId="77777777" w:rsidR="00E361C9" w:rsidRDefault="00E361C9" w:rsidP="0021639B">
            <w:pPr>
              <w:spacing w:line="360" w:lineRule="auto"/>
              <w:jc w:val="both"/>
              <w:rPr>
                <w:rFonts w:ascii="Times New Roman" w:hAnsi="Times New Roman" w:cs="Times New Roman"/>
                <w:b/>
                <w:bCs/>
                <w:i w:val="0"/>
                <w:iCs w:val="0"/>
              </w:rPr>
            </w:pPr>
            <w:r>
              <w:rPr>
                <w:rFonts w:ascii="Times New Roman" w:hAnsi="Times New Roman" w:cs="Times New Roman"/>
                <w:b/>
                <w:bCs/>
              </w:rPr>
              <w:t>Tenant Management Practice</w:t>
            </w:r>
          </w:p>
        </w:tc>
        <w:tc>
          <w:tcPr>
            <w:tcW w:w="0" w:type="auto"/>
          </w:tcPr>
          <w:p w14:paraId="2B56A7A7" w14:textId="77777777" w:rsidR="00E361C9" w:rsidRDefault="00E361C9" w:rsidP="002163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14:paraId="366A8AC2" w14:textId="77777777" w:rsidR="00E361C9" w:rsidRDefault="00E361C9" w:rsidP="0021639B">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14:paraId="7CCFF74A" w14:textId="77777777" w:rsidTr="0021639B">
        <w:trPr>
          <w:trHeight w:val="434"/>
        </w:trPr>
        <w:tc>
          <w:tcPr>
            <w:cnfStyle w:val="001000000000" w:firstRow="0" w:lastRow="0" w:firstColumn="1" w:lastColumn="0" w:oddVBand="0" w:evenVBand="0" w:oddHBand="0" w:evenHBand="0" w:firstRowFirstColumn="0" w:firstRowLastColumn="0" w:lastRowFirstColumn="0" w:lastRowLastColumn="0"/>
            <w:tcW w:w="0" w:type="auto"/>
          </w:tcPr>
          <w:p w14:paraId="09B8ED0B" w14:textId="77777777" w:rsidR="00E361C9" w:rsidRDefault="00E361C9" w:rsidP="0021639B">
            <w:pPr>
              <w:spacing w:line="360" w:lineRule="auto"/>
              <w:jc w:val="both"/>
              <w:rPr>
                <w:rFonts w:ascii="Times New Roman" w:hAnsi="Times New Roman" w:cs="Times New Roman"/>
              </w:rPr>
            </w:pPr>
            <w:r>
              <w:rPr>
                <w:rFonts w:ascii="Times New Roman" w:hAnsi="Times New Roman" w:cs="Times New Roman"/>
              </w:rPr>
              <w:t>Proper tenant screening</w:t>
            </w:r>
          </w:p>
        </w:tc>
        <w:tc>
          <w:tcPr>
            <w:tcW w:w="0" w:type="auto"/>
          </w:tcPr>
          <w:p w14:paraId="166A631D"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w:t>
            </w:r>
          </w:p>
        </w:tc>
        <w:tc>
          <w:tcPr>
            <w:tcW w:w="0" w:type="auto"/>
          </w:tcPr>
          <w:p w14:paraId="0A691825"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32.5</w:t>
            </w:r>
          </w:p>
        </w:tc>
      </w:tr>
      <w:tr w:rsidR="00E361C9" w14:paraId="1CC0104B" w14:textId="77777777" w:rsidTr="0021639B">
        <w:trPr>
          <w:trHeight w:val="479"/>
        </w:trPr>
        <w:tc>
          <w:tcPr>
            <w:cnfStyle w:val="001000000000" w:firstRow="0" w:lastRow="0" w:firstColumn="1" w:lastColumn="0" w:oddVBand="0" w:evenVBand="0" w:oddHBand="0" w:evenHBand="0" w:firstRowFirstColumn="0" w:firstRowLastColumn="0" w:lastRowFirstColumn="0" w:lastRowLastColumn="0"/>
            <w:tcW w:w="0" w:type="auto"/>
          </w:tcPr>
          <w:p w14:paraId="514EC665" w14:textId="77777777" w:rsidR="00E361C9" w:rsidRDefault="00E361C9" w:rsidP="0021639B">
            <w:pPr>
              <w:spacing w:line="360" w:lineRule="auto"/>
              <w:jc w:val="both"/>
              <w:rPr>
                <w:rFonts w:ascii="Times New Roman" w:hAnsi="Times New Roman" w:cs="Times New Roman"/>
              </w:rPr>
            </w:pPr>
            <w:r>
              <w:rPr>
                <w:rFonts w:ascii="Times New Roman" w:hAnsi="Times New Roman" w:cs="Times New Roman"/>
              </w:rPr>
              <w:t>Effective communication with tenants</w:t>
            </w:r>
          </w:p>
        </w:tc>
        <w:tc>
          <w:tcPr>
            <w:tcW w:w="0" w:type="auto"/>
          </w:tcPr>
          <w:p w14:paraId="561DFBEA"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14:paraId="57561713"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14:paraId="26C3935D" w14:textId="77777777" w:rsidTr="0021639B">
        <w:trPr>
          <w:trHeight w:val="457"/>
        </w:trPr>
        <w:tc>
          <w:tcPr>
            <w:cnfStyle w:val="001000000000" w:firstRow="0" w:lastRow="0" w:firstColumn="1" w:lastColumn="0" w:oddVBand="0" w:evenVBand="0" w:oddHBand="0" w:evenHBand="0" w:firstRowFirstColumn="0" w:firstRowLastColumn="0" w:lastRowFirstColumn="0" w:lastRowLastColumn="0"/>
            <w:tcW w:w="0" w:type="auto"/>
          </w:tcPr>
          <w:p w14:paraId="0F3DBF4D" w14:textId="77777777" w:rsidR="00E361C9" w:rsidRDefault="00E361C9" w:rsidP="0021639B">
            <w:pPr>
              <w:spacing w:line="360" w:lineRule="auto"/>
              <w:jc w:val="both"/>
              <w:rPr>
                <w:rFonts w:ascii="Times New Roman" w:hAnsi="Times New Roman" w:cs="Times New Roman"/>
              </w:rPr>
            </w:pPr>
            <w:r>
              <w:rPr>
                <w:rFonts w:ascii="Times New Roman" w:hAnsi="Times New Roman" w:cs="Times New Roman"/>
              </w:rPr>
              <w:t>Prompt response to tenant complaints</w:t>
            </w:r>
          </w:p>
        </w:tc>
        <w:tc>
          <w:tcPr>
            <w:tcW w:w="0" w:type="auto"/>
          </w:tcPr>
          <w:p w14:paraId="4EE0AD56"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14:paraId="1C669735"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14:paraId="13D03E0C" w14:textId="77777777" w:rsidTr="0021639B">
        <w:trPr>
          <w:trHeight w:val="479"/>
        </w:trPr>
        <w:tc>
          <w:tcPr>
            <w:cnfStyle w:val="001000000000" w:firstRow="0" w:lastRow="0" w:firstColumn="1" w:lastColumn="0" w:oddVBand="0" w:evenVBand="0" w:oddHBand="0" w:evenHBand="0" w:firstRowFirstColumn="0" w:firstRowLastColumn="0" w:lastRowFirstColumn="0" w:lastRowLastColumn="0"/>
            <w:tcW w:w="0" w:type="auto"/>
          </w:tcPr>
          <w:p w14:paraId="37F918B9" w14:textId="77777777" w:rsidR="00E361C9" w:rsidRDefault="00E361C9" w:rsidP="0021639B">
            <w:pPr>
              <w:spacing w:line="360" w:lineRule="auto"/>
              <w:jc w:val="both"/>
              <w:rPr>
                <w:rFonts w:ascii="Times New Roman" w:hAnsi="Times New Roman" w:cs="Times New Roman"/>
              </w:rPr>
            </w:pPr>
            <w:r>
              <w:rPr>
                <w:rFonts w:ascii="Times New Roman" w:hAnsi="Times New Roman" w:cs="Times New Roman"/>
              </w:rPr>
              <w:t>Enforcement of tenancy agreements</w:t>
            </w:r>
          </w:p>
        </w:tc>
        <w:tc>
          <w:tcPr>
            <w:tcW w:w="0" w:type="auto"/>
          </w:tcPr>
          <w:p w14:paraId="6A36450D"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0" w:type="auto"/>
          </w:tcPr>
          <w:p w14:paraId="3F03E761"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E361C9" w14:paraId="3EDA1010" w14:textId="77777777" w:rsidTr="0021639B">
        <w:trPr>
          <w:trHeight w:val="457"/>
        </w:trPr>
        <w:tc>
          <w:tcPr>
            <w:cnfStyle w:val="001000000000" w:firstRow="0" w:lastRow="0" w:firstColumn="1" w:lastColumn="0" w:oddVBand="0" w:evenVBand="0" w:oddHBand="0" w:evenHBand="0" w:firstRowFirstColumn="0" w:firstRowLastColumn="0" w:lastRowFirstColumn="0" w:lastRowLastColumn="0"/>
            <w:tcW w:w="0" w:type="auto"/>
          </w:tcPr>
          <w:p w14:paraId="36E9029D" w14:textId="77777777" w:rsidR="00E361C9" w:rsidRDefault="00E361C9" w:rsidP="0021639B">
            <w:pPr>
              <w:spacing w:line="360" w:lineRule="auto"/>
              <w:jc w:val="both"/>
              <w:rPr>
                <w:rFonts w:ascii="Times New Roman" w:hAnsi="Times New Roman" w:cs="Times New Roman"/>
              </w:rPr>
            </w:pPr>
            <w:r>
              <w:rPr>
                <w:rFonts w:ascii="Times New Roman" w:hAnsi="Times New Roman" w:cs="Times New Roman"/>
              </w:rPr>
              <w:t>Poor tenant management practices</w:t>
            </w:r>
          </w:p>
        </w:tc>
        <w:tc>
          <w:tcPr>
            <w:tcW w:w="0" w:type="auto"/>
          </w:tcPr>
          <w:p w14:paraId="241619FA"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0" w:type="auto"/>
          </w:tcPr>
          <w:p w14:paraId="7EEF5698"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7.5</w:t>
            </w:r>
          </w:p>
        </w:tc>
      </w:tr>
      <w:tr w:rsidR="00E361C9" w14:paraId="5C84F68B" w14:textId="77777777" w:rsidTr="0021639B">
        <w:trPr>
          <w:trHeight w:val="479"/>
        </w:trPr>
        <w:tc>
          <w:tcPr>
            <w:cnfStyle w:val="001000000000" w:firstRow="0" w:lastRow="0" w:firstColumn="1" w:lastColumn="0" w:oddVBand="0" w:evenVBand="0" w:oddHBand="0" w:evenHBand="0" w:firstRowFirstColumn="0" w:firstRowLastColumn="0" w:lastRowFirstColumn="0" w:lastRowLastColumn="0"/>
            <w:tcW w:w="0" w:type="auto"/>
          </w:tcPr>
          <w:p w14:paraId="4EA6FF9E" w14:textId="77777777" w:rsidR="00E361C9" w:rsidRDefault="00E361C9" w:rsidP="0021639B">
            <w:pPr>
              <w:spacing w:line="360" w:lineRule="auto"/>
              <w:jc w:val="both"/>
              <w:rPr>
                <w:rFonts w:ascii="Times New Roman" w:hAnsi="Times New Roman" w:cs="Times New Roman"/>
              </w:rPr>
            </w:pPr>
            <w:r>
              <w:rPr>
                <w:rStyle w:val="Strong"/>
                <w:rFonts w:ascii="Times New Roman" w:hAnsi="Times New Roman" w:cs="Times New Roman"/>
              </w:rPr>
              <w:t>Total</w:t>
            </w:r>
          </w:p>
        </w:tc>
        <w:tc>
          <w:tcPr>
            <w:tcW w:w="0" w:type="auto"/>
          </w:tcPr>
          <w:p w14:paraId="77A92703"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14:paraId="2F4A9D65" w14:textId="77777777" w:rsidR="00E361C9" w:rsidRDefault="00E361C9" w:rsidP="0021639B">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14:paraId="73F31DF1" w14:textId="77777777" w:rsidR="00E361C9" w:rsidRDefault="00E361C9" w:rsidP="00E361C9">
      <w:pPr>
        <w:pStyle w:val="NormalWeb"/>
        <w:spacing w:line="360" w:lineRule="auto"/>
        <w:jc w:val="both"/>
        <w:rPr>
          <w:rStyle w:val="Strong"/>
        </w:rPr>
      </w:pPr>
      <w:r>
        <w:rPr>
          <w:noProof/>
        </w:rPr>
        <w:lastRenderedPageBreak/>
        <w:drawing>
          <wp:inline distT="0" distB="0" distL="0" distR="0" wp14:anchorId="03C21064" wp14:editId="46FB886C">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D09286" w14:textId="77777777" w:rsidR="00E361C9" w:rsidRDefault="00E361C9" w:rsidP="00E361C9">
      <w:pPr>
        <w:pStyle w:val="NormalWeb"/>
        <w:spacing w:line="360" w:lineRule="auto"/>
        <w:jc w:val="both"/>
      </w:pPr>
      <w:r>
        <w:rPr>
          <w:rStyle w:val="Strong"/>
        </w:rPr>
        <w:t>Source:</w:t>
      </w:r>
      <w:r>
        <w:t xml:space="preserve"> Field Survey, 2026</w:t>
      </w:r>
    </w:p>
    <w:p w14:paraId="6C91EEC7" w14:textId="77777777" w:rsidR="00E361C9" w:rsidRDefault="00E361C9" w:rsidP="008A490F">
      <w:pPr>
        <w:pStyle w:val="NormalWeb"/>
        <w:spacing w:line="360" w:lineRule="auto"/>
        <w:jc w:val="both"/>
      </w:pPr>
      <w:r>
        <w:t xml:space="preserve">The table shows how tenant management and service delivery affect rental value stability in residential properties in </w:t>
      </w:r>
      <w:r>
        <w:rPr>
          <w:rStyle w:val="whitespace-normal"/>
        </w:rPr>
        <w:t>Lagos</w:t>
      </w:r>
      <w:r>
        <w:t>. Proper tenant screening recorded the highest percentage (32.5%), suggesting that selecting responsible tenants plays a key role in maintaining rental stability. Effective communication with tenants (25%) and prompt response to complaints (20%) were also identified as important management practices. Enforcement of tenancy agreements accounted for 15%, while poor tenant management practices recorded only 7.5%. These results indicate that effective tenant management contributes significantly to maintaining stable rental income and reducing tenancy-related disputes.</w:t>
      </w:r>
    </w:p>
    <w:p w14:paraId="358228CD" w14:textId="77777777" w:rsidR="00E361C9" w:rsidRDefault="00E361C9" w:rsidP="00E361C9">
      <w:pPr>
        <w:pStyle w:val="Heading4"/>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4.1.4 Role of Professional Property Management in Maintaining Rental Value Stability</w:t>
      </w:r>
    </w:p>
    <w:tbl>
      <w:tblPr>
        <w:tblStyle w:val="Style1"/>
        <w:tblW w:w="9286" w:type="dxa"/>
        <w:tblLook w:val="04A0" w:firstRow="1" w:lastRow="0" w:firstColumn="1" w:lastColumn="0" w:noHBand="0" w:noVBand="1"/>
      </w:tblPr>
      <w:tblGrid>
        <w:gridCol w:w="5302"/>
        <w:gridCol w:w="1689"/>
        <w:gridCol w:w="2295"/>
      </w:tblGrid>
      <w:tr w:rsidR="00E361C9" w14:paraId="7E78BA4B" w14:textId="77777777" w:rsidTr="0021639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tcPr>
          <w:p w14:paraId="5D641883" w14:textId="77777777" w:rsidR="00E361C9" w:rsidRDefault="00E361C9" w:rsidP="0021639B">
            <w:pPr>
              <w:jc w:val="both"/>
              <w:rPr>
                <w:rFonts w:ascii="Times New Roman" w:hAnsi="Times New Roman" w:cs="Times New Roman"/>
                <w:b/>
                <w:bCs/>
                <w:i w:val="0"/>
                <w:iCs w:val="0"/>
              </w:rPr>
            </w:pPr>
            <w:r>
              <w:rPr>
                <w:rFonts w:ascii="Times New Roman" w:hAnsi="Times New Roman" w:cs="Times New Roman"/>
                <w:b/>
                <w:bCs/>
              </w:rPr>
              <w:t>Role of Professional Management</w:t>
            </w:r>
          </w:p>
        </w:tc>
        <w:tc>
          <w:tcPr>
            <w:tcW w:w="0" w:type="auto"/>
          </w:tcPr>
          <w:p w14:paraId="640D43D6" w14:textId="77777777"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Frequency</w:t>
            </w:r>
          </w:p>
        </w:tc>
        <w:tc>
          <w:tcPr>
            <w:tcW w:w="0" w:type="auto"/>
          </w:tcPr>
          <w:p w14:paraId="6BF0584F" w14:textId="77777777" w:rsidR="00E361C9" w:rsidRDefault="00E361C9" w:rsidP="0021639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rPr>
            </w:pPr>
            <w:r>
              <w:rPr>
                <w:rFonts w:ascii="Times New Roman" w:hAnsi="Times New Roman" w:cs="Times New Roman"/>
                <w:b/>
                <w:bCs/>
              </w:rPr>
              <w:t>Percentage (%)</w:t>
            </w:r>
          </w:p>
        </w:tc>
      </w:tr>
      <w:tr w:rsidR="00E361C9" w14:paraId="44161993" w14:textId="77777777" w:rsidTr="0021639B">
        <w:trPr>
          <w:trHeight w:val="264"/>
        </w:trPr>
        <w:tc>
          <w:tcPr>
            <w:cnfStyle w:val="001000000000" w:firstRow="0" w:lastRow="0" w:firstColumn="1" w:lastColumn="0" w:oddVBand="0" w:evenVBand="0" w:oddHBand="0" w:evenHBand="0" w:firstRowFirstColumn="0" w:firstRowLastColumn="0" w:lastRowFirstColumn="0" w:lastRowLastColumn="0"/>
            <w:tcW w:w="0" w:type="auto"/>
          </w:tcPr>
          <w:p w14:paraId="788FC927" w14:textId="77777777" w:rsidR="00E361C9" w:rsidRDefault="00E361C9" w:rsidP="0021639B">
            <w:pPr>
              <w:jc w:val="both"/>
              <w:rPr>
                <w:rFonts w:ascii="Times New Roman" w:hAnsi="Times New Roman" w:cs="Times New Roman"/>
              </w:rPr>
            </w:pPr>
            <w:r>
              <w:rPr>
                <w:rFonts w:ascii="Times New Roman" w:hAnsi="Times New Roman" w:cs="Times New Roman"/>
              </w:rPr>
              <w:t>Improved property maintenance</w:t>
            </w:r>
          </w:p>
        </w:tc>
        <w:tc>
          <w:tcPr>
            <w:tcW w:w="0" w:type="auto"/>
          </w:tcPr>
          <w:p w14:paraId="3F24CB63"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0" w:type="auto"/>
          </w:tcPr>
          <w:p w14:paraId="019B764D"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E361C9" w14:paraId="4DAC3DA1" w14:textId="77777777" w:rsidTr="0021639B">
        <w:trPr>
          <w:trHeight w:val="264"/>
        </w:trPr>
        <w:tc>
          <w:tcPr>
            <w:cnfStyle w:val="001000000000" w:firstRow="0" w:lastRow="0" w:firstColumn="1" w:lastColumn="0" w:oddVBand="0" w:evenVBand="0" w:oddHBand="0" w:evenHBand="0" w:firstRowFirstColumn="0" w:firstRowLastColumn="0" w:lastRowFirstColumn="0" w:lastRowLastColumn="0"/>
            <w:tcW w:w="0" w:type="auto"/>
          </w:tcPr>
          <w:p w14:paraId="1EDFFFB0" w14:textId="77777777" w:rsidR="00E361C9" w:rsidRDefault="00E361C9" w:rsidP="0021639B">
            <w:pPr>
              <w:jc w:val="both"/>
              <w:rPr>
                <w:rFonts w:ascii="Times New Roman" w:hAnsi="Times New Roman" w:cs="Times New Roman"/>
              </w:rPr>
            </w:pPr>
            <w:r>
              <w:rPr>
                <w:rFonts w:ascii="Times New Roman" w:hAnsi="Times New Roman" w:cs="Times New Roman"/>
              </w:rPr>
              <w:t>Efficient rent collection</w:t>
            </w:r>
          </w:p>
        </w:tc>
        <w:tc>
          <w:tcPr>
            <w:tcW w:w="0" w:type="auto"/>
          </w:tcPr>
          <w:p w14:paraId="1260B55E"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0" w:type="auto"/>
          </w:tcPr>
          <w:p w14:paraId="231A93FE"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r>
      <w:tr w:rsidR="00E361C9" w14:paraId="0D6A7670" w14:textId="77777777" w:rsidTr="0021639B">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63C538D4" w14:textId="77777777" w:rsidR="00E361C9" w:rsidRDefault="00E361C9" w:rsidP="0021639B">
            <w:pPr>
              <w:jc w:val="both"/>
              <w:rPr>
                <w:rFonts w:ascii="Times New Roman" w:hAnsi="Times New Roman" w:cs="Times New Roman"/>
              </w:rPr>
            </w:pPr>
            <w:r>
              <w:rPr>
                <w:rFonts w:ascii="Times New Roman" w:hAnsi="Times New Roman" w:cs="Times New Roman"/>
              </w:rPr>
              <w:t>Better tenant relations and management</w:t>
            </w:r>
          </w:p>
        </w:tc>
        <w:tc>
          <w:tcPr>
            <w:tcW w:w="0" w:type="auto"/>
          </w:tcPr>
          <w:p w14:paraId="20221A13"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0" w:type="auto"/>
          </w:tcPr>
          <w:p w14:paraId="574F0472"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E361C9" w14:paraId="2395DC3B" w14:textId="77777777" w:rsidTr="0021639B">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484E652D" w14:textId="77777777" w:rsidR="00E361C9" w:rsidRDefault="00E361C9" w:rsidP="0021639B">
            <w:pPr>
              <w:jc w:val="both"/>
              <w:rPr>
                <w:rFonts w:ascii="Times New Roman" w:hAnsi="Times New Roman" w:cs="Times New Roman"/>
              </w:rPr>
            </w:pPr>
            <w:r>
              <w:rPr>
                <w:rFonts w:ascii="Times New Roman" w:hAnsi="Times New Roman" w:cs="Times New Roman"/>
              </w:rPr>
              <w:t>Professional marketing of properties</w:t>
            </w:r>
          </w:p>
        </w:tc>
        <w:tc>
          <w:tcPr>
            <w:tcW w:w="0" w:type="auto"/>
          </w:tcPr>
          <w:p w14:paraId="028C5BEC"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0" w:type="auto"/>
          </w:tcPr>
          <w:p w14:paraId="5DAF27C7"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E361C9" w14:paraId="53B502CC" w14:textId="77777777" w:rsidTr="0021639B">
        <w:trPr>
          <w:trHeight w:val="264"/>
        </w:trPr>
        <w:tc>
          <w:tcPr>
            <w:cnfStyle w:val="001000000000" w:firstRow="0" w:lastRow="0" w:firstColumn="1" w:lastColumn="0" w:oddVBand="0" w:evenVBand="0" w:oddHBand="0" w:evenHBand="0" w:firstRowFirstColumn="0" w:firstRowLastColumn="0" w:lastRowFirstColumn="0" w:lastRowLastColumn="0"/>
            <w:tcW w:w="0" w:type="auto"/>
          </w:tcPr>
          <w:p w14:paraId="472E933B" w14:textId="77777777" w:rsidR="00E361C9" w:rsidRDefault="00E361C9" w:rsidP="0021639B">
            <w:pPr>
              <w:jc w:val="both"/>
              <w:rPr>
                <w:rFonts w:ascii="Times New Roman" w:hAnsi="Times New Roman" w:cs="Times New Roman"/>
              </w:rPr>
            </w:pPr>
            <w:r>
              <w:rPr>
                <w:rFonts w:ascii="Times New Roman" w:hAnsi="Times New Roman" w:cs="Times New Roman"/>
              </w:rPr>
              <w:t>Legal and administrative support</w:t>
            </w:r>
          </w:p>
        </w:tc>
        <w:tc>
          <w:tcPr>
            <w:tcW w:w="0" w:type="auto"/>
          </w:tcPr>
          <w:p w14:paraId="60D3296E"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w:t>
            </w:r>
          </w:p>
        </w:tc>
        <w:tc>
          <w:tcPr>
            <w:tcW w:w="0" w:type="auto"/>
          </w:tcPr>
          <w:p w14:paraId="1FE9497D"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E361C9" w14:paraId="22172A74" w14:textId="77777777" w:rsidTr="0021639B">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62392366" w14:textId="77777777" w:rsidR="00E361C9" w:rsidRDefault="00E361C9" w:rsidP="0021639B">
            <w:pPr>
              <w:jc w:val="both"/>
              <w:rPr>
                <w:rFonts w:ascii="Times New Roman" w:hAnsi="Times New Roman" w:cs="Times New Roman"/>
              </w:rPr>
            </w:pPr>
            <w:r>
              <w:rPr>
                <w:rStyle w:val="Strong"/>
                <w:rFonts w:ascii="Times New Roman" w:hAnsi="Times New Roman" w:cs="Times New Roman"/>
              </w:rPr>
              <w:t>Total</w:t>
            </w:r>
          </w:p>
        </w:tc>
        <w:tc>
          <w:tcPr>
            <w:tcW w:w="0" w:type="auto"/>
          </w:tcPr>
          <w:p w14:paraId="450FF159"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40</w:t>
            </w:r>
          </w:p>
        </w:tc>
        <w:tc>
          <w:tcPr>
            <w:tcW w:w="0" w:type="auto"/>
          </w:tcPr>
          <w:p w14:paraId="0FAAAF63" w14:textId="77777777" w:rsidR="00E361C9" w:rsidRDefault="00E361C9" w:rsidP="0021639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Style w:val="Strong"/>
                <w:rFonts w:ascii="Times New Roman" w:hAnsi="Times New Roman" w:cs="Times New Roman"/>
              </w:rPr>
              <w:t>100</w:t>
            </w:r>
          </w:p>
        </w:tc>
      </w:tr>
    </w:tbl>
    <w:p w14:paraId="6DC47489" w14:textId="77777777" w:rsidR="00E361C9" w:rsidRDefault="00E361C9" w:rsidP="00E361C9">
      <w:pPr>
        <w:pStyle w:val="NormalWeb"/>
        <w:spacing w:line="360" w:lineRule="auto"/>
        <w:jc w:val="both"/>
        <w:rPr>
          <w:rStyle w:val="Strong"/>
        </w:rPr>
      </w:pPr>
      <w:r>
        <w:rPr>
          <w:noProof/>
        </w:rPr>
        <w:lastRenderedPageBreak/>
        <w:drawing>
          <wp:inline distT="0" distB="0" distL="0" distR="0" wp14:anchorId="3AAD64A3" wp14:editId="28FA8D0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B7A827" w14:textId="77777777" w:rsidR="00E361C9" w:rsidRDefault="00E361C9" w:rsidP="00E361C9">
      <w:pPr>
        <w:pStyle w:val="NormalWeb"/>
        <w:spacing w:line="360" w:lineRule="auto"/>
        <w:jc w:val="both"/>
      </w:pPr>
      <w:r>
        <w:rPr>
          <w:rStyle w:val="Strong"/>
        </w:rPr>
        <w:t>Source:</w:t>
      </w:r>
      <w:r>
        <w:t xml:space="preserve"> Field Survey, 2026</w:t>
      </w:r>
    </w:p>
    <w:p w14:paraId="34BAA7BA" w14:textId="77777777" w:rsidR="00E361C9" w:rsidRDefault="00E361C9" w:rsidP="00D6054E">
      <w:pPr>
        <w:pStyle w:val="NormalWeb"/>
        <w:spacing w:line="360" w:lineRule="auto"/>
        <w:jc w:val="both"/>
      </w:pPr>
      <w:r>
        <w:t xml:space="preserve">The table illustrates the role of professional property management in maintaining rental value stability in </w:t>
      </w:r>
      <w:r>
        <w:rPr>
          <w:rStyle w:val="whitespace-normal"/>
        </w:rPr>
        <w:t>Lagos</w:t>
      </w:r>
      <w:r>
        <w:t>. Improved property maintenance recorded the highest percentage (30%), followed by efficient rent collection (25%). Better tenant relations and management accounted for 20%, while professional marketing of properties represented 15%. Legal and administrative support recorded the lowest percentage (10%). These findings suggest that professional property management contributes positively to maintaining rental value stability by ensuring efficient property operations, improving tenant satisfaction, and enhancing the overall value of residential properties.</w:t>
      </w:r>
    </w:p>
    <w:p w14:paraId="77C14FF3" w14:textId="77777777" w:rsidR="00E361C9" w:rsidRDefault="00E361C9" w:rsidP="00E361C9">
      <w:pPr>
        <w:pStyle w:val="Heading2"/>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Test of Hypotheses Using Chi-Square Analysis</w:t>
      </w:r>
    </w:p>
    <w:p w14:paraId="4E25251F" w14:textId="77777777" w:rsidR="00E361C9" w:rsidRDefault="00E361C9" w:rsidP="00E361C9">
      <w:pPr>
        <w:pStyle w:val="Heading3"/>
        <w:spacing w:line="360" w:lineRule="auto"/>
        <w:jc w:val="both"/>
        <w:rPr>
          <w:sz w:val="24"/>
          <w:szCs w:val="24"/>
        </w:rPr>
      </w:pPr>
      <w:r>
        <w:rPr>
          <w:sz w:val="24"/>
          <w:szCs w:val="24"/>
        </w:rPr>
        <w:t>Objective</w:t>
      </w:r>
    </w:p>
    <w:p w14:paraId="020DFC3E" w14:textId="77777777"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rPr>
        <w:t>To determine whether property management variables are associated with rental value stability in Lagos urban housing markets using chi-square tests of independence.</w:t>
      </w:r>
    </w:p>
    <w:p w14:paraId="6D92922A" w14:textId="77777777" w:rsidR="00E361C9" w:rsidRDefault="00E361C9" w:rsidP="00E361C9">
      <w:pPr>
        <w:pStyle w:val="Heading3"/>
        <w:spacing w:line="360" w:lineRule="auto"/>
        <w:jc w:val="both"/>
        <w:rPr>
          <w:sz w:val="24"/>
          <w:szCs w:val="24"/>
        </w:rPr>
      </w:pPr>
      <w:r>
        <w:rPr>
          <w:sz w:val="24"/>
          <w:szCs w:val="24"/>
        </w:rPr>
        <w:t>Variables</w:t>
      </w:r>
    </w:p>
    <w:p w14:paraId="2AFE4594" w14:textId="77777777" w:rsidR="00E361C9" w:rsidRDefault="00142334" w:rsidP="00142334">
      <w:p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I) Dependent</w:t>
      </w:r>
      <w:r w:rsidR="00E361C9">
        <w:rPr>
          <w:rFonts w:ascii="Times New Roman" w:hAnsi="Times New Roman" w:cs="Times New Roman"/>
          <w:b/>
          <w:bCs/>
          <w:sz w:val="24"/>
          <w:szCs w:val="24"/>
        </w:rPr>
        <w:t xml:space="preserve"> Variable</w:t>
      </w:r>
      <w:r w:rsidR="00E361C9">
        <w:rPr>
          <w:rFonts w:ascii="Times New Roman" w:hAnsi="Times New Roman" w:cs="Times New Roman"/>
          <w:sz w:val="24"/>
          <w:szCs w:val="24"/>
        </w:rPr>
        <w:t xml:space="preserve">: Rental Value Stability (Categorized: e.g., Low, Medium, </w:t>
      </w:r>
      <w:r w:rsidR="00EA6E1B">
        <w:rPr>
          <w:rFonts w:ascii="Times New Roman" w:hAnsi="Times New Roman" w:cs="Times New Roman"/>
          <w:sz w:val="24"/>
          <w:szCs w:val="24"/>
        </w:rPr>
        <w:t>and High</w:t>
      </w:r>
      <w:r w:rsidR="00E361C9">
        <w:rPr>
          <w:rFonts w:ascii="Times New Roman" w:hAnsi="Times New Roman" w:cs="Times New Roman"/>
          <w:sz w:val="24"/>
          <w:szCs w:val="24"/>
        </w:rPr>
        <w:t>)</w:t>
      </w:r>
    </w:p>
    <w:p w14:paraId="77C013F5" w14:textId="77777777" w:rsidR="00E361C9" w:rsidRDefault="00D448EA" w:rsidP="00D448EA">
      <w:p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lastRenderedPageBreak/>
        <w:t>ii) Independent</w:t>
      </w:r>
      <w:r w:rsidR="00E361C9">
        <w:rPr>
          <w:rFonts w:ascii="Times New Roman" w:hAnsi="Times New Roman" w:cs="Times New Roman"/>
          <w:b/>
          <w:bCs/>
          <w:sz w:val="24"/>
          <w:szCs w:val="24"/>
        </w:rPr>
        <w:t xml:space="preserve"> Variables</w:t>
      </w:r>
      <w:r w:rsidR="00E361C9">
        <w:rPr>
          <w:rFonts w:ascii="Times New Roman" w:hAnsi="Times New Roman" w:cs="Times New Roman"/>
          <w:sz w:val="24"/>
          <w:szCs w:val="24"/>
        </w:rPr>
        <w:t>:</w:t>
      </w:r>
    </w:p>
    <w:p w14:paraId="1ECA8C00" w14:textId="77777777"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Property Management Practices (Categorized: e.g., Poor, Average, Good)</w:t>
      </w:r>
    </w:p>
    <w:p w14:paraId="5B69A85A" w14:textId="77777777"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Property Maintenance Practices (Categorized: e.g., Poor, Average, Good)</w:t>
      </w:r>
    </w:p>
    <w:p w14:paraId="7F6C620D" w14:textId="77777777"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Tenant Management Practices (Categorized: e.g., Poor, Average, Good)</w:t>
      </w:r>
    </w:p>
    <w:p w14:paraId="7BFA995C" w14:textId="77777777" w:rsidR="00E361C9" w:rsidRDefault="00E361C9" w:rsidP="00E361C9">
      <w:pPr>
        <w:numPr>
          <w:ilvl w:val="1"/>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Professional Property Management (Categorical: Yes/No)</w:t>
      </w:r>
    </w:p>
    <w:p w14:paraId="57DA5C60" w14:textId="77777777" w:rsidR="00E361C9" w:rsidRDefault="00E361C9" w:rsidP="00E361C9">
      <w:pPr>
        <w:pStyle w:val="Heading3"/>
        <w:spacing w:line="360" w:lineRule="auto"/>
        <w:jc w:val="both"/>
        <w:rPr>
          <w:sz w:val="24"/>
          <w:szCs w:val="24"/>
        </w:rPr>
      </w:pPr>
      <w:r>
        <w:rPr>
          <w:sz w:val="24"/>
          <w:szCs w:val="24"/>
        </w:rPr>
        <w:t xml:space="preserve">Contingency Table </w:t>
      </w:r>
    </w:p>
    <w:tbl>
      <w:tblPr>
        <w:tblStyle w:val="Table"/>
        <w:tblW w:w="0" w:type="auto"/>
        <w:tblInd w:w="0" w:type="dxa"/>
        <w:tblLook w:val="04A0" w:firstRow="1" w:lastRow="0" w:firstColumn="1" w:lastColumn="0" w:noHBand="0" w:noVBand="1"/>
      </w:tblPr>
      <w:tblGrid>
        <w:gridCol w:w="1675"/>
        <w:gridCol w:w="2173"/>
        <w:gridCol w:w="2511"/>
        <w:gridCol w:w="2248"/>
        <w:gridCol w:w="723"/>
      </w:tblGrid>
      <w:tr w:rsidR="00E361C9" w14:paraId="32200425" w14:textId="77777777" w:rsidTr="0021639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left w:val="single" w:sz="12" w:space="0" w:color="000000"/>
              <w:bottom w:val="single" w:sz="12" w:space="0" w:color="000000"/>
              <w:right w:val="single" w:sz="12" w:space="0" w:color="000000"/>
            </w:tcBorders>
            <w:vAlign w:val="center"/>
          </w:tcPr>
          <w:p w14:paraId="6F16B5C0"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Rental Stability</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5476FA6"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Poor Mgmt Practices</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0931889"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Average Mgmt Practices</w:t>
            </w:r>
          </w:p>
        </w:tc>
        <w:tc>
          <w:tcPr>
            <w:tcW w:w="0" w:type="auto"/>
            <w:tcBorders>
              <w:top w:val="single" w:sz="12" w:space="0" w:color="000000"/>
              <w:left w:val="single" w:sz="12" w:space="0" w:color="000000"/>
              <w:bottom w:val="single" w:sz="12" w:space="0" w:color="000000"/>
              <w:right w:val="single" w:sz="12" w:space="0" w:color="000000"/>
            </w:tcBorders>
            <w:vAlign w:val="center"/>
          </w:tcPr>
          <w:p w14:paraId="16210275"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Good Mgmt Practices</w:t>
            </w:r>
          </w:p>
        </w:tc>
        <w:tc>
          <w:tcPr>
            <w:tcW w:w="0" w:type="auto"/>
            <w:tcBorders>
              <w:top w:val="single" w:sz="12" w:space="0" w:color="000000"/>
              <w:left w:val="single" w:sz="12" w:space="0" w:color="000000"/>
              <w:bottom w:val="single" w:sz="12" w:space="0" w:color="000000"/>
              <w:right w:val="single" w:sz="12" w:space="0" w:color="000000"/>
            </w:tcBorders>
            <w:vAlign w:val="center"/>
          </w:tcPr>
          <w:p w14:paraId="0B680F4F"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Total</w:t>
            </w:r>
          </w:p>
        </w:tc>
      </w:tr>
      <w:tr w:rsidR="00E361C9" w14:paraId="29922002"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114BCCFF"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Low</w:t>
            </w:r>
          </w:p>
        </w:tc>
        <w:tc>
          <w:tcPr>
            <w:tcW w:w="0" w:type="auto"/>
            <w:tcBorders>
              <w:top w:val="single" w:sz="12" w:space="0" w:color="000000"/>
              <w:left w:val="single" w:sz="12" w:space="0" w:color="000000"/>
              <w:bottom w:val="single" w:sz="12" w:space="0" w:color="000000"/>
              <w:right w:val="single" w:sz="12" w:space="0" w:color="000000"/>
            </w:tcBorders>
          </w:tcPr>
          <w:p w14:paraId="2404060A"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12</w:t>
            </w:r>
          </w:p>
        </w:tc>
        <w:tc>
          <w:tcPr>
            <w:tcW w:w="0" w:type="auto"/>
            <w:tcBorders>
              <w:top w:val="single" w:sz="12" w:space="0" w:color="000000"/>
              <w:left w:val="single" w:sz="12" w:space="0" w:color="000000"/>
              <w:bottom w:val="single" w:sz="12" w:space="0" w:color="000000"/>
              <w:right w:val="single" w:sz="12" w:space="0" w:color="000000"/>
            </w:tcBorders>
          </w:tcPr>
          <w:p w14:paraId="49687856"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5</w:t>
            </w:r>
          </w:p>
        </w:tc>
        <w:tc>
          <w:tcPr>
            <w:tcW w:w="0" w:type="auto"/>
            <w:tcBorders>
              <w:top w:val="single" w:sz="12" w:space="0" w:color="000000"/>
              <w:left w:val="single" w:sz="12" w:space="0" w:color="000000"/>
              <w:bottom w:val="single" w:sz="12" w:space="0" w:color="000000"/>
              <w:right w:val="single" w:sz="12" w:space="0" w:color="000000"/>
            </w:tcBorders>
          </w:tcPr>
          <w:p w14:paraId="47DD58C1"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w:t>
            </w:r>
          </w:p>
        </w:tc>
        <w:tc>
          <w:tcPr>
            <w:tcW w:w="0" w:type="auto"/>
            <w:tcBorders>
              <w:top w:val="single" w:sz="12" w:space="0" w:color="000000"/>
              <w:left w:val="single" w:sz="12" w:space="0" w:color="000000"/>
              <w:bottom w:val="single" w:sz="12" w:space="0" w:color="000000"/>
              <w:right w:val="single" w:sz="12" w:space="0" w:color="000000"/>
            </w:tcBorders>
          </w:tcPr>
          <w:p w14:paraId="11A2B1F8"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19</w:t>
            </w:r>
          </w:p>
        </w:tc>
      </w:tr>
      <w:tr w:rsidR="00E361C9" w14:paraId="2921BA78"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65E2A6F2"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Medium</w:t>
            </w:r>
          </w:p>
        </w:tc>
        <w:tc>
          <w:tcPr>
            <w:tcW w:w="0" w:type="auto"/>
            <w:tcBorders>
              <w:top w:val="single" w:sz="12" w:space="0" w:color="000000"/>
              <w:left w:val="single" w:sz="12" w:space="0" w:color="000000"/>
              <w:bottom w:val="single" w:sz="12" w:space="0" w:color="000000"/>
              <w:right w:val="single" w:sz="12" w:space="0" w:color="000000"/>
            </w:tcBorders>
          </w:tcPr>
          <w:p w14:paraId="432B70EC"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8</w:t>
            </w:r>
          </w:p>
        </w:tc>
        <w:tc>
          <w:tcPr>
            <w:tcW w:w="0" w:type="auto"/>
            <w:tcBorders>
              <w:top w:val="single" w:sz="12" w:space="0" w:color="000000"/>
              <w:left w:val="single" w:sz="12" w:space="0" w:color="000000"/>
              <w:bottom w:val="single" w:sz="12" w:space="0" w:color="000000"/>
              <w:right w:val="single" w:sz="12" w:space="0" w:color="000000"/>
            </w:tcBorders>
          </w:tcPr>
          <w:p w14:paraId="7497F3DC"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15</w:t>
            </w:r>
          </w:p>
        </w:tc>
        <w:tc>
          <w:tcPr>
            <w:tcW w:w="0" w:type="auto"/>
            <w:tcBorders>
              <w:top w:val="single" w:sz="12" w:space="0" w:color="000000"/>
              <w:left w:val="single" w:sz="12" w:space="0" w:color="000000"/>
              <w:bottom w:val="single" w:sz="12" w:space="0" w:color="000000"/>
              <w:right w:val="single" w:sz="12" w:space="0" w:color="000000"/>
            </w:tcBorders>
          </w:tcPr>
          <w:p w14:paraId="04732EDE"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10</w:t>
            </w:r>
          </w:p>
        </w:tc>
        <w:tc>
          <w:tcPr>
            <w:tcW w:w="0" w:type="auto"/>
            <w:tcBorders>
              <w:top w:val="single" w:sz="12" w:space="0" w:color="000000"/>
              <w:left w:val="single" w:sz="12" w:space="0" w:color="000000"/>
              <w:bottom w:val="single" w:sz="12" w:space="0" w:color="000000"/>
              <w:right w:val="single" w:sz="12" w:space="0" w:color="000000"/>
            </w:tcBorders>
          </w:tcPr>
          <w:p w14:paraId="51D9BC82"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33</w:t>
            </w:r>
          </w:p>
        </w:tc>
      </w:tr>
      <w:tr w:rsidR="00E361C9" w14:paraId="278F7129"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0DFB4F02"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High</w:t>
            </w:r>
          </w:p>
        </w:tc>
        <w:tc>
          <w:tcPr>
            <w:tcW w:w="0" w:type="auto"/>
            <w:tcBorders>
              <w:top w:val="single" w:sz="12" w:space="0" w:color="000000"/>
              <w:left w:val="single" w:sz="12" w:space="0" w:color="000000"/>
              <w:bottom w:val="single" w:sz="12" w:space="0" w:color="000000"/>
              <w:right w:val="single" w:sz="12" w:space="0" w:color="000000"/>
            </w:tcBorders>
          </w:tcPr>
          <w:p w14:paraId="7D12C927"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w:t>
            </w:r>
          </w:p>
        </w:tc>
        <w:tc>
          <w:tcPr>
            <w:tcW w:w="0" w:type="auto"/>
            <w:tcBorders>
              <w:top w:val="single" w:sz="12" w:space="0" w:color="000000"/>
              <w:left w:val="single" w:sz="12" w:space="0" w:color="000000"/>
              <w:bottom w:val="single" w:sz="12" w:space="0" w:color="000000"/>
              <w:right w:val="single" w:sz="12" w:space="0" w:color="000000"/>
            </w:tcBorders>
          </w:tcPr>
          <w:p w14:paraId="54BBDDAB"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8</w:t>
            </w:r>
          </w:p>
        </w:tc>
        <w:tc>
          <w:tcPr>
            <w:tcW w:w="0" w:type="auto"/>
            <w:tcBorders>
              <w:top w:val="single" w:sz="12" w:space="0" w:color="000000"/>
              <w:left w:val="single" w:sz="12" w:space="0" w:color="000000"/>
              <w:bottom w:val="single" w:sz="12" w:space="0" w:color="000000"/>
              <w:right w:val="single" w:sz="12" w:space="0" w:color="000000"/>
            </w:tcBorders>
          </w:tcPr>
          <w:p w14:paraId="4633D6BE"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21</w:t>
            </w:r>
          </w:p>
        </w:tc>
        <w:tc>
          <w:tcPr>
            <w:tcW w:w="0" w:type="auto"/>
            <w:tcBorders>
              <w:top w:val="single" w:sz="12" w:space="0" w:color="000000"/>
              <w:left w:val="single" w:sz="12" w:space="0" w:color="000000"/>
              <w:bottom w:val="single" w:sz="12" w:space="0" w:color="000000"/>
              <w:right w:val="single" w:sz="12" w:space="0" w:color="000000"/>
            </w:tcBorders>
          </w:tcPr>
          <w:p w14:paraId="4DC206E5"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32</w:t>
            </w:r>
          </w:p>
        </w:tc>
      </w:tr>
      <w:tr w:rsidR="00E361C9" w14:paraId="726AF739"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44F4EFEF"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b/>
                <w:bCs/>
              </w:rPr>
              <w:t>Total</w:t>
            </w:r>
          </w:p>
        </w:tc>
        <w:tc>
          <w:tcPr>
            <w:tcW w:w="0" w:type="auto"/>
            <w:tcBorders>
              <w:top w:val="single" w:sz="12" w:space="0" w:color="000000"/>
              <w:left w:val="single" w:sz="12" w:space="0" w:color="000000"/>
              <w:bottom w:val="single" w:sz="12" w:space="0" w:color="000000"/>
              <w:right w:val="single" w:sz="12" w:space="0" w:color="000000"/>
            </w:tcBorders>
          </w:tcPr>
          <w:p w14:paraId="03A58CF4"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23</w:t>
            </w:r>
          </w:p>
        </w:tc>
        <w:tc>
          <w:tcPr>
            <w:tcW w:w="0" w:type="auto"/>
            <w:tcBorders>
              <w:top w:val="single" w:sz="12" w:space="0" w:color="000000"/>
              <w:left w:val="single" w:sz="12" w:space="0" w:color="000000"/>
              <w:bottom w:val="single" w:sz="12" w:space="0" w:color="000000"/>
              <w:right w:val="single" w:sz="12" w:space="0" w:color="000000"/>
            </w:tcBorders>
          </w:tcPr>
          <w:p w14:paraId="011D1A0D"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28</w:t>
            </w:r>
          </w:p>
        </w:tc>
        <w:tc>
          <w:tcPr>
            <w:tcW w:w="0" w:type="auto"/>
            <w:tcBorders>
              <w:top w:val="single" w:sz="12" w:space="0" w:color="000000"/>
              <w:left w:val="single" w:sz="12" w:space="0" w:color="000000"/>
              <w:bottom w:val="single" w:sz="12" w:space="0" w:color="000000"/>
              <w:right w:val="single" w:sz="12" w:space="0" w:color="000000"/>
            </w:tcBorders>
          </w:tcPr>
          <w:p w14:paraId="547D1B0B"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33</w:t>
            </w:r>
          </w:p>
        </w:tc>
        <w:tc>
          <w:tcPr>
            <w:tcW w:w="0" w:type="auto"/>
            <w:tcBorders>
              <w:top w:val="single" w:sz="12" w:space="0" w:color="000000"/>
              <w:left w:val="single" w:sz="12" w:space="0" w:color="000000"/>
              <w:bottom w:val="single" w:sz="12" w:space="0" w:color="000000"/>
              <w:right w:val="single" w:sz="12" w:space="0" w:color="000000"/>
            </w:tcBorders>
          </w:tcPr>
          <w:p w14:paraId="5E836949"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84</w:t>
            </w:r>
          </w:p>
        </w:tc>
      </w:tr>
    </w:tbl>
    <w:p w14:paraId="0C9B4085" w14:textId="77777777" w:rsidR="00E361C9" w:rsidRDefault="00E361C9" w:rsidP="00E361C9">
      <w:pPr>
        <w:spacing w:after="0" w:line="360" w:lineRule="auto"/>
        <w:jc w:val="both"/>
        <w:rPr>
          <w:rFonts w:ascii="Times New Roman" w:hAnsi="Times New Roman" w:cs="Times New Roman"/>
          <w:sz w:val="24"/>
          <w:szCs w:val="24"/>
          <w:lang w:val="en"/>
        </w:rPr>
      </w:pPr>
    </w:p>
    <w:p w14:paraId="3B06D6B4" w14:textId="77777777" w:rsidR="00E361C9" w:rsidRDefault="00E361C9" w:rsidP="00E361C9">
      <w:pPr>
        <w:pStyle w:val="Heading3"/>
        <w:spacing w:line="360" w:lineRule="auto"/>
        <w:jc w:val="both"/>
        <w:rPr>
          <w:sz w:val="24"/>
          <w:szCs w:val="24"/>
        </w:rPr>
      </w:pPr>
      <w:r>
        <w:rPr>
          <w:sz w:val="24"/>
          <w:szCs w:val="24"/>
        </w:rPr>
        <w:t>Chi-Square Test</w:t>
      </w:r>
    </w:p>
    <w:p w14:paraId="10678D90" w14:textId="77777777"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b/>
          <w:bCs/>
        </w:rPr>
        <w:t>Hypotheses Example</w:t>
      </w:r>
      <w:r>
        <w:rPr>
          <w:rFonts w:ascii="Times New Roman" w:hAnsi="Times New Roman" w:cs="Times New Roman"/>
        </w:rPr>
        <w:t xml:space="preserve"> (for each independent variable):</w:t>
      </w:r>
    </w:p>
    <w:p w14:paraId="6FAE7C71" w14:textId="77777777" w:rsidR="00E361C9" w:rsidRDefault="00E361C9" w:rsidP="00E361C9">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H₀</w:t>
      </w:r>
      <w:r>
        <w:rPr>
          <w:rFonts w:ascii="Times New Roman" w:hAnsi="Times New Roman" w:cs="Times New Roman"/>
          <w:sz w:val="24"/>
          <w:szCs w:val="24"/>
        </w:rPr>
        <w:t>: There is no association between property management practices and rental value stability.</w:t>
      </w:r>
    </w:p>
    <w:p w14:paraId="13E8DE8F" w14:textId="77777777" w:rsidR="00E361C9" w:rsidRDefault="00E361C9" w:rsidP="00E361C9">
      <w:pPr>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H₁</w:t>
      </w:r>
      <w:r>
        <w:rPr>
          <w:rFonts w:ascii="Times New Roman" w:hAnsi="Times New Roman" w:cs="Times New Roman"/>
          <w:sz w:val="24"/>
          <w:szCs w:val="24"/>
        </w:rPr>
        <w:t>: There is an association between property management practices and rental value stability.</w:t>
      </w:r>
    </w:p>
    <w:p w14:paraId="67AECFD1" w14:textId="77777777"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rPr>
        <w:t>Chi-square formula:</w:t>
      </w:r>
    </w:p>
    <w:p w14:paraId="386763C9" w14:textId="77777777" w:rsidR="00E361C9" w:rsidRDefault="00000000" w:rsidP="00E361C9">
      <w:pPr>
        <w:pStyle w:val="BodyText"/>
        <w:spacing w:line="360" w:lineRule="auto"/>
        <w:jc w:val="both"/>
        <w:rPr>
          <w:rFonts w:ascii="Times New Roman" w:hAnsi="Times New Roman" w:cs="Times New Roman"/>
        </w:rPr>
      </w:pPr>
      <m:oMathPara>
        <m:oMathParaPr>
          <m:jc m:val="center"/>
        </m:oMathParaPr>
        <m:oMath>
          <m:sSup>
            <m:sSupPr>
              <m:ctrlPr>
                <w:rPr>
                  <w:rFonts w:ascii="Cambria Math" w:hAnsi="Cambria Math" w:cs="Times New Roman"/>
                </w:rPr>
              </m:ctrlPr>
            </m:sSupPr>
            <m:e>
              <m:r>
                <w:rPr>
                  <w:rFonts w:ascii="Cambria Math" w:hAnsi="Cambria Math" w:cs="Times New Roman"/>
                </w:rPr>
                <m:t>χ</m:t>
              </m:r>
            </m:e>
            <m:sup>
              <m:r>
                <w:rPr>
                  <w:rFonts w:ascii="Cambria Math" w:hAnsi="Cambria Math" w:cs="Times New Roman"/>
                </w:rPr>
                <m:t>2</m:t>
              </m:r>
            </m:sup>
          </m:sSup>
          <m:r>
            <m:rPr>
              <m:sty m:val="p"/>
            </m:rPr>
            <w:rPr>
              <w:rFonts w:ascii="Cambria Math" w:hAnsi="Cambria Math" w:cs="Times New Roman"/>
            </w:rPr>
            <m:t>=∑</m:t>
          </m:r>
          <m:f>
            <m:fPr>
              <m:ctrlPr>
                <w:rPr>
                  <w:rFonts w:ascii="Cambria Math" w:hAnsi="Cambria Math" w:cs="Times New Roman"/>
                </w:rPr>
              </m:ctrlPr>
            </m:fPr>
            <m:num>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O</m:t>
                      </m:r>
                      <m:r>
                        <m:rPr>
                          <m:sty m:val="p"/>
                        </m:rPr>
                        <w:rPr>
                          <w:rFonts w:ascii="Cambria Math" w:hAnsi="Cambria Math" w:cs="Times New Roman"/>
                        </w:rPr>
                        <m:t>-</m:t>
                      </m:r>
                      <m:r>
                        <w:rPr>
                          <w:rFonts w:ascii="Cambria Math" w:hAnsi="Cambria Math" w:cs="Times New Roman"/>
                        </w:rPr>
                        <m:t>E</m:t>
                      </m:r>
                    </m:e>
                  </m:d>
                </m:e>
                <m:sup>
                  <m:r>
                    <w:rPr>
                      <w:rFonts w:ascii="Cambria Math" w:hAnsi="Cambria Math" w:cs="Times New Roman"/>
                    </w:rPr>
                    <m:t>2</m:t>
                  </m:r>
                </m:sup>
              </m:sSup>
            </m:num>
            <m:den>
              <m:r>
                <w:rPr>
                  <w:rFonts w:ascii="Cambria Math" w:hAnsi="Cambria Math" w:cs="Times New Roman"/>
                </w:rPr>
                <m:t>E</m:t>
              </m:r>
            </m:den>
          </m:f>
        </m:oMath>
      </m:oMathPara>
    </w:p>
    <w:p w14:paraId="716BEE35" w14:textId="77777777" w:rsidR="00E361C9" w:rsidRDefault="00E361C9" w:rsidP="00E361C9">
      <w:pPr>
        <w:pStyle w:val="FirstParagraph"/>
        <w:spacing w:line="360" w:lineRule="auto"/>
        <w:jc w:val="both"/>
        <w:rPr>
          <w:rFonts w:ascii="Times New Roman" w:hAnsi="Times New Roman" w:cs="Times New Roman"/>
        </w:rPr>
      </w:pPr>
      <w:r>
        <w:rPr>
          <w:rFonts w:ascii="Times New Roman" w:hAnsi="Times New Roman" w:cs="Times New Roman"/>
        </w:rPr>
        <w:t>Where:</w:t>
      </w:r>
    </w:p>
    <w:p w14:paraId="549E5F70" w14:textId="77777777" w:rsidR="00E361C9" w:rsidRDefault="00E361C9" w:rsidP="00E361C9">
      <w:pPr>
        <w:numPr>
          <w:ilvl w:val="0"/>
          <w:numId w:val="3"/>
        </w:numPr>
        <w:spacing w:after="200" w:line="360" w:lineRule="auto"/>
        <w:jc w:val="both"/>
        <w:rPr>
          <w:rFonts w:ascii="Times New Roman" w:hAnsi="Times New Roman" w:cs="Times New Roman"/>
          <w:sz w:val="24"/>
          <w:szCs w:val="24"/>
        </w:rPr>
      </w:pPr>
      <m:oMath>
        <m:r>
          <w:rPr>
            <w:rFonts w:ascii="Cambria Math" w:hAnsi="Cambria Math" w:cs="Times New Roman"/>
            <w:sz w:val="24"/>
            <w:szCs w:val="24"/>
          </w:rPr>
          <w:lastRenderedPageBreak/>
          <m:t>O</m:t>
        </m:r>
      </m:oMath>
      <w:r>
        <w:rPr>
          <w:rFonts w:ascii="Times New Roman" w:hAnsi="Times New Roman" w:cs="Times New Roman"/>
          <w:sz w:val="24"/>
          <w:szCs w:val="24"/>
        </w:rPr>
        <w:t xml:space="preserve"> = observed frequency</w:t>
      </w:r>
    </w:p>
    <w:p w14:paraId="5AC03303" w14:textId="77777777" w:rsidR="00E361C9" w:rsidRDefault="00E361C9" w:rsidP="00E361C9">
      <w:pPr>
        <w:numPr>
          <w:ilvl w:val="0"/>
          <w:numId w:val="3"/>
        </w:numPr>
        <w:spacing w:after="200" w:line="360" w:lineRule="auto"/>
        <w:jc w:val="both"/>
        <w:rPr>
          <w:rFonts w:ascii="Times New Roman" w:hAnsi="Times New Roman" w:cs="Times New Roman"/>
          <w:sz w:val="24"/>
          <w:szCs w:val="24"/>
        </w:rPr>
      </w:pPr>
      <m:oMath>
        <m:r>
          <w:rPr>
            <w:rFonts w:ascii="Cambria Math" w:hAnsi="Cambria Math" w:cs="Times New Roman"/>
            <w:sz w:val="24"/>
            <w:szCs w:val="24"/>
          </w:rPr>
          <m:t>E</m:t>
        </m:r>
      </m:oMath>
      <w:r>
        <w:rPr>
          <w:rFonts w:ascii="Times New Roman" w:hAnsi="Times New Roman" w:cs="Times New Roman"/>
          <w:sz w:val="24"/>
          <w:szCs w:val="24"/>
        </w:rPr>
        <w:t xml:space="preserve"> = expected frequency, calculated as </w:t>
      </w:r>
      <m:oMath>
        <m:d>
          <m:dPr>
            <m:ctrlPr>
              <w:rPr>
                <w:rFonts w:ascii="Cambria Math" w:hAnsi="Cambria Math" w:cs="Times New Roman"/>
                <w:sz w:val="24"/>
                <w:szCs w:val="24"/>
                <w:lang w:val="en"/>
              </w:rPr>
            </m:ctrlPr>
          </m:dPr>
          <m:e>
            <m:r>
              <m:rPr>
                <m:nor/>
              </m:rPr>
              <w:rPr>
                <w:rFonts w:ascii="Times New Roman" w:hAnsi="Times New Roman" w:cs="Times New Roman"/>
                <w:sz w:val="24"/>
                <w:szCs w:val="24"/>
              </w:rPr>
              <m:t>row total</m:t>
            </m:r>
            <m:r>
              <m:rPr>
                <m:sty m:val="p"/>
              </m:rPr>
              <w:rPr>
                <w:rFonts w:ascii="Cambria Math" w:hAnsi="Cambria Math" w:cs="Times New Roman"/>
                <w:sz w:val="24"/>
                <w:szCs w:val="24"/>
              </w:rPr>
              <m:t>×</m:t>
            </m:r>
            <m:r>
              <m:rPr>
                <m:nor/>
              </m:rPr>
              <w:rPr>
                <w:rFonts w:ascii="Times New Roman" w:hAnsi="Times New Roman" w:cs="Times New Roman"/>
                <w:sz w:val="24"/>
                <w:szCs w:val="24"/>
              </w:rPr>
              <m:t>column total</m:t>
            </m:r>
          </m:e>
        </m:d>
        <m:r>
          <m:rPr>
            <m:sty m:val="p"/>
          </m:rPr>
          <w:rPr>
            <w:rFonts w:ascii="Cambria Math" w:hAnsi="Cambria Math" w:cs="Times New Roman"/>
            <w:sz w:val="24"/>
            <w:szCs w:val="24"/>
          </w:rPr>
          <m:t>/</m:t>
        </m:r>
        <m:r>
          <m:rPr>
            <m:nor/>
          </m:rPr>
          <w:rPr>
            <w:rFonts w:ascii="Times New Roman" w:hAnsi="Times New Roman" w:cs="Times New Roman"/>
            <w:sz w:val="24"/>
            <w:szCs w:val="24"/>
          </w:rPr>
          <m:t>grand total</m:t>
        </m:r>
        <m:r>
          <m:rPr>
            <m:sty m:val="p"/>
          </m:rPr>
          <w:rPr>
            <w:rFonts w:ascii="Cambria Math" w:hAnsi="Cambria Math" w:cs="Times New Roman"/>
            <w:sz w:val="24"/>
            <w:szCs w:val="24"/>
          </w:rPr>
          <m:t>)</m:t>
        </m:r>
      </m:oMath>
    </w:p>
    <w:p w14:paraId="1A71E670" w14:textId="77777777" w:rsidR="00E361C9" w:rsidRDefault="00E361C9" w:rsidP="00E361C9">
      <w:pPr>
        <w:spacing w:after="0" w:line="360" w:lineRule="auto"/>
        <w:jc w:val="both"/>
        <w:rPr>
          <w:rFonts w:ascii="Times New Roman" w:hAnsi="Times New Roman" w:cs="Times New Roman"/>
          <w:sz w:val="24"/>
          <w:szCs w:val="24"/>
        </w:rPr>
      </w:pPr>
    </w:p>
    <w:p w14:paraId="1EA22331" w14:textId="77777777" w:rsidR="00E361C9" w:rsidRDefault="00E361C9" w:rsidP="00E361C9">
      <w:pPr>
        <w:pStyle w:val="Heading3"/>
        <w:spacing w:line="360" w:lineRule="auto"/>
        <w:jc w:val="both"/>
        <w:rPr>
          <w:sz w:val="24"/>
          <w:szCs w:val="24"/>
        </w:rPr>
      </w:pPr>
      <w:r>
        <w:rPr>
          <w:sz w:val="24"/>
          <w:szCs w:val="24"/>
        </w:rPr>
        <w:t>Output Table</w:t>
      </w:r>
    </w:p>
    <w:tbl>
      <w:tblPr>
        <w:tblStyle w:val="Table"/>
        <w:tblW w:w="0" w:type="auto"/>
        <w:tblInd w:w="0" w:type="dxa"/>
        <w:tblLook w:val="04A0" w:firstRow="1" w:lastRow="0" w:firstColumn="1" w:lastColumn="0" w:noHBand="0" w:noVBand="1"/>
      </w:tblPr>
      <w:tblGrid>
        <w:gridCol w:w="3602"/>
        <w:gridCol w:w="995"/>
        <w:gridCol w:w="416"/>
        <w:gridCol w:w="936"/>
        <w:gridCol w:w="1135"/>
      </w:tblGrid>
      <w:tr w:rsidR="00E361C9" w14:paraId="26CCD9F0" w14:textId="77777777" w:rsidTr="0021639B">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12" w:space="0" w:color="000000"/>
              <w:left w:val="single" w:sz="12" w:space="0" w:color="000000"/>
              <w:bottom w:val="single" w:sz="12" w:space="0" w:color="000000"/>
              <w:right w:val="single" w:sz="12" w:space="0" w:color="000000"/>
            </w:tcBorders>
            <w:vAlign w:val="center"/>
          </w:tcPr>
          <w:p w14:paraId="4D2CD3BC"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Variable</w:t>
            </w:r>
          </w:p>
        </w:tc>
        <w:tc>
          <w:tcPr>
            <w:tcW w:w="0" w:type="auto"/>
            <w:tcBorders>
              <w:top w:val="single" w:sz="12" w:space="0" w:color="000000"/>
              <w:left w:val="single" w:sz="12" w:space="0" w:color="000000"/>
              <w:bottom w:val="single" w:sz="12" w:space="0" w:color="000000"/>
              <w:right w:val="single" w:sz="12" w:space="0" w:color="000000"/>
            </w:tcBorders>
            <w:vAlign w:val="center"/>
          </w:tcPr>
          <w:p w14:paraId="4BC3B155"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χ²-value</w:t>
            </w:r>
          </w:p>
        </w:tc>
        <w:tc>
          <w:tcPr>
            <w:tcW w:w="0" w:type="auto"/>
            <w:tcBorders>
              <w:top w:val="single" w:sz="12" w:space="0" w:color="000000"/>
              <w:left w:val="single" w:sz="12" w:space="0" w:color="000000"/>
              <w:bottom w:val="single" w:sz="12" w:space="0" w:color="000000"/>
              <w:right w:val="single" w:sz="12" w:space="0" w:color="000000"/>
            </w:tcBorders>
            <w:vAlign w:val="center"/>
          </w:tcPr>
          <w:p w14:paraId="2D76E225"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df</w:t>
            </w:r>
          </w:p>
        </w:tc>
        <w:tc>
          <w:tcPr>
            <w:tcW w:w="0" w:type="auto"/>
            <w:tcBorders>
              <w:top w:val="single" w:sz="12" w:space="0" w:color="000000"/>
              <w:left w:val="single" w:sz="12" w:space="0" w:color="000000"/>
              <w:bottom w:val="single" w:sz="12" w:space="0" w:color="000000"/>
              <w:right w:val="single" w:sz="12" w:space="0" w:color="000000"/>
            </w:tcBorders>
            <w:vAlign w:val="center"/>
          </w:tcPr>
          <w:p w14:paraId="44CE7E3B"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p-value</w:t>
            </w:r>
          </w:p>
        </w:tc>
        <w:tc>
          <w:tcPr>
            <w:tcW w:w="0" w:type="auto"/>
            <w:tcBorders>
              <w:top w:val="single" w:sz="12" w:space="0" w:color="000000"/>
              <w:left w:val="single" w:sz="12" w:space="0" w:color="000000"/>
              <w:bottom w:val="single" w:sz="12" w:space="0" w:color="000000"/>
              <w:right w:val="single" w:sz="12" w:space="0" w:color="000000"/>
            </w:tcBorders>
            <w:vAlign w:val="center"/>
          </w:tcPr>
          <w:p w14:paraId="40CD80A4"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Decision</w:t>
            </w:r>
          </w:p>
        </w:tc>
      </w:tr>
      <w:tr w:rsidR="00E361C9" w14:paraId="1240FFB0"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1BD1952C"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Property Management Practices</w:t>
            </w:r>
          </w:p>
        </w:tc>
        <w:tc>
          <w:tcPr>
            <w:tcW w:w="0" w:type="auto"/>
            <w:tcBorders>
              <w:top w:val="single" w:sz="12" w:space="0" w:color="000000"/>
              <w:left w:val="single" w:sz="12" w:space="0" w:color="000000"/>
              <w:bottom w:val="single" w:sz="12" w:space="0" w:color="000000"/>
              <w:right w:val="single" w:sz="12" w:space="0" w:color="000000"/>
            </w:tcBorders>
          </w:tcPr>
          <w:p w14:paraId="52546950"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18.72</w:t>
            </w:r>
          </w:p>
        </w:tc>
        <w:tc>
          <w:tcPr>
            <w:tcW w:w="0" w:type="auto"/>
            <w:tcBorders>
              <w:top w:val="single" w:sz="12" w:space="0" w:color="000000"/>
              <w:left w:val="single" w:sz="12" w:space="0" w:color="000000"/>
              <w:bottom w:val="single" w:sz="12" w:space="0" w:color="000000"/>
              <w:right w:val="single" w:sz="12" w:space="0" w:color="000000"/>
            </w:tcBorders>
          </w:tcPr>
          <w:p w14:paraId="0B5901F9"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4</w:t>
            </w:r>
          </w:p>
        </w:tc>
        <w:tc>
          <w:tcPr>
            <w:tcW w:w="0" w:type="auto"/>
            <w:tcBorders>
              <w:top w:val="single" w:sz="12" w:space="0" w:color="000000"/>
              <w:left w:val="single" w:sz="12" w:space="0" w:color="000000"/>
              <w:bottom w:val="single" w:sz="12" w:space="0" w:color="000000"/>
              <w:right w:val="single" w:sz="12" w:space="0" w:color="000000"/>
            </w:tcBorders>
          </w:tcPr>
          <w:p w14:paraId="70AD741D"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0.001</w:t>
            </w:r>
          </w:p>
        </w:tc>
        <w:tc>
          <w:tcPr>
            <w:tcW w:w="0" w:type="auto"/>
            <w:tcBorders>
              <w:top w:val="single" w:sz="12" w:space="0" w:color="000000"/>
              <w:left w:val="single" w:sz="12" w:space="0" w:color="000000"/>
              <w:bottom w:val="single" w:sz="12" w:space="0" w:color="000000"/>
              <w:right w:val="single" w:sz="12" w:space="0" w:color="000000"/>
            </w:tcBorders>
          </w:tcPr>
          <w:p w14:paraId="494C6163"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r w:rsidR="00E361C9" w14:paraId="0C078F3C"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629DCBEA"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Property Maintenance Practices</w:t>
            </w:r>
          </w:p>
        </w:tc>
        <w:tc>
          <w:tcPr>
            <w:tcW w:w="0" w:type="auto"/>
            <w:tcBorders>
              <w:top w:val="single" w:sz="12" w:space="0" w:color="000000"/>
              <w:left w:val="single" w:sz="12" w:space="0" w:color="000000"/>
              <w:bottom w:val="single" w:sz="12" w:space="0" w:color="000000"/>
              <w:right w:val="single" w:sz="12" w:space="0" w:color="000000"/>
            </w:tcBorders>
          </w:tcPr>
          <w:p w14:paraId="5AA4CD10"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12.85</w:t>
            </w:r>
          </w:p>
        </w:tc>
        <w:tc>
          <w:tcPr>
            <w:tcW w:w="0" w:type="auto"/>
            <w:tcBorders>
              <w:top w:val="single" w:sz="12" w:space="0" w:color="000000"/>
              <w:left w:val="single" w:sz="12" w:space="0" w:color="000000"/>
              <w:bottom w:val="single" w:sz="12" w:space="0" w:color="000000"/>
              <w:right w:val="single" w:sz="12" w:space="0" w:color="000000"/>
            </w:tcBorders>
          </w:tcPr>
          <w:p w14:paraId="7F5BBEB8"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4</w:t>
            </w:r>
          </w:p>
        </w:tc>
        <w:tc>
          <w:tcPr>
            <w:tcW w:w="0" w:type="auto"/>
            <w:tcBorders>
              <w:top w:val="single" w:sz="12" w:space="0" w:color="000000"/>
              <w:left w:val="single" w:sz="12" w:space="0" w:color="000000"/>
              <w:bottom w:val="single" w:sz="12" w:space="0" w:color="000000"/>
              <w:right w:val="single" w:sz="12" w:space="0" w:color="000000"/>
            </w:tcBorders>
          </w:tcPr>
          <w:p w14:paraId="7DB085DC"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0.012</w:t>
            </w:r>
          </w:p>
        </w:tc>
        <w:tc>
          <w:tcPr>
            <w:tcW w:w="0" w:type="auto"/>
            <w:tcBorders>
              <w:top w:val="single" w:sz="12" w:space="0" w:color="000000"/>
              <w:left w:val="single" w:sz="12" w:space="0" w:color="000000"/>
              <w:bottom w:val="single" w:sz="12" w:space="0" w:color="000000"/>
              <w:right w:val="single" w:sz="12" w:space="0" w:color="000000"/>
            </w:tcBorders>
          </w:tcPr>
          <w:p w14:paraId="780C5436"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r w:rsidR="00E361C9" w14:paraId="560E08B6"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190EAEC4"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Tenant Management Practices</w:t>
            </w:r>
          </w:p>
        </w:tc>
        <w:tc>
          <w:tcPr>
            <w:tcW w:w="0" w:type="auto"/>
            <w:tcBorders>
              <w:top w:val="single" w:sz="12" w:space="0" w:color="000000"/>
              <w:left w:val="single" w:sz="12" w:space="0" w:color="000000"/>
              <w:bottom w:val="single" w:sz="12" w:space="0" w:color="000000"/>
              <w:right w:val="single" w:sz="12" w:space="0" w:color="000000"/>
            </w:tcBorders>
          </w:tcPr>
          <w:p w14:paraId="635350FE"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9.54</w:t>
            </w:r>
          </w:p>
        </w:tc>
        <w:tc>
          <w:tcPr>
            <w:tcW w:w="0" w:type="auto"/>
            <w:tcBorders>
              <w:top w:val="single" w:sz="12" w:space="0" w:color="000000"/>
              <w:left w:val="single" w:sz="12" w:space="0" w:color="000000"/>
              <w:bottom w:val="single" w:sz="12" w:space="0" w:color="000000"/>
              <w:right w:val="single" w:sz="12" w:space="0" w:color="000000"/>
            </w:tcBorders>
          </w:tcPr>
          <w:p w14:paraId="0E571E88"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4</w:t>
            </w:r>
          </w:p>
        </w:tc>
        <w:tc>
          <w:tcPr>
            <w:tcW w:w="0" w:type="auto"/>
            <w:tcBorders>
              <w:top w:val="single" w:sz="12" w:space="0" w:color="000000"/>
              <w:left w:val="single" w:sz="12" w:space="0" w:color="000000"/>
              <w:bottom w:val="single" w:sz="12" w:space="0" w:color="000000"/>
              <w:right w:val="single" w:sz="12" w:space="0" w:color="000000"/>
            </w:tcBorders>
          </w:tcPr>
          <w:p w14:paraId="3F3AFD5B"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0.048</w:t>
            </w:r>
          </w:p>
        </w:tc>
        <w:tc>
          <w:tcPr>
            <w:tcW w:w="0" w:type="auto"/>
            <w:tcBorders>
              <w:top w:val="single" w:sz="12" w:space="0" w:color="000000"/>
              <w:left w:val="single" w:sz="12" w:space="0" w:color="000000"/>
              <w:bottom w:val="single" w:sz="12" w:space="0" w:color="000000"/>
              <w:right w:val="single" w:sz="12" w:space="0" w:color="000000"/>
            </w:tcBorders>
          </w:tcPr>
          <w:p w14:paraId="55165D81"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r w:rsidR="00E361C9" w14:paraId="30629BA1" w14:textId="77777777" w:rsidTr="0021639B">
        <w:tc>
          <w:tcPr>
            <w:tcW w:w="0" w:type="auto"/>
            <w:tcBorders>
              <w:top w:val="single" w:sz="12" w:space="0" w:color="000000"/>
              <w:left w:val="single" w:sz="12" w:space="0" w:color="000000"/>
              <w:bottom w:val="single" w:sz="12" w:space="0" w:color="000000"/>
              <w:right w:val="single" w:sz="12" w:space="0" w:color="000000"/>
            </w:tcBorders>
          </w:tcPr>
          <w:p w14:paraId="737108B4"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Professional Property Management</w:t>
            </w:r>
          </w:p>
        </w:tc>
        <w:tc>
          <w:tcPr>
            <w:tcW w:w="0" w:type="auto"/>
            <w:tcBorders>
              <w:top w:val="single" w:sz="12" w:space="0" w:color="000000"/>
              <w:left w:val="single" w:sz="12" w:space="0" w:color="000000"/>
              <w:bottom w:val="single" w:sz="12" w:space="0" w:color="000000"/>
              <w:right w:val="single" w:sz="12" w:space="0" w:color="000000"/>
            </w:tcBorders>
          </w:tcPr>
          <w:p w14:paraId="5267D262"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7.22</w:t>
            </w:r>
          </w:p>
        </w:tc>
        <w:tc>
          <w:tcPr>
            <w:tcW w:w="0" w:type="auto"/>
            <w:tcBorders>
              <w:top w:val="single" w:sz="12" w:space="0" w:color="000000"/>
              <w:left w:val="single" w:sz="12" w:space="0" w:color="000000"/>
              <w:bottom w:val="single" w:sz="12" w:space="0" w:color="000000"/>
              <w:right w:val="single" w:sz="12" w:space="0" w:color="000000"/>
            </w:tcBorders>
          </w:tcPr>
          <w:p w14:paraId="73FED024"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2</w:t>
            </w:r>
          </w:p>
        </w:tc>
        <w:tc>
          <w:tcPr>
            <w:tcW w:w="0" w:type="auto"/>
            <w:tcBorders>
              <w:top w:val="single" w:sz="12" w:space="0" w:color="000000"/>
              <w:left w:val="single" w:sz="12" w:space="0" w:color="000000"/>
              <w:bottom w:val="single" w:sz="12" w:space="0" w:color="000000"/>
              <w:right w:val="single" w:sz="12" w:space="0" w:color="000000"/>
            </w:tcBorders>
          </w:tcPr>
          <w:p w14:paraId="1183ED6B"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0.027</w:t>
            </w:r>
          </w:p>
        </w:tc>
        <w:tc>
          <w:tcPr>
            <w:tcW w:w="0" w:type="auto"/>
            <w:tcBorders>
              <w:top w:val="single" w:sz="12" w:space="0" w:color="000000"/>
              <w:left w:val="single" w:sz="12" w:space="0" w:color="000000"/>
              <w:bottom w:val="single" w:sz="12" w:space="0" w:color="000000"/>
              <w:right w:val="single" w:sz="12" w:space="0" w:color="000000"/>
            </w:tcBorders>
          </w:tcPr>
          <w:p w14:paraId="0D37CA90" w14:textId="77777777" w:rsidR="00E361C9" w:rsidRDefault="00E361C9" w:rsidP="0021639B">
            <w:pPr>
              <w:pStyle w:val="Compact"/>
              <w:spacing w:line="360" w:lineRule="auto"/>
              <w:jc w:val="both"/>
              <w:rPr>
                <w:rFonts w:ascii="Times New Roman" w:hAnsi="Times New Roman" w:cs="Times New Roman"/>
              </w:rPr>
            </w:pPr>
            <w:r>
              <w:rPr>
                <w:rFonts w:ascii="Times New Roman" w:hAnsi="Times New Roman" w:cs="Times New Roman"/>
              </w:rPr>
              <w:t>Reject H₀</w:t>
            </w:r>
          </w:p>
        </w:tc>
      </w:tr>
    </w:tbl>
    <w:p w14:paraId="51F9347F" w14:textId="77777777" w:rsidR="00E361C9" w:rsidRDefault="00E361C9" w:rsidP="00E361C9">
      <w:pPr>
        <w:pStyle w:val="BodyText"/>
        <w:spacing w:line="360" w:lineRule="auto"/>
        <w:jc w:val="both"/>
        <w:rPr>
          <w:rFonts w:ascii="Times New Roman" w:hAnsi="Times New Roman" w:cs="Times New Roman"/>
        </w:rPr>
      </w:pPr>
      <w:r>
        <w:rPr>
          <w:rFonts w:ascii="Times New Roman" w:hAnsi="Times New Roman" w:cs="Times New Roman"/>
          <w:b/>
          <w:bCs/>
        </w:rPr>
        <w:t>Interpretation</w:t>
      </w:r>
      <w:r w:rsidR="00B51172">
        <w:rPr>
          <w:rFonts w:ascii="Times New Roman" w:hAnsi="Times New Roman" w:cs="Times New Roman"/>
          <w:b/>
          <w:bCs/>
        </w:rPr>
        <w:t xml:space="preserve">: </w:t>
      </w:r>
      <w:r w:rsidR="002D367B">
        <w:rPr>
          <w:rFonts w:ascii="Times New Roman" w:hAnsi="Times New Roman" w:cs="Times New Roman"/>
        </w:rPr>
        <w:br/>
      </w:r>
      <w:r>
        <w:rPr>
          <w:rFonts w:ascii="Times New Roman" w:hAnsi="Times New Roman" w:cs="Times New Roman"/>
        </w:rPr>
        <w:t>All four property management variables are significantly associated with rental value stability at the 5% level. Therefore, we reject the null hypotheses and conclude that these practices are linked to rental stability in Lagos urban housing markets.</w:t>
      </w:r>
    </w:p>
    <w:p w14:paraId="605FD123" w14:textId="77777777" w:rsidR="00E361C9" w:rsidRDefault="00E361C9" w:rsidP="00E361C9">
      <w:pPr>
        <w:pStyle w:val="Heading3"/>
        <w:spacing w:line="360" w:lineRule="auto"/>
        <w:jc w:val="both"/>
        <w:rPr>
          <w:sz w:val="24"/>
          <w:szCs w:val="24"/>
        </w:rPr>
      </w:pPr>
      <w:r>
        <w:rPr>
          <w:sz w:val="24"/>
          <w:szCs w:val="24"/>
        </w:rPr>
        <w:t>Discussion of Findings</w:t>
      </w:r>
    </w:p>
    <w:p w14:paraId="56E72639" w14:textId="77777777"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The findings of this study indicate that </w:t>
      </w:r>
      <w:r w:rsidRPr="00103850">
        <w:rPr>
          <w:rFonts w:ascii="Times New Roman" w:eastAsia="Times New Roman" w:hAnsi="Times New Roman" w:cs="Times New Roman"/>
          <w:bCs/>
          <w:sz w:val="24"/>
          <w:szCs w:val="24"/>
        </w:rPr>
        <w:t>property management practices significantly influence the stability of rental values in the Lagos urban housing market</w:t>
      </w:r>
      <w:r w:rsidRPr="00102445">
        <w:rPr>
          <w:rFonts w:ascii="Times New Roman" w:eastAsia="Times New Roman" w:hAnsi="Times New Roman" w:cs="Times New Roman"/>
          <w:sz w:val="24"/>
          <w:szCs w:val="24"/>
        </w:rPr>
        <w:t>. Key practices identified include regular property inspection, routine maintenance, tenant screening, and effective rent management. These practices help maintain the physical condition of residential properties and ensure consistent rental income by keeping properties attractive to tenants and minimizing fluctuations in rental values.</w:t>
      </w:r>
    </w:p>
    <w:p w14:paraId="7CB231DE" w14:textId="77777777"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The study reveals that </w:t>
      </w:r>
      <w:r w:rsidRPr="002349BD">
        <w:rPr>
          <w:rFonts w:ascii="Times New Roman" w:eastAsia="Times New Roman" w:hAnsi="Times New Roman" w:cs="Times New Roman"/>
          <w:bCs/>
          <w:sz w:val="24"/>
          <w:szCs w:val="24"/>
        </w:rPr>
        <w:t>maintenance practices are a major determinant of rental value stability</w:t>
      </w:r>
      <w:r w:rsidRPr="00102445">
        <w:rPr>
          <w:rFonts w:ascii="Times New Roman" w:eastAsia="Times New Roman" w:hAnsi="Times New Roman" w:cs="Times New Roman"/>
          <w:sz w:val="24"/>
          <w:szCs w:val="24"/>
        </w:rPr>
        <w:t xml:space="preserve">. Regular repairs, preventive maintenance, and periodic facility improvements help keep residential properties functional, safe, and appealing to tenants. Well-maintained properties tend to attract and retain tenants, thereby supporting stable rental income over time. In contrast, delayed or irregular maintenance leads to property deterioration, reduced tenant demand, and declining rental values. </w:t>
      </w:r>
      <w:r w:rsidRPr="00102445">
        <w:rPr>
          <w:rFonts w:ascii="Times New Roman" w:eastAsia="Times New Roman" w:hAnsi="Times New Roman" w:cs="Times New Roman"/>
          <w:sz w:val="24"/>
          <w:szCs w:val="24"/>
        </w:rPr>
        <w:lastRenderedPageBreak/>
        <w:t>This underscores the need for systematic maintenance planning in residential property management.</w:t>
      </w:r>
    </w:p>
    <w:p w14:paraId="5B3017B2" w14:textId="77777777"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The findings also highlight the </w:t>
      </w:r>
      <w:r w:rsidRPr="00605EF5">
        <w:rPr>
          <w:rFonts w:ascii="Times New Roman" w:eastAsia="Times New Roman" w:hAnsi="Times New Roman" w:cs="Times New Roman"/>
          <w:bCs/>
          <w:sz w:val="24"/>
          <w:szCs w:val="24"/>
        </w:rPr>
        <w:t>importance of effective tenant management</w:t>
      </w:r>
      <w:r w:rsidRPr="00102445">
        <w:rPr>
          <w:rFonts w:ascii="Times New Roman" w:eastAsia="Times New Roman" w:hAnsi="Times New Roman" w:cs="Times New Roman"/>
          <w:sz w:val="24"/>
          <w:szCs w:val="24"/>
        </w:rPr>
        <w:t xml:space="preserve"> in maintaining stable rental values. Practices such as proper tenant screening, prompt response to tenant complaints, and effective communication between landlords and tenants reduce the likelihood of rent defaults, property damage, and tenancy disputes. These practices enhance tenant satisfaction and encourage longer tenancy periods, which contribute to steady rental income for property owners.</w:t>
      </w:r>
    </w:p>
    <w:p w14:paraId="5F09DFDA" w14:textId="77777777" w:rsidR="00102445" w:rsidRPr="00102445" w:rsidRDefault="00102445" w:rsidP="00093116">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Furthermore, the study emphasizes the role of </w:t>
      </w:r>
      <w:r w:rsidRPr="007E4C92">
        <w:rPr>
          <w:rFonts w:ascii="Times New Roman" w:eastAsia="Times New Roman" w:hAnsi="Times New Roman" w:cs="Times New Roman"/>
          <w:bCs/>
          <w:sz w:val="24"/>
          <w:szCs w:val="24"/>
        </w:rPr>
        <w:t>professional property management</w:t>
      </w:r>
      <w:r w:rsidRPr="00102445">
        <w:rPr>
          <w:rFonts w:ascii="Times New Roman" w:eastAsia="Times New Roman" w:hAnsi="Times New Roman" w:cs="Times New Roman"/>
          <w:sz w:val="24"/>
          <w:szCs w:val="24"/>
        </w:rPr>
        <w:t xml:space="preserve"> in ensuring rental value stability. Professional managers possess expertise in property maintenance, tenant relations, and rent administration, which improves the efficiency of property operations and reduces management-related challenges. Their involvement also enhances property marketing and administrative processes, leading to improved performance in the rental market.</w:t>
      </w:r>
    </w:p>
    <w:p w14:paraId="18DDA662" w14:textId="77777777" w:rsidR="00102445" w:rsidRPr="00951D0B" w:rsidRDefault="00102445" w:rsidP="00951D0B">
      <w:pPr>
        <w:spacing w:before="100" w:beforeAutospacing="1" w:after="100" w:afterAutospacing="1" w:line="360" w:lineRule="auto"/>
        <w:jc w:val="both"/>
        <w:rPr>
          <w:rFonts w:ascii="Times New Roman" w:eastAsia="Times New Roman" w:hAnsi="Times New Roman" w:cs="Times New Roman"/>
          <w:sz w:val="24"/>
          <w:szCs w:val="24"/>
        </w:rPr>
      </w:pPr>
      <w:r w:rsidRPr="00102445">
        <w:rPr>
          <w:rFonts w:ascii="Times New Roman" w:eastAsia="Times New Roman" w:hAnsi="Times New Roman" w:cs="Times New Roman"/>
          <w:sz w:val="24"/>
          <w:szCs w:val="24"/>
        </w:rPr>
        <w:t xml:space="preserve">Overall, the findings demonstrate that </w:t>
      </w:r>
      <w:r w:rsidR="00093F1E" w:rsidRPr="00093F1E">
        <w:rPr>
          <w:rFonts w:ascii="Times New Roman" w:eastAsia="Times New Roman" w:hAnsi="Times New Roman" w:cs="Times New Roman"/>
          <w:bCs/>
          <w:sz w:val="24"/>
          <w:szCs w:val="24"/>
        </w:rPr>
        <w:t xml:space="preserve">effective property management </w:t>
      </w:r>
      <w:r w:rsidRPr="00093F1E">
        <w:rPr>
          <w:rFonts w:ascii="Times New Roman" w:eastAsia="Times New Roman" w:hAnsi="Times New Roman" w:cs="Times New Roman"/>
          <w:bCs/>
          <w:sz w:val="24"/>
          <w:szCs w:val="24"/>
        </w:rPr>
        <w:t>particularly regular maintenance, efficient tenant managem</w:t>
      </w:r>
      <w:r w:rsidR="00093F1E" w:rsidRPr="00093F1E">
        <w:rPr>
          <w:rFonts w:ascii="Times New Roman" w:eastAsia="Times New Roman" w:hAnsi="Times New Roman" w:cs="Times New Roman"/>
          <w:bCs/>
          <w:sz w:val="24"/>
          <w:szCs w:val="24"/>
        </w:rPr>
        <w:t xml:space="preserve">ent, and professional oversight </w:t>
      </w:r>
      <w:r w:rsidRPr="00093F1E">
        <w:rPr>
          <w:rFonts w:ascii="Times New Roman" w:eastAsia="Times New Roman" w:hAnsi="Times New Roman" w:cs="Times New Roman"/>
          <w:bCs/>
          <w:sz w:val="24"/>
          <w:szCs w:val="24"/>
        </w:rPr>
        <w:t>is essential for sustaining stable rental values</w:t>
      </w:r>
      <w:r w:rsidRPr="00102445">
        <w:rPr>
          <w:rFonts w:ascii="Times New Roman" w:eastAsia="Times New Roman" w:hAnsi="Times New Roman" w:cs="Times New Roman"/>
          <w:sz w:val="24"/>
          <w:szCs w:val="24"/>
        </w:rPr>
        <w:t xml:space="preserve"> in the Lagos urban housing market.</w:t>
      </w:r>
    </w:p>
    <w:p w14:paraId="0A44BE91" w14:textId="77777777" w:rsidR="00E361C9" w:rsidRDefault="00E361C9" w:rsidP="009E5162">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and Recommendations. </w:t>
      </w:r>
    </w:p>
    <w:p w14:paraId="0A4F86AA" w14:textId="77777777"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t>This study examined the impact of property management practices on the stability of rental values in the Lagos urban housing market. The findings indicate that effective property management plays a vital role in maintaining stable rental income and improving the performance of residential properties. Key practices identified include regular maintenance, proper tenant management, and efficient rent collection.</w:t>
      </w:r>
    </w:p>
    <w:p w14:paraId="27EDCDE6" w14:textId="77777777"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t xml:space="preserve">The study shows that </w:t>
      </w:r>
      <w:r w:rsidRPr="004A5A5C">
        <w:rPr>
          <w:rFonts w:ascii="Times New Roman" w:eastAsia="Times New Roman" w:hAnsi="Times New Roman" w:cs="Times New Roman"/>
          <w:bCs/>
          <w:sz w:val="24"/>
          <w:szCs w:val="24"/>
        </w:rPr>
        <w:t>maintenance practices significantly influence rental value stability</w:t>
      </w:r>
      <w:r w:rsidRPr="00951D0B">
        <w:rPr>
          <w:rFonts w:ascii="Times New Roman" w:eastAsia="Times New Roman" w:hAnsi="Times New Roman" w:cs="Times New Roman"/>
          <w:sz w:val="24"/>
          <w:szCs w:val="24"/>
        </w:rPr>
        <w:t>. Well-maintained properties remain attractive to tenants and maintain consistent rental prices, while poorly maintained properties experience reduced demand and fluctuating rental income. Property owners should therefore prioritize routine inspection and timely repairs to preserve property value.</w:t>
      </w:r>
    </w:p>
    <w:p w14:paraId="6900B57D" w14:textId="77777777"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lastRenderedPageBreak/>
        <w:t xml:space="preserve">The findings also highlight the importance of </w:t>
      </w:r>
      <w:r w:rsidRPr="00E05683">
        <w:rPr>
          <w:rFonts w:ascii="Times New Roman" w:eastAsia="Times New Roman" w:hAnsi="Times New Roman" w:cs="Times New Roman"/>
          <w:bCs/>
          <w:sz w:val="24"/>
          <w:szCs w:val="24"/>
        </w:rPr>
        <w:t>effective tenant management</w:t>
      </w:r>
      <w:r w:rsidRPr="00951D0B">
        <w:rPr>
          <w:rFonts w:ascii="Times New Roman" w:eastAsia="Times New Roman" w:hAnsi="Times New Roman" w:cs="Times New Roman"/>
          <w:sz w:val="24"/>
          <w:szCs w:val="24"/>
        </w:rPr>
        <w:t>, including proper tenant screening, good communication, and prompt resolution of disputes. These practices improve tenant satisfaction, reduce turnover, and support stable rental income.</w:t>
      </w:r>
    </w:p>
    <w:p w14:paraId="5B3F5A72" w14:textId="77777777" w:rsidR="00951D0B" w:rsidRPr="00951D0B" w:rsidRDefault="00951D0B" w:rsidP="00951D0B">
      <w:pPr>
        <w:spacing w:before="100" w:beforeAutospacing="1" w:after="100" w:afterAutospacing="1" w:line="360" w:lineRule="auto"/>
        <w:jc w:val="both"/>
        <w:rPr>
          <w:rFonts w:ascii="Times New Roman" w:eastAsia="Times New Roman" w:hAnsi="Times New Roman" w:cs="Times New Roman"/>
          <w:sz w:val="24"/>
          <w:szCs w:val="24"/>
        </w:rPr>
      </w:pPr>
      <w:r w:rsidRPr="00951D0B">
        <w:rPr>
          <w:rFonts w:ascii="Times New Roman" w:eastAsia="Times New Roman" w:hAnsi="Times New Roman" w:cs="Times New Roman"/>
          <w:sz w:val="24"/>
          <w:szCs w:val="24"/>
        </w:rPr>
        <w:t xml:space="preserve">The study recommends that </w:t>
      </w:r>
      <w:r w:rsidRPr="00DA3B6F">
        <w:rPr>
          <w:rFonts w:ascii="Times New Roman" w:eastAsia="Times New Roman" w:hAnsi="Times New Roman" w:cs="Times New Roman"/>
          <w:bCs/>
          <w:sz w:val="24"/>
          <w:szCs w:val="24"/>
        </w:rPr>
        <w:t>property owners engage professional property managers</w:t>
      </w:r>
      <w:r w:rsidRPr="00951D0B">
        <w:rPr>
          <w:rFonts w:ascii="Times New Roman" w:eastAsia="Times New Roman" w:hAnsi="Times New Roman" w:cs="Times New Roman"/>
          <w:sz w:val="24"/>
          <w:szCs w:val="24"/>
        </w:rPr>
        <w:t xml:space="preserve"> to improve maintenance planning, tenant relations, and financial management. In addition, government authorities should promote policies and professional training that strengthen property management practices in the housing sector.</w:t>
      </w:r>
    </w:p>
    <w:p w14:paraId="287D9FAE" w14:textId="77777777" w:rsidR="00951D0B" w:rsidRPr="009E5162" w:rsidRDefault="00951D0B" w:rsidP="009E5162">
      <w:pPr>
        <w:spacing w:before="100" w:beforeAutospacing="1" w:after="100" w:afterAutospacing="1" w:line="360" w:lineRule="auto"/>
        <w:jc w:val="both"/>
        <w:rPr>
          <w:rFonts w:ascii="Times New Roman" w:eastAsia="Times New Roman" w:hAnsi="Times New Roman" w:cs="Times New Roman"/>
          <w:sz w:val="24"/>
          <w:szCs w:val="24"/>
        </w:rPr>
      </w:pPr>
    </w:p>
    <w:p w14:paraId="7663AEFF" w14:textId="77777777" w:rsidR="00E361C9" w:rsidRDefault="00E361C9" w:rsidP="00E361C9">
      <w:pPr>
        <w:pStyle w:val="Heading1"/>
        <w:rPr>
          <w:rFonts w:ascii="Times New Roman" w:hAnsi="Times New Roman" w:cs="Times New Roman"/>
          <w:b/>
          <w:color w:val="auto"/>
          <w:sz w:val="24"/>
          <w:szCs w:val="24"/>
        </w:rPr>
      </w:pPr>
      <w:r>
        <w:rPr>
          <w:rFonts w:ascii="Times New Roman" w:hAnsi="Times New Roman" w:cs="Times New Roman"/>
          <w:b/>
          <w:color w:val="auto"/>
          <w:sz w:val="24"/>
          <w:szCs w:val="24"/>
        </w:rPr>
        <w:t>REFERENCES</w:t>
      </w:r>
    </w:p>
    <w:p w14:paraId="693D7634" w14:textId="77777777" w:rsidR="001B4D21" w:rsidRPr="001B4D21" w:rsidRDefault="001B4D21" w:rsidP="001B4D21">
      <w:pPr>
        <w:pStyle w:val="NormalWeb"/>
        <w:spacing w:line="360" w:lineRule="auto"/>
        <w:jc w:val="both"/>
      </w:pPr>
      <w:r w:rsidRPr="001B4D21">
        <w:t xml:space="preserve">Adeyemo, O. I., &amp; Olaitan, O. A. (2024). Effective property management in increasingly urbanized cities. </w:t>
      </w:r>
      <w:r w:rsidRPr="001B4D21">
        <w:rPr>
          <w:rStyle w:val="Emphasis"/>
          <w:rFonts w:eastAsiaTheme="majorEastAsia"/>
        </w:rPr>
        <w:t>International Journal of Research and Innovation in Social Science</w:t>
      </w:r>
      <w:r w:rsidRPr="001B4D21">
        <w:t xml:space="preserve">. </w:t>
      </w:r>
      <w:hyperlink r:id="rId11" w:tgtFrame="_new" w:history="1">
        <w:r w:rsidRPr="001B4D21">
          <w:rPr>
            <w:rStyle w:val="Hyperlink"/>
          </w:rPr>
          <w:t>https://rsisinternational.org/journals/ijriss/articles/effective-property-management-in-increasingly-urbanized-cities/</w:t>
        </w:r>
      </w:hyperlink>
    </w:p>
    <w:p w14:paraId="75EC959C" w14:textId="77777777" w:rsidR="001B4D21" w:rsidRPr="001B4D21" w:rsidRDefault="001B4D21" w:rsidP="001B4D21">
      <w:pPr>
        <w:pStyle w:val="NormalWeb"/>
        <w:spacing w:line="360" w:lineRule="auto"/>
        <w:jc w:val="both"/>
      </w:pPr>
      <w:r w:rsidRPr="001B4D21">
        <w:t xml:space="preserve">Akinwale, O. A., &amp; Fayomi, I. (2025). A comparative assessment of the impact of neighbourhood facilities on residential property rental value in high densities areas of Lagos, Nigeria. </w:t>
      </w:r>
      <w:r w:rsidRPr="001B4D21">
        <w:rPr>
          <w:rStyle w:val="Emphasis"/>
          <w:rFonts w:eastAsiaTheme="majorEastAsia"/>
        </w:rPr>
        <w:t>International Journal of Research and Scientific Innovation, 12</w:t>
      </w:r>
      <w:r w:rsidRPr="001B4D21">
        <w:t xml:space="preserve">(15), 2026–2043. </w:t>
      </w:r>
      <w:hyperlink r:id="rId12" w:tgtFrame="_new" w:history="1">
        <w:r w:rsidRPr="001B4D21">
          <w:rPr>
            <w:rStyle w:val="Hyperlink"/>
          </w:rPr>
          <w:t>https://rsisinternational.org/journals/ijrsi/articles/a-comparative-assessment-of-the-impact-of-neighbourhood-facilities-on-residential-property-rental-value-in-high-densities-areas-of-lagos-nigeria/</w:t>
        </w:r>
      </w:hyperlink>
    </w:p>
    <w:p w14:paraId="10347105" w14:textId="77777777" w:rsidR="001B4D21" w:rsidRPr="001B4D21" w:rsidRDefault="001B4D21" w:rsidP="001B4D21">
      <w:pPr>
        <w:pStyle w:val="NormalWeb"/>
        <w:spacing w:line="360" w:lineRule="auto"/>
        <w:jc w:val="both"/>
      </w:pPr>
      <w:r w:rsidRPr="001B4D21">
        <w:t xml:space="preserve">Bamiteko, O. D., &amp; Adebiyi, O. O. (2020). Determinant of housing price in Lagos residential market: Role of agents/intermediaries. </w:t>
      </w:r>
      <w:r w:rsidRPr="001B4D21">
        <w:rPr>
          <w:rStyle w:val="Emphasis"/>
          <w:rFonts w:eastAsiaTheme="majorEastAsia"/>
        </w:rPr>
        <w:t>International Journal of Economics, Business and Accounting Research, 4</w:t>
      </w:r>
      <w:r w:rsidRPr="001B4D21">
        <w:t xml:space="preserve">(4). </w:t>
      </w:r>
      <w:hyperlink r:id="rId13" w:tgtFrame="_new" w:history="1">
        <w:r w:rsidRPr="001B4D21">
          <w:rPr>
            <w:rStyle w:val="Hyperlink"/>
          </w:rPr>
          <w:t>https://jurnal.stie-aas.ac.id/index.php/IJEBAR/article/view/1362</w:t>
        </w:r>
      </w:hyperlink>
    </w:p>
    <w:p w14:paraId="46E07D4B" w14:textId="77777777" w:rsidR="001B4D21" w:rsidRPr="001B4D21" w:rsidRDefault="001B4D21" w:rsidP="001B4D21">
      <w:pPr>
        <w:pStyle w:val="NormalWeb"/>
        <w:spacing w:line="360" w:lineRule="auto"/>
        <w:jc w:val="both"/>
      </w:pPr>
      <w:r w:rsidRPr="001B4D21">
        <w:t xml:space="preserve">Oduwaye, L., Ilechukwu, V. U., &amp; Yardua, R. (2024). Determinants of rental housing values in an informal settlement: A case of Makoko in Lagos, Nigeria. </w:t>
      </w:r>
      <w:r w:rsidRPr="001B4D21">
        <w:rPr>
          <w:rStyle w:val="Emphasis"/>
          <w:rFonts w:eastAsiaTheme="majorEastAsia"/>
        </w:rPr>
        <w:t>Journal of Environmental Management and Safety, 3</w:t>
      </w:r>
      <w:r w:rsidRPr="001B4D21">
        <w:t xml:space="preserve">(2), 11. </w:t>
      </w:r>
      <w:hyperlink r:id="rId14" w:tgtFrame="_new" w:history="1">
        <w:r w:rsidRPr="001B4D21">
          <w:rPr>
            <w:rStyle w:val="Hyperlink"/>
          </w:rPr>
          <w:t>https://cepajournal.com/index.php/jems/article/view/263</w:t>
        </w:r>
      </w:hyperlink>
    </w:p>
    <w:p w14:paraId="2D339418" w14:textId="77777777" w:rsidR="001B4D21" w:rsidRPr="001B4D21" w:rsidRDefault="001B4D21" w:rsidP="001B4D21">
      <w:pPr>
        <w:pStyle w:val="NormalWeb"/>
        <w:spacing w:line="360" w:lineRule="auto"/>
        <w:jc w:val="both"/>
      </w:pPr>
      <w:r w:rsidRPr="001B4D21">
        <w:lastRenderedPageBreak/>
        <w:t xml:space="preserve">Onyekwelu, E. I., Ogbuefi, J. U., &amp; Nnamani, O. C. (2023). The impact of the Lagos Metropolitan Development and Governance Project on residential property values. </w:t>
      </w:r>
      <w:r w:rsidRPr="001B4D21">
        <w:rPr>
          <w:rStyle w:val="Emphasis"/>
          <w:rFonts w:eastAsiaTheme="majorEastAsia"/>
        </w:rPr>
        <w:t>Pacific Rim Real Estate Society (PRRES) Journal, 28</w:t>
      </w:r>
      <w:r w:rsidRPr="001B4D21">
        <w:t xml:space="preserve">(2), 104–137. </w:t>
      </w:r>
      <w:hyperlink r:id="rId15" w:tgtFrame="_new" w:history="1">
        <w:r w:rsidRPr="001B4D21">
          <w:rPr>
            <w:rStyle w:val="Hyperlink"/>
          </w:rPr>
          <w:t>https://www.prres.org/volume28-2022/2023/the-impact-of-the-lagos-metropolitan-development-and-governance-project-on-residential-property-values</w:t>
        </w:r>
      </w:hyperlink>
    </w:p>
    <w:p w14:paraId="2EC51B23" w14:textId="77777777" w:rsidR="001B4D21" w:rsidRPr="001B4D21" w:rsidRDefault="001B4D21" w:rsidP="001B4D21">
      <w:pPr>
        <w:pStyle w:val="NormalWeb"/>
        <w:spacing w:line="360" w:lineRule="auto"/>
        <w:jc w:val="both"/>
      </w:pPr>
      <w:r w:rsidRPr="001B4D21">
        <w:t xml:space="preserve">Osagie, J. U., Otegbulu, A. C., &amp; Onibudo, K. J. (2025). The nexus between number of bedrooms and residential property rental values in Ebute-Metta, Lagos. </w:t>
      </w:r>
      <w:r w:rsidRPr="001B4D21">
        <w:rPr>
          <w:rStyle w:val="Emphasis"/>
          <w:rFonts w:eastAsiaTheme="majorEastAsia"/>
        </w:rPr>
        <w:t>African Journal of Housing and Sustainable Development, 6</w:t>
      </w:r>
      <w:r w:rsidRPr="001B4D21">
        <w:t xml:space="preserve">(2), 152–166. </w:t>
      </w:r>
      <w:hyperlink r:id="rId16" w:tgtFrame="_new" w:history="1">
        <w:r w:rsidRPr="001B4D21">
          <w:rPr>
            <w:rStyle w:val="Hyperlink"/>
          </w:rPr>
          <w:t>https://ajhsd.unilag.edu.ng/article/download/2737/2232/</w:t>
        </w:r>
      </w:hyperlink>
    </w:p>
    <w:p w14:paraId="5AAECCF4" w14:textId="77777777" w:rsidR="001B4D21" w:rsidRPr="001B4D21" w:rsidRDefault="001B4D21" w:rsidP="001B4D21">
      <w:pPr>
        <w:pStyle w:val="NormalWeb"/>
        <w:spacing w:line="360" w:lineRule="auto"/>
        <w:jc w:val="both"/>
      </w:pPr>
      <w:r w:rsidRPr="001B4D21">
        <w:t xml:space="preserve">Oyedeji, J. O., Oyesomo, C. O., Ogunleye, T. F., Adedamola, A. W., Oyedeji, O. A., &amp; Ogunyinka, M. A. (2025). Evaluation of the short-term rental housing market in Lagos, Nigeria. </w:t>
      </w:r>
      <w:r w:rsidRPr="001B4D21">
        <w:rPr>
          <w:rStyle w:val="Emphasis"/>
          <w:rFonts w:eastAsiaTheme="majorEastAsia"/>
        </w:rPr>
        <w:t>Alam Cipta, 18</w:t>
      </w:r>
      <w:r w:rsidRPr="001B4D21">
        <w:t xml:space="preserve">(1). </w:t>
      </w:r>
      <w:hyperlink r:id="rId17" w:tgtFrame="_new" w:history="1">
        <w:r w:rsidRPr="001B4D21">
          <w:rPr>
            <w:rStyle w:val="Hyperlink"/>
          </w:rPr>
          <w:t>https://doi.org/10.47836/AC.18.1.ARTICLE2</w:t>
        </w:r>
      </w:hyperlink>
    </w:p>
    <w:p w14:paraId="7EF9922A" w14:textId="77777777" w:rsidR="001B4D21" w:rsidRPr="001B4D21" w:rsidRDefault="001B4D21" w:rsidP="001B4D21">
      <w:pPr>
        <w:pStyle w:val="NormalWeb"/>
        <w:spacing w:line="360" w:lineRule="auto"/>
        <w:jc w:val="both"/>
      </w:pPr>
      <w:r w:rsidRPr="001B4D21">
        <w:t xml:space="preserve">Sani, A., &amp; Mohammed, M. I. (2022). Locational, neighbourhood and physical characteristics of residential rental properties: A review. </w:t>
      </w:r>
      <w:r w:rsidRPr="001B4D21">
        <w:rPr>
          <w:rStyle w:val="Emphasis"/>
          <w:rFonts w:eastAsiaTheme="majorEastAsia"/>
        </w:rPr>
        <w:t>Journal of Commerce, Management and Tourism Studies</w:t>
      </w:r>
      <w:r w:rsidRPr="001B4D21">
        <w:t xml:space="preserve">. </w:t>
      </w:r>
      <w:hyperlink r:id="rId18" w:tgtFrame="_new" w:history="1">
        <w:r w:rsidRPr="001B4D21">
          <w:rPr>
            <w:rStyle w:val="Hyperlink"/>
          </w:rPr>
          <w:t>https://ympn.co.id/index.php/JCMTS/article/view/121</w:t>
        </w:r>
      </w:hyperlink>
    </w:p>
    <w:p w14:paraId="47695A2E" w14:textId="77777777" w:rsidR="001B4D21" w:rsidRPr="001B4D21" w:rsidRDefault="001B4D21" w:rsidP="001B4D21">
      <w:pPr>
        <w:pStyle w:val="NormalWeb"/>
        <w:spacing w:line="360" w:lineRule="auto"/>
        <w:jc w:val="both"/>
      </w:pPr>
      <w:r w:rsidRPr="001B4D21">
        <w:t xml:space="preserve">Vanguard News. (2025). Luxury properties in Lagos offer 5.5% rental income as investors’ interests grow – Report. </w:t>
      </w:r>
      <w:hyperlink r:id="rId19" w:tgtFrame="_new" w:history="1">
        <w:r w:rsidRPr="001B4D21">
          <w:rPr>
            <w:rStyle w:val="Hyperlink"/>
          </w:rPr>
          <w:t>https://www.vanguardngr.com/2025/07/luxury-properties-in-lagos-offer-5-5-rental-income-as-investors-interests-grow-report/</w:t>
        </w:r>
      </w:hyperlink>
    </w:p>
    <w:p w14:paraId="2FB5798B" w14:textId="77777777" w:rsidR="000E3F38" w:rsidRPr="001B4D21" w:rsidRDefault="000E3F38" w:rsidP="001B4D21">
      <w:pPr>
        <w:spacing w:line="360" w:lineRule="auto"/>
        <w:jc w:val="both"/>
        <w:rPr>
          <w:rFonts w:ascii="Times New Roman" w:hAnsi="Times New Roman" w:cs="Times New Roman"/>
        </w:rPr>
      </w:pPr>
    </w:p>
    <w:sectPr w:rsidR="000E3F38" w:rsidRPr="001B4D2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1E0B" w14:textId="77777777" w:rsidR="00972878" w:rsidRDefault="00972878" w:rsidP="00E361C9">
      <w:pPr>
        <w:spacing w:after="0" w:line="240" w:lineRule="auto"/>
      </w:pPr>
      <w:r>
        <w:separator/>
      </w:r>
    </w:p>
  </w:endnote>
  <w:endnote w:type="continuationSeparator" w:id="0">
    <w:p w14:paraId="2E8B5216" w14:textId="77777777" w:rsidR="00972878" w:rsidRDefault="00972878" w:rsidP="00E3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879180"/>
      <w:docPartObj>
        <w:docPartGallery w:val="Page Numbers (Bottom of Page)"/>
        <w:docPartUnique/>
      </w:docPartObj>
    </w:sdtPr>
    <w:sdtEndPr>
      <w:rPr>
        <w:noProof/>
      </w:rPr>
    </w:sdtEndPr>
    <w:sdtContent>
      <w:p w14:paraId="3FE9EC4F" w14:textId="77777777" w:rsidR="004C7407" w:rsidRDefault="004C7407">
        <w:pPr>
          <w:pStyle w:val="Footer"/>
          <w:jc w:val="center"/>
        </w:pPr>
        <w:r>
          <w:fldChar w:fldCharType="begin"/>
        </w:r>
        <w:r>
          <w:instrText xml:space="preserve"> PAGE   \* MERGEFORMAT </w:instrText>
        </w:r>
        <w:r>
          <w:fldChar w:fldCharType="separate"/>
        </w:r>
        <w:r w:rsidR="00C12B37">
          <w:rPr>
            <w:noProof/>
          </w:rPr>
          <w:t>17</w:t>
        </w:r>
        <w:r>
          <w:rPr>
            <w:noProof/>
          </w:rPr>
          <w:fldChar w:fldCharType="end"/>
        </w:r>
      </w:p>
    </w:sdtContent>
  </w:sdt>
  <w:p w14:paraId="0C1B60C7" w14:textId="77777777" w:rsidR="00E361C9" w:rsidRDefault="00E36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5889" w14:textId="77777777" w:rsidR="00972878" w:rsidRDefault="00972878" w:rsidP="00E361C9">
      <w:pPr>
        <w:spacing w:after="0" w:line="240" w:lineRule="auto"/>
      </w:pPr>
      <w:r>
        <w:separator/>
      </w:r>
    </w:p>
  </w:footnote>
  <w:footnote w:type="continuationSeparator" w:id="0">
    <w:p w14:paraId="54AEDA39" w14:textId="77777777" w:rsidR="00972878" w:rsidRDefault="00972878" w:rsidP="00E36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CA29E9"/>
    <w:multiLevelType w:val="multilevel"/>
    <w:tmpl w:val="09CA29E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57734D5"/>
    <w:multiLevelType w:val="multilevel"/>
    <w:tmpl w:val="457734D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29325739">
    <w:abstractNumId w:val="3"/>
  </w:num>
  <w:num w:numId="2" w16cid:durableId="1824152097">
    <w:abstractNumId w:val="2"/>
  </w:num>
  <w:num w:numId="3" w16cid:durableId="792797204">
    <w:abstractNumId w:val="0"/>
  </w:num>
  <w:num w:numId="4" w16cid:durableId="1581909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C9"/>
    <w:rsid w:val="000073EE"/>
    <w:rsid w:val="000165B3"/>
    <w:rsid w:val="00043161"/>
    <w:rsid w:val="00044B40"/>
    <w:rsid w:val="00070E06"/>
    <w:rsid w:val="00093116"/>
    <w:rsid w:val="00093F1E"/>
    <w:rsid w:val="000C260E"/>
    <w:rsid w:val="000E3F38"/>
    <w:rsid w:val="000E735B"/>
    <w:rsid w:val="00100E0D"/>
    <w:rsid w:val="00102445"/>
    <w:rsid w:val="00103850"/>
    <w:rsid w:val="00114D8A"/>
    <w:rsid w:val="00142334"/>
    <w:rsid w:val="00171985"/>
    <w:rsid w:val="00193BAA"/>
    <w:rsid w:val="001B4D21"/>
    <w:rsid w:val="001B660C"/>
    <w:rsid w:val="001C50FB"/>
    <w:rsid w:val="001E4C88"/>
    <w:rsid w:val="00207890"/>
    <w:rsid w:val="002349BD"/>
    <w:rsid w:val="00245C54"/>
    <w:rsid w:val="002C2925"/>
    <w:rsid w:val="002D367B"/>
    <w:rsid w:val="002E5170"/>
    <w:rsid w:val="00363565"/>
    <w:rsid w:val="003813F3"/>
    <w:rsid w:val="003B353E"/>
    <w:rsid w:val="003B6BD9"/>
    <w:rsid w:val="003C6D1A"/>
    <w:rsid w:val="0041681A"/>
    <w:rsid w:val="004437C7"/>
    <w:rsid w:val="00470EC4"/>
    <w:rsid w:val="00476B9A"/>
    <w:rsid w:val="00477C20"/>
    <w:rsid w:val="00487EDA"/>
    <w:rsid w:val="00492E30"/>
    <w:rsid w:val="004973D7"/>
    <w:rsid w:val="004A5A5C"/>
    <w:rsid w:val="004C7407"/>
    <w:rsid w:val="00505F54"/>
    <w:rsid w:val="0051689E"/>
    <w:rsid w:val="005323C1"/>
    <w:rsid w:val="00540DAC"/>
    <w:rsid w:val="0054729A"/>
    <w:rsid w:val="005732B7"/>
    <w:rsid w:val="0058624B"/>
    <w:rsid w:val="00592AB8"/>
    <w:rsid w:val="005B307C"/>
    <w:rsid w:val="00605EF5"/>
    <w:rsid w:val="006435D3"/>
    <w:rsid w:val="00667904"/>
    <w:rsid w:val="00673D2A"/>
    <w:rsid w:val="006816AF"/>
    <w:rsid w:val="006A1832"/>
    <w:rsid w:val="006A740C"/>
    <w:rsid w:val="006D765A"/>
    <w:rsid w:val="00710ABD"/>
    <w:rsid w:val="007163B0"/>
    <w:rsid w:val="00757FDD"/>
    <w:rsid w:val="007A0907"/>
    <w:rsid w:val="007D3203"/>
    <w:rsid w:val="007E4C92"/>
    <w:rsid w:val="007F165D"/>
    <w:rsid w:val="00822054"/>
    <w:rsid w:val="00825368"/>
    <w:rsid w:val="00866933"/>
    <w:rsid w:val="008826E3"/>
    <w:rsid w:val="00882D82"/>
    <w:rsid w:val="008A10C8"/>
    <w:rsid w:val="008A490F"/>
    <w:rsid w:val="008B4120"/>
    <w:rsid w:val="008D2B51"/>
    <w:rsid w:val="008D7317"/>
    <w:rsid w:val="008E4DBD"/>
    <w:rsid w:val="00910033"/>
    <w:rsid w:val="00951D0B"/>
    <w:rsid w:val="00972878"/>
    <w:rsid w:val="00991070"/>
    <w:rsid w:val="009A1BDE"/>
    <w:rsid w:val="009A7645"/>
    <w:rsid w:val="009E5162"/>
    <w:rsid w:val="00A45C6B"/>
    <w:rsid w:val="00A801DF"/>
    <w:rsid w:val="00AA6056"/>
    <w:rsid w:val="00AF4529"/>
    <w:rsid w:val="00B20413"/>
    <w:rsid w:val="00B328BE"/>
    <w:rsid w:val="00B51172"/>
    <w:rsid w:val="00B51C30"/>
    <w:rsid w:val="00B854BF"/>
    <w:rsid w:val="00B95721"/>
    <w:rsid w:val="00B95A54"/>
    <w:rsid w:val="00B96C83"/>
    <w:rsid w:val="00BC0664"/>
    <w:rsid w:val="00C12B37"/>
    <w:rsid w:val="00C16853"/>
    <w:rsid w:val="00C33A22"/>
    <w:rsid w:val="00C52468"/>
    <w:rsid w:val="00C85360"/>
    <w:rsid w:val="00C86458"/>
    <w:rsid w:val="00C87472"/>
    <w:rsid w:val="00CB3AA5"/>
    <w:rsid w:val="00CF00D5"/>
    <w:rsid w:val="00D014D8"/>
    <w:rsid w:val="00D06369"/>
    <w:rsid w:val="00D1714B"/>
    <w:rsid w:val="00D333A7"/>
    <w:rsid w:val="00D41F14"/>
    <w:rsid w:val="00D448EA"/>
    <w:rsid w:val="00D6054E"/>
    <w:rsid w:val="00D84436"/>
    <w:rsid w:val="00DA3B6F"/>
    <w:rsid w:val="00DB0030"/>
    <w:rsid w:val="00DC0778"/>
    <w:rsid w:val="00DC1A82"/>
    <w:rsid w:val="00E05683"/>
    <w:rsid w:val="00E05D8B"/>
    <w:rsid w:val="00E361C9"/>
    <w:rsid w:val="00E55831"/>
    <w:rsid w:val="00EA6E1B"/>
    <w:rsid w:val="00EE19DD"/>
    <w:rsid w:val="00EF4463"/>
    <w:rsid w:val="00F11F73"/>
    <w:rsid w:val="00F34BD1"/>
    <w:rsid w:val="00F56C56"/>
    <w:rsid w:val="00F6248E"/>
    <w:rsid w:val="00F87DDF"/>
    <w:rsid w:val="00FD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5C6E"/>
  <w15:chartTrackingRefBased/>
  <w15:docId w15:val="{C2A509D6-336D-4D48-865D-EA0EA1EA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C9"/>
  </w:style>
  <w:style w:type="paragraph" w:styleId="Heading1">
    <w:name w:val="heading 1"/>
    <w:basedOn w:val="Normal"/>
    <w:next w:val="Normal"/>
    <w:link w:val="Heading1Char"/>
    <w:uiPriority w:val="9"/>
    <w:qFormat/>
    <w:rsid w:val="00E361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61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E361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61C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C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E361C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E361C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qFormat/>
    <w:rsid w:val="00E361C9"/>
    <w:rPr>
      <w:rFonts w:asciiTheme="majorHAnsi" w:eastAsiaTheme="majorEastAsia" w:hAnsiTheme="majorHAnsi" w:cstheme="majorBidi"/>
      <w:i/>
      <w:iCs/>
      <w:color w:val="2E74B5" w:themeColor="accent1" w:themeShade="BF"/>
    </w:rPr>
  </w:style>
  <w:style w:type="paragraph" w:styleId="BodyText">
    <w:name w:val="Body Text"/>
    <w:basedOn w:val="Normal"/>
    <w:link w:val="BodyTextChar"/>
    <w:unhideWhenUsed/>
    <w:qFormat/>
    <w:rsid w:val="00E361C9"/>
    <w:pPr>
      <w:spacing w:before="180" w:after="180" w:line="240" w:lineRule="auto"/>
    </w:pPr>
    <w:rPr>
      <w:sz w:val="24"/>
      <w:szCs w:val="24"/>
      <w:lang w:val="en"/>
    </w:rPr>
  </w:style>
  <w:style w:type="character" w:customStyle="1" w:styleId="BodyTextChar">
    <w:name w:val="Body Text Char"/>
    <w:basedOn w:val="DefaultParagraphFont"/>
    <w:link w:val="BodyText"/>
    <w:rsid w:val="00E361C9"/>
    <w:rPr>
      <w:sz w:val="24"/>
      <w:szCs w:val="24"/>
      <w:lang w:val="en"/>
    </w:rPr>
  </w:style>
  <w:style w:type="character" w:styleId="Emphasis">
    <w:name w:val="Emphasis"/>
    <w:basedOn w:val="DefaultParagraphFont"/>
    <w:uiPriority w:val="20"/>
    <w:qFormat/>
    <w:rsid w:val="00E361C9"/>
    <w:rPr>
      <w:i/>
      <w:iCs/>
    </w:rPr>
  </w:style>
  <w:style w:type="character" w:styleId="Hyperlink">
    <w:name w:val="Hyperlink"/>
    <w:basedOn w:val="DefaultParagraphFont"/>
    <w:uiPriority w:val="99"/>
    <w:semiHidden/>
    <w:unhideWhenUsed/>
    <w:rsid w:val="00E361C9"/>
    <w:rPr>
      <w:color w:val="0000FF"/>
      <w:u w:val="single"/>
    </w:rPr>
  </w:style>
  <w:style w:type="paragraph" w:styleId="NormalWeb">
    <w:name w:val="Normal (Web)"/>
    <w:basedOn w:val="Normal"/>
    <w:uiPriority w:val="99"/>
    <w:unhideWhenUsed/>
    <w:rsid w:val="00E361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61C9"/>
    <w:rPr>
      <w:b/>
      <w:bCs/>
    </w:rPr>
  </w:style>
  <w:style w:type="table" w:customStyle="1" w:styleId="Style1">
    <w:name w:val="Style1"/>
    <w:basedOn w:val="TableNormal"/>
    <w:uiPriority w:val="99"/>
    <w:rsid w:val="00E361C9"/>
    <w:pPr>
      <w:spacing w:after="0" w:line="240" w:lineRule="auto"/>
    </w:pPr>
    <w:rPr>
      <w:sz w:val="24"/>
      <w:szCs w:val="24"/>
      <w:lang w:val="en"/>
    </w:rPr>
    <w:tblPr>
      <w:tblBorders>
        <w:top w:val="single" w:sz="12" w:space="0" w:color="000000"/>
        <w:bottom w:val="single" w:sz="12" w:space="0" w:color="000000"/>
      </w:tblBorders>
    </w:tblPr>
    <w:tcPr>
      <w:shd w:val="clear" w:color="auto" w:fill="auto"/>
    </w:tcPr>
    <w:tblStylePr w:type="firstRow">
      <w:rPr>
        <w:i/>
        <w:iCs/>
      </w:rPr>
      <w:tblPr/>
      <w:tcPr>
        <w:tcBorders>
          <w:bottom w:val="single" w:sz="0" w:space="0" w:color="auto"/>
          <w:tl2br w:val="nil"/>
          <w:tr2bl w:val="nil"/>
        </w:tcBorders>
        <w:vAlign w:val="bottom"/>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whitespace-normal">
    <w:name w:val="whitespace-normal"/>
    <w:basedOn w:val="DefaultParagraphFont"/>
    <w:rsid w:val="00E361C9"/>
  </w:style>
  <w:style w:type="paragraph" w:customStyle="1" w:styleId="FirstParagraph">
    <w:name w:val="First Paragraph"/>
    <w:basedOn w:val="BodyText"/>
    <w:next w:val="BodyText"/>
    <w:qFormat/>
    <w:rsid w:val="00E361C9"/>
  </w:style>
  <w:style w:type="paragraph" w:customStyle="1" w:styleId="Compact">
    <w:name w:val="Compact"/>
    <w:basedOn w:val="BodyText"/>
    <w:qFormat/>
    <w:rsid w:val="00E361C9"/>
    <w:pPr>
      <w:spacing w:before="36" w:after="36"/>
    </w:pPr>
  </w:style>
  <w:style w:type="table" w:customStyle="1" w:styleId="Table">
    <w:name w:val="Table"/>
    <w:semiHidden/>
    <w:qFormat/>
    <w:rsid w:val="00E361C9"/>
    <w:pPr>
      <w:spacing w:after="200" w:line="240" w:lineRule="auto"/>
    </w:pPr>
    <w:rPr>
      <w:sz w:val="24"/>
      <w:szCs w:val="24"/>
      <w:lang w:val="en" w:eastAsia="en-I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paragraph" w:styleId="Header">
    <w:name w:val="header"/>
    <w:basedOn w:val="Normal"/>
    <w:link w:val="HeaderChar"/>
    <w:uiPriority w:val="99"/>
    <w:unhideWhenUsed/>
    <w:rsid w:val="00E36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C9"/>
  </w:style>
  <w:style w:type="paragraph" w:styleId="Footer">
    <w:name w:val="footer"/>
    <w:basedOn w:val="Normal"/>
    <w:link w:val="FooterChar"/>
    <w:uiPriority w:val="99"/>
    <w:unhideWhenUsed/>
    <w:rsid w:val="00E36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C9"/>
  </w:style>
  <w:style w:type="paragraph" w:styleId="ListParagraph">
    <w:name w:val="List Paragraph"/>
    <w:basedOn w:val="Normal"/>
    <w:uiPriority w:val="34"/>
    <w:qFormat/>
    <w:rsid w:val="00D4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1508">
      <w:bodyDiv w:val="1"/>
      <w:marLeft w:val="0"/>
      <w:marRight w:val="0"/>
      <w:marTop w:val="0"/>
      <w:marBottom w:val="0"/>
      <w:divBdr>
        <w:top w:val="none" w:sz="0" w:space="0" w:color="auto"/>
        <w:left w:val="none" w:sz="0" w:space="0" w:color="auto"/>
        <w:bottom w:val="none" w:sz="0" w:space="0" w:color="auto"/>
        <w:right w:val="none" w:sz="0" w:space="0" w:color="auto"/>
      </w:divBdr>
    </w:div>
    <w:div w:id="497185922">
      <w:bodyDiv w:val="1"/>
      <w:marLeft w:val="0"/>
      <w:marRight w:val="0"/>
      <w:marTop w:val="0"/>
      <w:marBottom w:val="0"/>
      <w:divBdr>
        <w:top w:val="none" w:sz="0" w:space="0" w:color="auto"/>
        <w:left w:val="none" w:sz="0" w:space="0" w:color="auto"/>
        <w:bottom w:val="none" w:sz="0" w:space="0" w:color="auto"/>
        <w:right w:val="none" w:sz="0" w:space="0" w:color="auto"/>
      </w:divBdr>
    </w:div>
    <w:div w:id="745109086">
      <w:bodyDiv w:val="1"/>
      <w:marLeft w:val="0"/>
      <w:marRight w:val="0"/>
      <w:marTop w:val="0"/>
      <w:marBottom w:val="0"/>
      <w:divBdr>
        <w:top w:val="none" w:sz="0" w:space="0" w:color="auto"/>
        <w:left w:val="none" w:sz="0" w:space="0" w:color="auto"/>
        <w:bottom w:val="none" w:sz="0" w:space="0" w:color="auto"/>
        <w:right w:val="none" w:sz="0" w:space="0" w:color="auto"/>
      </w:divBdr>
    </w:div>
    <w:div w:id="793984154">
      <w:bodyDiv w:val="1"/>
      <w:marLeft w:val="0"/>
      <w:marRight w:val="0"/>
      <w:marTop w:val="0"/>
      <w:marBottom w:val="0"/>
      <w:divBdr>
        <w:top w:val="none" w:sz="0" w:space="0" w:color="auto"/>
        <w:left w:val="none" w:sz="0" w:space="0" w:color="auto"/>
        <w:bottom w:val="none" w:sz="0" w:space="0" w:color="auto"/>
        <w:right w:val="none" w:sz="0" w:space="0" w:color="auto"/>
      </w:divBdr>
    </w:div>
    <w:div w:id="880283982">
      <w:bodyDiv w:val="1"/>
      <w:marLeft w:val="0"/>
      <w:marRight w:val="0"/>
      <w:marTop w:val="0"/>
      <w:marBottom w:val="0"/>
      <w:divBdr>
        <w:top w:val="none" w:sz="0" w:space="0" w:color="auto"/>
        <w:left w:val="none" w:sz="0" w:space="0" w:color="auto"/>
        <w:bottom w:val="none" w:sz="0" w:space="0" w:color="auto"/>
        <w:right w:val="none" w:sz="0" w:space="0" w:color="auto"/>
      </w:divBdr>
    </w:div>
    <w:div w:id="167988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jurnal.stie-aas.ac.id/index.php/IJEBAR/article/view/1362" TargetMode="External"/><Relationship Id="rId18" Type="http://schemas.openxmlformats.org/officeDocument/2006/relationships/hyperlink" Target="https://ympn.co.id/index.php/JCMTS/article/view/1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rsisinternational.org/journals/ijrsi/articles/a-comparative-assessment-of-the-impact-of-neighbourhood-facilities-on-residential-property-rental-value-in-high-densities-areas-of-lagos-nigeria/" TargetMode="External"/><Relationship Id="rId17" Type="http://schemas.openxmlformats.org/officeDocument/2006/relationships/hyperlink" Target="https://doi.org/10.47836/AC.18.1.ARTICLE2" TargetMode="External"/><Relationship Id="rId2" Type="http://schemas.openxmlformats.org/officeDocument/2006/relationships/styles" Target="styles.xml"/><Relationship Id="rId16" Type="http://schemas.openxmlformats.org/officeDocument/2006/relationships/hyperlink" Target="https://ajhsd.unilag.edu.ng/article/download/2737/223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sisinternational.org/journals/ijriss/articles/effective-property-management-in-increasingly-urbanized-cities/" TargetMode="External"/><Relationship Id="rId5" Type="http://schemas.openxmlformats.org/officeDocument/2006/relationships/footnotes" Target="footnotes.xml"/><Relationship Id="rId15" Type="http://schemas.openxmlformats.org/officeDocument/2006/relationships/hyperlink" Target="https://www.prres.org/volume28-2022/2023/the-impact-of-the-lagos-metropolitan-development-and-governance-project-on-residential-property-values" TargetMode="External"/><Relationship Id="rId10" Type="http://schemas.openxmlformats.org/officeDocument/2006/relationships/chart" Target="charts/chart4.xml"/><Relationship Id="rId19" Type="http://schemas.openxmlformats.org/officeDocument/2006/relationships/hyperlink" Target="https://www.vanguardngr.com/2025/07/luxury-properties-in-lagos-offer-5-5-rental-income-as-investors-interests-grow-repor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cepajournal.com/index.php/jems/article/view/263"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Sheet1!$D$1714</c:f>
              <c:strCache>
                <c:ptCount val="1"/>
                <c:pt idx="0">
                  <c:v>Frequency</c:v>
                </c:pt>
              </c:strCache>
            </c:strRef>
          </c:tx>
          <c:spPr>
            <a:solidFill>
              <a:schemeClr val="accent1"/>
            </a:solidFill>
            <a:ln>
              <a:noFill/>
            </a:ln>
            <a:effectLst/>
          </c:spPr>
          <c:invertIfNegative val="0"/>
          <c:cat>
            <c:strRef>
              <c:f>Sheet1!$C$1715:$C$1719</c:f>
              <c:strCache>
                <c:ptCount val="5"/>
                <c:pt idx="0">
                  <c:v>Regular property inspection</c:v>
                </c:pt>
                <c:pt idx="1">
                  <c:v>Routine maintenance and repairs</c:v>
                </c:pt>
                <c:pt idx="2">
                  <c:v>Tenant screening and selection</c:v>
                </c:pt>
                <c:pt idx="3">
                  <c:v>Rent collection and financial management</c:v>
                </c:pt>
                <c:pt idx="4">
                  <c:v>Use of professional property managers</c:v>
                </c:pt>
              </c:strCache>
            </c:strRef>
          </c:cat>
          <c:val>
            <c:numRef>
              <c:f>Sheet1!$D$1715:$D$1719</c:f>
              <c:numCache>
                <c:formatCode>General</c:formatCode>
                <c:ptCount val="5"/>
                <c:pt idx="0">
                  <c:v>12</c:v>
                </c:pt>
                <c:pt idx="1">
                  <c:v>10</c:v>
                </c:pt>
                <c:pt idx="2">
                  <c:v>8</c:v>
                </c:pt>
                <c:pt idx="3">
                  <c:v>6</c:v>
                </c:pt>
                <c:pt idx="4">
                  <c:v>4</c:v>
                </c:pt>
              </c:numCache>
            </c:numRef>
          </c:val>
          <c:extLst>
            <c:ext xmlns:c16="http://schemas.microsoft.com/office/drawing/2014/chart" uri="{C3380CC4-5D6E-409C-BE32-E72D297353CC}">
              <c16:uniqueId val="{00000000-9CDF-4D7D-81F9-380BA371CDBE}"/>
            </c:ext>
          </c:extLst>
        </c:ser>
        <c:ser>
          <c:idx val="1"/>
          <c:order val="1"/>
          <c:tx>
            <c:strRef>
              <c:f>Sheet1!$E$1714</c:f>
              <c:strCache>
                <c:ptCount val="1"/>
                <c:pt idx="0">
                  <c:v>Percentage (%)</c:v>
                </c:pt>
              </c:strCache>
            </c:strRef>
          </c:tx>
          <c:spPr>
            <a:solidFill>
              <a:schemeClr val="accent2"/>
            </a:solidFill>
            <a:ln>
              <a:noFill/>
            </a:ln>
            <a:effectLst/>
          </c:spPr>
          <c:invertIfNegative val="0"/>
          <c:cat>
            <c:strRef>
              <c:f>Sheet1!$C$1715:$C$1719</c:f>
              <c:strCache>
                <c:ptCount val="5"/>
                <c:pt idx="0">
                  <c:v>Regular property inspection</c:v>
                </c:pt>
                <c:pt idx="1">
                  <c:v>Routine maintenance and repairs</c:v>
                </c:pt>
                <c:pt idx="2">
                  <c:v>Tenant screening and selection</c:v>
                </c:pt>
                <c:pt idx="3">
                  <c:v>Rent collection and financial management</c:v>
                </c:pt>
                <c:pt idx="4">
                  <c:v>Use of professional property managers</c:v>
                </c:pt>
              </c:strCache>
            </c:strRef>
          </c:cat>
          <c:val>
            <c:numRef>
              <c:f>Sheet1!$E$1715:$E$1719</c:f>
              <c:numCache>
                <c:formatCode>General</c:formatCode>
                <c:ptCount val="5"/>
                <c:pt idx="0">
                  <c:v>30</c:v>
                </c:pt>
                <c:pt idx="1">
                  <c:v>25</c:v>
                </c:pt>
                <c:pt idx="2">
                  <c:v>20</c:v>
                </c:pt>
                <c:pt idx="3">
                  <c:v>15</c:v>
                </c:pt>
                <c:pt idx="4">
                  <c:v>10</c:v>
                </c:pt>
              </c:numCache>
            </c:numRef>
          </c:val>
          <c:extLst>
            <c:ext xmlns:c16="http://schemas.microsoft.com/office/drawing/2014/chart" uri="{C3380CC4-5D6E-409C-BE32-E72D297353CC}">
              <c16:uniqueId val="{00000001-9CDF-4D7D-81F9-380BA371CDBE}"/>
            </c:ext>
          </c:extLst>
        </c:ser>
        <c:dLbls>
          <c:showLegendKey val="0"/>
          <c:showVal val="0"/>
          <c:showCatName val="0"/>
          <c:showSerName val="0"/>
          <c:showPercent val="0"/>
          <c:showBubbleSize val="0"/>
        </c:dLbls>
        <c:gapWidth val="247"/>
        <c:axId val="227224064"/>
        <c:axId val="227224456"/>
      </c:barChart>
      <c:catAx>
        <c:axId val="2272240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7224456"/>
        <c:crosses val="autoZero"/>
        <c:auto val="1"/>
        <c:lblAlgn val="ctr"/>
        <c:lblOffset val="100"/>
        <c:noMultiLvlLbl val="0"/>
      </c:catAx>
      <c:valAx>
        <c:axId val="22722445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7224064"/>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070bfbf0-4ffd-4e9a-9b79-a5d29765289a}"/>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Sheet1!$D$1736</c:f>
              <c:strCache>
                <c:ptCount val="1"/>
                <c:pt idx="0">
                  <c:v>Frequency</c:v>
                </c:pt>
              </c:strCache>
            </c:strRef>
          </c:tx>
          <c:spPr>
            <a:solidFill>
              <a:schemeClr val="accent1"/>
            </a:solidFill>
            <a:ln>
              <a:noFill/>
            </a:ln>
            <a:effectLst/>
          </c:spPr>
          <c:invertIfNegative val="0"/>
          <c:cat>
            <c:strRef>
              <c:f>Sheet1!$C$1737:$C$1741</c:f>
              <c:strCache>
                <c:ptCount val="5"/>
                <c:pt idx="0">
                  <c:v>Regular repairs and maintenance</c:v>
                </c:pt>
                <c:pt idx="1">
                  <c:v>Preventive maintenance planning</c:v>
                </c:pt>
                <c:pt idx="2">
                  <c:v>Facility upgrades and renovations</c:v>
                </c:pt>
                <c:pt idx="3">
                  <c:v>Delayed or irregular maintenance</c:v>
                </c:pt>
                <c:pt idx="4">
                  <c:v>No structured maintenance plan</c:v>
                </c:pt>
              </c:strCache>
            </c:strRef>
          </c:cat>
          <c:val>
            <c:numRef>
              <c:f>Sheet1!$D$1737:$D$1741</c:f>
              <c:numCache>
                <c:formatCode>General</c:formatCode>
                <c:ptCount val="5"/>
                <c:pt idx="0">
                  <c:v>14</c:v>
                </c:pt>
                <c:pt idx="1">
                  <c:v>10</c:v>
                </c:pt>
                <c:pt idx="2">
                  <c:v>8</c:v>
                </c:pt>
                <c:pt idx="3">
                  <c:v>5</c:v>
                </c:pt>
                <c:pt idx="4">
                  <c:v>3</c:v>
                </c:pt>
              </c:numCache>
            </c:numRef>
          </c:val>
          <c:extLst>
            <c:ext xmlns:c16="http://schemas.microsoft.com/office/drawing/2014/chart" uri="{C3380CC4-5D6E-409C-BE32-E72D297353CC}">
              <c16:uniqueId val="{00000000-37FA-43D4-A42A-447680F7786E}"/>
            </c:ext>
          </c:extLst>
        </c:ser>
        <c:ser>
          <c:idx val="1"/>
          <c:order val="1"/>
          <c:tx>
            <c:strRef>
              <c:f>Sheet1!$E$1736</c:f>
              <c:strCache>
                <c:ptCount val="1"/>
                <c:pt idx="0">
                  <c:v>Percentage (%)</c:v>
                </c:pt>
              </c:strCache>
            </c:strRef>
          </c:tx>
          <c:spPr>
            <a:solidFill>
              <a:schemeClr val="accent2"/>
            </a:solidFill>
            <a:ln>
              <a:noFill/>
            </a:ln>
            <a:effectLst/>
          </c:spPr>
          <c:invertIfNegative val="0"/>
          <c:cat>
            <c:strRef>
              <c:f>Sheet1!$C$1737:$C$1741</c:f>
              <c:strCache>
                <c:ptCount val="5"/>
                <c:pt idx="0">
                  <c:v>Regular repairs and maintenance</c:v>
                </c:pt>
                <c:pt idx="1">
                  <c:v>Preventive maintenance planning</c:v>
                </c:pt>
                <c:pt idx="2">
                  <c:v>Facility upgrades and renovations</c:v>
                </c:pt>
                <c:pt idx="3">
                  <c:v>Delayed or irregular maintenance</c:v>
                </c:pt>
                <c:pt idx="4">
                  <c:v>No structured maintenance plan</c:v>
                </c:pt>
              </c:strCache>
            </c:strRef>
          </c:cat>
          <c:val>
            <c:numRef>
              <c:f>Sheet1!$E$1737:$E$1741</c:f>
              <c:numCache>
                <c:formatCode>General</c:formatCode>
                <c:ptCount val="5"/>
                <c:pt idx="0">
                  <c:v>35</c:v>
                </c:pt>
                <c:pt idx="1">
                  <c:v>25</c:v>
                </c:pt>
                <c:pt idx="2">
                  <c:v>20</c:v>
                </c:pt>
                <c:pt idx="3">
                  <c:v>12.5</c:v>
                </c:pt>
                <c:pt idx="4">
                  <c:v>7.5</c:v>
                </c:pt>
              </c:numCache>
            </c:numRef>
          </c:val>
          <c:extLst>
            <c:ext xmlns:c16="http://schemas.microsoft.com/office/drawing/2014/chart" uri="{C3380CC4-5D6E-409C-BE32-E72D297353CC}">
              <c16:uniqueId val="{00000001-37FA-43D4-A42A-447680F7786E}"/>
            </c:ext>
          </c:extLst>
        </c:ser>
        <c:dLbls>
          <c:showLegendKey val="0"/>
          <c:showVal val="0"/>
          <c:showCatName val="0"/>
          <c:showSerName val="0"/>
          <c:showPercent val="0"/>
          <c:showBubbleSize val="0"/>
        </c:dLbls>
        <c:gapWidth val="247"/>
        <c:axId val="227225240"/>
        <c:axId val="227226416"/>
      </c:barChart>
      <c:catAx>
        <c:axId val="2272252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7226416"/>
        <c:crosses val="autoZero"/>
        <c:auto val="1"/>
        <c:lblAlgn val="ctr"/>
        <c:lblOffset val="100"/>
        <c:noMultiLvlLbl val="0"/>
      </c:catAx>
      <c:valAx>
        <c:axId val="2272264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722524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1c31429-d09a-48a9-b27f-7041a814b226}"/>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Sheet1!$D$1755</c:f>
              <c:strCache>
                <c:ptCount val="1"/>
                <c:pt idx="0">
                  <c:v>Frequency</c:v>
                </c:pt>
              </c:strCache>
            </c:strRef>
          </c:tx>
          <c:spPr>
            <a:solidFill>
              <a:schemeClr val="accent1"/>
            </a:solidFill>
            <a:ln>
              <a:noFill/>
            </a:ln>
            <a:effectLst/>
          </c:spPr>
          <c:invertIfNegative val="0"/>
          <c:cat>
            <c:strRef>
              <c:f>Sheet1!$C$1756:$C$1760</c:f>
              <c:strCache>
                <c:ptCount val="5"/>
                <c:pt idx="0">
                  <c:v>Proper tenant screening</c:v>
                </c:pt>
                <c:pt idx="1">
                  <c:v>Effective communication with tenants</c:v>
                </c:pt>
                <c:pt idx="2">
                  <c:v>Prompt response to tenant complaints</c:v>
                </c:pt>
                <c:pt idx="3">
                  <c:v>Enforcement of tenancy agreements</c:v>
                </c:pt>
                <c:pt idx="4">
                  <c:v>Poor tenant management practices</c:v>
                </c:pt>
              </c:strCache>
            </c:strRef>
          </c:cat>
          <c:val>
            <c:numRef>
              <c:f>Sheet1!$D$1756:$D$1760</c:f>
              <c:numCache>
                <c:formatCode>General</c:formatCode>
                <c:ptCount val="5"/>
                <c:pt idx="0">
                  <c:v>13</c:v>
                </c:pt>
                <c:pt idx="1">
                  <c:v>10</c:v>
                </c:pt>
                <c:pt idx="2">
                  <c:v>8</c:v>
                </c:pt>
                <c:pt idx="3">
                  <c:v>6</c:v>
                </c:pt>
                <c:pt idx="4">
                  <c:v>3</c:v>
                </c:pt>
              </c:numCache>
            </c:numRef>
          </c:val>
          <c:extLst>
            <c:ext xmlns:c16="http://schemas.microsoft.com/office/drawing/2014/chart" uri="{C3380CC4-5D6E-409C-BE32-E72D297353CC}">
              <c16:uniqueId val="{00000000-73FC-4DA7-9DDA-67D4A91CAB10}"/>
            </c:ext>
          </c:extLst>
        </c:ser>
        <c:ser>
          <c:idx val="1"/>
          <c:order val="1"/>
          <c:tx>
            <c:strRef>
              <c:f>Sheet1!$E$1755</c:f>
              <c:strCache>
                <c:ptCount val="1"/>
                <c:pt idx="0">
                  <c:v>Percentage (%)</c:v>
                </c:pt>
              </c:strCache>
            </c:strRef>
          </c:tx>
          <c:spPr>
            <a:solidFill>
              <a:schemeClr val="accent2"/>
            </a:solidFill>
            <a:ln>
              <a:noFill/>
            </a:ln>
            <a:effectLst/>
          </c:spPr>
          <c:invertIfNegative val="0"/>
          <c:cat>
            <c:strRef>
              <c:f>Sheet1!$C$1756:$C$1760</c:f>
              <c:strCache>
                <c:ptCount val="5"/>
                <c:pt idx="0">
                  <c:v>Proper tenant screening</c:v>
                </c:pt>
                <c:pt idx="1">
                  <c:v>Effective communication with tenants</c:v>
                </c:pt>
                <c:pt idx="2">
                  <c:v>Prompt response to tenant complaints</c:v>
                </c:pt>
                <c:pt idx="3">
                  <c:v>Enforcement of tenancy agreements</c:v>
                </c:pt>
                <c:pt idx="4">
                  <c:v>Poor tenant management practices</c:v>
                </c:pt>
              </c:strCache>
            </c:strRef>
          </c:cat>
          <c:val>
            <c:numRef>
              <c:f>Sheet1!$E$1756:$E$1760</c:f>
              <c:numCache>
                <c:formatCode>General</c:formatCode>
                <c:ptCount val="5"/>
                <c:pt idx="0">
                  <c:v>32.5</c:v>
                </c:pt>
                <c:pt idx="1">
                  <c:v>25</c:v>
                </c:pt>
                <c:pt idx="2">
                  <c:v>20</c:v>
                </c:pt>
                <c:pt idx="3">
                  <c:v>15</c:v>
                </c:pt>
                <c:pt idx="4">
                  <c:v>7.5</c:v>
                </c:pt>
              </c:numCache>
            </c:numRef>
          </c:val>
          <c:extLst>
            <c:ext xmlns:c16="http://schemas.microsoft.com/office/drawing/2014/chart" uri="{C3380CC4-5D6E-409C-BE32-E72D297353CC}">
              <c16:uniqueId val="{00000001-73FC-4DA7-9DDA-67D4A91CAB10}"/>
            </c:ext>
          </c:extLst>
        </c:ser>
        <c:dLbls>
          <c:showLegendKey val="0"/>
          <c:showVal val="0"/>
          <c:showCatName val="0"/>
          <c:showSerName val="0"/>
          <c:showPercent val="0"/>
          <c:showBubbleSize val="0"/>
        </c:dLbls>
        <c:gapWidth val="267"/>
        <c:overlap val="-43"/>
        <c:axId val="228824328"/>
        <c:axId val="228823936"/>
      </c:barChart>
      <c:catAx>
        <c:axId val="2288243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8823936"/>
        <c:crosses val="autoZero"/>
        <c:auto val="1"/>
        <c:lblAlgn val="ctr"/>
        <c:lblOffset val="100"/>
        <c:noMultiLvlLbl val="0"/>
      </c:catAx>
      <c:valAx>
        <c:axId val="2288239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882432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6315acf-a652-4d45-b406-2aba69b26bae}"/>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Sheet1!$D$1779</c:f>
              <c:strCache>
                <c:ptCount val="1"/>
                <c:pt idx="0">
                  <c:v>Frequency</c:v>
                </c:pt>
              </c:strCache>
            </c:strRef>
          </c:tx>
          <c:spPr>
            <a:solidFill>
              <a:schemeClr val="accent1"/>
            </a:solidFill>
            <a:ln>
              <a:noFill/>
            </a:ln>
            <a:effectLst/>
          </c:spPr>
          <c:invertIfNegative val="0"/>
          <c:cat>
            <c:strRef>
              <c:f>Sheet1!$C$1780:$C$1784</c:f>
              <c:strCache>
                <c:ptCount val="5"/>
                <c:pt idx="0">
                  <c:v>Improved property maintenance</c:v>
                </c:pt>
                <c:pt idx="1">
                  <c:v>Efficient rent collection</c:v>
                </c:pt>
                <c:pt idx="2">
                  <c:v>Better tenant relations and management</c:v>
                </c:pt>
                <c:pt idx="3">
                  <c:v>Professional marketing of properties</c:v>
                </c:pt>
                <c:pt idx="4">
                  <c:v>Legal and administrative support</c:v>
                </c:pt>
              </c:strCache>
            </c:strRef>
          </c:cat>
          <c:val>
            <c:numRef>
              <c:f>Sheet1!$D$1780:$D$1784</c:f>
              <c:numCache>
                <c:formatCode>General</c:formatCode>
                <c:ptCount val="5"/>
                <c:pt idx="0">
                  <c:v>12</c:v>
                </c:pt>
                <c:pt idx="1">
                  <c:v>10</c:v>
                </c:pt>
                <c:pt idx="2">
                  <c:v>8</c:v>
                </c:pt>
                <c:pt idx="3">
                  <c:v>6</c:v>
                </c:pt>
                <c:pt idx="4">
                  <c:v>4</c:v>
                </c:pt>
              </c:numCache>
            </c:numRef>
          </c:val>
          <c:extLst>
            <c:ext xmlns:c16="http://schemas.microsoft.com/office/drawing/2014/chart" uri="{C3380CC4-5D6E-409C-BE32-E72D297353CC}">
              <c16:uniqueId val="{00000000-4C09-4FF1-B56B-7CC8094D81D8}"/>
            </c:ext>
          </c:extLst>
        </c:ser>
        <c:ser>
          <c:idx val="1"/>
          <c:order val="1"/>
          <c:tx>
            <c:strRef>
              <c:f>Sheet1!$E$1779</c:f>
              <c:strCache>
                <c:ptCount val="1"/>
                <c:pt idx="0">
                  <c:v>Percentage (%)</c:v>
                </c:pt>
              </c:strCache>
            </c:strRef>
          </c:tx>
          <c:spPr>
            <a:solidFill>
              <a:schemeClr val="accent2"/>
            </a:solidFill>
            <a:ln>
              <a:noFill/>
            </a:ln>
            <a:effectLst/>
          </c:spPr>
          <c:invertIfNegative val="0"/>
          <c:cat>
            <c:strRef>
              <c:f>Sheet1!$C$1780:$C$1784</c:f>
              <c:strCache>
                <c:ptCount val="5"/>
                <c:pt idx="0">
                  <c:v>Improved property maintenance</c:v>
                </c:pt>
                <c:pt idx="1">
                  <c:v>Efficient rent collection</c:v>
                </c:pt>
                <c:pt idx="2">
                  <c:v>Better tenant relations and management</c:v>
                </c:pt>
                <c:pt idx="3">
                  <c:v>Professional marketing of properties</c:v>
                </c:pt>
                <c:pt idx="4">
                  <c:v>Legal and administrative support</c:v>
                </c:pt>
              </c:strCache>
            </c:strRef>
          </c:cat>
          <c:val>
            <c:numRef>
              <c:f>Sheet1!$E$1780:$E$1784</c:f>
              <c:numCache>
                <c:formatCode>General</c:formatCode>
                <c:ptCount val="5"/>
                <c:pt idx="0">
                  <c:v>30</c:v>
                </c:pt>
                <c:pt idx="1">
                  <c:v>25</c:v>
                </c:pt>
                <c:pt idx="2">
                  <c:v>20</c:v>
                </c:pt>
                <c:pt idx="3">
                  <c:v>15</c:v>
                </c:pt>
                <c:pt idx="4">
                  <c:v>10</c:v>
                </c:pt>
              </c:numCache>
            </c:numRef>
          </c:val>
          <c:extLst>
            <c:ext xmlns:c16="http://schemas.microsoft.com/office/drawing/2014/chart" uri="{C3380CC4-5D6E-409C-BE32-E72D297353CC}">
              <c16:uniqueId val="{00000001-4C09-4FF1-B56B-7CC8094D81D8}"/>
            </c:ext>
          </c:extLst>
        </c:ser>
        <c:dLbls>
          <c:showLegendKey val="0"/>
          <c:showVal val="0"/>
          <c:showCatName val="0"/>
          <c:showSerName val="0"/>
          <c:showPercent val="0"/>
          <c:showBubbleSize val="0"/>
        </c:dLbls>
        <c:gapWidth val="267"/>
        <c:overlap val="-43"/>
        <c:axId val="228824720"/>
        <c:axId val="228821584"/>
      </c:barChart>
      <c:catAx>
        <c:axId val="2288247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228821584"/>
        <c:crosses val="autoZero"/>
        <c:auto val="1"/>
        <c:lblAlgn val="ctr"/>
        <c:lblOffset val="100"/>
        <c:noMultiLvlLbl val="0"/>
      </c:catAx>
      <c:valAx>
        <c:axId val="2288215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22882472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27e176e-7007-46fc-b506-418c0ab26537}"/>
      </c:ext>
    </c:extLst>
  </c:chart>
  <c:spPr>
    <a:solidFill>
      <a:schemeClr val="lt1"/>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11263</TotalTime>
  <Pages>17</Pages>
  <Words>4457</Words>
  <Characters>25409</Characters>
  <Application>Microsoft Office Word</Application>
  <DocSecurity>0</DocSecurity>
  <Lines>211</Lines>
  <Paragraphs>59</Paragraphs>
  <ScaleCrop>false</ScaleCrop>
  <Company/>
  <LinksUpToDate>false</LinksUpToDate>
  <CharactersWithSpaces>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theaisha1707@gmail.com</cp:lastModifiedBy>
  <cp:revision>129</cp:revision>
  <dcterms:created xsi:type="dcterms:W3CDTF">2026-03-25T20:05:00Z</dcterms:created>
  <dcterms:modified xsi:type="dcterms:W3CDTF">2026-04-06T07:02:00Z</dcterms:modified>
</cp:coreProperties>
</file>