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47B1" w14:textId="00B5FA0E" w:rsidR="007D05DB" w:rsidRDefault="007D05DB" w:rsidP="002C1720">
      <w:pPr>
        <w:spacing w:after="200" w:line="240" w:lineRule="auto"/>
        <w:jc w:val="both"/>
        <w:rPr>
          <w:rFonts w:ascii="Times New Roman" w:eastAsia="Calibri" w:hAnsi="Times New Roman" w:cs="Times New Roman"/>
          <w:b/>
          <w:bCs/>
          <w:kern w:val="0"/>
          <w14:ligatures w14:val="none"/>
        </w:rPr>
      </w:pPr>
      <w:r w:rsidRPr="00E32CD6">
        <w:rPr>
          <w:rFonts w:ascii="Times New Roman" w:eastAsia="Calibri" w:hAnsi="Times New Roman" w:cs="Times New Roman"/>
          <w:b/>
          <w:bCs/>
          <w:kern w:val="0"/>
          <w14:ligatures w14:val="none"/>
        </w:rPr>
        <w:t xml:space="preserve">RELATIONSHIP BETWEEN POPULATION CONCENTRATION AND MIXED LAND </w:t>
      </w:r>
      <w:r w:rsidR="00E32CD6">
        <w:rPr>
          <w:rFonts w:ascii="Times New Roman" w:eastAsia="Calibri" w:hAnsi="Times New Roman" w:cs="Times New Roman"/>
          <w:b/>
          <w:bCs/>
          <w:kern w:val="0"/>
          <w14:ligatures w14:val="none"/>
        </w:rPr>
        <w:tab/>
      </w:r>
      <w:r w:rsidR="00E32CD6">
        <w:rPr>
          <w:rFonts w:ascii="Times New Roman" w:eastAsia="Calibri" w:hAnsi="Times New Roman" w:cs="Times New Roman"/>
          <w:b/>
          <w:bCs/>
          <w:kern w:val="0"/>
          <w14:ligatures w14:val="none"/>
        </w:rPr>
        <w:tab/>
      </w:r>
      <w:r w:rsidR="00E32CD6">
        <w:rPr>
          <w:rFonts w:ascii="Times New Roman" w:eastAsia="Calibri" w:hAnsi="Times New Roman" w:cs="Times New Roman"/>
          <w:b/>
          <w:bCs/>
          <w:kern w:val="0"/>
          <w14:ligatures w14:val="none"/>
        </w:rPr>
        <w:tab/>
      </w:r>
      <w:r w:rsidR="00E32CD6">
        <w:rPr>
          <w:rFonts w:ascii="Times New Roman" w:eastAsia="Calibri" w:hAnsi="Times New Roman" w:cs="Times New Roman"/>
          <w:b/>
          <w:bCs/>
          <w:kern w:val="0"/>
          <w14:ligatures w14:val="none"/>
        </w:rPr>
        <w:tab/>
      </w:r>
      <w:r w:rsidRPr="00E32CD6">
        <w:rPr>
          <w:rFonts w:ascii="Times New Roman" w:eastAsia="Calibri" w:hAnsi="Times New Roman" w:cs="Times New Roman"/>
          <w:b/>
          <w:bCs/>
          <w:kern w:val="0"/>
          <w14:ligatures w14:val="none"/>
        </w:rPr>
        <w:t>USES IN CALABAR METROPOLIS</w:t>
      </w:r>
      <w:r w:rsidR="005A151B">
        <w:rPr>
          <w:rFonts w:ascii="Times New Roman" w:eastAsia="Calibri" w:hAnsi="Times New Roman" w:cs="Times New Roman"/>
          <w:b/>
          <w:bCs/>
          <w:kern w:val="0"/>
          <w14:ligatures w14:val="none"/>
        </w:rPr>
        <w:t>, NIGERIA</w:t>
      </w:r>
    </w:p>
    <w:p w14:paraId="243777E6" w14:textId="26188ED0" w:rsidR="005A151B" w:rsidRDefault="005A151B" w:rsidP="002C1720">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ABSTRACT</w:t>
      </w:r>
    </w:p>
    <w:p w14:paraId="1AAE355E" w14:textId="4FF60C97" w:rsidR="00A16F5A" w:rsidRDefault="00A16F5A" w:rsidP="000C6E27">
      <w:pPr>
        <w:spacing w:after="200" w:line="240" w:lineRule="auto"/>
        <w:jc w:val="both"/>
        <w:rPr>
          <w:rFonts w:ascii="Times New Roman" w:eastAsia="Calibri" w:hAnsi="Times New Roman" w:cs="Times New Roman"/>
          <w:i/>
          <w:iCs/>
          <w:kern w:val="0"/>
          <w14:ligatures w14:val="none"/>
        </w:rPr>
      </w:pPr>
      <w:r w:rsidRPr="00AB50AF">
        <w:rPr>
          <w:rFonts w:ascii="Times New Roman" w:eastAsia="Calibri" w:hAnsi="Times New Roman" w:cs="Times New Roman"/>
          <w:i/>
          <w:iCs/>
          <w:kern w:val="0"/>
          <w14:ligatures w14:val="none"/>
        </w:rPr>
        <w:t xml:space="preserve">This study examined the relationship between population concentration and mixed land uses in Calabar Metropolis, Nigeria. The study aimed at establishing a linkage between the two variables, whether population concentration is a causal factor contributing to the development </w:t>
      </w:r>
      <w:r w:rsidR="00F94FFA">
        <w:rPr>
          <w:rFonts w:ascii="Times New Roman" w:eastAsia="Calibri" w:hAnsi="Times New Roman" w:cs="Times New Roman"/>
          <w:i/>
          <w:iCs/>
          <w:kern w:val="0"/>
          <w14:ligatures w14:val="none"/>
        </w:rPr>
        <w:t xml:space="preserve">of </w:t>
      </w:r>
      <w:r w:rsidRPr="00AB50AF">
        <w:rPr>
          <w:rFonts w:ascii="Times New Roman" w:eastAsia="Calibri" w:hAnsi="Times New Roman" w:cs="Times New Roman"/>
          <w:i/>
          <w:iCs/>
          <w:kern w:val="0"/>
          <w14:ligatures w14:val="none"/>
        </w:rPr>
        <w:t>mixed land uses in Calabar Metropolis. Map analysis with the instrumentality of the linear planimeter was used to gather quantitative data matched with census data. Both qualitative and quantitative approaches were combined in the analysis</w:t>
      </w:r>
      <w:r w:rsidR="000C6E27" w:rsidRPr="00AB50AF">
        <w:rPr>
          <w:rFonts w:ascii="Times New Roman" w:eastAsia="Calibri" w:hAnsi="Times New Roman" w:cs="Times New Roman"/>
          <w:i/>
          <w:iCs/>
          <w:kern w:val="0"/>
          <w14:ligatures w14:val="none"/>
        </w:rPr>
        <w:t>. Qualitative analysis was</w:t>
      </w:r>
      <w:r w:rsidR="00AB50AF">
        <w:rPr>
          <w:rFonts w:ascii="Times New Roman" w:eastAsia="Calibri" w:hAnsi="Times New Roman" w:cs="Times New Roman"/>
          <w:i/>
          <w:iCs/>
          <w:kern w:val="0"/>
          <w14:ligatures w14:val="none"/>
        </w:rPr>
        <w:t xml:space="preserve"> carried out for</w:t>
      </w:r>
      <w:r w:rsidR="000C6E27" w:rsidRPr="00AB50AF">
        <w:rPr>
          <w:rFonts w:ascii="Times New Roman" w:eastAsia="Calibri" w:hAnsi="Times New Roman" w:cs="Times New Roman"/>
          <w:i/>
          <w:iCs/>
          <w:kern w:val="0"/>
          <w14:ligatures w14:val="none"/>
        </w:rPr>
        <w:t xml:space="preserve"> description while quantitative analysis was used in testing the formulated null hypothesis that</w:t>
      </w:r>
      <w:r w:rsidR="00AB50AF">
        <w:rPr>
          <w:rFonts w:ascii="Times New Roman" w:eastAsia="Calibri" w:hAnsi="Times New Roman" w:cs="Times New Roman"/>
          <w:i/>
          <w:iCs/>
          <w:kern w:val="0"/>
          <w14:ligatures w14:val="none"/>
        </w:rPr>
        <w:t>;</w:t>
      </w:r>
      <w:r w:rsidR="000C6E27" w:rsidRPr="00AB50AF">
        <w:rPr>
          <w:rFonts w:ascii="Times New Roman" w:eastAsia="Calibri" w:hAnsi="Times New Roman" w:cs="Times New Roman"/>
          <w:i/>
          <w:iCs/>
          <w:kern w:val="0"/>
          <w14:ligatures w14:val="none"/>
        </w:rPr>
        <w:t xml:space="preserve"> there is no significant relationship between population concentration</w:t>
      </w:r>
      <w:r w:rsidRPr="00AB50AF">
        <w:rPr>
          <w:rFonts w:ascii="Times New Roman" w:eastAsia="Calibri" w:hAnsi="Times New Roman" w:cs="Times New Roman"/>
          <w:i/>
          <w:iCs/>
          <w:kern w:val="0"/>
          <w14:ligatures w14:val="none"/>
        </w:rPr>
        <w:t xml:space="preserve"> </w:t>
      </w:r>
      <w:r w:rsidR="000C6E27" w:rsidRPr="00AB50AF">
        <w:rPr>
          <w:rFonts w:ascii="Times New Roman" w:eastAsia="Calibri" w:hAnsi="Times New Roman" w:cs="Times New Roman"/>
          <w:i/>
          <w:iCs/>
          <w:kern w:val="0"/>
          <w14:ligatures w14:val="none"/>
        </w:rPr>
        <w:t>and the areal extent (m</w:t>
      </w:r>
      <w:r w:rsidR="000C6E27" w:rsidRPr="00AB50AF">
        <w:rPr>
          <w:rFonts w:ascii="Times New Roman" w:eastAsia="Calibri" w:hAnsi="Times New Roman" w:cs="Times New Roman"/>
          <w:i/>
          <w:iCs/>
          <w:kern w:val="0"/>
          <w:vertAlign w:val="superscript"/>
          <w14:ligatures w14:val="none"/>
        </w:rPr>
        <w:t>2</w:t>
      </w:r>
      <w:r w:rsidR="000C6E27" w:rsidRPr="00AB50AF">
        <w:rPr>
          <w:rFonts w:ascii="Times New Roman" w:eastAsia="Calibri" w:hAnsi="Times New Roman" w:cs="Times New Roman"/>
          <w:i/>
          <w:iCs/>
          <w:kern w:val="0"/>
          <w14:ligatures w14:val="none"/>
        </w:rPr>
        <w:t xml:space="preserve">) of mixed land uses within the neighbourhood zones of Calabar Metropolis. </w:t>
      </w:r>
      <w:r w:rsidR="00AB50AF">
        <w:rPr>
          <w:rFonts w:ascii="Times New Roman" w:eastAsia="Calibri" w:hAnsi="Times New Roman" w:cs="Times New Roman"/>
          <w:i/>
          <w:iCs/>
          <w:kern w:val="0"/>
          <w14:ligatures w14:val="none"/>
        </w:rPr>
        <w:t>This was tested with the linear regression analysis and the</w:t>
      </w:r>
      <w:r w:rsidR="000C6E27" w:rsidRPr="00AB50AF">
        <w:rPr>
          <w:rFonts w:ascii="Times New Roman" w:eastAsia="Calibri" w:hAnsi="Times New Roman" w:cs="Times New Roman"/>
          <w:i/>
          <w:iCs/>
          <w:kern w:val="0"/>
          <w14:ligatures w14:val="none"/>
        </w:rPr>
        <w:t xml:space="preserve"> result showed a no statistically significant relationship with the overall model fit</w:t>
      </w:r>
      <w:r w:rsidR="008144C0">
        <w:rPr>
          <w:rFonts w:ascii="Times New Roman" w:eastAsia="Calibri" w:hAnsi="Times New Roman" w:cs="Times New Roman"/>
          <w:i/>
          <w:iCs/>
          <w:kern w:val="0"/>
          <w14:ligatures w14:val="none"/>
        </w:rPr>
        <w:t xml:space="preserve"> of </w:t>
      </w:r>
      <w:r w:rsidR="000C6E27" w:rsidRPr="00AB50AF">
        <w:rPr>
          <w:rFonts w:ascii="Times New Roman" w:eastAsia="Calibri" w:hAnsi="Times New Roman" w:cs="Times New Roman"/>
          <w:i/>
          <w:iCs/>
          <w:kern w:val="0"/>
          <w14:ligatures w14:val="none"/>
        </w:rPr>
        <w:t>R</w:t>
      </w:r>
      <w:r w:rsidR="000C6E27" w:rsidRPr="00AB50AF">
        <w:rPr>
          <w:rFonts w:ascii="Times New Roman" w:eastAsia="Calibri" w:hAnsi="Times New Roman" w:cs="Times New Roman"/>
          <w:i/>
          <w:iCs/>
          <w:kern w:val="0"/>
          <w:vertAlign w:val="superscript"/>
          <w14:ligatures w14:val="none"/>
        </w:rPr>
        <w:t>2</w:t>
      </w:r>
      <w:r w:rsidR="000C6E27" w:rsidRPr="00AB50AF">
        <w:rPr>
          <w:rFonts w:ascii="Times New Roman" w:eastAsia="Calibri" w:hAnsi="Times New Roman" w:cs="Times New Roman"/>
          <w:i/>
          <w:iCs/>
          <w:kern w:val="0"/>
          <w14:ligatures w14:val="none"/>
        </w:rPr>
        <w:t xml:space="preserve"> = 0.126 which was very low. This proved that </w:t>
      </w:r>
      <w:r w:rsidR="00AB50AF" w:rsidRPr="00AB50AF">
        <w:rPr>
          <w:rFonts w:ascii="Times New Roman" w:eastAsia="Calibri" w:hAnsi="Times New Roman" w:cs="Times New Roman"/>
          <w:i/>
          <w:iCs/>
          <w:kern w:val="0"/>
          <w14:ligatures w14:val="none"/>
        </w:rPr>
        <w:t xml:space="preserve">development of mixed land uses is not caused by population concentration and therefore, suggests a further </w:t>
      </w:r>
      <w:r w:rsidR="00AB50AF">
        <w:rPr>
          <w:rFonts w:ascii="Times New Roman" w:eastAsia="Calibri" w:hAnsi="Times New Roman" w:cs="Times New Roman"/>
          <w:i/>
          <w:iCs/>
          <w:kern w:val="0"/>
          <w14:ligatures w14:val="none"/>
        </w:rPr>
        <w:t>re-examination of the variables</w:t>
      </w:r>
      <w:r w:rsidR="00AB50AF" w:rsidRPr="00AB50AF">
        <w:rPr>
          <w:rFonts w:ascii="Times New Roman" w:eastAsia="Calibri" w:hAnsi="Times New Roman" w:cs="Times New Roman"/>
          <w:i/>
          <w:iCs/>
          <w:kern w:val="0"/>
          <w14:ligatures w14:val="none"/>
        </w:rPr>
        <w:t>.</w:t>
      </w:r>
    </w:p>
    <w:p w14:paraId="3A759D82" w14:textId="32B5FC2D" w:rsidR="00AB50AF" w:rsidRPr="00AB50AF" w:rsidRDefault="00AB50AF" w:rsidP="000C6E27">
      <w:pPr>
        <w:spacing w:after="20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KEY WORDS: Areal extent,</w:t>
      </w:r>
      <w:r w:rsidR="00B41294">
        <w:rPr>
          <w:rFonts w:ascii="Times New Roman" w:eastAsia="Calibri" w:hAnsi="Times New Roman" w:cs="Times New Roman"/>
          <w:kern w:val="0"/>
          <w14:ligatures w14:val="none"/>
        </w:rPr>
        <w:t xml:space="preserve"> Likert scale, Linear regression, Map analysis, Neigbourhood zones, Population concentration.</w:t>
      </w:r>
    </w:p>
    <w:p w14:paraId="589AB826" w14:textId="4B872EB1" w:rsidR="00C70366" w:rsidRPr="00C70366" w:rsidRDefault="00C70366" w:rsidP="002C1720">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 </w:t>
      </w:r>
      <w:r w:rsidRPr="00C70366">
        <w:rPr>
          <w:rFonts w:ascii="Times New Roman" w:eastAsia="Calibri" w:hAnsi="Times New Roman" w:cs="Times New Roman"/>
          <w:b/>
          <w:bCs/>
          <w:kern w:val="0"/>
          <w14:ligatures w14:val="none"/>
        </w:rPr>
        <w:t>INTRODUCTION</w:t>
      </w:r>
    </w:p>
    <w:p w14:paraId="45BADDD3" w14:textId="735D8356" w:rsidR="00A855C8" w:rsidRPr="007D05DB" w:rsidRDefault="00A855C8"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According to the US Census Bureau (2020), the impact of global population on urban land use is enormous. For example, the world population is currently estimated at 7.5 billion, and it is anticipated to reach 9.0 billion in 2050 (</w:t>
      </w:r>
      <w:r w:rsidR="00325138">
        <w:rPr>
          <w:rFonts w:ascii="Times New Roman" w:eastAsia="Calibri" w:hAnsi="Times New Roman" w:cs="Times New Roman"/>
          <w:kern w:val="0"/>
          <w14:ligatures w14:val="none"/>
        </w:rPr>
        <w:t xml:space="preserve">Yaro, Shabu, Obongha, Okon, &amp; Tagba, 2025; </w:t>
      </w:r>
      <w:r w:rsidRPr="007D05DB">
        <w:rPr>
          <w:rFonts w:ascii="Times New Roman" w:eastAsia="Calibri" w:hAnsi="Times New Roman" w:cs="Times New Roman"/>
          <w:kern w:val="0"/>
          <w14:ligatures w14:val="none"/>
        </w:rPr>
        <w:t>US Census Bureau, 2020). The inevitable consequence of rapidly increasing world population is a growing demand for housing, food and transportation. At the same time, waste generation would increase. Therefore, satisfying human needs would mean increase in land use non-conformity. Jaeger (2013) studied population as determinant of non-conforming land uses in California. The study revealed that urban population is usually distributed by land use regulations. These regulations also have the capacity to sway the density of developed lands and the general land area of the city. Jaeger</w:t>
      </w:r>
      <w:r w:rsidRPr="002C1720">
        <w:rPr>
          <w:rFonts w:ascii="Times New Roman" w:eastAsia="Calibri" w:hAnsi="Times New Roman" w:cs="Times New Roman"/>
          <w:kern w:val="0"/>
          <w14:ligatures w14:val="none"/>
        </w:rPr>
        <w:t>,</w:t>
      </w:r>
      <w:r w:rsidRPr="007D05DB">
        <w:rPr>
          <w:rFonts w:ascii="Times New Roman" w:eastAsia="Calibri" w:hAnsi="Times New Roman" w:cs="Times New Roman"/>
          <w:kern w:val="0"/>
          <w14:ligatures w14:val="none"/>
        </w:rPr>
        <w:t xml:space="preserve"> noted that the implication of population increase is pressure on activities that takes place on land influenced by creation of incongruous land uses. For example, in Calabar South, Nigeria a grinding mill could be developed in a residential family compound by a member of the family who wished to embark on such a business and it is permitted by other members of the family. This development is capable of ruining the neighbourhood quality by generating excessive noise level. Population concentration has also led to conversion from one land use to another as well as non-harmonized </w:t>
      </w:r>
      <w:r w:rsidRPr="002C1720">
        <w:rPr>
          <w:rFonts w:ascii="Times New Roman" w:eastAsia="Calibri" w:hAnsi="Times New Roman" w:cs="Times New Roman"/>
          <w:kern w:val="0"/>
          <w14:ligatures w14:val="none"/>
        </w:rPr>
        <w:t>mixed-use</w:t>
      </w:r>
      <w:r w:rsidRPr="007D05DB">
        <w:rPr>
          <w:rFonts w:ascii="Times New Roman" w:eastAsia="Calibri" w:hAnsi="Times New Roman" w:cs="Times New Roman"/>
          <w:kern w:val="0"/>
          <w14:ligatures w14:val="none"/>
        </w:rPr>
        <w:t xml:space="preserve"> development</w:t>
      </w:r>
      <w:r w:rsidRPr="002C1720">
        <w:rPr>
          <w:rFonts w:ascii="Times New Roman" w:eastAsia="Calibri" w:hAnsi="Times New Roman" w:cs="Times New Roman"/>
          <w:kern w:val="0"/>
          <w14:ligatures w14:val="none"/>
        </w:rPr>
        <w:t>s</w:t>
      </w:r>
      <w:r w:rsidRPr="007D05DB">
        <w:rPr>
          <w:rFonts w:ascii="Times New Roman" w:eastAsia="Calibri" w:hAnsi="Times New Roman" w:cs="Times New Roman"/>
          <w:kern w:val="0"/>
          <w14:ligatures w14:val="none"/>
        </w:rPr>
        <w:t>.</w:t>
      </w:r>
    </w:p>
    <w:p w14:paraId="2CDCC2B1" w14:textId="4F8B4B24" w:rsidR="00A855C8" w:rsidRPr="007D05DB" w:rsidRDefault="00A855C8" w:rsidP="002C1720">
      <w:pPr>
        <w:spacing w:after="200" w:line="240" w:lineRule="auto"/>
        <w:jc w:val="both"/>
        <w:rPr>
          <w:rFonts w:ascii="Times New Roman" w:eastAsia="SimSun" w:hAnsi="Times New Roman" w:cs="Times New Roman"/>
          <w:color w:val="000000"/>
          <w:kern w:val="0"/>
          <w:lang w:eastAsia="zh-CN"/>
          <w14:ligatures w14:val="none"/>
        </w:rPr>
      </w:pPr>
      <w:r w:rsidRPr="007D05DB">
        <w:rPr>
          <w:rFonts w:ascii="Times New Roman" w:eastAsia="Calibri" w:hAnsi="Times New Roman" w:cs="Times New Roman"/>
          <w:kern w:val="0"/>
          <w14:ligatures w14:val="none"/>
        </w:rPr>
        <w:t xml:space="preserve">In a study in the United States, for example, Fan, Qiu </w:t>
      </w:r>
      <w:r w:rsidR="00C70366">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Wang (2009) found that the impact of population concentration on the future demand for land is potentially huge. It was also revealed that fast growth of population led to poor economic performance. In a similar development, Aruand (2010) found that thirty per cent of US population lives in urban centres in coastal environments, creating incompatible land uses viz; residential and agricultural within those areas. According to their studies, from a </w:t>
      </w:r>
      <w:r w:rsidRPr="002C1720">
        <w:rPr>
          <w:rFonts w:ascii="Times New Roman" w:eastAsia="Calibri" w:hAnsi="Times New Roman" w:cs="Times New Roman"/>
          <w:kern w:val="0"/>
          <w14:ligatures w14:val="none"/>
        </w:rPr>
        <w:t>long-term</w:t>
      </w:r>
      <w:r w:rsidRPr="007D05DB">
        <w:rPr>
          <w:rFonts w:ascii="Times New Roman" w:eastAsia="Calibri" w:hAnsi="Times New Roman" w:cs="Times New Roman"/>
          <w:kern w:val="0"/>
          <w14:ligatures w14:val="none"/>
        </w:rPr>
        <w:t xml:space="preserve"> perspective, rise</w:t>
      </w:r>
      <w:r w:rsidRPr="002C1720">
        <w:rPr>
          <w:rFonts w:ascii="Times New Roman" w:eastAsia="Calibri" w:hAnsi="Times New Roman" w:cs="Times New Roman"/>
          <w:kern w:val="0"/>
          <w14:ligatures w14:val="none"/>
        </w:rPr>
        <w:t xml:space="preserve"> in </w:t>
      </w:r>
      <w:r w:rsidRPr="007D05DB">
        <w:rPr>
          <w:rFonts w:ascii="Times New Roman" w:eastAsia="Calibri" w:hAnsi="Times New Roman" w:cs="Times New Roman"/>
          <w:kern w:val="0"/>
          <w14:ligatures w14:val="none"/>
        </w:rPr>
        <w:t>sea level from climate change would be expected to have a disproportionate displacement impact on non-conforming</w:t>
      </w:r>
      <w:r w:rsidRPr="002C1720">
        <w:rPr>
          <w:rFonts w:ascii="Times New Roman" w:eastAsia="Calibri" w:hAnsi="Times New Roman" w:cs="Times New Roman"/>
          <w:kern w:val="0"/>
          <w14:ligatures w14:val="none"/>
        </w:rPr>
        <w:t xml:space="preserve"> </w:t>
      </w:r>
      <w:r w:rsidRPr="007D05DB">
        <w:rPr>
          <w:rFonts w:ascii="Times New Roman" w:eastAsia="Calibri" w:hAnsi="Times New Roman" w:cs="Times New Roman"/>
          <w:kern w:val="0"/>
          <w14:ligatures w14:val="none"/>
        </w:rPr>
        <w:t>s</w:t>
      </w:r>
      <w:r w:rsidRPr="002C1720">
        <w:rPr>
          <w:rFonts w:ascii="Times New Roman" w:eastAsia="Calibri" w:hAnsi="Times New Roman" w:cs="Times New Roman"/>
          <w:kern w:val="0"/>
          <w14:ligatures w14:val="none"/>
        </w:rPr>
        <w:t>ettlements</w:t>
      </w:r>
      <w:r w:rsidRPr="007D05DB">
        <w:rPr>
          <w:rFonts w:ascii="Times New Roman" w:eastAsia="Calibri" w:hAnsi="Times New Roman" w:cs="Times New Roman"/>
          <w:kern w:val="0"/>
          <w14:ligatures w14:val="none"/>
        </w:rPr>
        <w:t xml:space="preserve"> </w:t>
      </w:r>
      <w:r w:rsidRPr="007D05DB">
        <w:rPr>
          <w:rFonts w:ascii="Times New Roman" w:eastAsia="Calibri" w:hAnsi="Times New Roman" w:cs="Times New Roman"/>
          <w:kern w:val="0"/>
          <w14:ligatures w14:val="none"/>
        </w:rPr>
        <w:lastRenderedPageBreak/>
        <w:t xml:space="preserve">in coastal areas (Barbier, Georgion, Enchelmeyer, </w:t>
      </w:r>
      <w:r w:rsidR="00C70366">
        <w:rPr>
          <w:rFonts w:ascii="Times New Roman" w:eastAsia="Calibri" w:hAnsi="Times New Roman" w:cs="Times New Roman"/>
          <w:kern w:val="0"/>
          <w14:ligatures w14:val="none"/>
        </w:rPr>
        <w:t xml:space="preserve">&amp; </w:t>
      </w:r>
      <w:r w:rsidRPr="007D05DB">
        <w:rPr>
          <w:rFonts w:ascii="Times New Roman" w:eastAsia="Calibri" w:hAnsi="Times New Roman" w:cs="Times New Roman"/>
          <w:kern w:val="0"/>
          <w14:ligatures w14:val="none"/>
        </w:rPr>
        <w:t xml:space="preserve">Reed, 2013; Siadat, Mousari, Jose, Stone, </w:t>
      </w:r>
      <w:r w:rsidR="00C70366">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Lee, 2009).</w:t>
      </w:r>
      <w:r w:rsidRPr="007D05DB">
        <w:rPr>
          <w:rFonts w:ascii="Times New Roman" w:eastAsia="SimSun" w:hAnsi="Times New Roman" w:cs="Times New Roman"/>
          <w:color w:val="000000"/>
          <w:kern w:val="0"/>
          <w:lang w:eastAsia="zh-CN"/>
          <w14:ligatures w14:val="none"/>
        </w:rPr>
        <w:t xml:space="preserve"> It has been globally recognized that, persistent increase in population tends to be the most significant explanatory factor, among others, resulting in high urban concentration of people in search of greener pastures. This assertion is supported by USGS fact sheet 188-99 in 1999 which identified that, approximately fifteen per cent of the world populations were living in urban areas about 100 years ago. However, today, the percentage of the world population living in the urban centres is now approximately seventy per cent (Population World Master, 2020). </w:t>
      </w:r>
      <w:r w:rsidRPr="007D05DB">
        <w:rPr>
          <w:rFonts w:ascii="Times New Roman" w:eastAsia="Calibri" w:hAnsi="Times New Roman" w:cs="Times New Roman"/>
          <w:kern w:val="0"/>
          <w14:ligatures w14:val="none"/>
        </w:rPr>
        <w:t xml:space="preserve">In Nigeria, for example, the current population stands at 206.1 million while 51.16 per cent of this population lives in urban centres. Out of this number, 15.0 per cent is found in shanty and squatter settlements of incompatible land uses (Population World Master, 2020). Population concentration leads to urbanization that brings about visible agents of anthropogenic global forces (Pickett, Cadenasso, Grove, Boone, Grofman, </w:t>
      </w:r>
      <w:r w:rsidR="00C70366">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Irwin, 2011). </w:t>
      </w:r>
    </w:p>
    <w:p w14:paraId="50A65252" w14:textId="74384130" w:rsidR="00A855C8" w:rsidRPr="002C1720" w:rsidRDefault="00A855C8"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In Calabar, for example, the impact of urbanization has led to alteration and alternation of several land uses. Oka (2009) found that land use alteration and alternation caused by population concentration in Calabar has impacted negatively on the spatio-temporal land cover features. Alteration and alternation of the urban green areas, wetlands, riparian, mangrove forest and other green land ecosystems, are currently giving way for the construction of roads, new residential and industrial layouts in Calabar Metropolis. These processes created some non-conformity in the land use patterns of Calabar Metropolis and have seriously affected zoning regulation. The master plan in which most of the areas were zoned </w:t>
      </w:r>
      <w:r w:rsidRPr="002C1720">
        <w:rPr>
          <w:rFonts w:ascii="Times New Roman" w:eastAsia="Calibri" w:hAnsi="Times New Roman" w:cs="Times New Roman"/>
          <w:kern w:val="0"/>
          <w14:ligatures w14:val="none"/>
        </w:rPr>
        <w:t>f</w:t>
      </w:r>
      <w:r w:rsidRPr="007D05DB">
        <w:rPr>
          <w:rFonts w:ascii="Times New Roman" w:eastAsia="Calibri" w:hAnsi="Times New Roman" w:cs="Times New Roman"/>
          <w:kern w:val="0"/>
          <w14:ligatures w14:val="none"/>
        </w:rPr>
        <w:t>o</w:t>
      </w:r>
      <w:r w:rsidRPr="002C1720">
        <w:rPr>
          <w:rFonts w:ascii="Times New Roman" w:eastAsia="Calibri" w:hAnsi="Times New Roman" w:cs="Times New Roman"/>
          <w:kern w:val="0"/>
          <w14:ligatures w14:val="none"/>
        </w:rPr>
        <w:t>r</w:t>
      </w:r>
      <w:r w:rsidRPr="007D05DB">
        <w:rPr>
          <w:rFonts w:ascii="Times New Roman" w:eastAsia="Calibri" w:hAnsi="Times New Roman" w:cs="Times New Roman"/>
          <w:kern w:val="0"/>
          <w14:ligatures w14:val="none"/>
        </w:rPr>
        <w:t xml:space="preserve"> industrial use has been encroached upon by residential uses as a consequence of population growth. However, this study certainly throws some light on </w:t>
      </w:r>
      <w:r w:rsidRPr="002C1720">
        <w:rPr>
          <w:rFonts w:ascii="Times New Roman" w:eastAsia="Calibri" w:hAnsi="Times New Roman" w:cs="Times New Roman"/>
          <w:kern w:val="0"/>
          <w14:ligatures w14:val="none"/>
        </w:rPr>
        <w:t>po</w:t>
      </w:r>
      <w:r w:rsidRPr="007D05DB">
        <w:rPr>
          <w:rFonts w:ascii="Times New Roman" w:eastAsia="Calibri" w:hAnsi="Times New Roman" w:cs="Times New Roman"/>
          <w:kern w:val="0"/>
          <w14:ligatures w14:val="none"/>
        </w:rPr>
        <w:t xml:space="preserve">pulation concentration </w:t>
      </w:r>
      <w:r w:rsidRPr="002C1720">
        <w:rPr>
          <w:rFonts w:ascii="Times New Roman" w:eastAsia="Calibri" w:hAnsi="Times New Roman" w:cs="Times New Roman"/>
          <w:kern w:val="0"/>
          <w14:ligatures w14:val="none"/>
        </w:rPr>
        <w:t>and</w:t>
      </w:r>
      <w:r w:rsidRPr="007D05DB">
        <w:rPr>
          <w:rFonts w:ascii="Times New Roman" w:eastAsia="Calibri" w:hAnsi="Times New Roman" w:cs="Times New Roman"/>
          <w:kern w:val="0"/>
          <w14:ligatures w14:val="none"/>
        </w:rPr>
        <w:t xml:space="preserve"> </w:t>
      </w:r>
      <w:r w:rsidRPr="002C1720">
        <w:rPr>
          <w:rFonts w:ascii="Times New Roman" w:eastAsia="Calibri" w:hAnsi="Times New Roman" w:cs="Times New Roman"/>
          <w:kern w:val="0"/>
          <w14:ligatures w14:val="none"/>
        </w:rPr>
        <w:t xml:space="preserve">mixed </w:t>
      </w:r>
      <w:r w:rsidRPr="007D05DB">
        <w:rPr>
          <w:rFonts w:ascii="Times New Roman" w:eastAsia="Calibri" w:hAnsi="Times New Roman" w:cs="Times New Roman"/>
          <w:kern w:val="0"/>
          <w14:ligatures w14:val="none"/>
        </w:rPr>
        <w:t>land use</w:t>
      </w:r>
      <w:r w:rsidRPr="002C1720">
        <w:rPr>
          <w:rFonts w:ascii="Times New Roman" w:eastAsia="Calibri" w:hAnsi="Times New Roman" w:cs="Times New Roman"/>
          <w:kern w:val="0"/>
          <w14:ligatures w14:val="none"/>
        </w:rPr>
        <w:t>s</w:t>
      </w:r>
      <w:r w:rsidRPr="007D05DB">
        <w:rPr>
          <w:rFonts w:ascii="Times New Roman" w:eastAsia="Calibri" w:hAnsi="Times New Roman" w:cs="Times New Roman"/>
          <w:kern w:val="0"/>
          <w14:ligatures w14:val="none"/>
        </w:rPr>
        <w:t>.</w:t>
      </w:r>
    </w:p>
    <w:p w14:paraId="074D2C41" w14:textId="0B94CB01"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Mixed land uses have been reviewed by Aruand (2010) as a mixture of residential, commercial and industrial uses within a given area. Mixed land use could be a residential area but intermixed with pockets of commercial and industrial uses for the purpose of rendering some services to the residents. A study in Shagamu, Ogun State, Nigeria by Odunola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Odunjo (2015) found that mixed use of buildings brought about traffic congestion, accidents, and increase in travel time and fares. They noted that mixed land uses also caused pollution related problems such as noise, gaseous discharge, land and water pollution, and indiscriminate solid waste disposal. Traffic problems and pollution were measured as perceived by the residents of the study area. </w:t>
      </w:r>
    </w:p>
    <w:p w14:paraId="36A75DE1" w14:textId="7FE2B7F2"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The result</w:t>
      </w:r>
      <w:r w:rsidR="00F85072" w:rsidRPr="002C1720">
        <w:rPr>
          <w:rFonts w:ascii="Times New Roman" w:eastAsia="Calibri" w:hAnsi="Times New Roman" w:cs="Times New Roman"/>
          <w:kern w:val="0"/>
          <w14:ligatures w14:val="none"/>
        </w:rPr>
        <w:t>s</w:t>
      </w:r>
      <w:r w:rsidRPr="007D05DB">
        <w:rPr>
          <w:rFonts w:ascii="Times New Roman" w:eastAsia="Calibri" w:hAnsi="Times New Roman" w:cs="Times New Roman"/>
          <w:kern w:val="0"/>
          <w14:ligatures w14:val="none"/>
        </w:rPr>
        <w:t xml:space="preserve"> of the</w:t>
      </w:r>
      <w:r w:rsidR="00F85072" w:rsidRPr="002C1720">
        <w:rPr>
          <w:rFonts w:ascii="Times New Roman" w:eastAsia="Calibri" w:hAnsi="Times New Roman" w:cs="Times New Roman"/>
          <w:kern w:val="0"/>
          <w14:ligatures w14:val="none"/>
        </w:rPr>
        <w:t>ir</w:t>
      </w:r>
      <w:r w:rsidRPr="007D05DB">
        <w:rPr>
          <w:rFonts w:ascii="Times New Roman" w:eastAsia="Calibri" w:hAnsi="Times New Roman" w:cs="Times New Roman"/>
          <w:kern w:val="0"/>
          <w14:ligatures w14:val="none"/>
        </w:rPr>
        <w:t xml:space="preserve"> study showed a significant relationship between pollution related variables and proximity to residential neighbourhoods. The implication is that the pollution related variables impacted negatively on the residents by making their living condition un-conducive. However, socio-economic characteristics of the residents in residential mixed land use areas were measured. The variables </w:t>
      </w:r>
      <w:r w:rsidR="00F85072" w:rsidRPr="002C1720">
        <w:rPr>
          <w:rFonts w:ascii="Times New Roman" w:eastAsia="Calibri" w:hAnsi="Times New Roman" w:cs="Times New Roman"/>
          <w:kern w:val="0"/>
          <w14:ligatures w14:val="none"/>
        </w:rPr>
        <w:t>measur</w:t>
      </w:r>
      <w:r w:rsidRPr="007D05DB">
        <w:rPr>
          <w:rFonts w:ascii="Times New Roman" w:eastAsia="Calibri" w:hAnsi="Times New Roman" w:cs="Times New Roman"/>
          <w:kern w:val="0"/>
          <w14:ligatures w14:val="none"/>
        </w:rPr>
        <w:t xml:space="preserve">ed were insecurity (burglary, robbery, looting, kidnapping) and anti-social behaviuor (ASB) (fighting, disorderliness, incivilities and heavy drinking) (Obongha, 2019). </w:t>
      </w:r>
    </w:p>
    <w:p w14:paraId="4DC95748" w14:textId="18D2D51C"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Obongha, </w:t>
      </w:r>
      <w:r w:rsidR="00F85072" w:rsidRPr="002C1720">
        <w:rPr>
          <w:rFonts w:ascii="Times New Roman" w:eastAsia="Calibri" w:hAnsi="Times New Roman" w:cs="Times New Roman"/>
          <w:kern w:val="0"/>
          <w14:ligatures w14:val="none"/>
        </w:rPr>
        <w:t xml:space="preserve">Agbor, </w:t>
      </w:r>
      <w:r w:rsidR="001415CD">
        <w:rPr>
          <w:rFonts w:ascii="Times New Roman" w:eastAsia="Calibri" w:hAnsi="Times New Roman" w:cs="Times New Roman"/>
          <w:kern w:val="0"/>
          <w14:ligatures w14:val="none"/>
        </w:rPr>
        <w:t>&amp;</w:t>
      </w:r>
      <w:r w:rsidR="00F85072" w:rsidRPr="002C1720">
        <w:rPr>
          <w:rFonts w:ascii="Times New Roman" w:eastAsia="Calibri" w:hAnsi="Times New Roman" w:cs="Times New Roman"/>
          <w:kern w:val="0"/>
          <w14:ligatures w14:val="none"/>
        </w:rPr>
        <w:t xml:space="preserve"> Upuji</w:t>
      </w:r>
      <w:r w:rsidRPr="007D05DB">
        <w:rPr>
          <w:rFonts w:ascii="Times New Roman" w:eastAsia="Calibri" w:hAnsi="Times New Roman" w:cs="Times New Roman"/>
          <w:kern w:val="0"/>
          <w14:ligatures w14:val="none"/>
        </w:rPr>
        <w:t xml:space="preserve">, (2022) observed that there is a great mixture of businesses in the residential land use area, mainly because such businesses provide a variety of essential services to the residents, for example, shops/malls, some fabrications, and even gasoline stations. Shops and malls provide retail services to the residents and fabrication services are carried out for maintenance of residences, while gasoline stations provide fuel services for easy movement of the residents. These are positive effects of mixed land uses. </w:t>
      </w:r>
    </w:p>
    <w:p w14:paraId="40263721" w14:textId="1307797D"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lastRenderedPageBreak/>
        <w:t xml:space="preserve">Furthermore, mixed land uses could also provide some positive impacts on a city. For example, in recent researches, emphasis has been placed on encouraging mixed uses as a means of boosting socio-cultural diversity within neighbourhoods. A study conducted by the European Commission (2021) in Germany through survey method recommended mixed use development as a means to protect organized urban open spaces, reduce energy consumption, improve access to services and facilities, utilize infrastructure more efficiently and generate agglomeration economies (Working Group on Sustainable Land Use, 2001; Burton, 2000). </w:t>
      </w:r>
    </w:p>
    <w:p w14:paraId="151DBBE4" w14:textId="4171302B"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Mixed land use also refers to development for a variety of uses. Some importance is attached to mixed use development as it is constantly associated with decrease in driving as measured by vehicle miles travelled (VMT) and fuel burned (Frank, Greenworld, Winkleman, Chapman, </w:t>
      </w:r>
      <w:r w:rsidR="001415CD">
        <w:rPr>
          <w:rFonts w:ascii="Times New Roman" w:eastAsia="Calibri" w:hAnsi="Times New Roman" w:cs="Times New Roman"/>
          <w:kern w:val="0"/>
          <w14:ligatures w14:val="none"/>
        </w:rPr>
        <w:t xml:space="preserve">&amp; </w:t>
      </w:r>
      <w:r w:rsidRPr="007D05DB">
        <w:rPr>
          <w:rFonts w:ascii="Times New Roman" w:eastAsia="Calibri" w:hAnsi="Times New Roman" w:cs="Times New Roman"/>
          <w:kern w:val="0"/>
          <w14:ligatures w14:val="none"/>
        </w:rPr>
        <w:t xml:space="preserve">Karage, 2010). An increase in transit-use is promoted by transit-oriented development (TOD) which advocate </w:t>
      </w:r>
      <w:r w:rsidR="00F85072" w:rsidRPr="002C1720">
        <w:rPr>
          <w:rFonts w:ascii="Times New Roman" w:eastAsia="Calibri" w:hAnsi="Times New Roman" w:cs="Times New Roman"/>
          <w:kern w:val="0"/>
          <w14:ligatures w14:val="none"/>
        </w:rPr>
        <w:t xml:space="preserve">for </w:t>
      </w:r>
      <w:r w:rsidRPr="007D05DB">
        <w:rPr>
          <w:rFonts w:ascii="Times New Roman" w:eastAsia="Calibri" w:hAnsi="Times New Roman" w:cs="Times New Roman"/>
          <w:kern w:val="0"/>
          <w14:ligatures w14:val="none"/>
        </w:rPr>
        <w:t xml:space="preserve">mixed use and ready access (within a quarter mile) to one or more transit hubs (Munford, Contant, Weissman, Wolf,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Glanz (2011). </w:t>
      </w:r>
    </w:p>
    <w:p w14:paraId="7E03C949" w14:textId="682A93AB"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Frank, </w:t>
      </w:r>
      <w:r w:rsidRPr="007D05DB">
        <w:rPr>
          <w:rFonts w:ascii="Times New Roman" w:eastAsia="Calibri" w:hAnsi="Times New Roman" w:cs="Times New Roman"/>
          <w:noProof/>
          <w:kern w:val="0"/>
          <w:lang w:val="en-GB"/>
          <w14:ligatures w14:val="none"/>
        </w:rPr>
        <w:t xml:space="preserve">Greenwald, Winkleman, Chapman and Karage, </w:t>
      </w:r>
      <w:r w:rsidRPr="007D05DB">
        <w:rPr>
          <w:rFonts w:ascii="Times New Roman" w:eastAsia="Calibri" w:hAnsi="Times New Roman" w:cs="Times New Roman"/>
          <w:kern w:val="0"/>
          <w14:ligatures w14:val="none"/>
        </w:rPr>
        <w:t>(2010) carried out a study of mixed land uses in Atlanta, Georgia. They observed that the demand for mixed use/compact development is unmet. Their conclusion showed that in Atlanta, seventy per cent of the surveyed group expressed preferences for transit and pedestrian friendly environments. This group was much more likely to prefer a change from their current neighbourhoods to others who might prefer auto – oriented neighbourhoods. There are several preferences and interests as regards to mixed land uses between walkable and car dependent neighbourhoods.</w:t>
      </w:r>
      <w:r w:rsidR="00F85072" w:rsidRPr="002C1720">
        <w:rPr>
          <w:rFonts w:ascii="Times New Roman" w:eastAsia="Calibri" w:hAnsi="Times New Roman" w:cs="Times New Roman"/>
          <w:kern w:val="0"/>
          <w14:ligatures w14:val="none"/>
        </w:rPr>
        <w:t xml:space="preserve"> </w:t>
      </w:r>
      <w:r w:rsidRPr="007D05DB">
        <w:rPr>
          <w:rFonts w:ascii="Times New Roman" w:eastAsia="Calibri" w:hAnsi="Times New Roman" w:cs="Times New Roman"/>
          <w:iCs/>
          <w:kern w:val="0"/>
          <w14:ligatures w14:val="none"/>
        </w:rPr>
        <w:t xml:space="preserve">It can be difficult to isolate the effects of mixed uses alone, since many studies compare neighbourhoods with a bundle of traits such as; mixed use, walkable, transit-oriented, and compact to dispersed, car dependent, and single use (Carnoske, Hoerhner, Ruthmann, Frank, Hardy </w:t>
      </w:r>
      <w:r w:rsidR="001415CD">
        <w:rPr>
          <w:rFonts w:ascii="Times New Roman" w:eastAsia="Calibri" w:hAnsi="Times New Roman" w:cs="Times New Roman"/>
          <w:iCs/>
          <w:kern w:val="0"/>
          <w14:ligatures w14:val="none"/>
        </w:rPr>
        <w:t>&amp;</w:t>
      </w:r>
      <w:r w:rsidRPr="007D05DB">
        <w:rPr>
          <w:rFonts w:ascii="Times New Roman" w:eastAsia="Calibri" w:hAnsi="Times New Roman" w:cs="Times New Roman"/>
          <w:iCs/>
          <w:kern w:val="0"/>
          <w14:ligatures w14:val="none"/>
        </w:rPr>
        <w:t xml:space="preserve"> Hill, 2010). </w:t>
      </w:r>
    </w:p>
    <w:p w14:paraId="724E0022" w14:textId="24626992"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More benefits are associated with subset of </w:t>
      </w:r>
      <w:r w:rsidR="002A1EF9" w:rsidRPr="002C1720">
        <w:rPr>
          <w:rFonts w:ascii="Times New Roman" w:eastAsia="Calibri" w:hAnsi="Times New Roman" w:cs="Times New Roman"/>
          <w:kern w:val="0"/>
          <w14:ligatures w14:val="none"/>
        </w:rPr>
        <w:t>mixed-use</w:t>
      </w:r>
      <w:r w:rsidRPr="007D05DB">
        <w:rPr>
          <w:rFonts w:ascii="Times New Roman" w:eastAsia="Calibri" w:hAnsi="Times New Roman" w:cs="Times New Roman"/>
          <w:kern w:val="0"/>
          <w14:ligatures w14:val="none"/>
        </w:rPr>
        <w:t xml:space="preserve"> development termed transit-oriented development (TOD). Residents who live in TOD locations near to light, rail shops were found to have lower land use complexities (Brown et al., 2009). In recent times, land use professionals and some non-profit making organizations are keying-in to promoting mixed uses in support of lively, safe, and walkable cities. Examples of such are the smart growth network and the congress for new urbanism (Carnoske Hoerhner, Ruthman, Frank, Hardy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Hill, 2010). </w:t>
      </w:r>
    </w:p>
    <w:p w14:paraId="35681A0E" w14:textId="6568C017" w:rsidR="007D05DB" w:rsidRPr="007D05DB"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The United Nations General Assembly organized separate studies by Calthorpe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Fulton (2001)</w:t>
      </w:r>
      <w:r w:rsidR="001415CD">
        <w:rPr>
          <w:rFonts w:ascii="Times New Roman" w:eastAsia="Calibri" w:hAnsi="Times New Roman" w:cs="Times New Roman"/>
          <w:kern w:val="0"/>
          <w14:ligatures w14:val="none"/>
        </w:rPr>
        <w:t>;</w:t>
      </w:r>
      <w:r w:rsidRPr="007D05DB">
        <w:rPr>
          <w:rFonts w:ascii="Times New Roman" w:eastAsia="Calibri" w:hAnsi="Times New Roman" w:cs="Times New Roman"/>
          <w:kern w:val="0"/>
          <w14:ligatures w14:val="none"/>
        </w:rPr>
        <w:t xml:space="preserve"> Duany, Plater-Zyberk,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Speck (2000) on mixed land uses in selected cities. They found in-fill development as a positive impact of mixed land use. Infill development is a movement to curb sprawl and encourage city expansion, particularly in large cities. Infill development represents establishing a new land use in a previously developed district. It may involve increasing the intensity of use of a parcel of land, developing the unused land that is surrounded by development or repurposing previous development to a new use. The Charter for New Urbanism is a brain-child of the United Nations General Assembly which came up as an idea to mitigate sprawl, encourage sustainable growth, and facilitate in-fill development. The concept of new urbanism has been explained as thus: </w:t>
      </w:r>
    </w:p>
    <w:p w14:paraId="07B16E22" w14:textId="77777777" w:rsidR="00B41294" w:rsidRDefault="00B41294" w:rsidP="002C1720">
      <w:pPr>
        <w:autoSpaceDE w:val="0"/>
        <w:autoSpaceDN w:val="0"/>
        <w:adjustRightInd w:val="0"/>
        <w:spacing w:after="0" w:line="240" w:lineRule="auto"/>
        <w:ind w:left="1440" w:right="1458"/>
        <w:jc w:val="both"/>
        <w:rPr>
          <w:rFonts w:ascii="Times New Roman" w:eastAsia="Calibri" w:hAnsi="Times New Roman" w:cs="Times New Roman"/>
          <w:i/>
          <w:kern w:val="0"/>
          <w14:ligatures w14:val="none"/>
        </w:rPr>
      </w:pPr>
    </w:p>
    <w:p w14:paraId="75BC4EBE" w14:textId="0A9816DA" w:rsidR="007D05DB" w:rsidRPr="007D05DB" w:rsidRDefault="007D05DB" w:rsidP="002C1720">
      <w:pPr>
        <w:autoSpaceDE w:val="0"/>
        <w:autoSpaceDN w:val="0"/>
        <w:adjustRightInd w:val="0"/>
        <w:spacing w:after="0" w:line="240" w:lineRule="auto"/>
        <w:ind w:left="1440" w:right="1458"/>
        <w:jc w:val="both"/>
        <w:rPr>
          <w:rFonts w:ascii="Times New Roman" w:eastAsia="Calibri" w:hAnsi="Times New Roman" w:cs="Times New Roman"/>
          <w:i/>
          <w:kern w:val="0"/>
          <w14:ligatures w14:val="none"/>
        </w:rPr>
      </w:pPr>
      <w:r w:rsidRPr="007D05DB">
        <w:rPr>
          <w:rFonts w:ascii="Times New Roman" w:eastAsia="Calibri" w:hAnsi="Times New Roman" w:cs="Times New Roman"/>
          <w:i/>
          <w:kern w:val="0"/>
          <w14:ligatures w14:val="none"/>
        </w:rPr>
        <w:t xml:space="preserve">The concept of New Urbanism was conceived as a response to contemporary problems of urban development characterized by antagonistic land uses, deteriorating environmental quality, declining public realm, and the rise of no-place-edge-city </w:t>
      </w:r>
      <w:r w:rsidRPr="007D05DB">
        <w:rPr>
          <w:rFonts w:ascii="Times New Roman" w:eastAsia="Calibri" w:hAnsi="Times New Roman" w:cs="Times New Roman"/>
          <w:i/>
          <w:kern w:val="0"/>
          <w14:ligatures w14:val="none"/>
        </w:rPr>
        <w:lastRenderedPageBreak/>
        <w:t>phenomena collectively seen as sprawl (Calthorpe and Fulton 2001; Duany, Plater-Zyberk, and Speck 2000).</w:t>
      </w:r>
    </w:p>
    <w:p w14:paraId="5425D00D" w14:textId="77777777" w:rsidR="007D05DB" w:rsidRPr="007D05DB" w:rsidRDefault="007D05DB" w:rsidP="002C1720">
      <w:pPr>
        <w:autoSpaceDE w:val="0"/>
        <w:autoSpaceDN w:val="0"/>
        <w:adjustRightInd w:val="0"/>
        <w:spacing w:after="0" w:line="240" w:lineRule="auto"/>
        <w:ind w:left="1440" w:right="1458"/>
        <w:jc w:val="both"/>
        <w:rPr>
          <w:rFonts w:ascii="Times New Roman" w:eastAsia="Calibri" w:hAnsi="Times New Roman" w:cs="Times New Roman"/>
          <w:i/>
          <w:kern w:val="0"/>
          <w14:ligatures w14:val="none"/>
        </w:rPr>
      </w:pPr>
    </w:p>
    <w:p w14:paraId="49AB5478" w14:textId="022F8C74" w:rsidR="007D05DB" w:rsidRPr="007D05DB"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Arguing against current pattern of development that inevitably produces sprawl, advocates of New Urbanism have offered general physical design concepts to facilitate environmentally responsible developments (Kunstler 2006; Duany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Talen 2002; Kelbaugh 2002). The presumed benefits of the New Urbanism include efficient use of land as well as preservation of environmental and ecological quality of neighbourhoods, districts, and zones. </w:t>
      </w:r>
    </w:p>
    <w:p w14:paraId="4CD45FF3" w14:textId="367F6FA7" w:rsidR="007D05DB"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The New Urbanism concept is expected to improve social life and enhance a sense of community wellbeing. While these claims of the advocates of New Urbanism are being contested, Ellis (2002), Till (2001), Gordon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Richardson (2000) stressed that such schemes are supported by various forms of institutional endorsements and regulatory reforms and are proliferating in the United States. Many cities and counties in the United States are already facilitating New Urbanism design schemes in new suburban developments, urban in-fill projects, and urban transit-oriented developments. </w:t>
      </w:r>
    </w:p>
    <w:p w14:paraId="449A3120" w14:textId="77777777" w:rsidR="001415CD" w:rsidRPr="007D05DB" w:rsidRDefault="001415CD"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5DADA718" w14:textId="08030B81" w:rsidR="002A1EF9"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Obviously, many cities in Nigeria existed before the art of town planning and it has become rather difficult to infuse modern town planning ideas into land uses in the existing traditional cities. In a bid to carry out development and expansion of Nigerian cities, urban sprawl and peripheral development becomes </w:t>
      </w:r>
      <w:r w:rsidR="002A1EF9" w:rsidRPr="002C1720">
        <w:rPr>
          <w:rFonts w:ascii="Times New Roman" w:eastAsia="Calibri" w:hAnsi="Times New Roman" w:cs="Times New Roman"/>
          <w:kern w:val="0"/>
          <w14:ligatures w14:val="none"/>
        </w:rPr>
        <w:t>uncontrollable</w:t>
      </w:r>
      <w:r w:rsidRPr="007D05DB">
        <w:rPr>
          <w:rFonts w:ascii="Times New Roman" w:eastAsia="Calibri" w:hAnsi="Times New Roman" w:cs="Times New Roman"/>
          <w:kern w:val="0"/>
          <w14:ligatures w14:val="none"/>
        </w:rPr>
        <w:t xml:space="preserve">. However, the introduction of the concept of New Urbanism as a process of reintegrating the component of modern life (housing, workplace, shopping, and recreation into compact, pedestrian-friendly, mixed-use neighbourhoods linked by transit and set in a larger regional open space framework) would help to seal-off unnecessary vacant spaces (Ayuba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Rikko, 2019). The concept of New Urbanism is applied to in-fill and development of sites within existing urbanized areas in Nigeria such as in Lagos, Port Harcourt and some areas in Calabar.</w:t>
      </w:r>
    </w:p>
    <w:p w14:paraId="33C48B1F" w14:textId="77777777" w:rsidR="002C1720" w:rsidRPr="002C1720" w:rsidRDefault="002C1720"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2EFE56AA" w14:textId="495A769B" w:rsidR="00234802" w:rsidRPr="00051EC1" w:rsidRDefault="007D05DB" w:rsidP="00234802">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From this review, it has been found that mixed land uses possess both negative and positive impacts. While the negative impacts repel the functional theoretical principles of urban land uses, the positive impacts encourage its association in a sustainable manner. In this study it has, therefore, been established that there is need to further provide more evidence </w:t>
      </w:r>
      <w:r w:rsidR="00A855C8" w:rsidRPr="002C1720">
        <w:rPr>
          <w:rFonts w:ascii="Times New Roman" w:eastAsia="Calibri" w:hAnsi="Times New Roman" w:cs="Times New Roman"/>
          <w:kern w:val="0"/>
          <w14:ligatures w14:val="none"/>
        </w:rPr>
        <w:t>on the relationship between population concentration</w:t>
      </w:r>
      <w:r w:rsidR="00F34343" w:rsidRPr="002C1720">
        <w:rPr>
          <w:rFonts w:ascii="Times New Roman" w:eastAsia="Calibri" w:hAnsi="Times New Roman" w:cs="Times New Roman"/>
          <w:kern w:val="0"/>
          <w14:ligatures w14:val="none"/>
        </w:rPr>
        <w:t xml:space="preserve"> and </w:t>
      </w:r>
      <w:r w:rsidRPr="007D05DB">
        <w:rPr>
          <w:rFonts w:ascii="Times New Roman" w:eastAsia="Calibri" w:hAnsi="Times New Roman" w:cs="Times New Roman"/>
          <w:kern w:val="0"/>
          <w14:ligatures w14:val="none"/>
        </w:rPr>
        <w:t xml:space="preserve">mixed land uses in </w:t>
      </w:r>
      <w:r w:rsidR="00F34343" w:rsidRPr="002C1720">
        <w:rPr>
          <w:rFonts w:ascii="Times New Roman" w:eastAsia="Calibri" w:hAnsi="Times New Roman" w:cs="Times New Roman"/>
          <w:kern w:val="0"/>
          <w14:ligatures w14:val="none"/>
        </w:rPr>
        <w:t>Calabar Metropolis</w:t>
      </w:r>
      <w:r w:rsidRPr="007D05DB">
        <w:rPr>
          <w:rFonts w:ascii="Times New Roman" w:eastAsia="Calibri" w:hAnsi="Times New Roman" w:cs="Times New Roman"/>
          <w:kern w:val="0"/>
          <w14:ligatures w14:val="none"/>
        </w:rPr>
        <w:t xml:space="preserve">. </w:t>
      </w:r>
      <w:r w:rsidR="00234802">
        <w:rPr>
          <w:rFonts w:ascii="Times New Roman" w:eastAsia="Calibri" w:hAnsi="Times New Roman" w:cs="Times New Roman"/>
          <w:kern w:val="0"/>
          <w14:ligatures w14:val="none"/>
        </w:rPr>
        <w:t xml:space="preserve">The study is therefore, aimed at finding the mid-point between concentration of people on land and development of mixed land uses. This aim was achieved by testing a null hypothesis that there is no significant relationship between population concentration </w:t>
      </w:r>
      <w:bookmarkStart w:id="0" w:name="_Hlk215499435"/>
      <w:r w:rsidR="00234802">
        <w:rPr>
          <w:rFonts w:ascii="Times New Roman" w:eastAsia="Calibri" w:hAnsi="Times New Roman" w:cs="Times New Roman"/>
          <w:kern w:val="0"/>
          <w14:ligatures w14:val="none"/>
        </w:rPr>
        <w:t xml:space="preserve">and </w:t>
      </w:r>
      <w:r w:rsidR="00234802" w:rsidRPr="00051EC1">
        <w:rPr>
          <w:rFonts w:ascii="Times New Roman" w:eastAsia="Calibri" w:hAnsi="Times New Roman" w:cs="Times New Roman"/>
          <w:kern w:val="0"/>
          <w14:ligatures w14:val="none"/>
        </w:rPr>
        <w:t>the areal extent (m</w:t>
      </w:r>
      <w:r w:rsidR="00234802" w:rsidRPr="00051EC1">
        <w:rPr>
          <w:rFonts w:ascii="Times New Roman" w:eastAsia="Calibri" w:hAnsi="Times New Roman" w:cs="Times New Roman"/>
          <w:kern w:val="0"/>
          <w:vertAlign w:val="superscript"/>
          <w14:ligatures w14:val="none"/>
        </w:rPr>
        <w:t>2</w:t>
      </w:r>
      <w:r w:rsidR="00234802" w:rsidRPr="00051EC1">
        <w:rPr>
          <w:rFonts w:ascii="Times New Roman" w:eastAsia="Calibri" w:hAnsi="Times New Roman" w:cs="Times New Roman"/>
          <w:kern w:val="0"/>
          <w14:ligatures w14:val="none"/>
        </w:rPr>
        <w:t>) of</w:t>
      </w:r>
      <w:r w:rsidR="00234802">
        <w:rPr>
          <w:rFonts w:ascii="Times New Roman" w:eastAsia="Calibri" w:hAnsi="Times New Roman" w:cs="Times New Roman"/>
          <w:kern w:val="0"/>
          <w14:ligatures w14:val="none"/>
        </w:rPr>
        <w:t xml:space="preserve"> </w:t>
      </w:r>
      <w:r w:rsidR="00234802" w:rsidRPr="00051EC1">
        <w:rPr>
          <w:rFonts w:ascii="Times New Roman" w:eastAsia="Calibri" w:hAnsi="Times New Roman" w:cs="Times New Roman"/>
          <w:kern w:val="0"/>
          <w14:ligatures w14:val="none"/>
        </w:rPr>
        <w:t>mixed land uses within the neighbourhood zones of Calabar Metropolis</w:t>
      </w:r>
      <w:bookmarkEnd w:id="0"/>
      <w:r w:rsidR="00234802" w:rsidRPr="00051EC1">
        <w:rPr>
          <w:rFonts w:ascii="Times New Roman" w:eastAsia="Calibri" w:hAnsi="Times New Roman" w:cs="Times New Roman"/>
          <w:kern w:val="0"/>
          <w14:ligatures w14:val="none"/>
        </w:rPr>
        <w:t>.</w:t>
      </w:r>
    </w:p>
    <w:p w14:paraId="57B62C6C" w14:textId="6E4F8036" w:rsidR="007D05DB" w:rsidRPr="002C1720"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2800C879" w14:textId="77777777" w:rsidR="00F34343" w:rsidRPr="007D05DB" w:rsidRDefault="00F34343"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1C11DD89" w14:textId="675E62A2" w:rsidR="007D05DB" w:rsidRPr="00C70366" w:rsidRDefault="00C70366" w:rsidP="002C1720">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II. </w:t>
      </w:r>
      <w:r w:rsidR="00F85072" w:rsidRPr="00C70366">
        <w:rPr>
          <w:rFonts w:ascii="Times New Roman" w:eastAsia="Calibri" w:hAnsi="Times New Roman" w:cs="Times New Roman"/>
          <w:b/>
          <w:bCs/>
          <w:kern w:val="0"/>
          <w14:ligatures w14:val="none"/>
        </w:rPr>
        <w:t>METHODOLOGY</w:t>
      </w:r>
    </w:p>
    <w:p w14:paraId="468EF180" w14:textId="7A8E1535" w:rsidR="00F85072" w:rsidRPr="00F85072" w:rsidRDefault="00C70366" w:rsidP="002C1720">
      <w:pPr>
        <w:spacing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Four</w:t>
      </w:r>
      <w:r w:rsidR="00F85072" w:rsidRPr="00F85072">
        <w:rPr>
          <w:rFonts w:ascii="Times New Roman" w:eastAsia="Calibri" w:hAnsi="Times New Roman" w:cs="Times New Roman"/>
          <w:kern w:val="0"/>
          <w14:ligatures w14:val="none"/>
        </w:rPr>
        <w:t xml:space="preserve"> methods were employed for data collection, namely: (i) Map analysis of the spatial area of land uses (m</w:t>
      </w:r>
      <w:r w:rsidR="00F85072" w:rsidRPr="00F85072">
        <w:rPr>
          <w:rFonts w:ascii="Times New Roman" w:eastAsia="Calibri" w:hAnsi="Times New Roman" w:cs="Times New Roman"/>
          <w:kern w:val="0"/>
          <w:vertAlign w:val="superscript"/>
          <w14:ligatures w14:val="none"/>
        </w:rPr>
        <w:t>2</w:t>
      </w:r>
      <w:r w:rsidR="00F85072" w:rsidRPr="00F85072">
        <w:rPr>
          <w:rFonts w:ascii="Times New Roman" w:eastAsia="Calibri" w:hAnsi="Times New Roman" w:cs="Times New Roman"/>
          <w:kern w:val="0"/>
          <w14:ligatures w14:val="none"/>
        </w:rPr>
        <w:t>) occupied by mixed land uses in the eighteen neighbourhood zones</w:t>
      </w:r>
      <w:r>
        <w:rPr>
          <w:rFonts w:ascii="Times New Roman" w:eastAsia="Calibri" w:hAnsi="Times New Roman" w:cs="Times New Roman"/>
          <w:kern w:val="0"/>
          <w14:ligatures w14:val="none"/>
        </w:rPr>
        <w:t xml:space="preserve"> of Calabar Metropolis</w:t>
      </w:r>
      <w:r w:rsidR="00F85072" w:rsidRPr="00F85072">
        <w:rPr>
          <w:rFonts w:ascii="Times New Roman" w:eastAsia="Calibri" w:hAnsi="Times New Roman" w:cs="Times New Roman"/>
          <w:kern w:val="0"/>
          <w14:ligatures w14:val="none"/>
        </w:rPr>
        <w:t>. (ii) Professional interviews with Staff of Town Planning Department, Calabar</w:t>
      </w:r>
      <w:r>
        <w:rPr>
          <w:rFonts w:ascii="Times New Roman" w:eastAsia="Calibri" w:hAnsi="Times New Roman" w:cs="Times New Roman"/>
          <w:kern w:val="0"/>
          <w14:ligatures w14:val="none"/>
        </w:rPr>
        <w:t>,</w:t>
      </w:r>
      <w:r w:rsidR="00F85072" w:rsidRPr="00F85072">
        <w:rPr>
          <w:rFonts w:ascii="Times New Roman" w:eastAsia="Calibri" w:hAnsi="Times New Roman" w:cs="Times New Roman"/>
          <w:kern w:val="0"/>
          <w14:ligatures w14:val="none"/>
        </w:rPr>
        <w:t xml:space="preserve"> (iii) Administration of a structured questionnaire</w:t>
      </w:r>
      <w:r>
        <w:rPr>
          <w:rFonts w:ascii="Times New Roman" w:eastAsia="Calibri" w:hAnsi="Times New Roman" w:cs="Times New Roman"/>
          <w:kern w:val="0"/>
          <w14:ligatures w14:val="none"/>
        </w:rPr>
        <w:t xml:space="preserve"> and (iv) Projected Population Census figure</w:t>
      </w:r>
      <w:r w:rsidR="00F85072" w:rsidRPr="00F85072">
        <w:rPr>
          <w:rFonts w:ascii="Times New Roman" w:eastAsia="Calibri" w:hAnsi="Times New Roman" w:cs="Times New Roman"/>
          <w:kern w:val="0"/>
          <w14:ligatures w14:val="none"/>
        </w:rPr>
        <w:t>.</w:t>
      </w:r>
    </w:p>
    <w:p w14:paraId="75768C5E" w14:textId="202FD65F" w:rsidR="00F85072" w:rsidRPr="00F85072" w:rsidRDefault="00F85072" w:rsidP="002C1720">
      <w:pPr>
        <w:spacing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Map analysis: an existing land use map of Calabar Metropolis was obtained from the Cross River State Geographic Information Agency. From the map,</w:t>
      </w:r>
      <w:r w:rsidR="00F34343" w:rsidRPr="002C1720">
        <w:rPr>
          <w:rFonts w:ascii="Times New Roman" w:eastAsia="Calibri" w:hAnsi="Times New Roman" w:cs="Times New Roman"/>
          <w:kern w:val="0"/>
          <w14:ligatures w14:val="none"/>
        </w:rPr>
        <w:t xml:space="preserve"> eighteen residential neighbourhoods were </w:t>
      </w:r>
      <w:r w:rsidR="00F34343" w:rsidRPr="002C1720">
        <w:rPr>
          <w:rFonts w:ascii="Times New Roman" w:eastAsia="Calibri" w:hAnsi="Times New Roman" w:cs="Times New Roman"/>
          <w:kern w:val="0"/>
          <w14:ligatures w14:val="none"/>
        </w:rPr>
        <w:lastRenderedPageBreak/>
        <w:t>identified and</w:t>
      </w:r>
      <w:r w:rsidRPr="00F85072">
        <w:rPr>
          <w:rFonts w:ascii="Times New Roman" w:eastAsia="Calibri" w:hAnsi="Times New Roman" w:cs="Times New Roman"/>
          <w:kern w:val="0"/>
          <w14:ligatures w14:val="none"/>
        </w:rPr>
        <w:t xml:space="preserve"> complimented with empirical verification of features on the landscape using Google Earth Imagery and reconnaissance survey. Map analysis </w:t>
      </w:r>
      <w:r w:rsidR="00F34343" w:rsidRPr="002C1720">
        <w:rPr>
          <w:rFonts w:ascii="Times New Roman" w:eastAsia="Calibri" w:hAnsi="Times New Roman" w:cs="Times New Roman"/>
          <w:kern w:val="0"/>
          <w14:ligatures w14:val="none"/>
        </w:rPr>
        <w:t>was carried out</w:t>
      </w:r>
      <w:r w:rsidRPr="00F85072">
        <w:rPr>
          <w:rFonts w:ascii="Times New Roman" w:eastAsia="Calibri" w:hAnsi="Times New Roman" w:cs="Times New Roman"/>
          <w:kern w:val="0"/>
          <w14:ligatures w14:val="none"/>
        </w:rPr>
        <w:t xml:space="preserve"> using the linear planimeter (Roser, Leiborici, and Jackson, 2011). </w:t>
      </w:r>
    </w:p>
    <w:p w14:paraId="5FF3E9CF" w14:textId="2821C10F" w:rsidR="00F85072" w:rsidRDefault="00F34343"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2C1720">
        <w:rPr>
          <w:rFonts w:ascii="Times New Roman" w:eastAsia="Calibri" w:hAnsi="Times New Roman" w:cs="Times New Roman"/>
          <w:kern w:val="0"/>
          <w14:ligatures w14:val="none"/>
        </w:rPr>
        <w:t xml:space="preserve">The </w:t>
      </w:r>
      <w:r w:rsidR="00F85072" w:rsidRPr="00F85072">
        <w:rPr>
          <w:rFonts w:ascii="Times New Roman" w:eastAsia="Calibri" w:hAnsi="Times New Roman" w:cs="Times New Roman"/>
          <w:kern w:val="0"/>
          <w14:ligatures w14:val="none"/>
        </w:rPr>
        <w:t xml:space="preserve">identified </w:t>
      </w:r>
      <w:r w:rsidRPr="002C1720">
        <w:rPr>
          <w:rFonts w:ascii="Times New Roman" w:eastAsia="Calibri" w:hAnsi="Times New Roman" w:cs="Times New Roman"/>
          <w:kern w:val="0"/>
          <w14:ligatures w14:val="none"/>
        </w:rPr>
        <w:t xml:space="preserve">mixed land uses </w:t>
      </w:r>
      <w:r w:rsidR="00F85072" w:rsidRPr="00F85072">
        <w:rPr>
          <w:rFonts w:ascii="Times New Roman" w:eastAsia="Calibri" w:hAnsi="Times New Roman" w:cs="Times New Roman"/>
          <w:kern w:val="0"/>
          <w14:ligatures w14:val="none"/>
        </w:rPr>
        <w:t xml:space="preserve">and the areal extent of each </w:t>
      </w:r>
      <w:r w:rsidRPr="002C1720">
        <w:rPr>
          <w:rFonts w:ascii="Times New Roman" w:eastAsia="Calibri" w:hAnsi="Times New Roman" w:cs="Times New Roman"/>
          <w:kern w:val="0"/>
          <w14:ligatures w14:val="none"/>
        </w:rPr>
        <w:t xml:space="preserve">neighbourhood was </w:t>
      </w:r>
      <w:r w:rsidR="00F85072" w:rsidRPr="00F85072">
        <w:rPr>
          <w:rFonts w:ascii="Times New Roman" w:eastAsia="Calibri" w:hAnsi="Times New Roman" w:cs="Times New Roman"/>
          <w:kern w:val="0"/>
          <w14:ligatures w14:val="none"/>
        </w:rPr>
        <w:t xml:space="preserve">measured and summed up to give a measure of mixed land uses in that particular neigbourhood zone. These measurements were thus, taken for all the eighteen neighbourhood zones of Calabar Metropolis. The areal measure of mixed land uses </w:t>
      </w:r>
      <w:r w:rsidRPr="002C1720">
        <w:rPr>
          <w:rFonts w:ascii="Times New Roman" w:eastAsia="Calibri" w:hAnsi="Times New Roman" w:cs="Times New Roman"/>
          <w:kern w:val="0"/>
          <w14:ligatures w14:val="none"/>
        </w:rPr>
        <w:t>was</w:t>
      </w:r>
      <w:r w:rsidR="00F85072" w:rsidRPr="00F85072">
        <w:rPr>
          <w:rFonts w:ascii="Times New Roman" w:eastAsia="Calibri" w:hAnsi="Times New Roman" w:cs="Times New Roman"/>
          <w:kern w:val="0"/>
          <w14:ligatures w14:val="none"/>
        </w:rPr>
        <w:t xml:space="preserve"> then used as index representing the Y variable. The X variable represents population concentration index obtained from the National Population Commission (NPC, 2006) gazette and projected to 202</w:t>
      </w:r>
      <w:r w:rsidR="00912F99" w:rsidRPr="002C1720">
        <w:rPr>
          <w:rFonts w:ascii="Times New Roman" w:eastAsia="Calibri" w:hAnsi="Times New Roman" w:cs="Times New Roman"/>
          <w:kern w:val="0"/>
          <w14:ligatures w14:val="none"/>
        </w:rPr>
        <w:t>4</w:t>
      </w:r>
      <w:r w:rsidR="00F85072" w:rsidRPr="00F85072">
        <w:rPr>
          <w:rFonts w:ascii="Times New Roman" w:eastAsia="Calibri" w:hAnsi="Times New Roman" w:cs="Times New Roman"/>
          <w:kern w:val="0"/>
          <w14:ligatures w14:val="none"/>
        </w:rPr>
        <w:t xml:space="preserve"> (Ojikpong, Ekeng, Obongha and Emri, 2016). </w:t>
      </w:r>
    </w:p>
    <w:p w14:paraId="7E279DC3" w14:textId="77777777" w:rsidR="002C1720" w:rsidRPr="00F85072" w:rsidRDefault="002C1720"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2B5D8730" w14:textId="50DC2FD5" w:rsidR="00F85072" w:rsidRPr="00F85072" w:rsidRDefault="00F85072" w:rsidP="002C1720">
      <w:pPr>
        <w:spacing w:after="200" w:line="240" w:lineRule="auto"/>
        <w:contextualSpacing/>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 xml:space="preserve"> The linear planimeter is a standard measuring tool/instrument in the field of Urban Planning, Cartography, Geography, Land Surveying, Architecture, and Engineering which is used in determining euclidean distances/spatial area, demarcating boundaries and parcels of land on a map (Roser, et al., 2011). The usefulness of the linear planimeter to this study cannot be overemphasized. Its measurements were taken, using the map scale and represented in metres.</w:t>
      </w:r>
    </w:p>
    <w:p w14:paraId="25D693B6" w14:textId="027C3BFD" w:rsidR="00F85072" w:rsidRPr="00F85072" w:rsidRDefault="00F85072" w:rsidP="002C1720">
      <w:pPr>
        <w:spacing w:line="240" w:lineRule="auto"/>
        <w:jc w:val="both"/>
        <w:rPr>
          <w:rFonts w:ascii="Times New Roman" w:eastAsia="Times New Roman" w:hAnsi="Times New Roman" w:cs="Times New Roman"/>
          <w:bCs/>
          <w:kern w:val="0"/>
          <w14:ligatures w14:val="none"/>
        </w:rPr>
      </w:pPr>
      <w:r w:rsidRPr="00F85072">
        <w:rPr>
          <w:rFonts w:ascii="Times New Roman" w:eastAsia="Times New Roman" w:hAnsi="Times New Roman" w:cs="Times New Roman"/>
          <w:bCs/>
          <w:kern w:val="0"/>
          <w14:ligatures w14:val="none"/>
        </w:rPr>
        <w:t xml:space="preserve">Interviews were conducted with six (6) members of staff of Town Planning Department, Calabar comprising one Director, two Assistant Directors and three Zonal Town Planners. </w:t>
      </w:r>
    </w:p>
    <w:p w14:paraId="37FAF239" w14:textId="59DCE298" w:rsidR="00F85072" w:rsidRPr="00F85072" w:rsidRDefault="00F85072" w:rsidP="002C1720">
      <w:pPr>
        <w:spacing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 xml:space="preserve">The questionnaire was also used in this study. The questionnaire was designed using responses on a Likert scale to measure </w:t>
      </w:r>
      <w:r w:rsidR="00912F99" w:rsidRPr="002C1720">
        <w:rPr>
          <w:rFonts w:ascii="Times New Roman" w:eastAsia="Calibri" w:hAnsi="Times New Roman" w:cs="Times New Roman"/>
          <w:kern w:val="0"/>
          <w14:ligatures w14:val="none"/>
        </w:rPr>
        <w:t xml:space="preserve">the relationship between mixed </w:t>
      </w:r>
      <w:r w:rsidRPr="00F85072">
        <w:rPr>
          <w:rFonts w:ascii="Times New Roman" w:eastAsia="Calibri" w:hAnsi="Times New Roman" w:cs="Times New Roman"/>
          <w:kern w:val="0"/>
          <w14:ligatures w14:val="none"/>
        </w:rPr>
        <w:t>land use</w:t>
      </w:r>
      <w:r w:rsidR="00912F99" w:rsidRPr="002C1720">
        <w:rPr>
          <w:rFonts w:ascii="Times New Roman" w:eastAsia="Calibri" w:hAnsi="Times New Roman" w:cs="Times New Roman"/>
          <w:kern w:val="0"/>
          <w14:ligatures w14:val="none"/>
        </w:rPr>
        <w:t>s</w:t>
      </w:r>
      <w:r w:rsidRPr="00F85072">
        <w:rPr>
          <w:rFonts w:ascii="Times New Roman" w:eastAsia="Calibri" w:hAnsi="Times New Roman" w:cs="Times New Roman"/>
          <w:kern w:val="0"/>
          <w14:ligatures w14:val="none"/>
        </w:rPr>
        <w:t xml:space="preserve"> and </w:t>
      </w:r>
      <w:r w:rsidR="00912F99" w:rsidRPr="002C1720">
        <w:rPr>
          <w:rFonts w:ascii="Times New Roman" w:eastAsia="Calibri" w:hAnsi="Times New Roman" w:cs="Times New Roman"/>
          <w:kern w:val="0"/>
          <w14:ligatures w14:val="none"/>
        </w:rPr>
        <w:t>population concentration in Calabar Metropolis</w:t>
      </w:r>
      <w:r w:rsidRPr="00F85072">
        <w:rPr>
          <w:rFonts w:ascii="Times New Roman" w:eastAsia="Calibri" w:hAnsi="Times New Roman" w:cs="Times New Roman"/>
          <w:kern w:val="0"/>
          <w14:ligatures w14:val="none"/>
        </w:rPr>
        <w:t xml:space="preserve">. It contains questions with options such as Strongly Agreed (5 points), Agreed (4 points), Strongly Disagreed (1 point), Disagreed (2 points) and Undecided (3 points).  For example, </w:t>
      </w:r>
      <w:r w:rsidRPr="00F85072">
        <w:rPr>
          <w:rFonts w:ascii="Times New Roman" w:eastAsia="Calibri" w:hAnsi="Times New Roman" w:cs="Times New Roman"/>
          <w:kern w:val="0"/>
          <w:lang w:val="en-GB"/>
          <w14:ligatures w14:val="none"/>
        </w:rPr>
        <w:t xml:space="preserve">population density, growth and distribution are the major causes of mixed land uses. </w:t>
      </w:r>
      <w:r w:rsidRPr="00F85072">
        <w:rPr>
          <w:rFonts w:ascii="Times New Roman" w:eastAsia="Calibri" w:hAnsi="Times New Roman" w:cs="Times New Roman"/>
          <w:kern w:val="0"/>
          <w14:ligatures w14:val="none"/>
        </w:rPr>
        <w:t>The questionnaire was used to collect qualitative data which complimented data from measurements carried out using the linear planimeter</w:t>
      </w:r>
      <w:r w:rsidR="00912F99" w:rsidRPr="002C1720">
        <w:rPr>
          <w:rFonts w:ascii="Times New Roman" w:eastAsia="Calibri" w:hAnsi="Times New Roman" w:cs="Times New Roman"/>
          <w:kern w:val="0"/>
          <w14:ligatures w14:val="none"/>
        </w:rPr>
        <w:t xml:space="preserve"> and population data as projected</w:t>
      </w:r>
      <w:r w:rsidRPr="00F85072">
        <w:rPr>
          <w:rFonts w:ascii="Times New Roman" w:eastAsia="Calibri" w:hAnsi="Times New Roman" w:cs="Times New Roman"/>
          <w:kern w:val="0"/>
          <w14:ligatures w14:val="none"/>
        </w:rPr>
        <w:t xml:space="preserve">. Data obtained from the administration of the questionnaire were not used in testing the hypotheses, rather were used for description of evidence-based information on </w:t>
      </w:r>
      <w:r w:rsidR="00912F99" w:rsidRPr="002C1720">
        <w:rPr>
          <w:rFonts w:ascii="Times New Roman" w:eastAsia="Calibri" w:hAnsi="Times New Roman" w:cs="Times New Roman"/>
          <w:kern w:val="0"/>
          <w14:ligatures w14:val="none"/>
        </w:rPr>
        <w:t>the subject</w:t>
      </w:r>
      <w:r w:rsidRPr="00F85072">
        <w:rPr>
          <w:rFonts w:ascii="Times New Roman" w:eastAsia="Calibri" w:hAnsi="Times New Roman" w:cs="Times New Roman"/>
          <w:kern w:val="0"/>
          <w14:ligatures w14:val="none"/>
        </w:rPr>
        <w:t>.</w:t>
      </w:r>
    </w:p>
    <w:p w14:paraId="64B08B32" w14:textId="077F710E" w:rsidR="00F85072" w:rsidRPr="00F85072" w:rsidRDefault="00F85072" w:rsidP="002C1720">
      <w:pPr>
        <w:tabs>
          <w:tab w:val="center" w:pos="4680"/>
          <w:tab w:val="left" w:pos="6600"/>
        </w:tabs>
        <w:spacing w:after="200"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The respondents were heads of household. The respondents were sampled from the total households of Calabar Metropolis with a sample size of 494 household heads. However, 494 copies of the questionnaire were distributed by the field assistants</w:t>
      </w:r>
    </w:p>
    <w:p w14:paraId="11CE26C1" w14:textId="3FE50314" w:rsidR="00F85072" w:rsidRPr="00F85072" w:rsidRDefault="00F85072" w:rsidP="002C1720">
      <w:pPr>
        <w:spacing w:after="200" w:line="240" w:lineRule="auto"/>
        <w:contextualSpacing/>
        <w:jc w:val="both"/>
        <w:rPr>
          <w:rFonts w:ascii="Times New Roman" w:eastAsia="Calibri" w:hAnsi="Times New Roman" w:cs="Times New Roman"/>
          <w:b/>
          <w:kern w:val="0"/>
          <w14:ligatures w14:val="none"/>
        </w:rPr>
      </w:pPr>
      <w:r w:rsidRPr="00F85072">
        <w:rPr>
          <w:rFonts w:ascii="Times New Roman" w:eastAsia="Calibri" w:hAnsi="Times New Roman" w:cs="Times New Roman"/>
          <w:kern w:val="0"/>
          <w14:ligatures w14:val="none"/>
        </w:rPr>
        <w:t>This study is concerned with</w:t>
      </w:r>
      <w:r w:rsidR="00F458FC" w:rsidRPr="002C1720">
        <w:rPr>
          <w:rFonts w:ascii="Times New Roman" w:eastAsia="Calibri" w:hAnsi="Times New Roman" w:cs="Times New Roman"/>
          <w:kern w:val="0"/>
          <w14:ligatures w14:val="none"/>
        </w:rPr>
        <w:t xml:space="preserve"> mixed</w:t>
      </w:r>
      <w:r w:rsidRPr="00F85072">
        <w:rPr>
          <w:rFonts w:ascii="Times New Roman" w:eastAsia="Calibri" w:hAnsi="Times New Roman" w:cs="Times New Roman"/>
          <w:kern w:val="0"/>
          <w14:ligatures w14:val="none"/>
        </w:rPr>
        <w:t xml:space="preserve"> land use</w:t>
      </w:r>
      <w:r w:rsidR="00F458FC" w:rsidRPr="002C1720">
        <w:rPr>
          <w:rFonts w:ascii="Times New Roman" w:eastAsia="Calibri" w:hAnsi="Times New Roman" w:cs="Times New Roman"/>
          <w:kern w:val="0"/>
          <w14:ligatures w14:val="none"/>
        </w:rPr>
        <w:t>s and population which involved</w:t>
      </w:r>
      <w:r w:rsidRPr="00F85072">
        <w:rPr>
          <w:rFonts w:ascii="Times New Roman" w:eastAsia="Calibri" w:hAnsi="Times New Roman" w:cs="Times New Roman"/>
          <w:kern w:val="0"/>
          <w14:ligatures w14:val="none"/>
        </w:rPr>
        <w:t xml:space="preserve"> activi</w:t>
      </w:r>
      <w:r w:rsidR="00F458FC" w:rsidRPr="002C1720">
        <w:rPr>
          <w:rFonts w:ascii="Times New Roman" w:eastAsia="Calibri" w:hAnsi="Times New Roman" w:cs="Times New Roman"/>
          <w:kern w:val="0"/>
          <w14:ligatures w14:val="none"/>
        </w:rPr>
        <w:t>ties</w:t>
      </w:r>
      <w:r w:rsidRPr="00F85072">
        <w:rPr>
          <w:rFonts w:ascii="Times New Roman" w:eastAsia="Calibri" w:hAnsi="Times New Roman" w:cs="Times New Roman"/>
          <w:kern w:val="0"/>
          <w14:ligatures w14:val="none"/>
        </w:rPr>
        <w:t xml:space="preserve"> performed by people. The complications in land use are contributed by the people. However, some of the activities performed by the people constitute land use antagonism. Hence, the inclusion of population concentration in the study becomes necessary. Therefore, a sample size of the population needed to be drawn from the existing population in order to ascertain its influence on </w:t>
      </w:r>
      <w:r w:rsidR="00F458FC" w:rsidRPr="002C1720">
        <w:rPr>
          <w:rFonts w:ascii="Times New Roman" w:eastAsia="Calibri" w:hAnsi="Times New Roman" w:cs="Times New Roman"/>
          <w:kern w:val="0"/>
          <w14:ligatures w14:val="none"/>
        </w:rPr>
        <w:t xml:space="preserve">mixed </w:t>
      </w:r>
      <w:r w:rsidRPr="00F85072">
        <w:rPr>
          <w:rFonts w:ascii="Times New Roman" w:eastAsia="Calibri" w:hAnsi="Times New Roman" w:cs="Times New Roman"/>
          <w:kern w:val="0"/>
          <w14:ligatures w14:val="none"/>
        </w:rPr>
        <w:t>land use activities in Calabar Metropolis.</w:t>
      </w:r>
    </w:p>
    <w:p w14:paraId="46EC3803" w14:textId="77777777" w:rsidR="002C1720" w:rsidRDefault="002C1720"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460305C9" w14:textId="77777777" w:rsidR="002C1720" w:rsidRDefault="00F85072"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The total population of Calabar Metropolis according to the 2006 population census was 316,270 people (NPC, 2006). The population was projected to 202</w:t>
      </w:r>
      <w:r w:rsidR="00F458FC" w:rsidRPr="002C1720">
        <w:rPr>
          <w:rFonts w:ascii="Times New Roman" w:eastAsia="Calibri" w:hAnsi="Times New Roman" w:cs="Times New Roman"/>
          <w:kern w:val="0"/>
          <w14:ligatures w14:val="none"/>
        </w:rPr>
        <w:t>4</w:t>
      </w:r>
      <w:r w:rsidRPr="00F85072">
        <w:rPr>
          <w:rFonts w:ascii="Times New Roman" w:eastAsia="Calibri" w:hAnsi="Times New Roman" w:cs="Times New Roman"/>
          <w:kern w:val="0"/>
          <w14:ligatures w14:val="none"/>
        </w:rPr>
        <w:t xml:space="preserve"> using a growth rate of 3.0 thus, bringing the projected population to 630,628 people in 202</w:t>
      </w:r>
      <w:r w:rsidR="00F458FC" w:rsidRPr="002C1720">
        <w:rPr>
          <w:rFonts w:ascii="Times New Roman" w:eastAsia="Calibri" w:hAnsi="Times New Roman" w:cs="Times New Roman"/>
          <w:kern w:val="0"/>
          <w14:ligatures w14:val="none"/>
        </w:rPr>
        <w:t>4</w:t>
      </w:r>
      <w:r w:rsidRPr="00F85072">
        <w:rPr>
          <w:rFonts w:ascii="Times New Roman" w:eastAsia="Calibri" w:hAnsi="Times New Roman" w:cs="Times New Roman"/>
          <w:kern w:val="0"/>
          <w14:ligatures w14:val="none"/>
        </w:rPr>
        <w:t>. In this study, households were used as the sample frame. An average of six (6.0) people is officially accepted as household size in Nigeria (National Bureau of Statistics, 2021).   Therefore, an average household size of six people from the total population of 630,628 people,</w:t>
      </w:r>
      <w:r w:rsidR="00EF2F8C" w:rsidRPr="002C1720">
        <w:rPr>
          <w:rFonts w:ascii="Times New Roman" w:eastAsia="Calibri" w:hAnsi="Times New Roman" w:cs="Times New Roman"/>
          <w:kern w:val="0"/>
          <w14:ligatures w14:val="none"/>
        </w:rPr>
        <w:t xml:space="preserve"> so</w:t>
      </w:r>
      <w:r w:rsidRPr="00F85072">
        <w:rPr>
          <w:rFonts w:ascii="Times New Roman" w:eastAsia="Calibri" w:hAnsi="Times New Roman" w:cs="Times New Roman"/>
          <w:kern w:val="0"/>
          <w14:ligatures w14:val="none"/>
        </w:rPr>
        <w:t xml:space="preserve"> a total number of 105,105 households was used for the study</w:t>
      </w:r>
      <w:r w:rsidR="00EF2F8C" w:rsidRPr="002C1720">
        <w:rPr>
          <w:rFonts w:ascii="Times New Roman" w:eastAsia="Calibri" w:hAnsi="Times New Roman" w:cs="Times New Roman"/>
          <w:kern w:val="0"/>
          <w14:ligatures w14:val="none"/>
        </w:rPr>
        <w:t>.</w:t>
      </w:r>
      <w:r w:rsidRPr="00F85072">
        <w:rPr>
          <w:rFonts w:ascii="Times New Roman" w:eastAsia="Calibri" w:hAnsi="Times New Roman" w:cs="Times New Roman"/>
          <w:kern w:val="0"/>
          <w14:ligatures w14:val="none"/>
        </w:rPr>
        <w:t xml:space="preserve"> In all, the total sample for all the neighbourhoods is 8.1 per cent of the 105,105 households. </w:t>
      </w:r>
    </w:p>
    <w:p w14:paraId="4AF43436" w14:textId="77777777" w:rsidR="002C1720" w:rsidRDefault="002C1720"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4EA3B00A" w14:textId="4AC6F164" w:rsidR="00C046CA" w:rsidRDefault="00F85072"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The sample size, therefore, amounted to 494 households for the entire study. The justification for using 8.1 per cent of the household was based on the size of population of study (105,105 households) which was a determining factor for selecting from 0.1 per cent to 10.0 per cent from the total population. However, the sample frame of each neighbourhood household as determined by the total population amounted to 8.1 per cent. Again, each neighbourhood zone also has a population represented by a sample size which was summed up to 494 households as the sample size for the entire study</w:t>
      </w:r>
      <w:r w:rsidR="00325138">
        <w:rPr>
          <w:rFonts w:ascii="Times New Roman" w:eastAsia="Calibri" w:hAnsi="Times New Roman" w:cs="Times New Roman"/>
          <w:kern w:val="0"/>
          <w14:ligatures w14:val="none"/>
        </w:rPr>
        <w:t xml:space="preserve"> (Obongha, et al</w:t>
      </w:r>
      <w:r w:rsidRPr="00F85072">
        <w:rPr>
          <w:rFonts w:ascii="Times New Roman" w:eastAsia="Calibri" w:hAnsi="Times New Roman" w:cs="Times New Roman"/>
          <w:kern w:val="0"/>
          <w14:ligatures w14:val="none"/>
        </w:rPr>
        <w:t>.</w:t>
      </w:r>
      <w:r w:rsidR="00325138">
        <w:rPr>
          <w:rFonts w:ascii="Times New Roman" w:eastAsia="Calibri" w:hAnsi="Times New Roman" w:cs="Times New Roman"/>
          <w:kern w:val="0"/>
          <w14:ligatures w14:val="none"/>
        </w:rPr>
        <w:t>, 2024).</w:t>
      </w:r>
    </w:p>
    <w:p w14:paraId="7BF9F877" w14:textId="77777777" w:rsidR="007E633E" w:rsidRDefault="007E633E"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1BD56ABF" w14:textId="77777777" w:rsidR="00C046CA" w:rsidRPr="002C1720" w:rsidRDefault="00C046CA"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4E1919F8" w14:textId="388BF964" w:rsidR="00EF2F8C" w:rsidRDefault="00EF2F8C" w:rsidP="002C1720">
      <w:pPr>
        <w:autoSpaceDE w:val="0"/>
        <w:autoSpaceDN w:val="0"/>
        <w:adjustRightInd w:val="0"/>
        <w:spacing w:after="0" w:line="240" w:lineRule="auto"/>
        <w:jc w:val="both"/>
        <w:rPr>
          <w:rFonts w:ascii="Times New Roman" w:eastAsia="Calibri" w:hAnsi="Times New Roman" w:cs="Times New Roman"/>
          <w:b/>
          <w:kern w:val="0"/>
          <w14:ligatures w14:val="none"/>
        </w:rPr>
      </w:pPr>
      <w:r w:rsidRPr="00EF2F8C">
        <w:rPr>
          <w:rFonts w:ascii="Times New Roman" w:eastAsia="Calibri" w:hAnsi="Times New Roman" w:cs="Times New Roman"/>
          <w:b/>
          <w:kern w:val="0"/>
          <w14:ligatures w14:val="none"/>
        </w:rPr>
        <w:t>Table 1</w:t>
      </w:r>
      <w:r w:rsidRPr="002C1720">
        <w:rPr>
          <w:rFonts w:ascii="Times New Roman" w:eastAsia="Calibri" w:hAnsi="Times New Roman" w:cs="Times New Roman"/>
          <w:b/>
          <w:kern w:val="0"/>
          <w14:ligatures w14:val="none"/>
        </w:rPr>
        <w:t>.0</w:t>
      </w:r>
      <w:r w:rsidRPr="00EF2F8C">
        <w:rPr>
          <w:rFonts w:ascii="Times New Roman" w:eastAsia="Calibri" w:hAnsi="Times New Roman" w:cs="Times New Roman"/>
          <w:b/>
          <w:kern w:val="0"/>
          <w14:ligatures w14:val="none"/>
        </w:rPr>
        <w:t>: Total population, households and sample size of neighbourhood zones</w:t>
      </w:r>
    </w:p>
    <w:p w14:paraId="1645A99C" w14:textId="77777777" w:rsidR="002C1720" w:rsidRPr="00EF2F8C" w:rsidRDefault="002C1720" w:rsidP="002C1720">
      <w:pPr>
        <w:autoSpaceDE w:val="0"/>
        <w:autoSpaceDN w:val="0"/>
        <w:adjustRightInd w:val="0"/>
        <w:spacing w:after="0" w:line="240" w:lineRule="auto"/>
        <w:jc w:val="both"/>
        <w:rPr>
          <w:rFonts w:ascii="Times New Roman" w:eastAsia="Calibri" w:hAnsi="Times New Roman" w:cs="Times New Roman"/>
          <w:b/>
          <w:kern w:val="0"/>
          <w:sz w:val="16"/>
          <w:szCs w:val="16"/>
          <w14:ligatures w14:val="none"/>
        </w:rPr>
      </w:pPr>
    </w:p>
    <w:tbl>
      <w:tblPr>
        <w:tblStyle w:val="TableGrid"/>
        <w:tblW w:w="8100" w:type="dxa"/>
        <w:tblInd w:w="198" w:type="dxa"/>
        <w:tblLook w:val="04A0" w:firstRow="1" w:lastRow="0" w:firstColumn="1" w:lastColumn="0" w:noHBand="0" w:noVBand="1"/>
      </w:tblPr>
      <w:tblGrid>
        <w:gridCol w:w="751"/>
        <w:gridCol w:w="2287"/>
        <w:gridCol w:w="1430"/>
        <w:gridCol w:w="1503"/>
        <w:gridCol w:w="1049"/>
        <w:gridCol w:w="1080"/>
      </w:tblGrid>
      <w:tr w:rsidR="002C1720" w:rsidRPr="00C046CA" w14:paraId="584DB5F2" w14:textId="77777777" w:rsidTr="00EF2F8C">
        <w:trPr>
          <w:trHeight w:val="364"/>
        </w:trPr>
        <w:tc>
          <w:tcPr>
            <w:tcW w:w="751" w:type="dxa"/>
            <w:shd w:val="clear" w:color="auto" w:fill="BFBFBF"/>
          </w:tcPr>
          <w:p w14:paraId="34061FD4"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S/No</w:t>
            </w:r>
          </w:p>
        </w:tc>
        <w:tc>
          <w:tcPr>
            <w:tcW w:w="2287" w:type="dxa"/>
            <w:shd w:val="clear" w:color="auto" w:fill="BFBFBF"/>
          </w:tcPr>
          <w:p w14:paraId="69FFCE99"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Neighbourhood Name</w:t>
            </w:r>
          </w:p>
        </w:tc>
        <w:tc>
          <w:tcPr>
            <w:tcW w:w="1430" w:type="dxa"/>
            <w:shd w:val="clear" w:color="auto" w:fill="BFBFBF"/>
          </w:tcPr>
          <w:p w14:paraId="15A5A178"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Total Population</w:t>
            </w:r>
          </w:p>
        </w:tc>
        <w:tc>
          <w:tcPr>
            <w:tcW w:w="1503" w:type="dxa"/>
            <w:shd w:val="clear" w:color="auto" w:fill="BFBFBF"/>
          </w:tcPr>
          <w:p w14:paraId="0E3042ED"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Estimated no. of Households</w:t>
            </w:r>
          </w:p>
        </w:tc>
        <w:tc>
          <w:tcPr>
            <w:tcW w:w="1049" w:type="dxa"/>
            <w:shd w:val="clear" w:color="auto" w:fill="BFBFBF"/>
          </w:tcPr>
          <w:p w14:paraId="6C8438C4"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 of Sample Frame</w:t>
            </w:r>
          </w:p>
        </w:tc>
        <w:tc>
          <w:tcPr>
            <w:tcW w:w="1080" w:type="dxa"/>
            <w:shd w:val="clear" w:color="auto" w:fill="BFBFBF"/>
          </w:tcPr>
          <w:p w14:paraId="278299A9"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Sample Size</w:t>
            </w:r>
          </w:p>
        </w:tc>
      </w:tr>
      <w:tr w:rsidR="00EF2F8C" w:rsidRPr="00C046CA" w14:paraId="3B36D8F0" w14:textId="77777777" w:rsidTr="00EF2F8C">
        <w:trPr>
          <w:trHeight w:val="257"/>
        </w:trPr>
        <w:tc>
          <w:tcPr>
            <w:tcW w:w="751" w:type="dxa"/>
            <w:shd w:val="clear" w:color="auto" w:fill="FFFFFF"/>
          </w:tcPr>
          <w:p w14:paraId="3849DEA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w:t>
            </w:r>
          </w:p>
        </w:tc>
        <w:tc>
          <w:tcPr>
            <w:tcW w:w="2287" w:type="dxa"/>
            <w:shd w:val="clear" w:color="auto" w:fill="FFFFFF"/>
          </w:tcPr>
          <w:p w14:paraId="04F083E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Akim Qua Town</w:t>
            </w:r>
          </w:p>
        </w:tc>
        <w:tc>
          <w:tcPr>
            <w:tcW w:w="1430" w:type="dxa"/>
            <w:shd w:val="clear" w:color="auto" w:fill="FFFFFF"/>
          </w:tcPr>
          <w:p w14:paraId="1A018585"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42,125</w:t>
            </w:r>
          </w:p>
        </w:tc>
        <w:tc>
          <w:tcPr>
            <w:tcW w:w="1503" w:type="dxa"/>
            <w:shd w:val="clear" w:color="auto" w:fill="FFFFFF"/>
          </w:tcPr>
          <w:p w14:paraId="476C0D2B"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7,020.83</w:t>
            </w:r>
          </w:p>
        </w:tc>
        <w:tc>
          <w:tcPr>
            <w:tcW w:w="1049" w:type="dxa"/>
            <w:shd w:val="clear" w:color="auto" w:fill="FFFFFF"/>
          </w:tcPr>
          <w:p w14:paraId="1741F9E6"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0.6</w:t>
            </w:r>
          </w:p>
        </w:tc>
        <w:tc>
          <w:tcPr>
            <w:tcW w:w="1080" w:type="dxa"/>
            <w:shd w:val="clear" w:color="auto" w:fill="FFFFFF"/>
            <w:vAlign w:val="bottom"/>
          </w:tcPr>
          <w:p w14:paraId="591CA6C6"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42.1</w:t>
            </w:r>
          </w:p>
        </w:tc>
      </w:tr>
      <w:tr w:rsidR="00EF2F8C" w:rsidRPr="00C046CA" w14:paraId="4B82F369" w14:textId="77777777" w:rsidTr="00EF2F8C">
        <w:trPr>
          <w:trHeight w:val="240"/>
        </w:trPr>
        <w:tc>
          <w:tcPr>
            <w:tcW w:w="751" w:type="dxa"/>
            <w:shd w:val="clear" w:color="auto" w:fill="FFFFFF"/>
          </w:tcPr>
          <w:p w14:paraId="422D5551"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w:t>
            </w:r>
          </w:p>
        </w:tc>
        <w:tc>
          <w:tcPr>
            <w:tcW w:w="2287" w:type="dxa"/>
            <w:shd w:val="clear" w:color="auto" w:fill="FFFFFF"/>
          </w:tcPr>
          <w:p w14:paraId="602ECE01"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Big Qua Town</w:t>
            </w:r>
          </w:p>
        </w:tc>
        <w:tc>
          <w:tcPr>
            <w:tcW w:w="1430" w:type="dxa"/>
            <w:shd w:val="clear" w:color="auto" w:fill="FFFFFF"/>
          </w:tcPr>
          <w:p w14:paraId="7EA1E46F"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40,645</w:t>
            </w:r>
          </w:p>
        </w:tc>
        <w:tc>
          <w:tcPr>
            <w:tcW w:w="1503" w:type="dxa"/>
            <w:shd w:val="clear" w:color="auto" w:fill="FFFFFF"/>
          </w:tcPr>
          <w:p w14:paraId="23C581FE"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6,774.17</w:t>
            </w:r>
          </w:p>
        </w:tc>
        <w:tc>
          <w:tcPr>
            <w:tcW w:w="1049" w:type="dxa"/>
            <w:shd w:val="clear" w:color="auto" w:fill="FFFFFF"/>
          </w:tcPr>
          <w:p w14:paraId="6B18B6ED"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FFFFFF"/>
            <w:vAlign w:val="bottom"/>
          </w:tcPr>
          <w:p w14:paraId="2E2E9125"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33.9</w:t>
            </w:r>
          </w:p>
        </w:tc>
      </w:tr>
      <w:tr w:rsidR="00EF2F8C" w:rsidRPr="00C046CA" w14:paraId="6707C090" w14:textId="77777777" w:rsidTr="00EF2F8C">
        <w:trPr>
          <w:trHeight w:val="240"/>
        </w:trPr>
        <w:tc>
          <w:tcPr>
            <w:tcW w:w="751" w:type="dxa"/>
            <w:shd w:val="clear" w:color="auto" w:fill="D9D9D9"/>
          </w:tcPr>
          <w:p w14:paraId="79C0DB1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w:t>
            </w:r>
          </w:p>
        </w:tc>
        <w:tc>
          <w:tcPr>
            <w:tcW w:w="2287" w:type="dxa"/>
            <w:shd w:val="clear" w:color="auto" w:fill="D9D9D9"/>
          </w:tcPr>
          <w:p w14:paraId="76A2A47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Duke/Cobhom Town</w:t>
            </w:r>
          </w:p>
        </w:tc>
        <w:tc>
          <w:tcPr>
            <w:tcW w:w="1430" w:type="dxa"/>
            <w:shd w:val="clear" w:color="auto" w:fill="D9D9D9"/>
          </w:tcPr>
          <w:p w14:paraId="588BC38A"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42,540</w:t>
            </w:r>
          </w:p>
        </w:tc>
        <w:tc>
          <w:tcPr>
            <w:tcW w:w="1503" w:type="dxa"/>
            <w:shd w:val="clear" w:color="auto" w:fill="D9D9D9"/>
          </w:tcPr>
          <w:p w14:paraId="04D97767"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7,090</w:t>
            </w:r>
          </w:p>
        </w:tc>
        <w:tc>
          <w:tcPr>
            <w:tcW w:w="1049" w:type="dxa"/>
            <w:shd w:val="clear" w:color="auto" w:fill="D9D9D9"/>
          </w:tcPr>
          <w:p w14:paraId="25C65DF8"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0.6</w:t>
            </w:r>
          </w:p>
        </w:tc>
        <w:tc>
          <w:tcPr>
            <w:tcW w:w="1080" w:type="dxa"/>
            <w:shd w:val="clear" w:color="auto" w:fill="D9D9D9"/>
            <w:vAlign w:val="bottom"/>
          </w:tcPr>
          <w:p w14:paraId="460FCBBC"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42.5</w:t>
            </w:r>
          </w:p>
        </w:tc>
      </w:tr>
      <w:tr w:rsidR="00EF2F8C" w:rsidRPr="00C046CA" w14:paraId="0079422D" w14:textId="77777777" w:rsidTr="00EF2F8C">
        <w:trPr>
          <w:trHeight w:val="320"/>
        </w:trPr>
        <w:tc>
          <w:tcPr>
            <w:tcW w:w="751" w:type="dxa"/>
            <w:shd w:val="clear" w:color="auto" w:fill="D9D9D9"/>
          </w:tcPr>
          <w:p w14:paraId="2F734947"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w:t>
            </w:r>
          </w:p>
        </w:tc>
        <w:tc>
          <w:tcPr>
            <w:tcW w:w="2287" w:type="dxa"/>
            <w:shd w:val="clear" w:color="auto" w:fill="D9D9D9"/>
          </w:tcPr>
          <w:p w14:paraId="74CEF10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Ediba Qua Town</w:t>
            </w:r>
          </w:p>
        </w:tc>
        <w:tc>
          <w:tcPr>
            <w:tcW w:w="1430" w:type="dxa"/>
            <w:shd w:val="clear" w:color="auto" w:fill="D9D9D9"/>
          </w:tcPr>
          <w:p w14:paraId="420150EA"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36,965</w:t>
            </w:r>
          </w:p>
        </w:tc>
        <w:tc>
          <w:tcPr>
            <w:tcW w:w="1503" w:type="dxa"/>
            <w:shd w:val="clear" w:color="auto" w:fill="D9D9D9"/>
          </w:tcPr>
          <w:p w14:paraId="478A03D7"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6,160.83</w:t>
            </w:r>
          </w:p>
        </w:tc>
        <w:tc>
          <w:tcPr>
            <w:tcW w:w="1049" w:type="dxa"/>
            <w:shd w:val="clear" w:color="auto" w:fill="D9D9D9"/>
          </w:tcPr>
          <w:p w14:paraId="14C218FD"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D9D9D9"/>
            <w:vAlign w:val="bottom"/>
          </w:tcPr>
          <w:p w14:paraId="75455921"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30.8</w:t>
            </w:r>
          </w:p>
        </w:tc>
      </w:tr>
      <w:tr w:rsidR="00EF2F8C" w:rsidRPr="00C046CA" w14:paraId="19FA3971" w14:textId="77777777" w:rsidTr="00EF2F8C">
        <w:trPr>
          <w:trHeight w:val="347"/>
        </w:trPr>
        <w:tc>
          <w:tcPr>
            <w:tcW w:w="751" w:type="dxa"/>
            <w:shd w:val="clear" w:color="auto" w:fill="FFFFFF"/>
          </w:tcPr>
          <w:p w14:paraId="46EC5D2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5.</w:t>
            </w:r>
          </w:p>
        </w:tc>
        <w:tc>
          <w:tcPr>
            <w:tcW w:w="2287" w:type="dxa"/>
            <w:shd w:val="clear" w:color="auto" w:fill="FFFFFF"/>
          </w:tcPr>
          <w:p w14:paraId="74BDE8AC"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Efut Abua</w:t>
            </w:r>
          </w:p>
        </w:tc>
        <w:tc>
          <w:tcPr>
            <w:tcW w:w="1430" w:type="dxa"/>
            <w:shd w:val="clear" w:color="auto" w:fill="FFFFFF"/>
          </w:tcPr>
          <w:p w14:paraId="3493F570"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27,785</w:t>
            </w:r>
          </w:p>
        </w:tc>
        <w:tc>
          <w:tcPr>
            <w:tcW w:w="1503" w:type="dxa"/>
            <w:shd w:val="clear" w:color="auto" w:fill="FFFFFF"/>
          </w:tcPr>
          <w:p w14:paraId="2B3B9358"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4,630.83</w:t>
            </w:r>
          </w:p>
        </w:tc>
        <w:tc>
          <w:tcPr>
            <w:tcW w:w="1049" w:type="dxa"/>
            <w:shd w:val="clear" w:color="auto" w:fill="FFFFFF"/>
          </w:tcPr>
          <w:p w14:paraId="27905FA7"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FFFFFF"/>
            <w:vAlign w:val="bottom"/>
          </w:tcPr>
          <w:p w14:paraId="68B2447C"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13.9</w:t>
            </w:r>
          </w:p>
        </w:tc>
      </w:tr>
      <w:tr w:rsidR="00EF2F8C" w:rsidRPr="00C046CA" w14:paraId="3A2768E2" w14:textId="77777777" w:rsidTr="00EF2F8C">
        <w:trPr>
          <w:trHeight w:val="257"/>
        </w:trPr>
        <w:tc>
          <w:tcPr>
            <w:tcW w:w="751" w:type="dxa"/>
            <w:shd w:val="clear" w:color="auto" w:fill="FFFFFF"/>
          </w:tcPr>
          <w:p w14:paraId="2F7A6936"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w:t>
            </w:r>
          </w:p>
        </w:tc>
        <w:tc>
          <w:tcPr>
            <w:tcW w:w="2287" w:type="dxa"/>
            <w:shd w:val="clear" w:color="auto" w:fill="FFFFFF"/>
          </w:tcPr>
          <w:p w14:paraId="0623093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Efut Anantigha</w:t>
            </w:r>
          </w:p>
        </w:tc>
        <w:tc>
          <w:tcPr>
            <w:tcW w:w="1430" w:type="dxa"/>
            <w:shd w:val="clear" w:color="auto" w:fill="FFFFFF"/>
          </w:tcPr>
          <w:p w14:paraId="09248F12"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27,594</w:t>
            </w:r>
          </w:p>
        </w:tc>
        <w:tc>
          <w:tcPr>
            <w:tcW w:w="1503" w:type="dxa"/>
            <w:shd w:val="clear" w:color="auto" w:fill="FFFFFF"/>
          </w:tcPr>
          <w:p w14:paraId="5A915917"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4,599</w:t>
            </w:r>
          </w:p>
        </w:tc>
        <w:tc>
          <w:tcPr>
            <w:tcW w:w="1049" w:type="dxa"/>
            <w:shd w:val="clear" w:color="auto" w:fill="FFFFFF"/>
          </w:tcPr>
          <w:p w14:paraId="1513A000"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FFFFFF"/>
            <w:vAlign w:val="bottom"/>
          </w:tcPr>
          <w:p w14:paraId="2CEDCEE8"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13.8</w:t>
            </w:r>
          </w:p>
        </w:tc>
      </w:tr>
      <w:tr w:rsidR="00EF2F8C" w:rsidRPr="00C046CA" w14:paraId="5752F27B" w14:textId="77777777" w:rsidTr="00EF2F8C">
        <w:trPr>
          <w:trHeight w:val="257"/>
        </w:trPr>
        <w:tc>
          <w:tcPr>
            <w:tcW w:w="751" w:type="dxa"/>
            <w:shd w:val="clear" w:color="auto" w:fill="D9D9D9"/>
          </w:tcPr>
          <w:p w14:paraId="14EF6E56"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w:t>
            </w:r>
          </w:p>
        </w:tc>
        <w:tc>
          <w:tcPr>
            <w:tcW w:w="2287" w:type="dxa"/>
            <w:shd w:val="clear" w:color="auto" w:fill="D9D9D9"/>
          </w:tcPr>
          <w:p w14:paraId="4068909D"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Efut Ekondo</w:t>
            </w:r>
          </w:p>
        </w:tc>
        <w:tc>
          <w:tcPr>
            <w:tcW w:w="1430" w:type="dxa"/>
            <w:shd w:val="clear" w:color="auto" w:fill="D9D9D9"/>
          </w:tcPr>
          <w:p w14:paraId="0680B9CB"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42,768</w:t>
            </w:r>
          </w:p>
        </w:tc>
        <w:tc>
          <w:tcPr>
            <w:tcW w:w="1503" w:type="dxa"/>
            <w:shd w:val="clear" w:color="auto" w:fill="D9D9D9"/>
          </w:tcPr>
          <w:p w14:paraId="136463A9"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7,128</w:t>
            </w:r>
          </w:p>
        </w:tc>
        <w:tc>
          <w:tcPr>
            <w:tcW w:w="1049" w:type="dxa"/>
            <w:shd w:val="clear" w:color="auto" w:fill="D9D9D9"/>
          </w:tcPr>
          <w:p w14:paraId="0D5005B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0.6</w:t>
            </w:r>
          </w:p>
        </w:tc>
        <w:tc>
          <w:tcPr>
            <w:tcW w:w="1080" w:type="dxa"/>
            <w:shd w:val="clear" w:color="auto" w:fill="D9D9D9"/>
            <w:vAlign w:val="bottom"/>
          </w:tcPr>
          <w:p w14:paraId="51F8F81B"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42.8</w:t>
            </w:r>
          </w:p>
        </w:tc>
      </w:tr>
      <w:tr w:rsidR="00EF2F8C" w:rsidRPr="00C046CA" w14:paraId="5C31E0AF" w14:textId="77777777" w:rsidTr="00EF2F8C">
        <w:trPr>
          <w:trHeight w:val="329"/>
        </w:trPr>
        <w:tc>
          <w:tcPr>
            <w:tcW w:w="751" w:type="dxa"/>
            <w:shd w:val="clear" w:color="auto" w:fill="D9D9D9"/>
          </w:tcPr>
          <w:p w14:paraId="242D4E40"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8.</w:t>
            </w:r>
          </w:p>
        </w:tc>
        <w:tc>
          <w:tcPr>
            <w:tcW w:w="2287" w:type="dxa"/>
            <w:shd w:val="clear" w:color="auto" w:fill="D9D9D9"/>
          </w:tcPr>
          <w:p w14:paraId="791FA07F"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Efut Uwanse</w:t>
            </w:r>
          </w:p>
        </w:tc>
        <w:tc>
          <w:tcPr>
            <w:tcW w:w="1430" w:type="dxa"/>
            <w:shd w:val="clear" w:color="auto" w:fill="D9D9D9"/>
          </w:tcPr>
          <w:p w14:paraId="4D5D31A1"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29,187</w:t>
            </w:r>
          </w:p>
        </w:tc>
        <w:tc>
          <w:tcPr>
            <w:tcW w:w="1503" w:type="dxa"/>
            <w:shd w:val="clear" w:color="auto" w:fill="D9D9D9"/>
          </w:tcPr>
          <w:p w14:paraId="0B45D352"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4,864</w:t>
            </w:r>
          </w:p>
        </w:tc>
        <w:tc>
          <w:tcPr>
            <w:tcW w:w="1049" w:type="dxa"/>
            <w:shd w:val="clear" w:color="auto" w:fill="D9D9D9"/>
          </w:tcPr>
          <w:p w14:paraId="10C89E80"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0.4</w:t>
            </w:r>
          </w:p>
        </w:tc>
        <w:tc>
          <w:tcPr>
            <w:tcW w:w="1080" w:type="dxa"/>
            <w:shd w:val="clear" w:color="auto" w:fill="D9D9D9"/>
            <w:vAlign w:val="bottom"/>
          </w:tcPr>
          <w:p w14:paraId="7B754054"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19.5</w:t>
            </w:r>
          </w:p>
        </w:tc>
      </w:tr>
      <w:tr w:rsidR="00EF2F8C" w:rsidRPr="00C046CA" w14:paraId="218D4B74" w14:textId="77777777" w:rsidTr="00EF2F8C">
        <w:trPr>
          <w:trHeight w:val="213"/>
        </w:trPr>
        <w:tc>
          <w:tcPr>
            <w:tcW w:w="751" w:type="dxa"/>
            <w:shd w:val="clear" w:color="auto" w:fill="FFFFFF"/>
          </w:tcPr>
          <w:p w14:paraId="0085715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9.</w:t>
            </w:r>
          </w:p>
        </w:tc>
        <w:tc>
          <w:tcPr>
            <w:tcW w:w="2287" w:type="dxa"/>
            <w:shd w:val="clear" w:color="auto" w:fill="FFFFFF"/>
          </w:tcPr>
          <w:p w14:paraId="1A58FEC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Ekorinim 1 and 2</w:t>
            </w:r>
          </w:p>
        </w:tc>
        <w:tc>
          <w:tcPr>
            <w:tcW w:w="1430" w:type="dxa"/>
            <w:shd w:val="clear" w:color="auto" w:fill="FFFFFF"/>
          </w:tcPr>
          <w:p w14:paraId="6333D829"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28,995</w:t>
            </w:r>
          </w:p>
        </w:tc>
        <w:tc>
          <w:tcPr>
            <w:tcW w:w="1503" w:type="dxa"/>
            <w:shd w:val="clear" w:color="auto" w:fill="FFFFFF"/>
          </w:tcPr>
          <w:p w14:paraId="56F8927E"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4,832.50</w:t>
            </w:r>
          </w:p>
        </w:tc>
        <w:tc>
          <w:tcPr>
            <w:tcW w:w="1049" w:type="dxa"/>
            <w:shd w:val="clear" w:color="auto" w:fill="FFFFFF"/>
          </w:tcPr>
          <w:p w14:paraId="1918DC0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0.4</w:t>
            </w:r>
          </w:p>
        </w:tc>
        <w:tc>
          <w:tcPr>
            <w:tcW w:w="1080" w:type="dxa"/>
            <w:shd w:val="clear" w:color="auto" w:fill="FFFFFF"/>
            <w:vAlign w:val="bottom"/>
          </w:tcPr>
          <w:p w14:paraId="69BD6309"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19.4</w:t>
            </w:r>
          </w:p>
        </w:tc>
      </w:tr>
      <w:tr w:rsidR="00EF2F8C" w:rsidRPr="00C046CA" w14:paraId="2EC2DC7C" w14:textId="77777777" w:rsidTr="00EF2F8C">
        <w:trPr>
          <w:trHeight w:val="257"/>
        </w:trPr>
        <w:tc>
          <w:tcPr>
            <w:tcW w:w="751" w:type="dxa"/>
            <w:shd w:val="clear" w:color="auto" w:fill="FFFFFF"/>
          </w:tcPr>
          <w:p w14:paraId="44946C4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10</w:t>
            </w:r>
          </w:p>
        </w:tc>
        <w:tc>
          <w:tcPr>
            <w:tcW w:w="2287" w:type="dxa"/>
            <w:shd w:val="clear" w:color="auto" w:fill="FFFFFF"/>
          </w:tcPr>
          <w:p w14:paraId="0D0B5A3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Esin Ufot</w:t>
            </w:r>
          </w:p>
        </w:tc>
        <w:tc>
          <w:tcPr>
            <w:tcW w:w="1430" w:type="dxa"/>
            <w:shd w:val="clear" w:color="auto" w:fill="FFFFFF"/>
          </w:tcPr>
          <w:p w14:paraId="07905862"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38,863</w:t>
            </w:r>
          </w:p>
        </w:tc>
        <w:tc>
          <w:tcPr>
            <w:tcW w:w="1503" w:type="dxa"/>
            <w:shd w:val="clear" w:color="auto" w:fill="FFFFFF"/>
          </w:tcPr>
          <w:p w14:paraId="479B52C3"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6,477.17</w:t>
            </w:r>
          </w:p>
        </w:tc>
        <w:tc>
          <w:tcPr>
            <w:tcW w:w="1049" w:type="dxa"/>
            <w:shd w:val="clear" w:color="auto" w:fill="FFFFFF"/>
          </w:tcPr>
          <w:p w14:paraId="2CC2CE4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FFFFFF"/>
            <w:vAlign w:val="bottom"/>
          </w:tcPr>
          <w:p w14:paraId="4870E9B7"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32.4</w:t>
            </w:r>
          </w:p>
        </w:tc>
      </w:tr>
      <w:tr w:rsidR="00EF2F8C" w:rsidRPr="00C046CA" w14:paraId="136C0A5C" w14:textId="77777777" w:rsidTr="00EF2F8C">
        <w:trPr>
          <w:trHeight w:val="347"/>
        </w:trPr>
        <w:tc>
          <w:tcPr>
            <w:tcW w:w="751" w:type="dxa"/>
            <w:shd w:val="clear" w:color="auto" w:fill="D9D9D9"/>
          </w:tcPr>
          <w:p w14:paraId="0491541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11</w:t>
            </w:r>
          </w:p>
        </w:tc>
        <w:tc>
          <w:tcPr>
            <w:tcW w:w="2287" w:type="dxa"/>
            <w:shd w:val="clear" w:color="auto" w:fill="D9D9D9"/>
          </w:tcPr>
          <w:p w14:paraId="5652F3E8"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Essien Town</w:t>
            </w:r>
          </w:p>
        </w:tc>
        <w:tc>
          <w:tcPr>
            <w:tcW w:w="1430" w:type="dxa"/>
            <w:shd w:val="clear" w:color="auto" w:fill="D9D9D9"/>
          </w:tcPr>
          <w:p w14:paraId="4763DC0E"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27,673</w:t>
            </w:r>
          </w:p>
        </w:tc>
        <w:tc>
          <w:tcPr>
            <w:tcW w:w="1503" w:type="dxa"/>
            <w:shd w:val="clear" w:color="auto" w:fill="D9D9D9"/>
          </w:tcPr>
          <w:p w14:paraId="5CFDD795"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4,612.17</w:t>
            </w:r>
          </w:p>
        </w:tc>
        <w:tc>
          <w:tcPr>
            <w:tcW w:w="1049" w:type="dxa"/>
            <w:shd w:val="clear" w:color="auto" w:fill="D9D9D9"/>
          </w:tcPr>
          <w:p w14:paraId="1144487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D9D9D9"/>
            <w:vAlign w:val="bottom"/>
          </w:tcPr>
          <w:p w14:paraId="039C04AD"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13.8</w:t>
            </w:r>
          </w:p>
        </w:tc>
      </w:tr>
      <w:tr w:rsidR="00EF2F8C" w:rsidRPr="00C046CA" w14:paraId="416EB585" w14:textId="77777777" w:rsidTr="00EF2F8C">
        <w:trPr>
          <w:trHeight w:val="257"/>
        </w:trPr>
        <w:tc>
          <w:tcPr>
            <w:tcW w:w="751" w:type="dxa"/>
            <w:shd w:val="clear" w:color="auto" w:fill="D9D9D9"/>
          </w:tcPr>
          <w:p w14:paraId="32D63707"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12</w:t>
            </w:r>
          </w:p>
        </w:tc>
        <w:tc>
          <w:tcPr>
            <w:tcW w:w="2287" w:type="dxa"/>
            <w:shd w:val="clear" w:color="auto" w:fill="D9D9D9"/>
          </w:tcPr>
          <w:p w14:paraId="5F09C59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Henshaw Town</w:t>
            </w:r>
          </w:p>
        </w:tc>
        <w:tc>
          <w:tcPr>
            <w:tcW w:w="1430" w:type="dxa"/>
            <w:shd w:val="clear" w:color="auto" w:fill="D9D9D9"/>
          </w:tcPr>
          <w:p w14:paraId="14EDCE42"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41,051</w:t>
            </w:r>
          </w:p>
        </w:tc>
        <w:tc>
          <w:tcPr>
            <w:tcW w:w="1503" w:type="dxa"/>
            <w:shd w:val="clear" w:color="auto" w:fill="D9D9D9"/>
          </w:tcPr>
          <w:p w14:paraId="020E6763"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6,841.83</w:t>
            </w:r>
          </w:p>
        </w:tc>
        <w:tc>
          <w:tcPr>
            <w:tcW w:w="1049" w:type="dxa"/>
            <w:shd w:val="clear" w:color="auto" w:fill="D9D9D9"/>
          </w:tcPr>
          <w:p w14:paraId="7DA0F749"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D9D9D9"/>
            <w:vAlign w:val="bottom"/>
          </w:tcPr>
          <w:p w14:paraId="233B9FD0"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34.5</w:t>
            </w:r>
          </w:p>
        </w:tc>
      </w:tr>
      <w:tr w:rsidR="00EF2F8C" w:rsidRPr="00C046CA" w14:paraId="2536A397" w14:textId="77777777" w:rsidTr="00EF2F8C">
        <w:trPr>
          <w:trHeight w:val="329"/>
        </w:trPr>
        <w:tc>
          <w:tcPr>
            <w:tcW w:w="751" w:type="dxa"/>
            <w:shd w:val="clear" w:color="auto" w:fill="FFFFFF"/>
          </w:tcPr>
          <w:p w14:paraId="4F3689A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13</w:t>
            </w:r>
          </w:p>
        </w:tc>
        <w:tc>
          <w:tcPr>
            <w:tcW w:w="2287" w:type="dxa"/>
            <w:shd w:val="clear" w:color="auto" w:fill="FFFFFF"/>
          </w:tcPr>
          <w:p w14:paraId="7A4CB44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Ikot Ansa</w:t>
            </w:r>
          </w:p>
        </w:tc>
        <w:tc>
          <w:tcPr>
            <w:tcW w:w="1430" w:type="dxa"/>
            <w:shd w:val="clear" w:color="auto" w:fill="FFFFFF"/>
          </w:tcPr>
          <w:p w14:paraId="6BADAA83"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39,088</w:t>
            </w:r>
          </w:p>
        </w:tc>
        <w:tc>
          <w:tcPr>
            <w:tcW w:w="1503" w:type="dxa"/>
            <w:shd w:val="clear" w:color="auto" w:fill="FFFFFF"/>
          </w:tcPr>
          <w:p w14:paraId="00735ACE"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6,514.67</w:t>
            </w:r>
          </w:p>
        </w:tc>
        <w:tc>
          <w:tcPr>
            <w:tcW w:w="1049" w:type="dxa"/>
            <w:shd w:val="clear" w:color="auto" w:fill="FFFFFF"/>
          </w:tcPr>
          <w:p w14:paraId="646F440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FFFFFF"/>
            <w:vAlign w:val="bottom"/>
          </w:tcPr>
          <w:p w14:paraId="1B910341"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32.6</w:t>
            </w:r>
          </w:p>
        </w:tc>
      </w:tr>
      <w:tr w:rsidR="00EF2F8C" w:rsidRPr="00C046CA" w14:paraId="11615713" w14:textId="77777777" w:rsidTr="00EF2F8C">
        <w:trPr>
          <w:trHeight w:val="347"/>
        </w:trPr>
        <w:tc>
          <w:tcPr>
            <w:tcW w:w="751" w:type="dxa"/>
            <w:shd w:val="clear" w:color="auto" w:fill="FFFFFF"/>
          </w:tcPr>
          <w:p w14:paraId="3C2E9C91"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14</w:t>
            </w:r>
          </w:p>
        </w:tc>
        <w:tc>
          <w:tcPr>
            <w:tcW w:w="2287" w:type="dxa"/>
            <w:shd w:val="clear" w:color="auto" w:fill="FFFFFF"/>
          </w:tcPr>
          <w:p w14:paraId="63392FC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Ikot Effanga Mkpa</w:t>
            </w:r>
          </w:p>
        </w:tc>
        <w:tc>
          <w:tcPr>
            <w:tcW w:w="1430" w:type="dxa"/>
            <w:shd w:val="clear" w:color="auto" w:fill="FFFFFF"/>
          </w:tcPr>
          <w:p w14:paraId="23EBD677"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29,999</w:t>
            </w:r>
          </w:p>
        </w:tc>
        <w:tc>
          <w:tcPr>
            <w:tcW w:w="1503" w:type="dxa"/>
            <w:shd w:val="clear" w:color="auto" w:fill="FFFFFF"/>
          </w:tcPr>
          <w:p w14:paraId="298F6AE6"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4,999.83</w:t>
            </w:r>
          </w:p>
        </w:tc>
        <w:tc>
          <w:tcPr>
            <w:tcW w:w="1049" w:type="dxa"/>
            <w:shd w:val="clear" w:color="auto" w:fill="FFFFFF"/>
          </w:tcPr>
          <w:p w14:paraId="7E04C0F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0.4</w:t>
            </w:r>
          </w:p>
        </w:tc>
        <w:tc>
          <w:tcPr>
            <w:tcW w:w="1080" w:type="dxa"/>
            <w:shd w:val="clear" w:color="auto" w:fill="FFFFFF"/>
            <w:vAlign w:val="bottom"/>
          </w:tcPr>
          <w:p w14:paraId="176B7B2E"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20.0</w:t>
            </w:r>
          </w:p>
        </w:tc>
      </w:tr>
      <w:tr w:rsidR="00EF2F8C" w:rsidRPr="00C046CA" w14:paraId="3CE3C7DC" w14:textId="77777777" w:rsidTr="00EF2F8C">
        <w:trPr>
          <w:trHeight w:val="69"/>
        </w:trPr>
        <w:tc>
          <w:tcPr>
            <w:tcW w:w="751" w:type="dxa"/>
            <w:shd w:val="clear" w:color="auto" w:fill="D9D9D9"/>
          </w:tcPr>
          <w:p w14:paraId="5E5632B1"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15</w:t>
            </w:r>
          </w:p>
        </w:tc>
        <w:tc>
          <w:tcPr>
            <w:tcW w:w="2287" w:type="dxa"/>
            <w:shd w:val="clear" w:color="auto" w:fill="D9D9D9"/>
          </w:tcPr>
          <w:p w14:paraId="2BE3926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Ikot Ishie</w:t>
            </w:r>
          </w:p>
        </w:tc>
        <w:tc>
          <w:tcPr>
            <w:tcW w:w="1430" w:type="dxa"/>
            <w:shd w:val="clear" w:color="auto" w:fill="D9D9D9"/>
          </w:tcPr>
          <w:p w14:paraId="54738A86"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38,785</w:t>
            </w:r>
          </w:p>
        </w:tc>
        <w:tc>
          <w:tcPr>
            <w:tcW w:w="1503" w:type="dxa"/>
            <w:shd w:val="clear" w:color="auto" w:fill="D9D9D9"/>
          </w:tcPr>
          <w:p w14:paraId="6F96171C"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6,464.17</w:t>
            </w:r>
          </w:p>
        </w:tc>
        <w:tc>
          <w:tcPr>
            <w:tcW w:w="1049" w:type="dxa"/>
            <w:shd w:val="clear" w:color="auto" w:fill="D9D9D9"/>
          </w:tcPr>
          <w:p w14:paraId="6C01849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D9D9D9"/>
            <w:vAlign w:val="bottom"/>
          </w:tcPr>
          <w:p w14:paraId="11491CD5"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32.4</w:t>
            </w:r>
          </w:p>
        </w:tc>
      </w:tr>
      <w:tr w:rsidR="00EF2F8C" w:rsidRPr="00C046CA" w14:paraId="588CCB56" w14:textId="77777777" w:rsidTr="00EF2F8C">
        <w:trPr>
          <w:trHeight w:val="257"/>
        </w:trPr>
        <w:tc>
          <w:tcPr>
            <w:tcW w:w="751" w:type="dxa"/>
            <w:shd w:val="clear" w:color="auto" w:fill="D9D9D9"/>
          </w:tcPr>
          <w:p w14:paraId="09770A68"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16</w:t>
            </w:r>
          </w:p>
        </w:tc>
        <w:tc>
          <w:tcPr>
            <w:tcW w:w="2287" w:type="dxa"/>
            <w:shd w:val="clear" w:color="auto" w:fill="D9D9D9"/>
          </w:tcPr>
          <w:p w14:paraId="36D6F63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Ikot Omin</w:t>
            </w:r>
          </w:p>
        </w:tc>
        <w:tc>
          <w:tcPr>
            <w:tcW w:w="1430" w:type="dxa"/>
            <w:shd w:val="clear" w:color="auto" w:fill="D9D9D9"/>
          </w:tcPr>
          <w:p w14:paraId="6FAFC1C4"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27,781</w:t>
            </w:r>
          </w:p>
        </w:tc>
        <w:tc>
          <w:tcPr>
            <w:tcW w:w="1503" w:type="dxa"/>
            <w:shd w:val="clear" w:color="auto" w:fill="D9D9D9"/>
          </w:tcPr>
          <w:p w14:paraId="44A961BB"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4,630.17</w:t>
            </w:r>
          </w:p>
        </w:tc>
        <w:tc>
          <w:tcPr>
            <w:tcW w:w="1049" w:type="dxa"/>
            <w:shd w:val="clear" w:color="auto" w:fill="D9D9D9"/>
          </w:tcPr>
          <w:p w14:paraId="3117219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D9D9D9"/>
            <w:vAlign w:val="bottom"/>
          </w:tcPr>
          <w:p w14:paraId="5F6FA153"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13.9</w:t>
            </w:r>
          </w:p>
        </w:tc>
      </w:tr>
      <w:tr w:rsidR="00EF2F8C" w:rsidRPr="00C046CA" w14:paraId="3D720FC8" w14:textId="77777777" w:rsidTr="00EF2F8C">
        <w:trPr>
          <w:trHeight w:val="153"/>
        </w:trPr>
        <w:tc>
          <w:tcPr>
            <w:tcW w:w="751" w:type="dxa"/>
            <w:shd w:val="clear" w:color="auto" w:fill="FFFFFF"/>
          </w:tcPr>
          <w:p w14:paraId="2C61887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17</w:t>
            </w:r>
          </w:p>
        </w:tc>
        <w:tc>
          <w:tcPr>
            <w:tcW w:w="2287" w:type="dxa"/>
            <w:shd w:val="clear" w:color="auto" w:fill="FFFFFF"/>
          </w:tcPr>
          <w:p w14:paraId="34BC4DF7"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Mbukpa</w:t>
            </w:r>
          </w:p>
        </w:tc>
        <w:tc>
          <w:tcPr>
            <w:tcW w:w="1430" w:type="dxa"/>
            <w:shd w:val="clear" w:color="auto" w:fill="FFFFFF"/>
          </w:tcPr>
          <w:p w14:paraId="3707BA53"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42,541</w:t>
            </w:r>
          </w:p>
        </w:tc>
        <w:tc>
          <w:tcPr>
            <w:tcW w:w="1503" w:type="dxa"/>
            <w:shd w:val="clear" w:color="auto" w:fill="FFFFFF"/>
          </w:tcPr>
          <w:p w14:paraId="3E83C178"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70,90.17</w:t>
            </w:r>
          </w:p>
        </w:tc>
        <w:tc>
          <w:tcPr>
            <w:tcW w:w="1049" w:type="dxa"/>
            <w:shd w:val="clear" w:color="auto" w:fill="FFFFFF"/>
          </w:tcPr>
          <w:p w14:paraId="5FA1DEBA"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0.6</w:t>
            </w:r>
          </w:p>
        </w:tc>
        <w:tc>
          <w:tcPr>
            <w:tcW w:w="1080" w:type="dxa"/>
            <w:shd w:val="clear" w:color="auto" w:fill="FFFFFF"/>
            <w:vAlign w:val="bottom"/>
          </w:tcPr>
          <w:p w14:paraId="5FEA6002"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42.5</w:t>
            </w:r>
          </w:p>
        </w:tc>
      </w:tr>
      <w:tr w:rsidR="00EF2F8C" w:rsidRPr="00C046CA" w14:paraId="29A5DC0C" w14:textId="77777777" w:rsidTr="00EF2F8C">
        <w:trPr>
          <w:trHeight w:val="153"/>
        </w:trPr>
        <w:tc>
          <w:tcPr>
            <w:tcW w:w="751" w:type="dxa"/>
            <w:shd w:val="clear" w:color="auto" w:fill="FFFFFF"/>
          </w:tcPr>
          <w:p w14:paraId="5BD44A70"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18</w:t>
            </w:r>
          </w:p>
        </w:tc>
        <w:tc>
          <w:tcPr>
            <w:tcW w:w="2287" w:type="dxa"/>
            <w:shd w:val="clear" w:color="auto" w:fill="FFFFFF"/>
          </w:tcPr>
          <w:p w14:paraId="7A38A24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Nyahasang</w:t>
            </w:r>
          </w:p>
        </w:tc>
        <w:tc>
          <w:tcPr>
            <w:tcW w:w="1430" w:type="dxa"/>
            <w:shd w:val="clear" w:color="auto" w:fill="FFFFFF"/>
          </w:tcPr>
          <w:p w14:paraId="69B62D5F"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26,243</w:t>
            </w:r>
          </w:p>
        </w:tc>
        <w:tc>
          <w:tcPr>
            <w:tcW w:w="1503" w:type="dxa"/>
            <w:shd w:val="clear" w:color="auto" w:fill="FFFFFF"/>
          </w:tcPr>
          <w:p w14:paraId="0CF77C8B"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4,373.83</w:t>
            </w:r>
          </w:p>
        </w:tc>
        <w:tc>
          <w:tcPr>
            <w:tcW w:w="1049" w:type="dxa"/>
            <w:shd w:val="clear" w:color="auto" w:fill="FFFFFF"/>
          </w:tcPr>
          <w:p w14:paraId="0D718A9C"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FFFFFF"/>
            <w:vAlign w:val="bottom"/>
          </w:tcPr>
          <w:p w14:paraId="57DF394B"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13.2</w:t>
            </w:r>
          </w:p>
        </w:tc>
      </w:tr>
      <w:tr w:rsidR="00EF2F8C" w:rsidRPr="00C046CA" w14:paraId="739275B3" w14:textId="77777777" w:rsidTr="00EF2F8C">
        <w:trPr>
          <w:trHeight w:val="153"/>
        </w:trPr>
        <w:tc>
          <w:tcPr>
            <w:tcW w:w="751" w:type="dxa"/>
            <w:shd w:val="clear" w:color="auto" w:fill="A6A6A6"/>
          </w:tcPr>
          <w:p w14:paraId="5AF77E1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
        </w:tc>
        <w:tc>
          <w:tcPr>
            <w:tcW w:w="2287" w:type="dxa"/>
            <w:shd w:val="clear" w:color="auto" w:fill="A6A6A6"/>
          </w:tcPr>
          <w:p w14:paraId="63AE22DB"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Total</w:t>
            </w:r>
          </w:p>
        </w:tc>
        <w:tc>
          <w:tcPr>
            <w:tcW w:w="1430" w:type="dxa"/>
            <w:shd w:val="clear" w:color="auto" w:fill="A6A6A6"/>
          </w:tcPr>
          <w:p w14:paraId="2A7C2339"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630,628</w:t>
            </w:r>
          </w:p>
        </w:tc>
        <w:tc>
          <w:tcPr>
            <w:tcW w:w="1503" w:type="dxa"/>
            <w:shd w:val="clear" w:color="auto" w:fill="A6A6A6"/>
          </w:tcPr>
          <w:p w14:paraId="775FF840" w14:textId="77777777" w:rsidR="00EF2F8C" w:rsidRPr="00EF2F8C" w:rsidRDefault="00EF2F8C" w:rsidP="002C1720">
            <w:pPr>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105,105</w:t>
            </w:r>
          </w:p>
        </w:tc>
        <w:tc>
          <w:tcPr>
            <w:tcW w:w="1049" w:type="dxa"/>
            <w:shd w:val="clear" w:color="auto" w:fill="A6A6A6"/>
          </w:tcPr>
          <w:p w14:paraId="37C3B872"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8.1</w:t>
            </w:r>
          </w:p>
        </w:tc>
        <w:tc>
          <w:tcPr>
            <w:tcW w:w="1080" w:type="dxa"/>
            <w:shd w:val="clear" w:color="auto" w:fill="A6A6A6"/>
            <w:vAlign w:val="bottom"/>
          </w:tcPr>
          <w:p w14:paraId="6A87B75E" w14:textId="77777777" w:rsidR="00EF2F8C" w:rsidRPr="00EF2F8C" w:rsidRDefault="00EF2F8C" w:rsidP="002C1720">
            <w:pPr>
              <w:jc w:val="both"/>
              <w:rPr>
                <w:rFonts w:ascii="Times New Roman" w:eastAsia="Calibri" w:hAnsi="Times New Roman" w:cs="Times New Roman"/>
                <w:b/>
                <w:color w:val="000000"/>
                <w:sz w:val="20"/>
                <w:szCs w:val="20"/>
              </w:rPr>
            </w:pPr>
            <w:r w:rsidRPr="00EF2F8C">
              <w:rPr>
                <w:rFonts w:ascii="Times New Roman" w:eastAsia="Calibri" w:hAnsi="Times New Roman" w:cs="Times New Roman"/>
                <w:b/>
                <w:color w:val="000000"/>
                <w:sz w:val="20"/>
                <w:szCs w:val="20"/>
              </w:rPr>
              <w:t>494</w:t>
            </w:r>
          </w:p>
        </w:tc>
      </w:tr>
    </w:tbl>
    <w:p w14:paraId="54BA4B16" w14:textId="77777777" w:rsidR="00EF2F8C" w:rsidRPr="00EF2F8C" w:rsidRDefault="00EF2F8C" w:rsidP="002C1720">
      <w:pPr>
        <w:autoSpaceDE w:val="0"/>
        <w:autoSpaceDN w:val="0"/>
        <w:adjustRightInd w:val="0"/>
        <w:spacing w:after="0" w:line="240" w:lineRule="auto"/>
        <w:ind w:left="360"/>
        <w:jc w:val="both"/>
        <w:rPr>
          <w:rFonts w:ascii="Times New Roman" w:eastAsia="Calibri" w:hAnsi="Times New Roman" w:cs="Times New Roman"/>
          <w:b/>
          <w:i/>
          <w:kern w:val="0"/>
          <w14:ligatures w14:val="none"/>
        </w:rPr>
      </w:pPr>
    </w:p>
    <w:p w14:paraId="7237437B" w14:textId="537EF733" w:rsidR="007D05DB" w:rsidRPr="002C1720" w:rsidRDefault="00EF2F8C" w:rsidP="002C1720">
      <w:pPr>
        <w:autoSpaceDE w:val="0"/>
        <w:autoSpaceDN w:val="0"/>
        <w:adjustRightInd w:val="0"/>
        <w:spacing w:after="0" w:line="240" w:lineRule="auto"/>
        <w:ind w:left="360"/>
        <w:jc w:val="both"/>
        <w:rPr>
          <w:rFonts w:ascii="Times New Roman" w:eastAsia="Calibri" w:hAnsi="Times New Roman" w:cs="Times New Roman"/>
          <w:kern w:val="0"/>
          <w14:ligatures w14:val="none"/>
        </w:rPr>
      </w:pPr>
      <w:r w:rsidRPr="00EF2F8C">
        <w:rPr>
          <w:rFonts w:ascii="Times New Roman" w:eastAsia="Calibri" w:hAnsi="Times New Roman" w:cs="Times New Roman"/>
          <w:b/>
          <w:i/>
          <w:kern w:val="0"/>
          <w14:ligatures w14:val="none"/>
        </w:rPr>
        <w:t>Source:</w:t>
      </w:r>
      <w:r w:rsidRPr="00EF2F8C">
        <w:rPr>
          <w:rFonts w:ascii="Times New Roman" w:eastAsia="Calibri" w:hAnsi="Times New Roman" w:cs="Times New Roman"/>
          <w:kern w:val="0"/>
          <w14:ligatures w14:val="none"/>
        </w:rPr>
        <w:t xml:space="preserve"> Compiled by the Researcher from year 2006 census data and </w:t>
      </w:r>
      <w:r w:rsidRPr="00EF2F8C">
        <w:rPr>
          <w:rFonts w:ascii="Times New Roman" w:eastAsia="Calibri" w:hAnsi="Times New Roman" w:cs="Times New Roman"/>
          <w:kern w:val="0"/>
          <w14:ligatures w14:val="none"/>
        </w:rPr>
        <w:tab/>
      </w:r>
      <w:r w:rsidRPr="00EF2F8C">
        <w:rPr>
          <w:rFonts w:ascii="Times New Roman" w:eastAsia="Calibri" w:hAnsi="Times New Roman" w:cs="Times New Roman"/>
          <w:kern w:val="0"/>
          <w14:ligatures w14:val="none"/>
        </w:rPr>
        <w:tab/>
      </w:r>
      <w:r w:rsidRPr="00EF2F8C">
        <w:rPr>
          <w:rFonts w:ascii="Times New Roman" w:eastAsia="Calibri" w:hAnsi="Times New Roman" w:cs="Times New Roman"/>
          <w:kern w:val="0"/>
          <w14:ligatures w14:val="none"/>
        </w:rPr>
        <w:tab/>
        <w:t>projected to year 202</w:t>
      </w:r>
      <w:r w:rsidRPr="002C1720">
        <w:rPr>
          <w:rFonts w:ascii="Times New Roman" w:eastAsia="Calibri" w:hAnsi="Times New Roman" w:cs="Times New Roman"/>
          <w:kern w:val="0"/>
          <w14:ligatures w14:val="none"/>
        </w:rPr>
        <w:t>4</w:t>
      </w:r>
      <w:r w:rsidRPr="00EF2F8C">
        <w:rPr>
          <w:rFonts w:ascii="Times New Roman" w:eastAsia="Calibri" w:hAnsi="Times New Roman" w:cs="Times New Roman"/>
          <w:kern w:val="0"/>
          <w14:ligatures w14:val="none"/>
        </w:rPr>
        <w:t>.</w:t>
      </w:r>
    </w:p>
    <w:p w14:paraId="135699C7" w14:textId="77777777" w:rsidR="00016646" w:rsidRPr="002C1720" w:rsidRDefault="00016646" w:rsidP="002C1720">
      <w:pPr>
        <w:autoSpaceDE w:val="0"/>
        <w:autoSpaceDN w:val="0"/>
        <w:adjustRightInd w:val="0"/>
        <w:spacing w:after="0" w:line="240" w:lineRule="auto"/>
        <w:ind w:left="360"/>
        <w:jc w:val="both"/>
        <w:rPr>
          <w:rFonts w:ascii="Times New Roman" w:eastAsia="Calibri" w:hAnsi="Times New Roman" w:cs="Times New Roman"/>
          <w:kern w:val="0"/>
          <w14:ligatures w14:val="none"/>
        </w:rPr>
      </w:pPr>
    </w:p>
    <w:p w14:paraId="764782EC" w14:textId="77777777" w:rsidR="00C046CA" w:rsidRDefault="00C046CA"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p>
    <w:p w14:paraId="2FEBAC72" w14:textId="77777777" w:rsidR="00B41294" w:rsidRDefault="00B41294"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p>
    <w:p w14:paraId="584E3018" w14:textId="77777777" w:rsidR="00B41294" w:rsidRDefault="00B41294"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p>
    <w:p w14:paraId="42AFB908" w14:textId="77777777" w:rsidR="00B41294" w:rsidRPr="00C046CA" w:rsidRDefault="00B41294"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p>
    <w:p w14:paraId="0D98B164" w14:textId="6D5C53BB" w:rsidR="00016646" w:rsidRPr="00051EC1" w:rsidRDefault="00C70366"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III. </w:t>
      </w:r>
      <w:r w:rsidR="00016646" w:rsidRPr="00C046CA">
        <w:rPr>
          <w:rFonts w:ascii="Times New Roman" w:eastAsia="Calibri" w:hAnsi="Times New Roman" w:cs="Times New Roman"/>
          <w:b/>
          <w:bCs/>
          <w:kern w:val="0"/>
          <w14:ligatures w14:val="none"/>
        </w:rPr>
        <w:t>ANALYSIS</w:t>
      </w:r>
    </w:p>
    <w:p w14:paraId="1C1808C2" w14:textId="77777777" w:rsidR="00C046CA" w:rsidRPr="00C046CA" w:rsidRDefault="00C046CA" w:rsidP="002C1720">
      <w:pPr>
        <w:spacing w:after="200" w:line="240" w:lineRule="auto"/>
        <w:jc w:val="both"/>
        <w:rPr>
          <w:rFonts w:ascii="Times New Roman" w:eastAsia="Calibri" w:hAnsi="Times New Roman" w:cs="Times New Roman"/>
          <w:b/>
          <w:bCs/>
          <w:kern w:val="0"/>
          <w:lang w:val="en-GB"/>
          <w14:ligatures w14:val="none"/>
        </w:rPr>
      </w:pPr>
    </w:p>
    <w:p w14:paraId="2495378E" w14:textId="1D27D4B6"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Table </w:t>
      </w:r>
      <w:r w:rsidR="00016646" w:rsidRPr="002C1720">
        <w:rPr>
          <w:rFonts w:ascii="Times New Roman" w:eastAsia="Calibri" w:hAnsi="Times New Roman" w:cs="Times New Roman"/>
          <w:kern w:val="0"/>
          <w:lang w:val="en-GB"/>
          <w14:ligatures w14:val="none"/>
        </w:rPr>
        <w:t>2.0</w:t>
      </w:r>
      <w:r w:rsidRPr="00051EC1">
        <w:rPr>
          <w:rFonts w:ascii="Times New Roman" w:eastAsia="Calibri" w:hAnsi="Times New Roman" w:cs="Times New Roman"/>
          <w:kern w:val="0"/>
          <w:lang w:val="en-GB"/>
          <w14:ligatures w14:val="none"/>
        </w:rPr>
        <w:t xml:space="preserve"> showed responses on the Likert scale for mixed land uses and population concentration in Calabar Metropolis. Interviews were conducted to ascertain </w:t>
      </w:r>
      <w:r w:rsidR="00016646" w:rsidRPr="002C1720">
        <w:rPr>
          <w:rFonts w:ascii="Times New Roman" w:eastAsia="Calibri" w:hAnsi="Times New Roman" w:cs="Times New Roman"/>
          <w:kern w:val="0"/>
          <w:lang w:val="en-GB"/>
          <w14:ligatures w14:val="none"/>
        </w:rPr>
        <w:t xml:space="preserve">the relationship between </w:t>
      </w:r>
      <w:r w:rsidRPr="00051EC1">
        <w:rPr>
          <w:rFonts w:ascii="Times New Roman" w:eastAsia="Calibri" w:hAnsi="Times New Roman" w:cs="Times New Roman"/>
          <w:kern w:val="0"/>
          <w:lang w:val="en-GB"/>
          <w14:ligatures w14:val="none"/>
        </w:rPr>
        <w:t xml:space="preserve">population </w:t>
      </w:r>
      <w:r w:rsidR="00016646" w:rsidRPr="002C1720">
        <w:rPr>
          <w:rFonts w:ascii="Times New Roman" w:eastAsia="Calibri" w:hAnsi="Times New Roman" w:cs="Times New Roman"/>
          <w:kern w:val="0"/>
          <w:lang w:val="en-GB"/>
          <w14:ligatures w14:val="none"/>
        </w:rPr>
        <w:lastRenderedPageBreak/>
        <w:t xml:space="preserve">concentration and </w:t>
      </w:r>
      <w:r w:rsidRPr="00051EC1">
        <w:rPr>
          <w:rFonts w:ascii="Times New Roman" w:eastAsia="Calibri" w:hAnsi="Times New Roman" w:cs="Times New Roman"/>
          <w:kern w:val="0"/>
          <w:lang w:val="en-GB"/>
          <w14:ligatures w14:val="none"/>
        </w:rPr>
        <w:t xml:space="preserve">mixed land use development. Respondents </w:t>
      </w:r>
      <w:r w:rsidR="00016646" w:rsidRPr="002C1720">
        <w:rPr>
          <w:rFonts w:ascii="Times New Roman" w:eastAsia="Calibri" w:hAnsi="Times New Roman" w:cs="Times New Roman"/>
          <w:kern w:val="0"/>
          <w:lang w:val="en-GB"/>
          <w14:ligatures w14:val="none"/>
        </w:rPr>
        <w:t>chose</w:t>
      </w:r>
      <w:r w:rsidRPr="00051EC1">
        <w:rPr>
          <w:rFonts w:ascii="Times New Roman" w:eastAsia="Calibri" w:hAnsi="Times New Roman" w:cs="Times New Roman"/>
          <w:kern w:val="0"/>
          <w:lang w:val="en-GB"/>
          <w14:ligatures w14:val="none"/>
        </w:rPr>
        <w:t xml:space="preserve"> from options on the likert scale, such as; strongly agreed (5 points), agreed (4 points), strongly disagreed (1 point), disagreed (2 points) and undecided (3 points). Each of the options showed responses from respondents according to their degree of acceptability as shown in Table</w:t>
      </w:r>
      <w:r w:rsidR="00016646" w:rsidRPr="002C1720">
        <w:rPr>
          <w:rFonts w:ascii="Times New Roman" w:eastAsia="Calibri" w:hAnsi="Times New Roman" w:cs="Times New Roman"/>
          <w:kern w:val="0"/>
          <w:lang w:val="en-GB"/>
          <w14:ligatures w14:val="none"/>
        </w:rPr>
        <w:t xml:space="preserve"> 2.0</w:t>
      </w:r>
      <w:r w:rsidRPr="00051EC1">
        <w:rPr>
          <w:rFonts w:ascii="Times New Roman" w:eastAsia="Calibri" w:hAnsi="Times New Roman" w:cs="Times New Roman"/>
          <w:kern w:val="0"/>
          <w:lang w:val="en-GB"/>
          <w14:ligatures w14:val="none"/>
        </w:rPr>
        <w:t xml:space="preserve">. For example, population density as a major cause of mixed land use development has 196 responses who strongly agreed, 103 responses who agreed, 95 responses who strongly disagreed, 93 responses who disagreed and 9 responses that were undecided making a total of 494 responses. However, 1,232 (27.71 per cent) who strongly agreed with all the questions on the Likert scale were the largest. While 766 (17.23 per cent) undecided responses were the least on the Likert scale. However, the average percentage mean response on the Likert scale was 27.16 per cent. </w:t>
      </w:r>
    </w:p>
    <w:p w14:paraId="0B810AF9" w14:textId="780D2DEC"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R</w:t>
      </w:r>
      <w:r w:rsidRPr="00051EC1">
        <w:rPr>
          <w:rFonts w:ascii="Times New Roman" w:eastAsia="Calibri" w:hAnsi="Times New Roman" w:cs="Times New Roman"/>
          <w:kern w:val="0"/>
          <w:vertAlign w:val="subscript"/>
          <w:lang w:val="en-GB"/>
          <w14:ligatures w14:val="none"/>
        </w:rPr>
        <w:t>11</w:t>
      </w:r>
      <w:r w:rsidRPr="00051EC1">
        <w:rPr>
          <w:rFonts w:ascii="Times New Roman" w:eastAsia="Calibri" w:hAnsi="Times New Roman" w:cs="Times New Roman"/>
          <w:kern w:val="0"/>
          <w:lang w:val="en-GB"/>
          <w14:ligatures w14:val="none"/>
        </w:rPr>
        <w:t xml:space="preserve"> = ⅀W∕AN (0≤ R</w:t>
      </w:r>
      <w:r w:rsidRPr="00051EC1">
        <w:rPr>
          <w:rFonts w:ascii="Times New Roman" w:eastAsia="Calibri" w:hAnsi="Times New Roman" w:cs="Times New Roman"/>
          <w:kern w:val="0"/>
          <w:vertAlign w:val="subscript"/>
          <w:lang w:val="en-GB"/>
          <w14:ligatures w14:val="none"/>
        </w:rPr>
        <w:t>11</w:t>
      </w:r>
      <w:r w:rsidRPr="00051EC1">
        <w:rPr>
          <w:rFonts w:ascii="Times New Roman" w:eastAsia="Calibri" w:hAnsi="Times New Roman" w:cs="Times New Roman"/>
          <w:kern w:val="0"/>
          <w:lang w:val="en-GB"/>
          <w14:ligatures w14:val="none"/>
        </w:rPr>
        <w:t>≥1) …………………</w:t>
      </w:r>
      <w:r w:rsidR="00016646" w:rsidRPr="002C1720">
        <w:rPr>
          <w:rFonts w:ascii="Times New Roman" w:eastAsia="Calibri" w:hAnsi="Times New Roman" w:cs="Times New Roman"/>
          <w:kern w:val="0"/>
          <w:lang w:val="en-GB"/>
          <w14:ligatures w14:val="none"/>
        </w:rPr>
        <w:t>………..</w:t>
      </w:r>
      <w:r w:rsidRPr="00051EC1">
        <w:rPr>
          <w:rFonts w:ascii="Times New Roman" w:eastAsia="Calibri" w:hAnsi="Times New Roman" w:cs="Times New Roman"/>
          <w:kern w:val="0"/>
          <w:lang w:val="en-GB"/>
          <w14:ligatures w14:val="none"/>
        </w:rPr>
        <w:t>……………</w:t>
      </w:r>
      <w:r w:rsidR="00016646" w:rsidRPr="002C1720">
        <w:rPr>
          <w:rFonts w:ascii="Times New Roman" w:eastAsia="Calibri" w:hAnsi="Times New Roman" w:cs="Times New Roman"/>
          <w:kern w:val="0"/>
          <w:lang w:val="en-GB"/>
          <w14:ligatures w14:val="none"/>
        </w:rPr>
        <w:t>…</w:t>
      </w:r>
      <w:r w:rsidRPr="00051EC1">
        <w:rPr>
          <w:rFonts w:ascii="Times New Roman" w:eastAsia="Calibri" w:hAnsi="Times New Roman" w:cs="Times New Roman"/>
          <w:kern w:val="0"/>
          <w:lang w:val="en-GB"/>
          <w14:ligatures w14:val="none"/>
        </w:rPr>
        <w:t>………… eqn</w:t>
      </w:r>
      <w:r w:rsidR="00016646" w:rsidRPr="002C1720">
        <w:rPr>
          <w:rFonts w:ascii="Times New Roman" w:eastAsia="Calibri" w:hAnsi="Times New Roman" w:cs="Times New Roman"/>
          <w:kern w:val="0"/>
          <w:lang w:val="en-GB"/>
          <w14:ligatures w14:val="none"/>
        </w:rPr>
        <w:t>. 1</w:t>
      </w:r>
      <w:r w:rsidRPr="00051EC1">
        <w:rPr>
          <w:rFonts w:ascii="Times New Roman" w:eastAsia="Calibri" w:hAnsi="Times New Roman" w:cs="Times New Roman"/>
          <w:kern w:val="0"/>
          <w:lang w:val="en-GB"/>
          <w14:ligatures w14:val="none"/>
        </w:rPr>
        <w:t>.</w:t>
      </w:r>
    </w:p>
    <w:p w14:paraId="1B33D163"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Where: R</w:t>
      </w:r>
      <w:r w:rsidRPr="00016646">
        <w:rPr>
          <w:rFonts w:ascii="Times New Roman" w:eastAsia="Calibri" w:hAnsi="Times New Roman" w:cs="Times New Roman"/>
          <w:kern w:val="0"/>
          <w:vertAlign w:val="subscript"/>
          <w:lang w:val="en-GB"/>
          <w14:ligatures w14:val="none"/>
        </w:rPr>
        <w:t xml:space="preserve">11 </w:t>
      </w:r>
      <w:r w:rsidRPr="00016646">
        <w:rPr>
          <w:rFonts w:ascii="Times New Roman" w:eastAsia="Calibri" w:hAnsi="Times New Roman" w:cs="Times New Roman"/>
          <w:kern w:val="0"/>
          <w:lang w:val="en-GB"/>
          <w14:ligatures w14:val="none"/>
        </w:rPr>
        <w:t>= Relative importance index</w:t>
      </w:r>
    </w:p>
    <w:p w14:paraId="2DF4922A"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 xml:space="preserve">              ⅀ = summation</w:t>
      </w:r>
    </w:p>
    <w:p w14:paraId="1A982EE0"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 xml:space="preserve">                 W = weight given to each factor by the respondents (1-5)</w:t>
      </w:r>
    </w:p>
    <w:p w14:paraId="5B4B0424"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 xml:space="preserve">                  A = highest weight (in this study 5)</w:t>
      </w:r>
    </w:p>
    <w:p w14:paraId="67EABED4"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 xml:space="preserve">                   N = sample size (in this study 494)</w:t>
      </w:r>
    </w:p>
    <w:p w14:paraId="35BAEEFE" w14:textId="761CBE2A" w:rsidR="00051EC1" w:rsidRDefault="00016646" w:rsidP="002C1720">
      <w:pPr>
        <w:spacing w:after="200" w:line="240" w:lineRule="auto"/>
        <w:jc w:val="both"/>
        <w:rPr>
          <w:rFonts w:ascii="Times New Roman" w:eastAsia="Calibri" w:hAnsi="Times New Roman" w:cs="Times New Roman"/>
          <w:kern w:val="0"/>
          <w:lang w:val="en-GB"/>
          <w14:ligatures w14:val="none"/>
        </w:rPr>
      </w:pPr>
      <w:r w:rsidRPr="002C1720">
        <w:rPr>
          <w:rFonts w:ascii="Times New Roman" w:eastAsia="Calibri" w:hAnsi="Times New Roman" w:cs="Times New Roman"/>
          <w:kern w:val="0"/>
          <w:lang w:val="en-GB"/>
          <w14:ligatures w14:val="none"/>
        </w:rPr>
        <w:t>However, R</w:t>
      </w:r>
      <w:r w:rsidRPr="002C1720">
        <w:rPr>
          <w:rFonts w:ascii="Times New Roman" w:eastAsia="Calibri" w:hAnsi="Times New Roman" w:cs="Times New Roman"/>
          <w:kern w:val="0"/>
          <w:vertAlign w:val="subscript"/>
          <w:lang w:val="en-GB"/>
          <w14:ligatures w14:val="none"/>
        </w:rPr>
        <w:t>11</w:t>
      </w:r>
      <w:r w:rsidRPr="002C1720">
        <w:rPr>
          <w:rFonts w:ascii="Times New Roman" w:eastAsia="Calibri" w:hAnsi="Times New Roman" w:cs="Times New Roman"/>
          <w:kern w:val="0"/>
          <w:lang w:val="en-GB"/>
          <w14:ligatures w14:val="none"/>
        </w:rPr>
        <w:t xml:space="preserve"> falls within the range of zero to one (0-1) making it possible to compare opinions. Therefore, the benchmark for deciding the significant score is 0.05 as such values ≥ 0.05 are considered not significant while values ≤ 0.05 are significant. Responses on the Likert scale are considered as qualitative in this study and were not tested further.            </w:t>
      </w:r>
    </w:p>
    <w:p w14:paraId="50F8F152" w14:textId="77777777" w:rsidR="00DA66D5" w:rsidRDefault="00DA66D5" w:rsidP="002C1720">
      <w:pPr>
        <w:spacing w:after="200" w:line="240" w:lineRule="auto"/>
        <w:jc w:val="both"/>
        <w:rPr>
          <w:rFonts w:ascii="Times New Roman" w:eastAsia="Calibri" w:hAnsi="Times New Roman" w:cs="Times New Roman"/>
          <w:kern w:val="0"/>
          <w:lang w:val="en-GB"/>
          <w14:ligatures w14:val="none"/>
        </w:rPr>
      </w:pPr>
    </w:p>
    <w:p w14:paraId="2320537E"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073593D1"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693E1CC2"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138F244E"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7A9F4AF8"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01BFB9B6"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1536D20A"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5AAF6388" w14:textId="77777777" w:rsidR="00B41294" w:rsidRPr="00051EC1" w:rsidRDefault="00B41294" w:rsidP="002C1720">
      <w:pPr>
        <w:spacing w:after="200" w:line="240" w:lineRule="auto"/>
        <w:jc w:val="both"/>
        <w:rPr>
          <w:rFonts w:ascii="Times New Roman" w:eastAsia="Calibri" w:hAnsi="Times New Roman" w:cs="Times New Roman"/>
          <w:kern w:val="0"/>
          <w:lang w:val="en-GB"/>
          <w14:ligatures w14:val="none"/>
        </w:rPr>
      </w:pPr>
    </w:p>
    <w:p w14:paraId="5F6F67D4" w14:textId="0FBD8ED2"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b/>
          <w:kern w:val="0"/>
          <w:lang w:val="en-GB"/>
          <w14:ligatures w14:val="none"/>
        </w:rPr>
        <w:t xml:space="preserve">Table </w:t>
      </w:r>
      <w:r w:rsidR="00016646" w:rsidRPr="002C1720">
        <w:rPr>
          <w:rFonts w:ascii="Times New Roman" w:eastAsia="Calibri" w:hAnsi="Times New Roman" w:cs="Times New Roman"/>
          <w:b/>
          <w:kern w:val="0"/>
          <w:lang w:val="en-GB"/>
          <w14:ligatures w14:val="none"/>
        </w:rPr>
        <w:t>2.0</w:t>
      </w:r>
      <w:r w:rsidRPr="00051EC1">
        <w:rPr>
          <w:rFonts w:ascii="Times New Roman" w:eastAsia="Calibri" w:hAnsi="Times New Roman" w:cs="Times New Roman"/>
          <w:b/>
          <w:kern w:val="0"/>
          <w:lang w:val="en-GB"/>
          <w14:ligatures w14:val="none"/>
        </w:rPr>
        <w:t>: Responses on the Likert scale to the causes of mixed land uses</w:t>
      </w:r>
    </w:p>
    <w:tbl>
      <w:tblPr>
        <w:tblStyle w:val="TableGrid"/>
        <w:tblW w:w="8838" w:type="dxa"/>
        <w:tblLayout w:type="fixed"/>
        <w:tblLook w:val="04A0" w:firstRow="1" w:lastRow="0" w:firstColumn="1" w:lastColumn="0" w:noHBand="0" w:noVBand="1"/>
      </w:tblPr>
      <w:tblGrid>
        <w:gridCol w:w="1863"/>
        <w:gridCol w:w="1170"/>
        <w:gridCol w:w="880"/>
        <w:gridCol w:w="1184"/>
        <w:gridCol w:w="951"/>
        <w:gridCol w:w="810"/>
        <w:gridCol w:w="990"/>
        <w:gridCol w:w="990"/>
      </w:tblGrid>
      <w:tr w:rsidR="00051EC1" w:rsidRPr="00C046CA" w14:paraId="0C354AFD" w14:textId="77777777" w:rsidTr="00051EC1">
        <w:trPr>
          <w:trHeight w:val="480"/>
        </w:trPr>
        <w:tc>
          <w:tcPr>
            <w:tcW w:w="1863" w:type="dxa"/>
            <w:vMerge w:val="restart"/>
            <w:shd w:val="clear" w:color="auto" w:fill="BFBFBF"/>
          </w:tcPr>
          <w:p w14:paraId="4FEF1CE3"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Responses</w:t>
            </w:r>
          </w:p>
        </w:tc>
        <w:tc>
          <w:tcPr>
            <w:tcW w:w="4995" w:type="dxa"/>
            <w:gridSpan w:val="5"/>
            <w:shd w:val="clear" w:color="auto" w:fill="BFBFBF"/>
          </w:tcPr>
          <w:p w14:paraId="23340762"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             Scoring Method</w:t>
            </w:r>
          </w:p>
          <w:p w14:paraId="1E0C090E" w14:textId="0CA125BA"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     (5)         </w:t>
            </w:r>
            <w:r w:rsidR="00DA66D5">
              <w:rPr>
                <w:rFonts w:ascii="Times New Roman" w:eastAsia="Calibri" w:hAnsi="Times New Roman" w:cs="Times New Roman"/>
                <w:b/>
                <w:sz w:val="16"/>
                <w:szCs w:val="16"/>
                <w:lang w:val="en-GB"/>
              </w:rPr>
              <w:t xml:space="preserve">             </w:t>
            </w:r>
            <w:r w:rsidRPr="00051EC1">
              <w:rPr>
                <w:rFonts w:ascii="Times New Roman" w:eastAsia="Calibri" w:hAnsi="Times New Roman" w:cs="Times New Roman"/>
                <w:b/>
                <w:sz w:val="16"/>
                <w:szCs w:val="16"/>
                <w:lang w:val="en-GB"/>
              </w:rPr>
              <w:t xml:space="preserve">  (4)       </w:t>
            </w:r>
            <w:r w:rsidR="00DA66D5">
              <w:rPr>
                <w:rFonts w:ascii="Times New Roman" w:eastAsia="Calibri" w:hAnsi="Times New Roman" w:cs="Times New Roman"/>
                <w:b/>
                <w:sz w:val="16"/>
                <w:szCs w:val="16"/>
                <w:lang w:val="en-GB"/>
              </w:rPr>
              <w:t xml:space="preserve">           </w:t>
            </w:r>
            <w:r w:rsidRPr="00051EC1">
              <w:rPr>
                <w:rFonts w:ascii="Times New Roman" w:eastAsia="Calibri" w:hAnsi="Times New Roman" w:cs="Times New Roman"/>
                <w:b/>
                <w:sz w:val="16"/>
                <w:szCs w:val="16"/>
                <w:lang w:val="en-GB"/>
              </w:rPr>
              <w:t xml:space="preserve">  (1)          </w:t>
            </w:r>
            <w:r w:rsidR="00DA66D5">
              <w:rPr>
                <w:rFonts w:ascii="Times New Roman" w:eastAsia="Calibri" w:hAnsi="Times New Roman" w:cs="Times New Roman"/>
                <w:b/>
                <w:sz w:val="16"/>
                <w:szCs w:val="16"/>
                <w:lang w:val="en-GB"/>
              </w:rPr>
              <w:t xml:space="preserve">            </w:t>
            </w:r>
            <w:r w:rsidRPr="00051EC1">
              <w:rPr>
                <w:rFonts w:ascii="Times New Roman" w:eastAsia="Calibri" w:hAnsi="Times New Roman" w:cs="Times New Roman"/>
                <w:b/>
                <w:sz w:val="16"/>
                <w:szCs w:val="16"/>
                <w:lang w:val="en-GB"/>
              </w:rPr>
              <w:t xml:space="preserve">   (2)</w:t>
            </w:r>
            <w:r w:rsidR="00DA66D5">
              <w:rPr>
                <w:rFonts w:ascii="Times New Roman" w:eastAsia="Calibri" w:hAnsi="Times New Roman" w:cs="Times New Roman"/>
                <w:b/>
                <w:sz w:val="16"/>
                <w:szCs w:val="16"/>
                <w:lang w:val="en-GB"/>
              </w:rPr>
              <w:t xml:space="preserve">          </w:t>
            </w:r>
            <w:r w:rsidRPr="00051EC1">
              <w:rPr>
                <w:rFonts w:ascii="Times New Roman" w:eastAsia="Calibri" w:hAnsi="Times New Roman" w:cs="Times New Roman"/>
                <w:b/>
                <w:sz w:val="16"/>
                <w:szCs w:val="16"/>
                <w:lang w:val="en-GB"/>
              </w:rPr>
              <w:t xml:space="preserve">   (3)</w:t>
            </w:r>
          </w:p>
        </w:tc>
        <w:tc>
          <w:tcPr>
            <w:tcW w:w="990" w:type="dxa"/>
            <w:shd w:val="clear" w:color="auto" w:fill="BFBFBF"/>
          </w:tcPr>
          <w:p w14:paraId="4EC41861" w14:textId="77777777" w:rsidR="00051EC1" w:rsidRPr="00051EC1" w:rsidRDefault="00051EC1" w:rsidP="002C1720">
            <w:pPr>
              <w:jc w:val="both"/>
              <w:rPr>
                <w:rFonts w:ascii="Times New Roman" w:eastAsia="Calibri" w:hAnsi="Times New Roman" w:cs="Times New Roman"/>
                <w:b/>
                <w:sz w:val="16"/>
                <w:szCs w:val="16"/>
                <w:lang w:val="en-GB"/>
              </w:rPr>
            </w:pPr>
          </w:p>
        </w:tc>
        <w:tc>
          <w:tcPr>
            <w:tcW w:w="990" w:type="dxa"/>
            <w:shd w:val="clear" w:color="auto" w:fill="BFBFBF"/>
          </w:tcPr>
          <w:p w14:paraId="53E82737" w14:textId="77777777" w:rsidR="00051EC1" w:rsidRPr="00051EC1" w:rsidRDefault="00051EC1" w:rsidP="002C1720">
            <w:pPr>
              <w:jc w:val="both"/>
              <w:rPr>
                <w:rFonts w:ascii="Times New Roman" w:eastAsia="Calibri" w:hAnsi="Times New Roman" w:cs="Times New Roman"/>
                <w:b/>
                <w:sz w:val="16"/>
                <w:szCs w:val="16"/>
                <w:lang w:val="en-GB"/>
              </w:rPr>
            </w:pPr>
          </w:p>
        </w:tc>
      </w:tr>
      <w:tr w:rsidR="00051EC1" w:rsidRPr="00C046CA" w14:paraId="31966398" w14:textId="77777777" w:rsidTr="00051EC1">
        <w:trPr>
          <w:trHeight w:val="345"/>
        </w:trPr>
        <w:tc>
          <w:tcPr>
            <w:tcW w:w="1863" w:type="dxa"/>
            <w:vMerge/>
            <w:shd w:val="clear" w:color="auto" w:fill="BFBFBF"/>
          </w:tcPr>
          <w:p w14:paraId="738A95DD" w14:textId="77777777" w:rsidR="00051EC1" w:rsidRPr="00051EC1" w:rsidRDefault="00051EC1" w:rsidP="002C1720">
            <w:pPr>
              <w:jc w:val="both"/>
              <w:rPr>
                <w:rFonts w:ascii="Times New Roman" w:eastAsia="Calibri" w:hAnsi="Times New Roman" w:cs="Times New Roman"/>
                <w:b/>
                <w:sz w:val="16"/>
                <w:szCs w:val="16"/>
                <w:lang w:val="en-GB"/>
              </w:rPr>
            </w:pPr>
          </w:p>
        </w:tc>
        <w:tc>
          <w:tcPr>
            <w:tcW w:w="1170" w:type="dxa"/>
            <w:shd w:val="clear" w:color="auto" w:fill="BFBFBF"/>
          </w:tcPr>
          <w:p w14:paraId="26A423D7"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Strongly Agree </w:t>
            </w:r>
          </w:p>
        </w:tc>
        <w:tc>
          <w:tcPr>
            <w:tcW w:w="880" w:type="dxa"/>
            <w:shd w:val="clear" w:color="auto" w:fill="BFBFBF"/>
          </w:tcPr>
          <w:p w14:paraId="01FFBFF5"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Agree</w:t>
            </w:r>
          </w:p>
        </w:tc>
        <w:tc>
          <w:tcPr>
            <w:tcW w:w="1184" w:type="dxa"/>
            <w:shd w:val="clear" w:color="auto" w:fill="BFBFBF"/>
          </w:tcPr>
          <w:p w14:paraId="4B73CD1B"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Strongly Disagree </w:t>
            </w:r>
          </w:p>
        </w:tc>
        <w:tc>
          <w:tcPr>
            <w:tcW w:w="951" w:type="dxa"/>
            <w:shd w:val="clear" w:color="auto" w:fill="BFBFBF"/>
          </w:tcPr>
          <w:p w14:paraId="34905A01"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Disagree</w:t>
            </w:r>
          </w:p>
        </w:tc>
        <w:tc>
          <w:tcPr>
            <w:tcW w:w="810" w:type="dxa"/>
            <w:shd w:val="clear" w:color="auto" w:fill="BFBFBF"/>
          </w:tcPr>
          <w:p w14:paraId="20D9B700"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Undecided </w:t>
            </w:r>
          </w:p>
        </w:tc>
        <w:tc>
          <w:tcPr>
            <w:tcW w:w="990" w:type="dxa"/>
            <w:shd w:val="clear" w:color="auto" w:fill="BFBFBF"/>
          </w:tcPr>
          <w:p w14:paraId="5B4E3E49"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Total </w:t>
            </w:r>
          </w:p>
        </w:tc>
        <w:tc>
          <w:tcPr>
            <w:tcW w:w="990" w:type="dxa"/>
            <w:shd w:val="clear" w:color="auto" w:fill="BFBFBF"/>
          </w:tcPr>
          <w:p w14:paraId="63B854B4"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Mean</w:t>
            </w:r>
          </w:p>
        </w:tc>
      </w:tr>
      <w:tr w:rsidR="00051EC1" w:rsidRPr="00051EC1" w14:paraId="10DFF2EF" w14:textId="77777777" w:rsidTr="008C4A86">
        <w:tc>
          <w:tcPr>
            <w:tcW w:w="1863" w:type="dxa"/>
          </w:tcPr>
          <w:p w14:paraId="71778EC4"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lastRenderedPageBreak/>
              <w:t>Population density as major cause of mixed land uses</w:t>
            </w:r>
          </w:p>
        </w:tc>
        <w:tc>
          <w:tcPr>
            <w:tcW w:w="1170" w:type="dxa"/>
          </w:tcPr>
          <w:p w14:paraId="12ACD92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196</w:t>
            </w:r>
          </w:p>
          <w:p w14:paraId="0C13B95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(980)</w:t>
            </w:r>
          </w:p>
        </w:tc>
        <w:tc>
          <w:tcPr>
            <w:tcW w:w="880" w:type="dxa"/>
          </w:tcPr>
          <w:p w14:paraId="6BBAD27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103</w:t>
            </w:r>
          </w:p>
          <w:p w14:paraId="7929FDF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(412)</w:t>
            </w:r>
          </w:p>
        </w:tc>
        <w:tc>
          <w:tcPr>
            <w:tcW w:w="1184" w:type="dxa"/>
          </w:tcPr>
          <w:p w14:paraId="5B00F6F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95 (95)</w:t>
            </w:r>
          </w:p>
        </w:tc>
        <w:tc>
          <w:tcPr>
            <w:tcW w:w="951" w:type="dxa"/>
          </w:tcPr>
          <w:p w14:paraId="4F0F8D3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93 (186)</w:t>
            </w:r>
          </w:p>
        </w:tc>
        <w:tc>
          <w:tcPr>
            <w:tcW w:w="810" w:type="dxa"/>
          </w:tcPr>
          <w:p w14:paraId="22AA54B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7 (21)</w:t>
            </w:r>
          </w:p>
        </w:tc>
        <w:tc>
          <w:tcPr>
            <w:tcW w:w="990" w:type="dxa"/>
          </w:tcPr>
          <w:p w14:paraId="7B81F95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 (1694)</w:t>
            </w:r>
          </w:p>
          <w:p w14:paraId="4446F278"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tcPr>
          <w:p w14:paraId="70D0AF3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338.8</w:t>
            </w:r>
          </w:p>
        </w:tc>
      </w:tr>
      <w:tr w:rsidR="00051EC1" w:rsidRPr="00C046CA" w14:paraId="17FCE168" w14:textId="77777777" w:rsidTr="00051EC1">
        <w:tc>
          <w:tcPr>
            <w:tcW w:w="1863" w:type="dxa"/>
            <w:shd w:val="clear" w:color="auto" w:fill="D9D9D9"/>
          </w:tcPr>
          <w:p w14:paraId="7A7775C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Requirement for granting mixed land use approval are not often followed</w:t>
            </w:r>
          </w:p>
        </w:tc>
        <w:tc>
          <w:tcPr>
            <w:tcW w:w="1170" w:type="dxa"/>
            <w:shd w:val="clear" w:color="auto" w:fill="D9D9D9"/>
          </w:tcPr>
          <w:p w14:paraId="53EEC4B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138 (690)</w:t>
            </w:r>
          </w:p>
        </w:tc>
        <w:tc>
          <w:tcPr>
            <w:tcW w:w="880" w:type="dxa"/>
            <w:shd w:val="clear" w:color="auto" w:fill="D9D9D9"/>
          </w:tcPr>
          <w:p w14:paraId="09FD5D8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94 (376)</w:t>
            </w:r>
          </w:p>
        </w:tc>
        <w:tc>
          <w:tcPr>
            <w:tcW w:w="1184" w:type="dxa"/>
            <w:shd w:val="clear" w:color="auto" w:fill="D9D9D9"/>
          </w:tcPr>
          <w:p w14:paraId="57FA9F1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137 (137)</w:t>
            </w:r>
          </w:p>
        </w:tc>
        <w:tc>
          <w:tcPr>
            <w:tcW w:w="951" w:type="dxa"/>
            <w:shd w:val="clear" w:color="auto" w:fill="D9D9D9"/>
          </w:tcPr>
          <w:p w14:paraId="44B74B3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92 (184)</w:t>
            </w:r>
          </w:p>
        </w:tc>
        <w:tc>
          <w:tcPr>
            <w:tcW w:w="810" w:type="dxa"/>
            <w:shd w:val="clear" w:color="auto" w:fill="D9D9D9"/>
          </w:tcPr>
          <w:p w14:paraId="46CE615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33 (99)</w:t>
            </w:r>
          </w:p>
        </w:tc>
        <w:tc>
          <w:tcPr>
            <w:tcW w:w="990" w:type="dxa"/>
            <w:shd w:val="clear" w:color="auto" w:fill="D9D9D9"/>
          </w:tcPr>
          <w:p w14:paraId="76791BF2"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 (1110)</w:t>
            </w:r>
          </w:p>
          <w:p w14:paraId="1F320ED9"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shd w:val="clear" w:color="auto" w:fill="D9D9D9"/>
          </w:tcPr>
          <w:p w14:paraId="5E705F1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222</w:t>
            </w:r>
          </w:p>
        </w:tc>
      </w:tr>
      <w:tr w:rsidR="00051EC1" w:rsidRPr="00051EC1" w14:paraId="10874BAD" w14:textId="77777777" w:rsidTr="008C4A86">
        <w:tc>
          <w:tcPr>
            <w:tcW w:w="1863" w:type="dxa"/>
          </w:tcPr>
          <w:p w14:paraId="5B60036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Reasons for residential development in industrial areas is population growth and high demand for land</w:t>
            </w:r>
          </w:p>
        </w:tc>
        <w:tc>
          <w:tcPr>
            <w:tcW w:w="1170" w:type="dxa"/>
          </w:tcPr>
          <w:p w14:paraId="0D6FA891"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123 (615)</w:t>
            </w:r>
          </w:p>
        </w:tc>
        <w:tc>
          <w:tcPr>
            <w:tcW w:w="880" w:type="dxa"/>
          </w:tcPr>
          <w:p w14:paraId="0FA278D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89 (356) </w:t>
            </w:r>
          </w:p>
          <w:p w14:paraId="6703032F" w14:textId="77777777" w:rsidR="00051EC1" w:rsidRPr="00051EC1" w:rsidRDefault="00051EC1" w:rsidP="002C1720">
            <w:pPr>
              <w:jc w:val="both"/>
              <w:rPr>
                <w:rFonts w:ascii="Times New Roman" w:eastAsia="Calibri" w:hAnsi="Times New Roman" w:cs="Times New Roman"/>
                <w:sz w:val="16"/>
                <w:szCs w:val="16"/>
                <w:lang w:val="en-GB"/>
              </w:rPr>
            </w:pPr>
          </w:p>
        </w:tc>
        <w:tc>
          <w:tcPr>
            <w:tcW w:w="1184" w:type="dxa"/>
          </w:tcPr>
          <w:p w14:paraId="799E008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76 (76)</w:t>
            </w:r>
          </w:p>
        </w:tc>
        <w:tc>
          <w:tcPr>
            <w:tcW w:w="951" w:type="dxa"/>
          </w:tcPr>
          <w:p w14:paraId="3D8849A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85 (170)</w:t>
            </w:r>
          </w:p>
        </w:tc>
        <w:tc>
          <w:tcPr>
            <w:tcW w:w="810" w:type="dxa"/>
          </w:tcPr>
          <w:p w14:paraId="307EBED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121 (363)</w:t>
            </w:r>
          </w:p>
        </w:tc>
        <w:tc>
          <w:tcPr>
            <w:tcW w:w="990" w:type="dxa"/>
          </w:tcPr>
          <w:p w14:paraId="096B63B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77DE479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(140)</w:t>
            </w:r>
          </w:p>
        </w:tc>
        <w:tc>
          <w:tcPr>
            <w:tcW w:w="990" w:type="dxa"/>
          </w:tcPr>
          <w:p w14:paraId="256E38D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282</w:t>
            </w:r>
          </w:p>
        </w:tc>
      </w:tr>
      <w:tr w:rsidR="00051EC1" w:rsidRPr="00C046CA" w14:paraId="466AD928" w14:textId="77777777" w:rsidTr="00051EC1">
        <w:tc>
          <w:tcPr>
            <w:tcW w:w="1863" w:type="dxa"/>
            <w:shd w:val="clear" w:color="auto" w:fill="D9D9D9"/>
          </w:tcPr>
          <w:p w14:paraId="316EEED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Development of industrial uses in residential areas is due to unemployment</w:t>
            </w:r>
          </w:p>
        </w:tc>
        <w:tc>
          <w:tcPr>
            <w:tcW w:w="1170" w:type="dxa"/>
            <w:shd w:val="clear" w:color="auto" w:fill="D9D9D9"/>
          </w:tcPr>
          <w:p w14:paraId="07CD4A0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129 (645)</w:t>
            </w:r>
          </w:p>
        </w:tc>
        <w:tc>
          <w:tcPr>
            <w:tcW w:w="880" w:type="dxa"/>
            <w:shd w:val="clear" w:color="auto" w:fill="D9D9D9"/>
          </w:tcPr>
          <w:p w14:paraId="699ECB68"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105</w:t>
            </w:r>
          </w:p>
          <w:p w14:paraId="0BEE4A3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(420)</w:t>
            </w:r>
          </w:p>
        </w:tc>
        <w:tc>
          <w:tcPr>
            <w:tcW w:w="1184" w:type="dxa"/>
            <w:shd w:val="clear" w:color="auto" w:fill="D9D9D9"/>
          </w:tcPr>
          <w:p w14:paraId="4FA12BD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64 (64)</w:t>
            </w:r>
          </w:p>
        </w:tc>
        <w:tc>
          <w:tcPr>
            <w:tcW w:w="951" w:type="dxa"/>
            <w:shd w:val="clear" w:color="auto" w:fill="D9D9D9"/>
          </w:tcPr>
          <w:p w14:paraId="751BC27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51</w:t>
            </w:r>
          </w:p>
          <w:p w14:paraId="4500A75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(102) </w:t>
            </w:r>
          </w:p>
        </w:tc>
        <w:tc>
          <w:tcPr>
            <w:tcW w:w="810" w:type="dxa"/>
            <w:shd w:val="clear" w:color="auto" w:fill="D9D9D9"/>
          </w:tcPr>
          <w:p w14:paraId="451FEF4C"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145</w:t>
            </w:r>
          </w:p>
          <w:p w14:paraId="752C0FC5"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(435)</w:t>
            </w:r>
          </w:p>
        </w:tc>
        <w:tc>
          <w:tcPr>
            <w:tcW w:w="990" w:type="dxa"/>
            <w:shd w:val="clear" w:color="auto" w:fill="D9D9D9"/>
          </w:tcPr>
          <w:p w14:paraId="3665FE9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01E5A53B"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(1666)</w:t>
            </w:r>
          </w:p>
        </w:tc>
        <w:tc>
          <w:tcPr>
            <w:tcW w:w="990" w:type="dxa"/>
            <w:shd w:val="clear" w:color="auto" w:fill="D9D9D9"/>
          </w:tcPr>
          <w:p w14:paraId="620073E4"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333.2</w:t>
            </w:r>
          </w:p>
        </w:tc>
      </w:tr>
      <w:tr w:rsidR="00051EC1" w:rsidRPr="00051EC1" w14:paraId="7ABDA8AD" w14:textId="77777777" w:rsidTr="008C4A86">
        <w:tc>
          <w:tcPr>
            <w:tcW w:w="1863" w:type="dxa"/>
          </w:tcPr>
          <w:p w14:paraId="0C19B085"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Recreational land use is often intermixed with residential and educational land uses</w:t>
            </w:r>
          </w:p>
        </w:tc>
        <w:tc>
          <w:tcPr>
            <w:tcW w:w="1170" w:type="dxa"/>
          </w:tcPr>
          <w:p w14:paraId="5095A1C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101 (505)</w:t>
            </w:r>
          </w:p>
        </w:tc>
        <w:tc>
          <w:tcPr>
            <w:tcW w:w="880" w:type="dxa"/>
          </w:tcPr>
          <w:p w14:paraId="176B2EE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91 (364)</w:t>
            </w:r>
          </w:p>
        </w:tc>
        <w:tc>
          <w:tcPr>
            <w:tcW w:w="1184" w:type="dxa"/>
          </w:tcPr>
          <w:p w14:paraId="05F1FEF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113 (113)</w:t>
            </w:r>
          </w:p>
        </w:tc>
        <w:tc>
          <w:tcPr>
            <w:tcW w:w="951" w:type="dxa"/>
          </w:tcPr>
          <w:p w14:paraId="2FCF67C1"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98 (196)</w:t>
            </w:r>
          </w:p>
        </w:tc>
        <w:tc>
          <w:tcPr>
            <w:tcW w:w="810" w:type="dxa"/>
          </w:tcPr>
          <w:p w14:paraId="42CC340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91 (273)</w:t>
            </w:r>
          </w:p>
        </w:tc>
        <w:tc>
          <w:tcPr>
            <w:tcW w:w="990" w:type="dxa"/>
          </w:tcPr>
          <w:p w14:paraId="2EF4AD0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 (1451)</w:t>
            </w:r>
          </w:p>
        </w:tc>
        <w:tc>
          <w:tcPr>
            <w:tcW w:w="990" w:type="dxa"/>
          </w:tcPr>
          <w:p w14:paraId="7B9E15F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290.2</w:t>
            </w:r>
          </w:p>
        </w:tc>
      </w:tr>
      <w:tr w:rsidR="00051EC1" w:rsidRPr="00C046CA" w14:paraId="6322E298" w14:textId="77777777" w:rsidTr="00051EC1">
        <w:tc>
          <w:tcPr>
            <w:tcW w:w="1863" w:type="dxa"/>
            <w:shd w:val="clear" w:color="auto" w:fill="D9D9D9"/>
          </w:tcPr>
          <w:p w14:paraId="58FCF01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Mixed use areas are associated with some environmental hazards, such as fire disaster, degradation</w:t>
            </w:r>
          </w:p>
        </w:tc>
        <w:tc>
          <w:tcPr>
            <w:tcW w:w="1170" w:type="dxa"/>
            <w:shd w:val="clear" w:color="auto" w:fill="D9D9D9"/>
          </w:tcPr>
          <w:p w14:paraId="7A940E0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129 (645) </w:t>
            </w:r>
          </w:p>
        </w:tc>
        <w:tc>
          <w:tcPr>
            <w:tcW w:w="880" w:type="dxa"/>
            <w:shd w:val="clear" w:color="auto" w:fill="D9D9D9"/>
          </w:tcPr>
          <w:p w14:paraId="1CEA202C"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103 (412)</w:t>
            </w:r>
          </w:p>
        </w:tc>
        <w:tc>
          <w:tcPr>
            <w:tcW w:w="1184" w:type="dxa"/>
            <w:shd w:val="clear" w:color="auto" w:fill="D9D9D9"/>
          </w:tcPr>
          <w:p w14:paraId="5CE0E95C"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82 (82)</w:t>
            </w:r>
          </w:p>
        </w:tc>
        <w:tc>
          <w:tcPr>
            <w:tcW w:w="951" w:type="dxa"/>
            <w:shd w:val="clear" w:color="auto" w:fill="D9D9D9"/>
          </w:tcPr>
          <w:p w14:paraId="3B65632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93 (186)</w:t>
            </w:r>
          </w:p>
        </w:tc>
        <w:tc>
          <w:tcPr>
            <w:tcW w:w="810" w:type="dxa"/>
            <w:shd w:val="clear" w:color="auto" w:fill="D9D9D9"/>
          </w:tcPr>
          <w:p w14:paraId="3B99F59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87 (261) </w:t>
            </w:r>
          </w:p>
        </w:tc>
        <w:tc>
          <w:tcPr>
            <w:tcW w:w="990" w:type="dxa"/>
            <w:shd w:val="clear" w:color="auto" w:fill="D9D9D9"/>
          </w:tcPr>
          <w:p w14:paraId="1C6F3F3B"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 (1586)</w:t>
            </w:r>
          </w:p>
          <w:p w14:paraId="72D975B3"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shd w:val="clear" w:color="auto" w:fill="D9D9D9"/>
          </w:tcPr>
          <w:p w14:paraId="1B8547D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317.2</w:t>
            </w:r>
          </w:p>
        </w:tc>
      </w:tr>
      <w:tr w:rsidR="00051EC1" w:rsidRPr="00051EC1" w14:paraId="4C1D2CE4" w14:textId="77777777" w:rsidTr="008C4A86">
        <w:tc>
          <w:tcPr>
            <w:tcW w:w="1863" w:type="dxa"/>
          </w:tcPr>
          <w:p w14:paraId="4C5BBDFB"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Mixed use areas are prone to poor environmental sanitation</w:t>
            </w:r>
          </w:p>
        </w:tc>
        <w:tc>
          <w:tcPr>
            <w:tcW w:w="1170" w:type="dxa"/>
          </w:tcPr>
          <w:p w14:paraId="76941B1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115 (575)</w:t>
            </w:r>
          </w:p>
        </w:tc>
        <w:tc>
          <w:tcPr>
            <w:tcW w:w="880" w:type="dxa"/>
          </w:tcPr>
          <w:p w14:paraId="2ADFA06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106 (242) </w:t>
            </w:r>
          </w:p>
        </w:tc>
        <w:tc>
          <w:tcPr>
            <w:tcW w:w="1184" w:type="dxa"/>
          </w:tcPr>
          <w:p w14:paraId="6018D2C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94 (94)</w:t>
            </w:r>
          </w:p>
        </w:tc>
        <w:tc>
          <w:tcPr>
            <w:tcW w:w="951" w:type="dxa"/>
          </w:tcPr>
          <w:p w14:paraId="335BDE5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83</w:t>
            </w:r>
          </w:p>
          <w:p w14:paraId="666D573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(166)</w:t>
            </w:r>
          </w:p>
        </w:tc>
        <w:tc>
          <w:tcPr>
            <w:tcW w:w="810" w:type="dxa"/>
          </w:tcPr>
          <w:p w14:paraId="0BB8C2B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96 (288)</w:t>
            </w:r>
          </w:p>
        </w:tc>
        <w:tc>
          <w:tcPr>
            <w:tcW w:w="990" w:type="dxa"/>
          </w:tcPr>
          <w:p w14:paraId="4A137EA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68EE12F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(1365)</w:t>
            </w:r>
          </w:p>
          <w:p w14:paraId="105AB98B"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tcPr>
          <w:p w14:paraId="038CD03B"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273</w:t>
            </w:r>
          </w:p>
        </w:tc>
      </w:tr>
      <w:tr w:rsidR="00051EC1" w:rsidRPr="00C046CA" w14:paraId="72BAAE3E" w14:textId="77777777" w:rsidTr="00051EC1">
        <w:tc>
          <w:tcPr>
            <w:tcW w:w="1863" w:type="dxa"/>
            <w:shd w:val="clear" w:color="auto" w:fill="D9D9D9"/>
          </w:tcPr>
          <w:p w14:paraId="16500F48"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Mixed use results in some new redevelopments without approval</w:t>
            </w:r>
          </w:p>
        </w:tc>
        <w:tc>
          <w:tcPr>
            <w:tcW w:w="1170" w:type="dxa"/>
            <w:shd w:val="clear" w:color="auto" w:fill="D9D9D9"/>
          </w:tcPr>
          <w:p w14:paraId="1866F894"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119 (595)</w:t>
            </w:r>
          </w:p>
        </w:tc>
        <w:tc>
          <w:tcPr>
            <w:tcW w:w="880" w:type="dxa"/>
            <w:shd w:val="clear" w:color="auto" w:fill="D9D9D9"/>
          </w:tcPr>
          <w:p w14:paraId="415AFAD1"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117 (468) </w:t>
            </w:r>
          </w:p>
        </w:tc>
        <w:tc>
          <w:tcPr>
            <w:tcW w:w="1184" w:type="dxa"/>
            <w:shd w:val="clear" w:color="auto" w:fill="D9D9D9"/>
          </w:tcPr>
          <w:p w14:paraId="5A54EE7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84 (84)</w:t>
            </w:r>
          </w:p>
        </w:tc>
        <w:tc>
          <w:tcPr>
            <w:tcW w:w="951" w:type="dxa"/>
            <w:shd w:val="clear" w:color="auto" w:fill="D9D9D9"/>
          </w:tcPr>
          <w:p w14:paraId="074DB44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77 (154)</w:t>
            </w:r>
          </w:p>
        </w:tc>
        <w:tc>
          <w:tcPr>
            <w:tcW w:w="810" w:type="dxa"/>
            <w:shd w:val="clear" w:color="auto" w:fill="D9D9D9"/>
          </w:tcPr>
          <w:p w14:paraId="4B091E12"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97 (291)</w:t>
            </w:r>
          </w:p>
        </w:tc>
        <w:tc>
          <w:tcPr>
            <w:tcW w:w="990" w:type="dxa"/>
            <w:shd w:val="clear" w:color="auto" w:fill="D9D9D9"/>
          </w:tcPr>
          <w:p w14:paraId="37D36711"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4425B87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(1583)</w:t>
            </w:r>
          </w:p>
          <w:p w14:paraId="7621828A"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shd w:val="clear" w:color="auto" w:fill="D9D9D9"/>
          </w:tcPr>
          <w:p w14:paraId="7E99F0E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316.6</w:t>
            </w:r>
          </w:p>
        </w:tc>
      </w:tr>
      <w:tr w:rsidR="00051EC1" w:rsidRPr="00051EC1" w14:paraId="6D79984E" w14:textId="77777777" w:rsidTr="008C4A86">
        <w:tc>
          <w:tcPr>
            <w:tcW w:w="1863" w:type="dxa"/>
          </w:tcPr>
          <w:p w14:paraId="7EBB7DE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several use alternations for example, residential to Church are done intentional without approval</w:t>
            </w:r>
          </w:p>
        </w:tc>
        <w:tc>
          <w:tcPr>
            <w:tcW w:w="1170" w:type="dxa"/>
          </w:tcPr>
          <w:p w14:paraId="79D8F63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182 (910)</w:t>
            </w:r>
          </w:p>
        </w:tc>
        <w:tc>
          <w:tcPr>
            <w:tcW w:w="880" w:type="dxa"/>
          </w:tcPr>
          <w:p w14:paraId="136B1904"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79 (316)</w:t>
            </w:r>
          </w:p>
        </w:tc>
        <w:tc>
          <w:tcPr>
            <w:tcW w:w="1184" w:type="dxa"/>
          </w:tcPr>
          <w:p w14:paraId="0EAB715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63 (63)</w:t>
            </w:r>
          </w:p>
        </w:tc>
        <w:tc>
          <w:tcPr>
            <w:tcW w:w="951" w:type="dxa"/>
          </w:tcPr>
          <w:p w14:paraId="6228DE7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81 (162)</w:t>
            </w:r>
          </w:p>
        </w:tc>
        <w:tc>
          <w:tcPr>
            <w:tcW w:w="810" w:type="dxa"/>
          </w:tcPr>
          <w:p w14:paraId="54EC5C3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89 (267)</w:t>
            </w:r>
          </w:p>
        </w:tc>
        <w:tc>
          <w:tcPr>
            <w:tcW w:w="990" w:type="dxa"/>
          </w:tcPr>
          <w:p w14:paraId="0A9A9F0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68D3520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(1718)</w:t>
            </w:r>
          </w:p>
        </w:tc>
        <w:tc>
          <w:tcPr>
            <w:tcW w:w="990" w:type="dxa"/>
          </w:tcPr>
          <w:p w14:paraId="0DFE3D12"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343.6</w:t>
            </w:r>
          </w:p>
        </w:tc>
      </w:tr>
      <w:tr w:rsidR="00051EC1" w:rsidRPr="00C046CA" w14:paraId="0B3AAEBC" w14:textId="77777777" w:rsidTr="00051EC1">
        <w:trPr>
          <w:trHeight w:val="278"/>
        </w:trPr>
        <w:tc>
          <w:tcPr>
            <w:tcW w:w="1863" w:type="dxa"/>
            <w:shd w:val="clear" w:color="auto" w:fill="BFBFBF"/>
          </w:tcPr>
          <w:p w14:paraId="6CD4CE16"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Total</w:t>
            </w:r>
          </w:p>
        </w:tc>
        <w:tc>
          <w:tcPr>
            <w:tcW w:w="1170" w:type="dxa"/>
            <w:shd w:val="clear" w:color="auto" w:fill="BFBFBF"/>
          </w:tcPr>
          <w:p w14:paraId="3AF3159B"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1,232</w:t>
            </w:r>
          </w:p>
        </w:tc>
        <w:tc>
          <w:tcPr>
            <w:tcW w:w="880" w:type="dxa"/>
            <w:shd w:val="clear" w:color="auto" w:fill="BFBFBF"/>
          </w:tcPr>
          <w:p w14:paraId="1A90BFA4"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887</w:t>
            </w:r>
          </w:p>
        </w:tc>
        <w:tc>
          <w:tcPr>
            <w:tcW w:w="1184" w:type="dxa"/>
            <w:shd w:val="clear" w:color="auto" w:fill="BFBFBF"/>
          </w:tcPr>
          <w:p w14:paraId="3E14B25F"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808</w:t>
            </w:r>
          </w:p>
        </w:tc>
        <w:tc>
          <w:tcPr>
            <w:tcW w:w="951" w:type="dxa"/>
            <w:shd w:val="clear" w:color="auto" w:fill="BFBFBF"/>
          </w:tcPr>
          <w:p w14:paraId="3B0BBE67"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753</w:t>
            </w:r>
          </w:p>
        </w:tc>
        <w:tc>
          <w:tcPr>
            <w:tcW w:w="810" w:type="dxa"/>
            <w:shd w:val="clear" w:color="auto" w:fill="BFBFBF"/>
          </w:tcPr>
          <w:p w14:paraId="4C9451BB"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766</w:t>
            </w:r>
          </w:p>
        </w:tc>
        <w:tc>
          <w:tcPr>
            <w:tcW w:w="990" w:type="dxa"/>
            <w:shd w:val="clear" w:color="auto" w:fill="BFBFBF"/>
          </w:tcPr>
          <w:p w14:paraId="71104461"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4,446</w:t>
            </w:r>
          </w:p>
        </w:tc>
        <w:tc>
          <w:tcPr>
            <w:tcW w:w="990" w:type="dxa"/>
            <w:shd w:val="clear" w:color="auto" w:fill="BFBFBF"/>
          </w:tcPr>
          <w:p w14:paraId="181C2817"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2716.1</w:t>
            </w:r>
          </w:p>
        </w:tc>
      </w:tr>
      <w:tr w:rsidR="00051EC1" w:rsidRPr="00C046CA" w14:paraId="6276AD46" w14:textId="77777777" w:rsidTr="00051EC1">
        <w:tc>
          <w:tcPr>
            <w:tcW w:w="1863" w:type="dxa"/>
            <w:shd w:val="clear" w:color="auto" w:fill="BFBFBF"/>
          </w:tcPr>
          <w:p w14:paraId="654E147F"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Percentage </w:t>
            </w:r>
          </w:p>
        </w:tc>
        <w:tc>
          <w:tcPr>
            <w:tcW w:w="1170" w:type="dxa"/>
            <w:shd w:val="clear" w:color="auto" w:fill="BFBFBF"/>
          </w:tcPr>
          <w:p w14:paraId="7F7540CC"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27.71</w:t>
            </w:r>
          </w:p>
        </w:tc>
        <w:tc>
          <w:tcPr>
            <w:tcW w:w="880" w:type="dxa"/>
            <w:shd w:val="clear" w:color="auto" w:fill="BFBFBF"/>
          </w:tcPr>
          <w:p w14:paraId="5043CB31"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19.95</w:t>
            </w:r>
          </w:p>
        </w:tc>
        <w:tc>
          <w:tcPr>
            <w:tcW w:w="1184" w:type="dxa"/>
            <w:shd w:val="clear" w:color="auto" w:fill="BFBFBF"/>
          </w:tcPr>
          <w:p w14:paraId="53D70505"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18.17</w:t>
            </w:r>
          </w:p>
        </w:tc>
        <w:tc>
          <w:tcPr>
            <w:tcW w:w="951" w:type="dxa"/>
            <w:shd w:val="clear" w:color="auto" w:fill="BFBFBF"/>
          </w:tcPr>
          <w:p w14:paraId="7AE87212"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16.94</w:t>
            </w:r>
          </w:p>
        </w:tc>
        <w:tc>
          <w:tcPr>
            <w:tcW w:w="810" w:type="dxa"/>
            <w:shd w:val="clear" w:color="auto" w:fill="BFBFBF"/>
          </w:tcPr>
          <w:p w14:paraId="426D13E6"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17.23</w:t>
            </w:r>
          </w:p>
        </w:tc>
        <w:tc>
          <w:tcPr>
            <w:tcW w:w="990" w:type="dxa"/>
            <w:shd w:val="clear" w:color="auto" w:fill="BFBFBF"/>
          </w:tcPr>
          <w:p w14:paraId="6DA14607"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100</w:t>
            </w:r>
          </w:p>
        </w:tc>
        <w:tc>
          <w:tcPr>
            <w:tcW w:w="990" w:type="dxa"/>
            <w:shd w:val="clear" w:color="auto" w:fill="BFBFBF"/>
          </w:tcPr>
          <w:p w14:paraId="5F0874D3"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27.16</w:t>
            </w:r>
          </w:p>
        </w:tc>
      </w:tr>
    </w:tbl>
    <w:p w14:paraId="6C1D194F" w14:textId="057E892B" w:rsidR="00051EC1" w:rsidRPr="00051EC1" w:rsidRDefault="00051EC1" w:rsidP="002C1720">
      <w:pPr>
        <w:spacing w:after="200" w:line="240" w:lineRule="auto"/>
        <w:jc w:val="both"/>
        <w:rPr>
          <w:rFonts w:ascii="Times New Roman" w:eastAsia="Calibri" w:hAnsi="Times New Roman" w:cs="Times New Roman"/>
          <w:b/>
          <w:kern w:val="0"/>
          <w:lang w:val="en-GB"/>
          <w14:ligatures w14:val="none"/>
        </w:rPr>
      </w:pPr>
      <w:r w:rsidRPr="00051EC1">
        <w:rPr>
          <w:rFonts w:ascii="Times New Roman" w:eastAsia="Calibri" w:hAnsi="Times New Roman" w:cs="Times New Roman"/>
          <w:b/>
          <w:i/>
          <w:kern w:val="0"/>
          <w:lang w:val="en-GB"/>
          <w14:ligatures w14:val="none"/>
        </w:rPr>
        <w:t>Source:</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Researcher’s compilation from field survey, 202</w:t>
      </w:r>
      <w:r w:rsidR="00016646" w:rsidRPr="002C1720">
        <w:rPr>
          <w:rFonts w:ascii="Times New Roman" w:eastAsia="Calibri" w:hAnsi="Times New Roman" w:cs="Times New Roman"/>
          <w:kern w:val="0"/>
          <w:lang w:val="en-GB"/>
          <w14:ligatures w14:val="none"/>
        </w:rPr>
        <w:t>5</w:t>
      </w:r>
      <w:r w:rsidRPr="00051EC1">
        <w:rPr>
          <w:rFonts w:ascii="Times New Roman" w:eastAsia="Calibri" w:hAnsi="Times New Roman" w:cs="Times New Roman"/>
          <w:kern w:val="0"/>
          <w:lang w:val="en-GB"/>
          <w14:ligatures w14:val="none"/>
        </w:rPr>
        <w:t>.</w:t>
      </w:r>
    </w:p>
    <w:p w14:paraId="3360E78F" w14:textId="77777777"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p>
    <w:p w14:paraId="27A0162B" w14:textId="77777777" w:rsidR="00051EC1" w:rsidRPr="00051EC1" w:rsidRDefault="00051EC1" w:rsidP="002C1720">
      <w:pPr>
        <w:spacing w:after="200" w:line="240" w:lineRule="auto"/>
        <w:jc w:val="both"/>
        <w:rPr>
          <w:rFonts w:ascii="Times New Roman" w:eastAsia="Calibri" w:hAnsi="Times New Roman" w:cs="Times New Roman"/>
          <w:b/>
          <w:kern w:val="0"/>
          <w:lang w:val="en-GB"/>
          <w14:ligatures w14:val="none"/>
        </w:rPr>
      </w:pPr>
      <w:r w:rsidRPr="00051EC1">
        <w:rPr>
          <w:rFonts w:ascii="Times New Roman" w:eastAsia="Calibri" w:hAnsi="Times New Roman" w:cs="Times New Roman"/>
          <w:noProof/>
          <w:kern w:val="0"/>
          <w14:ligatures w14:val="none"/>
        </w:rPr>
        <w:lastRenderedPageBreak/>
        <w:drawing>
          <wp:inline distT="0" distB="0" distL="0" distR="0" wp14:anchorId="2D818B25" wp14:editId="5DC3D990">
            <wp:extent cx="5709036" cy="6496216"/>
            <wp:effectExtent l="0" t="0" r="25400"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37F3275" w14:textId="77777777"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                                                                                                </w:t>
      </w:r>
    </w:p>
    <w:p w14:paraId="01BF8D3F" w14:textId="0A439E0B"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b/>
          <w:i/>
          <w:kern w:val="0"/>
          <w:lang w:val="en-GB"/>
          <w14:ligatures w14:val="none"/>
        </w:rPr>
        <w:t>Figure</w:t>
      </w:r>
      <w:r w:rsidR="00016646" w:rsidRPr="002C1720">
        <w:rPr>
          <w:rFonts w:ascii="Times New Roman" w:eastAsia="Calibri" w:hAnsi="Times New Roman" w:cs="Times New Roman"/>
          <w:b/>
          <w:i/>
          <w:kern w:val="0"/>
          <w:lang w:val="en-GB"/>
          <w14:ligatures w14:val="none"/>
        </w:rPr>
        <w:t xml:space="preserve"> </w:t>
      </w:r>
      <w:r w:rsidRPr="00051EC1">
        <w:rPr>
          <w:rFonts w:ascii="Times New Roman" w:eastAsia="Calibri" w:hAnsi="Times New Roman" w:cs="Times New Roman"/>
          <w:b/>
          <w:i/>
          <w:kern w:val="0"/>
          <w:lang w:val="en-GB"/>
          <w14:ligatures w14:val="none"/>
        </w:rPr>
        <w:t>1</w:t>
      </w:r>
      <w:r w:rsidR="00016646" w:rsidRPr="002C1720">
        <w:rPr>
          <w:rFonts w:ascii="Times New Roman" w:eastAsia="Calibri" w:hAnsi="Times New Roman" w:cs="Times New Roman"/>
          <w:b/>
          <w:i/>
          <w:kern w:val="0"/>
          <w:lang w:val="en-GB"/>
          <w14:ligatures w14:val="none"/>
        </w:rPr>
        <w:t>.</w:t>
      </w:r>
      <w:r w:rsidRPr="00051EC1">
        <w:rPr>
          <w:rFonts w:ascii="Times New Roman" w:eastAsia="Calibri" w:hAnsi="Times New Roman" w:cs="Times New Roman"/>
          <w:b/>
          <w:i/>
          <w:kern w:val="0"/>
          <w:lang w:val="en-GB"/>
          <w14:ligatures w14:val="none"/>
        </w:rPr>
        <w:t>0:</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 xml:space="preserve">Bar graph derived from Table </w:t>
      </w:r>
      <w:r w:rsidR="00016646" w:rsidRPr="002C1720">
        <w:rPr>
          <w:rFonts w:ascii="Times New Roman" w:eastAsia="Calibri" w:hAnsi="Times New Roman" w:cs="Times New Roman"/>
          <w:kern w:val="0"/>
          <w:lang w:val="en-GB"/>
          <w14:ligatures w14:val="none"/>
        </w:rPr>
        <w:t>2.0</w:t>
      </w:r>
      <w:r w:rsidRPr="00051EC1">
        <w:rPr>
          <w:rFonts w:ascii="Times New Roman" w:eastAsia="Calibri" w:hAnsi="Times New Roman" w:cs="Times New Roman"/>
          <w:kern w:val="0"/>
          <w:lang w:val="en-GB"/>
          <w14:ligatures w14:val="none"/>
        </w:rPr>
        <w:t xml:space="preserve"> showing attributes of mixed land uses</w:t>
      </w:r>
    </w:p>
    <w:p w14:paraId="2C9A5C17" w14:textId="1069F218" w:rsid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b/>
          <w:i/>
          <w:kern w:val="0"/>
          <w:lang w:val="en-GB"/>
          <w14:ligatures w14:val="none"/>
        </w:rPr>
        <w:t>Source:</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Researcher’s compilation, 202</w:t>
      </w:r>
      <w:r w:rsidR="00016646" w:rsidRPr="002C1720">
        <w:rPr>
          <w:rFonts w:ascii="Times New Roman" w:eastAsia="Calibri" w:hAnsi="Times New Roman" w:cs="Times New Roman"/>
          <w:kern w:val="0"/>
          <w:lang w:val="en-GB"/>
          <w14:ligatures w14:val="none"/>
        </w:rPr>
        <w:t>5</w:t>
      </w:r>
      <w:r w:rsidRPr="00051EC1">
        <w:rPr>
          <w:rFonts w:ascii="Times New Roman" w:eastAsia="Calibri" w:hAnsi="Times New Roman" w:cs="Times New Roman"/>
          <w:kern w:val="0"/>
          <w:lang w:val="en-GB"/>
          <w14:ligatures w14:val="none"/>
        </w:rPr>
        <w:t>.</w:t>
      </w:r>
    </w:p>
    <w:p w14:paraId="6AFB1CA4" w14:textId="77777777" w:rsidR="00C046CA" w:rsidRDefault="00C046CA" w:rsidP="002C1720">
      <w:pPr>
        <w:spacing w:after="200" w:line="240" w:lineRule="auto"/>
        <w:jc w:val="both"/>
        <w:rPr>
          <w:rFonts w:ascii="Times New Roman" w:eastAsia="Calibri" w:hAnsi="Times New Roman" w:cs="Times New Roman"/>
          <w:kern w:val="0"/>
          <w:lang w:val="en-GB"/>
          <w14:ligatures w14:val="none"/>
        </w:rPr>
      </w:pPr>
    </w:p>
    <w:p w14:paraId="30C27F30" w14:textId="77777777" w:rsidR="007E633E" w:rsidRPr="00051EC1" w:rsidRDefault="007E633E" w:rsidP="002C1720">
      <w:pPr>
        <w:spacing w:after="200" w:line="240" w:lineRule="auto"/>
        <w:jc w:val="both"/>
        <w:rPr>
          <w:rFonts w:ascii="Times New Roman" w:eastAsia="Calibri" w:hAnsi="Times New Roman" w:cs="Times New Roman"/>
          <w:kern w:val="0"/>
          <w:lang w:val="en-GB"/>
          <w14:ligatures w14:val="none"/>
        </w:rPr>
      </w:pPr>
    </w:p>
    <w:p w14:paraId="38CBACA9" w14:textId="276F346E"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lastRenderedPageBreak/>
        <w:t xml:space="preserve">The bar graph (Figure </w:t>
      </w:r>
      <w:r w:rsidR="00016646" w:rsidRPr="002C1720">
        <w:rPr>
          <w:rFonts w:ascii="Times New Roman" w:eastAsia="Calibri" w:hAnsi="Times New Roman" w:cs="Times New Roman"/>
          <w:kern w:val="0"/>
          <w:lang w:val="en-GB"/>
          <w14:ligatures w14:val="none"/>
        </w:rPr>
        <w:t>1.0</w:t>
      </w:r>
      <w:r w:rsidRPr="00051EC1">
        <w:rPr>
          <w:rFonts w:ascii="Times New Roman" w:eastAsia="Calibri" w:hAnsi="Times New Roman" w:cs="Times New Roman"/>
          <w:kern w:val="0"/>
          <w:lang w:val="en-GB"/>
          <w14:ligatures w14:val="none"/>
        </w:rPr>
        <w:t xml:space="preserve">) is used as explanation of Table </w:t>
      </w:r>
      <w:r w:rsidR="00016646" w:rsidRPr="002C1720">
        <w:rPr>
          <w:rFonts w:ascii="Times New Roman" w:eastAsia="Calibri" w:hAnsi="Times New Roman" w:cs="Times New Roman"/>
          <w:kern w:val="0"/>
          <w:lang w:val="en-GB"/>
          <w14:ligatures w14:val="none"/>
        </w:rPr>
        <w:t xml:space="preserve">2.0 </w:t>
      </w:r>
      <w:r w:rsidRPr="00051EC1">
        <w:rPr>
          <w:rFonts w:ascii="Times New Roman" w:eastAsia="Calibri" w:hAnsi="Times New Roman" w:cs="Times New Roman"/>
          <w:kern w:val="0"/>
          <w:lang w:val="en-GB"/>
          <w14:ligatures w14:val="none"/>
        </w:rPr>
        <w:t>where attributes of mixed land uses are represented according to the level of responses on the Likert scale. For example, 129 responses who strongly agreed showed that unemployment was responsible for mixed land use development. Each of the responses on the Likert scale is represented in a bar as shown in (Figure 1</w:t>
      </w:r>
      <w:r w:rsidR="00016646" w:rsidRPr="002C1720">
        <w:rPr>
          <w:rFonts w:ascii="Times New Roman" w:eastAsia="Calibri" w:hAnsi="Times New Roman" w:cs="Times New Roman"/>
          <w:kern w:val="0"/>
          <w:lang w:val="en-GB"/>
          <w14:ligatures w14:val="none"/>
        </w:rPr>
        <w:t>.</w:t>
      </w:r>
      <w:r w:rsidRPr="00051EC1">
        <w:rPr>
          <w:rFonts w:ascii="Times New Roman" w:eastAsia="Calibri" w:hAnsi="Times New Roman" w:cs="Times New Roman"/>
          <w:kern w:val="0"/>
          <w:lang w:val="en-GB"/>
          <w14:ligatures w14:val="none"/>
        </w:rPr>
        <w:t>0).</w:t>
      </w:r>
    </w:p>
    <w:p w14:paraId="2DF9E43A" w14:textId="4ED032D1" w:rsidR="00C046CA"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Table </w:t>
      </w:r>
      <w:r w:rsidR="00016646" w:rsidRPr="002C1720">
        <w:rPr>
          <w:rFonts w:ascii="Times New Roman" w:eastAsia="Calibri" w:hAnsi="Times New Roman" w:cs="Times New Roman"/>
          <w:kern w:val="0"/>
          <w:lang w:val="en-GB"/>
          <w14:ligatures w14:val="none"/>
        </w:rPr>
        <w:t>3.0</w:t>
      </w:r>
      <w:r w:rsidRPr="00051EC1">
        <w:rPr>
          <w:rFonts w:ascii="Times New Roman" w:eastAsia="Calibri" w:hAnsi="Times New Roman" w:cs="Times New Roman"/>
          <w:kern w:val="0"/>
          <w:lang w:val="en-GB"/>
          <w14:ligatures w14:val="none"/>
        </w:rPr>
        <w:t xml:space="preserve"> showed data on population concentration of the 18.0 neigbourhood zones and the areal extent (m</w:t>
      </w:r>
      <w:r w:rsidRPr="00051EC1">
        <w:rPr>
          <w:rFonts w:ascii="Times New Roman" w:eastAsia="Calibri" w:hAnsi="Times New Roman" w:cs="Times New Roman"/>
          <w:kern w:val="0"/>
          <w:vertAlign w:val="superscript"/>
          <w:lang w:val="en-GB"/>
          <w14:ligatures w14:val="none"/>
        </w:rPr>
        <w:t>2</w:t>
      </w:r>
      <w:r w:rsidRPr="00051EC1">
        <w:rPr>
          <w:rFonts w:ascii="Times New Roman" w:eastAsia="Calibri" w:hAnsi="Times New Roman" w:cs="Times New Roman"/>
          <w:kern w:val="0"/>
          <w:lang w:val="en-GB"/>
          <w14:ligatures w14:val="none"/>
        </w:rPr>
        <w:t>) of various locations of mixed land uses in all the neighbourhoods of Calabar Metropolis. The independent variable (X) represents population concentration and the depenedent variable (Y) represents the areal extent (m</w:t>
      </w:r>
      <w:r w:rsidRPr="00051EC1">
        <w:rPr>
          <w:rFonts w:ascii="Times New Roman" w:eastAsia="Calibri" w:hAnsi="Times New Roman" w:cs="Times New Roman"/>
          <w:kern w:val="0"/>
          <w:vertAlign w:val="superscript"/>
          <w:lang w:val="en-GB"/>
          <w14:ligatures w14:val="none"/>
        </w:rPr>
        <w:t>2</w:t>
      </w:r>
      <w:r w:rsidRPr="00051EC1">
        <w:rPr>
          <w:rFonts w:ascii="Times New Roman" w:eastAsia="Calibri" w:hAnsi="Times New Roman" w:cs="Times New Roman"/>
          <w:kern w:val="0"/>
          <w:lang w:val="en-GB"/>
          <w14:ligatures w14:val="none"/>
        </w:rPr>
        <w:t xml:space="preserve">) of mixed land uses in all the neigbourhood zones of Calabar Metropolis. Figure </w:t>
      </w:r>
      <w:r w:rsidR="00B57AA7" w:rsidRPr="002C1720">
        <w:rPr>
          <w:rFonts w:ascii="Times New Roman" w:eastAsia="Calibri" w:hAnsi="Times New Roman" w:cs="Times New Roman"/>
          <w:kern w:val="0"/>
          <w:lang w:val="en-GB"/>
          <w14:ligatures w14:val="none"/>
        </w:rPr>
        <w:t>2.0</w:t>
      </w:r>
      <w:r w:rsidRPr="00051EC1">
        <w:rPr>
          <w:rFonts w:ascii="Times New Roman" w:eastAsia="Calibri" w:hAnsi="Times New Roman" w:cs="Times New Roman"/>
          <w:kern w:val="0"/>
          <w:lang w:val="en-GB"/>
          <w14:ligatures w14:val="none"/>
        </w:rPr>
        <w:t xml:space="preserve"> is an explanation of the Table </w:t>
      </w:r>
      <w:r w:rsidR="00B57AA7" w:rsidRPr="002C1720">
        <w:rPr>
          <w:rFonts w:ascii="Times New Roman" w:eastAsia="Calibri" w:hAnsi="Times New Roman" w:cs="Times New Roman"/>
          <w:kern w:val="0"/>
          <w:lang w:val="en-GB"/>
          <w14:ligatures w14:val="none"/>
        </w:rPr>
        <w:t>2.0</w:t>
      </w:r>
      <w:r w:rsidRPr="00051EC1">
        <w:rPr>
          <w:rFonts w:ascii="Times New Roman" w:eastAsia="Calibri" w:hAnsi="Times New Roman" w:cs="Times New Roman"/>
          <w:kern w:val="0"/>
          <w:lang w:val="en-GB"/>
          <w14:ligatures w14:val="none"/>
        </w:rPr>
        <w:t xml:space="preserve"> in a bar graph while Figure </w:t>
      </w:r>
      <w:r w:rsidR="00016646" w:rsidRPr="002C1720">
        <w:rPr>
          <w:rFonts w:ascii="Times New Roman" w:eastAsia="Calibri" w:hAnsi="Times New Roman" w:cs="Times New Roman"/>
          <w:kern w:val="0"/>
          <w:lang w:val="en-GB"/>
          <w14:ligatures w14:val="none"/>
        </w:rPr>
        <w:t>3.0</w:t>
      </w:r>
      <w:r w:rsidRPr="00051EC1">
        <w:rPr>
          <w:rFonts w:ascii="Times New Roman" w:eastAsia="Calibri" w:hAnsi="Times New Roman" w:cs="Times New Roman"/>
          <w:kern w:val="0"/>
          <w:lang w:val="en-GB"/>
          <w14:ligatures w14:val="none"/>
        </w:rPr>
        <w:t xml:space="preserve"> represents population concentration of various neighbourhoods of Calabar Metropolis in a map. </w:t>
      </w:r>
    </w:p>
    <w:p w14:paraId="53A8891D" w14:textId="77777777" w:rsidR="00C046CA" w:rsidRDefault="00C046CA" w:rsidP="002C1720">
      <w:pPr>
        <w:spacing w:after="200" w:line="240" w:lineRule="auto"/>
        <w:jc w:val="both"/>
        <w:rPr>
          <w:rFonts w:ascii="Times New Roman" w:eastAsia="Calibri" w:hAnsi="Times New Roman" w:cs="Times New Roman"/>
          <w:kern w:val="0"/>
          <w:lang w:val="en-GB"/>
          <w14:ligatures w14:val="none"/>
        </w:rPr>
      </w:pPr>
    </w:p>
    <w:p w14:paraId="05CDA1F0" w14:textId="3A0249D0" w:rsidR="00051EC1" w:rsidRPr="00051EC1" w:rsidRDefault="00051EC1" w:rsidP="002C1720">
      <w:pPr>
        <w:spacing w:after="200" w:line="240" w:lineRule="auto"/>
        <w:jc w:val="both"/>
        <w:rPr>
          <w:rFonts w:ascii="Times New Roman" w:eastAsia="Calibri" w:hAnsi="Times New Roman" w:cs="Times New Roman"/>
          <w:b/>
          <w:kern w:val="0"/>
          <w:sz w:val="16"/>
          <w:szCs w:val="16"/>
          <w:lang w:val="en-GB"/>
          <w14:ligatures w14:val="none"/>
        </w:rPr>
      </w:pPr>
      <w:r w:rsidRPr="00051EC1">
        <w:rPr>
          <w:rFonts w:ascii="Times New Roman" w:eastAsia="Calibri" w:hAnsi="Times New Roman" w:cs="Times New Roman"/>
          <w:b/>
          <w:kern w:val="0"/>
          <w:lang w:val="en-GB"/>
          <w14:ligatures w14:val="none"/>
        </w:rPr>
        <w:t xml:space="preserve">Table </w:t>
      </w:r>
      <w:r w:rsidR="00B57AA7" w:rsidRPr="002C1720">
        <w:rPr>
          <w:rFonts w:ascii="Times New Roman" w:eastAsia="Calibri" w:hAnsi="Times New Roman" w:cs="Times New Roman"/>
          <w:b/>
          <w:kern w:val="0"/>
          <w:lang w:val="en-GB"/>
          <w14:ligatures w14:val="none"/>
        </w:rPr>
        <w:t>3.0</w:t>
      </w:r>
      <w:r w:rsidRPr="00051EC1">
        <w:rPr>
          <w:rFonts w:ascii="Times New Roman" w:eastAsia="Calibri" w:hAnsi="Times New Roman" w:cs="Times New Roman"/>
          <w:b/>
          <w:kern w:val="0"/>
          <w:lang w:val="en-GB"/>
          <w14:ligatures w14:val="none"/>
        </w:rPr>
        <w:t>: Population of neighbourhood zones and the areal extent (m</w:t>
      </w:r>
      <w:r w:rsidRPr="00051EC1">
        <w:rPr>
          <w:rFonts w:ascii="Times New Roman" w:eastAsia="Calibri" w:hAnsi="Times New Roman" w:cs="Times New Roman"/>
          <w:b/>
          <w:kern w:val="0"/>
          <w:vertAlign w:val="superscript"/>
          <w:lang w:val="en-GB"/>
          <w14:ligatures w14:val="none"/>
        </w:rPr>
        <w:t>2</w:t>
      </w:r>
      <w:r w:rsidRPr="00051EC1">
        <w:rPr>
          <w:rFonts w:ascii="Times New Roman" w:eastAsia="Calibri" w:hAnsi="Times New Roman" w:cs="Times New Roman"/>
          <w:b/>
          <w:kern w:val="0"/>
          <w:lang w:val="en-GB"/>
          <w14:ligatures w14:val="none"/>
        </w:rPr>
        <w:t>) of mixed land uses</w:t>
      </w:r>
    </w:p>
    <w:tbl>
      <w:tblPr>
        <w:tblStyle w:val="TableGrid"/>
        <w:tblW w:w="8915" w:type="dxa"/>
        <w:tblInd w:w="-275" w:type="dxa"/>
        <w:tblLayout w:type="fixed"/>
        <w:tblLook w:val="04A0" w:firstRow="1" w:lastRow="0" w:firstColumn="1" w:lastColumn="0" w:noHBand="0" w:noVBand="1"/>
      </w:tblPr>
      <w:tblGrid>
        <w:gridCol w:w="815"/>
        <w:gridCol w:w="1980"/>
        <w:gridCol w:w="1440"/>
        <w:gridCol w:w="1890"/>
        <w:gridCol w:w="1170"/>
        <w:gridCol w:w="1620"/>
      </w:tblGrid>
      <w:tr w:rsidR="00051EC1" w:rsidRPr="00C046CA" w14:paraId="259111F0" w14:textId="77777777" w:rsidTr="00C046CA">
        <w:tc>
          <w:tcPr>
            <w:tcW w:w="815" w:type="dxa"/>
            <w:shd w:val="clear" w:color="auto" w:fill="BFBFBF"/>
          </w:tcPr>
          <w:p w14:paraId="3CCA2CAF"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S/No</w:t>
            </w:r>
          </w:p>
        </w:tc>
        <w:tc>
          <w:tcPr>
            <w:tcW w:w="1980" w:type="dxa"/>
            <w:shd w:val="clear" w:color="auto" w:fill="BFBFBF"/>
          </w:tcPr>
          <w:p w14:paraId="33210DC4"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Neighbourhood zone</w:t>
            </w:r>
          </w:p>
        </w:tc>
        <w:tc>
          <w:tcPr>
            <w:tcW w:w="1440" w:type="dxa"/>
            <w:shd w:val="clear" w:color="auto" w:fill="BFBFBF"/>
          </w:tcPr>
          <w:p w14:paraId="1619EA07"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Population  (X)</w:t>
            </w:r>
          </w:p>
        </w:tc>
        <w:tc>
          <w:tcPr>
            <w:tcW w:w="1890" w:type="dxa"/>
            <w:shd w:val="clear" w:color="auto" w:fill="BFBFBF"/>
          </w:tcPr>
          <w:p w14:paraId="7B33CF81"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Identification of land use area</w:t>
            </w:r>
          </w:p>
        </w:tc>
        <w:tc>
          <w:tcPr>
            <w:tcW w:w="1170" w:type="dxa"/>
            <w:shd w:val="clear" w:color="auto" w:fill="BFBFBF"/>
          </w:tcPr>
          <w:p w14:paraId="0DAC7437"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 xml:space="preserve"> Area (m</w:t>
            </w:r>
            <w:r w:rsidRPr="00051EC1">
              <w:rPr>
                <w:rFonts w:ascii="Times New Roman" w:eastAsia="Calibri" w:hAnsi="Times New Roman" w:cs="Times New Roman"/>
                <w:b/>
                <w:sz w:val="20"/>
                <w:szCs w:val="20"/>
                <w:vertAlign w:val="superscript"/>
                <w:lang w:val="en-GB"/>
              </w:rPr>
              <w:t>2</w:t>
            </w:r>
            <w:r w:rsidRPr="00051EC1">
              <w:rPr>
                <w:rFonts w:ascii="Times New Roman" w:eastAsia="Calibri" w:hAnsi="Times New Roman" w:cs="Times New Roman"/>
                <w:b/>
                <w:sz w:val="20"/>
                <w:szCs w:val="20"/>
                <w:lang w:val="en-GB"/>
              </w:rPr>
              <w:t>)</w:t>
            </w:r>
          </w:p>
        </w:tc>
        <w:tc>
          <w:tcPr>
            <w:tcW w:w="1620" w:type="dxa"/>
            <w:shd w:val="clear" w:color="auto" w:fill="BFBFBF"/>
          </w:tcPr>
          <w:p w14:paraId="2BF30845"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Total area (m</w:t>
            </w:r>
            <w:r w:rsidRPr="00051EC1">
              <w:rPr>
                <w:rFonts w:ascii="Times New Roman" w:eastAsia="Calibri" w:hAnsi="Times New Roman" w:cs="Times New Roman"/>
                <w:b/>
                <w:sz w:val="20"/>
                <w:szCs w:val="20"/>
                <w:vertAlign w:val="superscript"/>
                <w:lang w:val="en-GB"/>
              </w:rPr>
              <w:t>2</w:t>
            </w:r>
            <w:r w:rsidRPr="00051EC1">
              <w:rPr>
                <w:rFonts w:ascii="Times New Roman" w:eastAsia="Calibri" w:hAnsi="Times New Roman" w:cs="Times New Roman"/>
                <w:b/>
                <w:sz w:val="20"/>
                <w:szCs w:val="20"/>
                <w:lang w:val="en-GB"/>
              </w:rPr>
              <w:t>) (Y)</w:t>
            </w:r>
          </w:p>
        </w:tc>
      </w:tr>
      <w:tr w:rsidR="00051EC1" w:rsidRPr="00051EC1" w14:paraId="5D20EE7D" w14:textId="77777777" w:rsidTr="00C046CA">
        <w:tc>
          <w:tcPr>
            <w:tcW w:w="815" w:type="dxa"/>
          </w:tcPr>
          <w:p w14:paraId="4969F9F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w:t>
            </w:r>
          </w:p>
        </w:tc>
        <w:tc>
          <w:tcPr>
            <w:tcW w:w="1980" w:type="dxa"/>
          </w:tcPr>
          <w:p w14:paraId="01A7EB3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Akim Qua Town</w:t>
            </w:r>
          </w:p>
        </w:tc>
        <w:tc>
          <w:tcPr>
            <w:tcW w:w="1440" w:type="dxa"/>
          </w:tcPr>
          <w:p w14:paraId="21F6D54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42,125</w:t>
            </w:r>
          </w:p>
        </w:tc>
        <w:tc>
          <w:tcPr>
            <w:tcW w:w="1890" w:type="dxa"/>
          </w:tcPr>
          <w:p w14:paraId="1560BEC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Airport</w:t>
            </w:r>
          </w:p>
          <w:p w14:paraId="3B8420F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Timber market</w:t>
            </w:r>
          </w:p>
          <w:p w14:paraId="56F264A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Cemetery</w:t>
            </w:r>
          </w:p>
          <w:p w14:paraId="2C0D7CC5" w14:textId="4DAF8F62"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Udensco</w:t>
            </w:r>
            <w:r w:rsidR="00DA66D5">
              <w:rPr>
                <w:rFonts w:ascii="Times New Roman" w:eastAsia="Calibri" w:hAnsi="Times New Roman" w:cs="Times New Roman"/>
                <w:sz w:val="20"/>
                <w:szCs w:val="20"/>
                <w:lang w:val="en-GB"/>
              </w:rPr>
              <w:t xml:space="preserve"> Filling sta</w:t>
            </w:r>
          </w:p>
          <w:p w14:paraId="1C785A53" w14:textId="5DCB0D5A" w:rsidR="00051EC1" w:rsidRPr="00051EC1" w:rsidRDefault="00DA66D5" w:rsidP="002C1720">
            <w:pPr>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Shafar</w:t>
            </w:r>
          </w:p>
          <w:p w14:paraId="502DE3F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Gas station</w:t>
            </w:r>
          </w:p>
          <w:p w14:paraId="0B8E5A7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Encroachment</w:t>
            </w:r>
          </w:p>
        </w:tc>
        <w:tc>
          <w:tcPr>
            <w:tcW w:w="1170" w:type="dxa"/>
          </w:tcPr>
          <w:p w14:paraId="6F31266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3,350</w:t>
            </w:r>
          </w:p>
          <w:p w14:paraId="4B9B067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123</w:t>
            </w:r>
          </w:p>
          <w:p w14:paraId="15542DB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145</w:t>
            </w:r>
          </w:p>
          <w:p w14:paraId="5969C20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25</w:t>
            </w:r>
          </w:p>
          <w:p w14:paraId="49467C5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23</w:t>
            </w:r>
          </w:p>
          <w:p w14:paraId="301DB72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22</w:t>
            </w:r>
          </w:p>
          <w:p w14:paraId="7F07416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10,563</w:t>
            </w:r>
          </w:p>
        </w:tc>
        <w:tc>
          <w:tcPr>
            <w:tcW w:w="1620" w:type="dxa"/>
          </w:tcPr>
          <w:p w14:paraId="54660DFF" w14:textId="77777777" w:rsidR="00051EC1" w:rsidRPr="00051EC1" w:rsidRDefault="00051EC1" w:rsidP="002C1720">
            <w:pPr>
              <w:jc w:val="both"/>
              <w:rPr>
                <w:rFonts w:ascii="Times New Roman" w:eastAsia="Calibri" w:hAnsi="Times New Roman" w:cs="Times New Roman"/>
                <w:sz w:val="20"/>
                <w:szCs w:val="20"/>
                <w:lang w:val="en-GB"/>
              </w:rPr>
            </w:pPr>
          </w:p>
          <w:p w14:paraId="6A33E559" w14:textId="77777777" w:rsidR="00051EC1" w:rsidRPr="00051EC1" w:rsidRDefault="00051EC1" w:rsidP="002C1720">
            <w:pPr>
              <w:jc w:val="both"/>
              <w:rPr>
                <w:rFonts w:ascii="Times New Roman" w:eastAsia="Calibri" w:hAnsi="Times New Roman" w:cs="Times New Roman"/>
                <w:sz w:val="20"/>
                <w:szCs w:val="20"/>
                <w:lang w:val="en-GB"/>
              </w:rPr>
            </w:pPr>
          </w:p>
          <w:p w14:paraId="63F26EE2" w14:textId="77777777" w:rsidR="00051EC1" w:rsidRPr="00051EC1" w:rsidRDefault="00051EC1" w:rsidP="002C1720">
            <w:pPr>
              <w:jc w:val="both"/>
              <w:rPr>
                <w:rFonts w:ascii="Times New Roman" w:eastAsia="Calibri" w:hAnsi="Times New Roman" w:cs="Times New Roman"/>
                <w:sz w:val="20"/>
                <w:szCs w:val="20"/>
                <w:lang w:val="en-GB"/>
              </w:rPr>
            </w:pPr>
          </w:p>
          <w:p w14:paraId="6694AEFD" w14:textId="77777777" w:rsidR="00051EC1" w:rsidRPr="00051EC1" w:rsidRDefault="00051EC1" w:rsidP="002C1720">
            <w:pPr>
              <w:jc w:val="both"/>
              <w:rPr>
                <w:rFonts w:ascii="Times New Roman" w:eastAsia="Calibri" w:hAnsi="Times New Roman" w:cs="Times New Roman"/>
                <w:sz w:val="20"/>
                <w:szCs w:val="20"/>
                <w:lang w:val="en-GB"/>
              </w:rPr>
            </w:pPr>
          </w:p>
          <w:p w14:paraId="710A0669" w14:textId="77777777" w:rsidR="00051EC1" w:rsidRPr="00051EC1" w:rsidRDefault="00051EC1" w:rsidP="002C1720">
            <w:pPr>
              <w:jc w:val="both"/>
              <w:rPr>
                <w:rFonts w:ascii="Times New Roman" w:eastAsia="Calibri" w:hAnsi="Times New Roman" w:cs="Times New Roman"/>
                <w:sz w:val="20"/>
                <w:szCs w:val="20"/>
                <w:lang w:val="en-GB"/>
              </w:rPr>
            </w:pPr>
          </w:p>
          <w:p w14:paraId="28A4D691" w14:textId="77777777" w:rsidR="00051EC1" w:rsidRPr="00051EC1" w:rsidRDefault="00051EC1" w:rsidP="002C1720">
            <w:pPr>
              <w:jc w:val="both"/>
              <w:rPr>
                <w:rFonts w:ascii="Times New Roman" w:eastAsia="Calibri" w:hAnsi="Times New Roman" w:cs="Times New Roman"/>
                <w:sz w:val="20"/>
                <w:szCs w:val="20"/>
                <w:lang w:val="en-GB"/>
              </w:rPr>
            </w:pPr>
          </w:p>
          <w:p w14:paraId="56C84C3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15,251</w:t>
            </w:r>
          </w:p>
        </w:tc>
      </w:tr>
      <w:tr w:rsidR="00051EC1" w:rsidRPr="00C046CA" w14:paraId="39DAFA41" w14:textId="77777777" w:rsidTr="00C046CA">
        <w:tc>
          <w:tcPr>
            <w:tcW w:w="815" w:type="dxa"/>
            <w:shd w:val="clear" w:color="auto" w:fill="D9D9D9"/>
          </w:tcPr>
          <w:p w14:paraId="536A0BB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w:t>
            </w:r>
          </w:p>
        </w:tc>
        <w:tc>
          <w:tcPr>
            <w:tcW w:w="1980" w:type="dxa"/>
            <w:shd w:val="clear" w:color="auto" w:fill="D9D9D9"/>
          </w:tcPr>
          <w:p w14:paraId="264FA72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Big Qua Town</w:t>
            </w:r>
          </w:p>
        </w:tc>
        <w:tc>
          <w:tcPr>
            <w:tcW w:w="1440" w:type="dxa"/>
            <w:shd w:val="clear" w:color="auto" w:fill="D9D9D9"/>
          </w:tcPr>
          <w:p w14:paraId="58CC1D7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40,645</w:t>
            </w:r>
          </w:p>
        </w:tc>
        <w:tc>
          <w:tcPr>
            <w:tcW w:w="1890" w:type="dxa"/>
            <w:shd w:val="clear" w:color="auto" w:fill="D9D9D9"/>
          </w:tcPr>
          <w:p w14:paraId="2993551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Stadium</w:t>
            </w:r>
          </w:p>
          <w:p w14:paraId="14334A2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State Library</w:t>
            </w:r>
          </w:p>
          <w:p w14:paraId="0EB0F0B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Church</w:t>
            </w:r>
          </w:p>
          <w:p w14:paraId="350EA26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0D79E73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284</w:t>
            </w:r>
          </w:p>
          <w:p w14:paraId="18A73A7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96</w:t>
            </w:r>
          </w:p>
          <w:p w14:paraId="627A9DC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89</w:t>
            </w:r>
          </w:p>
          <w:p w14:paraId="1503BE2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3,000</w:t>
            </w:r>
          </w:p>
        </w:tc>
        <w:tc>
          <w:tcPr>
            <w:tcW w:w="1620" w:type="dxa"/>
            <w:shd w:val="clear" w:color="auto" w:fill="D9D9D9"/>
          </w:tcPr>
          <w:p w14:paraId="4BA19B81" w14:textId="77777777" w:rsidR="00051EC1" w:rsidRPr="00051EC1" w:rsidRDefault="00051EC1" w:rsidP="002C1720">
            <w:pPr>
              <w:jc w:val="both"/>
              <w:rPr>
                <w:rFonts w:ascii="Times New Roman" w:eastAsia="Calibri" w:hAnsi="Times New Roman" w:cs="Times New Roman"/>
                <w:sz w:val="20"/>
                <w:szCs w:val="20"/>
                <w:lang w:val="en-GB"/>
              </w:rPr>
            </w:pPr>
          </w:p>
          <w:p w14:paraId="11D78174" w14:textId="77777777" w:rsidR="00051EC1" w:rsidRPr="00051EC1" w:rsidRDefault="00051EC1" w:rsidP="002C1720">
            <w:pPr>
              <w:jc w:val="both"/>
              <w:rPr>
                <w:rFonts w:ascii="Times New Roman" w:eastAsia="Calibri" w:hAnsi="Times New Roman" w:cs="Times New Roman"/>
                <w:sz w:val="20"/>
                <w:szCs w:val="20"/>
                <w:lang w:val="en-GB"/>
              </w:rPr>
            </w:pPr>
          </w:p>
          <w:p w14:paraId="138DED99" w14:textId="77777777" w:rsidR="00051EC1" w:rsidRPr="00051EC1" w:rsidRDefault="00051EC1" w:rsidP="002C1720">
            <w:pPr>
              <w:jc w:val="both"/>
              <w:rPr>
                <w:rFonts w:ascii="Times New Roman" w:eastAsia="Calibri" w:hAnsi="Times New Roman" w:cs="Times New Roman"/>
                <w:sz w:val="20"/>
                <w:szCs w:val="20"/>
                <w:lang w:val="en-GB"/>
              </w:rPr>
            </w:pPr>
          </w:p>
          <w:p w14:paraId="46E0D1B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3,469</w:t>
            </w:r>
          </w:p>
        </w:tc>
      </w:tr>
      <w:tr w:rsidR="00051EC1" w:rsidRPr="00051EC1" w14:paraId="3A088CAF" w14:textId="77777777" w:rsidTr="00C046CA">
        <w:tc>
          <w:tcPr>
            <w:tcW w:w="815" w:type="dxa"/>
          </w:tcPr>
          <w:p w14:paraId="20BF6B1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w:t>
            </w:r>
          </w:p>
        </w:tc>
        <w:tc>
          <w:tcPr>
            <w:tcW w:w="1980" w:type="dxa"/>
          </w:tcPr>
          <w:p w14:paraId="6A7C95F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Duke/Cobhom Town</w:t>
            </w:r>
          </w:p>
        </w:tc>
        <w:tc>
          <w:tcPr>
            <w:tcW w:w="1440" w:type="dxa"/>
          </w:tcPr>
          <w:p w14:paraId="4892168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42,540</w:t>
            </w:r>
          </w:p>
        </w:tc>
        <w:tc>
          <w:tcPr>
            <w:tcW w:w="1890" w:type="dxa"/>
          </w:tcPr>
          <w:p w14:paraId="2777CF5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Cathedral</w:t>
            </w:r>
          </w:p>
          <w:p w14:paraId="3A59948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w:t>
            </w:r>
          </w:p>
          <w:p w14:paraId="19A3855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313F17F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102</w:t>
            </w:r>
          </w:p>
          <w:p w14:paraId="5C877C3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200</w:t>
            </w:r>
          </w:p>
          <w:p w14:paraId="54B5B5E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2,500</w:t>
            </w:r>
          </w:p>
        </w:tc>
        <w:tc>
          <w:tcPr>
            <w:tcW w:w="1620" w:type="dxa"/>
          </w:tcPr>
          <w:p w14:paraId="5A1144C6" w14:textId="77777777" w:rsidR="00051EC1" w:rsidRPr="00051EC1" w:rsidRDefault="00051EC1" w:rsidP="002C1720">
            <w:pPr>
              <w:jc w:val="both"/>
              <w:rPr>
                <w:rFonts w:ascii="Times New Roman" w:eastAsia="Calibri" w:hAnsi="Times New Roman" w:cs="Times New Roman"/>
                <w:sz w:val="20"/>
                <w:szCs w:val="20"/>
                <w:lang w:val="en-GB"/>
              </w:rPr>
            </w:pPr>
          </w:p>
          <w:p w14:paraId="63884D8C" w14:textId="77777777" w:rsidR="00051EC1" w:rsidRPr="00051EC1" w:rsidRDefault="00051EC1" w:rsidP="002C1720">
            <w:pPr>
              <w:jc w:val="both"/>
              <w:rPr>
                <w:rFonts w:ascii="Times New Roman" w:eastAsia="Calibri" w:hAnsi="Times New Roman" w:cs="Times New Roman"/>
                <w:sz w:val="20"/>
                <w:szCs w:val="20"/>
                <w:lang w:val="en-GB"/>
              </w:rPr>
            </w:pPr>
          </w:p>
          <w:p w14:paraId="7F13EA1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2,802</w:t>
            </w:r>
          </w:p>
        </w:tc>
      </w:tr>
      <w:tr w:rsidR="00051EC1" w:rsidRPr="00C046CA" w14:paraId="1E7E70AE" w14:textId="77777777" w:rsidTr="00C046CA">
        <w:tc>
          <w:tcPr>
            <w:tcW w:w="815" w:type="dxa"/>
            <w:shd w:val="clear" w:color="auto" w:fill="D9D9D9"/>
          </w:tcPr>
          <w:p w14:paraId="7509FA0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w:t>
            </w:r>
          </w:p>
        </w:tc>
        <w:tc>
          <w:tcPr>
            <w:tcW w:w="1980" w:type="dxa"/>
            <w:shd w:val="clear" w:color="auto" w:fill="D9D9D9"/>
          </w:tcPr>
          <w:p w14:paraId="1ACAB4D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Ediba Qua Town</w:t>
            </w:r>
          </w:p>
        </w:tc>
        <w:tc>
          <w:tcPr>
            <w:tcW w:w="1440" w:type="dxa"/>
            <w:shd w:val="clear" w:color="auto" w:fill="D9D9D9"/>
          </w:tcPr>
          <w:p w14:paraId="6D87859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36,965</w:t>
            </w:r>
          </w:p>
        </w:tc>
        <w:tc>
          <w:tcPr>
            <w:tcW w:w="1890" w:type="dxa"/>
            <w:shd w:val="clear" w:color="auto" w:fill="D9D9D9"/>
          </w:tcPr>
          <w:p w14:paraId="031C357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Airport</w:t>
            </w:r>
          </w:p>
          <w:p w14:paraId="6C3BE0C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Timber market</w:t>
            </w:r>
          </w:p>
          <w:p w14:paraId="502B4E9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Water board</w:t>
            </w:r>
          </w:p>
          <w:p w14:paraId="28730A6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Church</w:t>
            </w:r>
          </w:p>
          <w:p w14:paraId="60626AC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3AA6527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3,350</w:t>
            </w:r>
          </w:p>
          <w:p w14:paraId="19B59B3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210</w:t>
            </w:r>
          </w:p>
          <w:p w14:paraId="6710182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1,250</w:t>
            </w:r>
          </w:p>
          <w:p w14:paraId="6F7B1FC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98</w:t>
            </w:r>
          </w:p>
          <w:p w14:paraId="617E008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4,000</w:t>
            </w:r>
          </w:p>
        </w:tc>
        <w:tc>
          <w:tcPr>
            <w:tcW w:w="1620" w:type="dxa"/>
            <w:shd w:val="clear" w:color="auto" w:fill="D9D9D9"/>
          </w:tcPr>
          <w:p w14:paraId="39E858DF" w14:textId="77777777" w:rsidR="00051EC1" w:rsidRPr="00051EC1" w:rsidRDefault="00051EC1" w:rsidP="002C1720">
            <w:pPr>
              <w:jc w:val="both"/>
              <w:rPr>
                <w:rFonts w:ascii="Times New Roman" w:eastAsia="Calibri" w:hAnsi="Times New Roman" w:cs="Times New Roman"/>
                <w:sz w:val="20"/>
                <w:szCs w:val="20"/>
                <w:lang w:val="en-GB"/>
              </w:rPr>
            </w:pPr>
          </w:p>
          <w:p w14:paraId="21A64492" w14:textId="77777777" w:rsidR="00051EC1" w:rsidRPr="00051EC1" w:rsidRDefault="00051EC1" w:rsidP="002C1720">
            <w:pPr>
              <w:jc w:val="both"/>
              <w:rPr>
                <w:rFonts w:ascii="Times New Roman" w:eastAsia="Calibri" w:hAnsi="Times New Roman" w:cs="Times New Roman"/>
                <w:sz w:val="20"/>
                <w:szCs w:val="20"/>
                <w:lang w:val="en-GB"/>
              </w:rPr>
            </w:pPr>
          </w:p>
          <w:p w14:paraId="02A15B8D" w14:textId="77777777" w:rsidR="00051EC1" w:rsidRPr="00051EC1" w:rsidRDefault="00051EC1" w:rsidP="002C1720">
            <w:pPr>
              <w:jc w:val="both"/>
              <w:rPr>
                <w:rFonts w:ascii="Times New Roman" w:eastAsia="Calibri" w:hAnsi="Times New Roman" w:cs="Times New Roman"/>
                <w:sz w:val="20"/>
                <w:szCs w:val="20"/>
                <w:lang w:val="en-GB"/>
              </w:rPr>
            </w:pPr>
          </w:p>
          <w:p w14:paraId="0341E0C8" w14:textId="77777777" w:rsidR="00051EC1" w:rsidRPr="00051EC1" w:rsidRDefault="00051EC1" w:rsidP="002C1720">
            <w:pPr>
              <w:jc w:val="both"/>
              <w:rPr>
                <w:rFonts w:ascii="Times New Roman" w:eastAsia="Calibri" w:hAnsi="Times New Roman" w:cs="Times New Roman"/>
                <w:sz w:val="20"/>
                <w:szCs w:val="20"/>
                <w:lang w:val="en-GB"/>
              </w:rPr>
            </w:pPr>
          </w:p>
          <w:p w14:paraId="115900C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8,908</w:t>
            </w:r>
          </w:p>
        </w:tc>
      </w:tr>
      <w:tr w:rsidR="00051EC1" w:rsidRPr="00051EC1" w14:paraId="4586E7B9" w14:textId="77777777" w:rsidTr="00C046CA">
        <w:tc>
          <w:tcPr>
            <w:tcW w:w="815" w:type="dxa"/>
          </w:tcPr>
          <w:p w14:paraId="73B5987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5 </w:t>
            </w:r>
          </w:p>
        </w:tc>
        <w:tc>
          <w:tcPr>
            <w:tcW w:w="1980" w:type="dxa"/>
          </w:tcPr>
          <w:p w14:paraId="18A82D3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Efut Abua</w:t>
            </w:r>
          </w:p>
        </w:tc>
        <w:tc>
          <w:tcPr>
            <w:tcW w:w="1440" w:type="dxa"/>
          </w:tcPr>
          <w:p w14:paraId="06DC1C4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27,785</w:t>
            </w:r>
          </w:p>
        </w:tc>
        <w:tc>
          <w:tcPr>
            <w:tcW w:w="1890" w:type="dxa"/>
          </w:tcPr>
          <w:p w14:paraId="4534D21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Jebs gasoline</w:t>
            </w:r>
          </w:p>
          <w:p w14:paraId="166B9199" w14:textId="631C8DBF"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En</w:t>
            </w:r>
            <w:r w:rsidR="00DA66D5">
              <w:rPr>
                <w:rFonts w:ascii="Times New Roman" w:eastAsia="Calibri" w:hAnsi="Times New Roman" w:cs="Times New Roman"/>
                <w:sz w:val="20"/>
                <w:szCs w:val="20"/>
                <w:lang w:val="en-GB"/>
              </w:rPr>
              <w:t>e</w:t>
            </w:r>
            <w:r w:rsidRPr="00051EC1">
              <w:rPr>
                <w:rFonts w:ascii="Times New Roman" w:eastAsia="Calibri" w:hAnsi="Times New Roman" w:cs="Times New Roman"/>
                <w:sz w:val="20"/>
                <w:szCs w:val="20"/>
                <w:lang w:val="en-GB"/>
              </w:rPr>
              <w:t xml:space="preserve">yo </w:t>
            </w:r>
          </w:p>
          <w:p w14:paraId="37BD4FA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Afokang gas</w:t>
            </w:r>
          </w:p>
          <w:p w14:paraId="74A4C46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Gas station</w:t>
            </w:r>
          </w:p>
          <w:p w14:paraId="700F995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217B0E4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35</w:t>
            </w:r>
          </w:p>
          <w:p w14:paraId="08E07C8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38</w:t>
            </w:r>
          </w:p>
          <w:p w14:paraId="27156D9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31</w:t>
            </w:r>
          </w:p>
          <w:p w14:paraId="7C19A53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29</w:t>
            </w:r>
          </w:p>
          <w:p w14:paraId="7EE563F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4,320</w:t>
            </w:r>
          </w:p>
        </w:tc>
        <w:tc>
          <w:tcPr>
            <w:tcW w:w="1620" w:type="dxa"/>
          </w:tcPr>
          <w:p w14:paraId="4138BACB" w14:textId="77777777" w:rsidR="00051EC1" w:rsidRPr="00051EC1" w:rsidRDefault="00051EC1" w:rsidP="002C1720">
            <w:pPr>
              <w:jc w:val="both"/>
              <w:rPr>
                <w:rFonts w:ascii="Times New Roman" w:eastAsia="Calibri" w:hAnsi="Times New Roman" w:cs="Times New Roman"/>
                <w:sz w:val="20"/>
                <w:szCs w:val="20"/>
                <w:lang w:val="en-GB"/>
              </w:rPr>
            </w:pPr>
          </w:p>
          <w:p w14:paraId="3862E346" w14:textId="77777777" w:rsidR="00051EC1" w:rsidRPr="00051EC1" w:rsidRDefault="00051EC1" w:rsidP="002C1720">
            <w:pPr>
              <w:jc w:val="both"/>
              <w:rPr>
                <w:rFonts w:ascii="Times New Roman" w:eastAsia="Calibri" w:hAnsi="Times New Roman" w:cs="Times New Roman"/>
                <w:sz w:val="20"/>
                <w:szCs w:val="20"/>
                <w:lang w:val="en-GB"/>
              </w:rPr>
            </w:pPr>
          </w:p>
          <w:p w14:paraId="44B5D2FD" w14:textId="77777777" w:rsidR="00051EC1" w:rsidRPr="00051EC1" w:rsidRDefault="00051EC1" w:rsidP="002C1720">
            <w:pPr>
              <w:jc w:val="both"/>
              <w:rPr>
                <w:rFonts w:ascii="Times New Roman" w:eastAsia="Calibri" w:hAnsi="Times New Roman" w:cs="Times New Roman"/>
                <w:sz w:val="20"/>
                <w:szCs w:val="20"/>
                <w:lang w:val="en-GB"/>
              </w:rPr>
            </w:pPr>
          </w:p>
          <w:p w14:paraId="0E6C1698" w14:textId="77777777" w:rsidR="00051EC1" w:rsidRPr="00051EC1" w:rsidRDefault="00051EC1" w:rsidP="002C1720">
            <w:pPr>
              <w:jc w:val="both"/>
              <w:rPr>
                <w:rFonts w:ascii="Times New Roman" w:eastAsia="Calibri" w:hAnsi="Times New Roman" w:cs="Times New Roman"/>
                <w:sz w:val="20"/>
                <w:szCs w:val="20"/>
                <w:lang w:val="en-GB"/>
              </w:rPr>
            </w:pPr>
          </w:p>
          <w:p w14:paraId="63AB812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4,453</w:t>
            </w:r>
          </w:p>
        </w:tc>
      </w:tr>
      <w:tr w:rsidR="00051EC1" w:rsidRPr="00C046CA" w14:paraId="0056F80C" w14:textId="77777777" w:rsidTr="00C046CA">
        <w:tc>
          <w:tcPr>
            <w:tcW w:w="815" w:type="dxa"/>
            <w:shd w:val="clear" w:color="auto" w:fill="D9D9D9"/>
          </w:tcPr>
          <w:p w14:paraId="6374784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w:t>
            </w:r>
          </w:p>
        </w:tc>
        <w:tc>
          <w:tcPr>
            <w:tcW w:w="1980" w:type="dxa"/>
            <w:shd w:val="clear" w:color="auto" w:fill="D9D9D9"/>
          </w:tcPr>
          <w:p w14:paraId="06370DF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Efut Anantigha</w:t>
            </w:r>
          </w:p>
        </w:tc>
        <w:tc>
          <w:tcPr>
            <w:tcW w:w="1440" w:type="dxa"/>
            <w:shd w:val="clear" w:color="auto" w:fill="D9D9D9"/>
          </w:tcPr>
          <w:p w14:paraId="092086B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27,594</w:t>
            </w:r>
          </w:p>
        </w:tc>
        <w:tc>
          <w:tcPr>
            <w:tcW w:w="1890" w:type="dxa"/>
            <w:shd w:val="clear" w:color="auto" w:fill="D9D9D9"/>
          </w:tcPr>
          <w:p w14:paraId="3FDCF23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Encroachment </w:t>
            </w:r>
          </w:p>
          <w:p w14:paraId="1A45431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markets</w:t>
            </w:r>
          </w:p>
          <w:p w14:paraId="6E2B565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Abattoir</w:t>
            </w:r>
          </w:p>
          <w:p w14:paraId="0F9B4B8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53AD354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7,485</w:t>
            </w:r>
          </w:p>
          <w:p w14:paraId="36E30B8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56</w:t>
            </w:r>
          </w:p>
          <w:p w14:paraId="3F3E7FE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16</w:t>
            </w:r>
          </w:p>
          <w:p w14:paraId="5BBE9C4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5,000</w:t>
            </w:r>
          </w:p>
        </w:tc>
        <w:tc>
          <w:tcPr>
            <w:tcW w:w="1620" w:type="dxa"/>
            <w:shd w:val="clear" w:color="auto" w:fill="D9D9D9"/>
          </w:tcPr>
          <w:p w14:paraId="3A7E79A8" w14:textId="77777777" w:rsidR="00051EC1" w:rsidRPr="00051EC1" w:rsidRDefault="00051EC1" w:rsidP="002C1720">
            <w:pPr>
              <w:jc w:val="both"/>
              <w:rPr>
                <w:rFonts w:ascii="Times New Roman" w:eastAsia="Calibri" w:hAnsi="Times New Roman" w:cs="Times New Roman"/>
                <w:sz w:val="20"/>
                <w:szCs w:val="20"/>
                <w:lang w:val="en-GB"/>
              </w:rPr>
            </w:pPr>
          </w:p>
          <w:p w14:paraId="210DF368" w14:textId="77777777" w:rsidR="00051EC1" w:rsidRPr="00051EC1" w:rsidRDefault="00051EC1" w:rsidP="002C1720">
            <w:pPr>
              <w:jc w:val="both"/>
              <w:rPr>
                <w:rFonts w:ascii="Times New Roman" w:eastAsia="Calibri" w:hAnsi="Times New Roman" w:cs="Times New Roman"/>
                <w:sz w:val="20"/>
                <w:szCs w:val="20"/>
                <w:lang w:val="en-GB"/>
              </w:rPr>
            </w:pPr>
          </w:p>
          <w:p w14:paraId="2F3F9A4C" w14:textId="77777777" w:rsidR="00051EC1" w:rsidRPr="00051EC1" w:rsidRDefault="00051EC1" w:rsidP="002C1720">
            <w:pPr>
              <w:jc w:val="both"/>
              <w:rPr>
                <w:rFonts w:ascii="Times New Roman" w:eastAsia="Calibri" w:hAnsi="Times New Roman" w:cs="Times New Roman"/>
                <w:sz w:val="20"/>
                <w:szCs w:val="20"/>
                <w:lang w:val="en-GB"/>
              </w:rPr>
            </w:pPr>
          </w:p>
          <w:p w14:paraId="360F345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12,557</w:t>
            </w:r>
          </w:p>
        </w:tc>
      </w:tr>
      <w:tr w:rsidR="00051EC1" w:rsidRPr="00051EC1" w14:paraId="450C850E" w14:textId="77777777" w:rsidTr="00C046CA">
        <w:trPr>
          <w:trHeight w:val="1394"/>
        </w:trPr>
        <w:tc>
          <w:tcPr>
            <w:tcW w:w="815" w:type="dxa"/>
          </w:tcPr>
          <w:p w14:paraId="2376981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7 </w:t>
            </w:r>
          </w:p>
        </w:tc>
        <w:tc>
          <w:tcPr>
            <w:tcW w:w="1980" w:type="dxa"/>
          </w:tcPr>
          <w:p w14:paraId="17B45E0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Efut Ekondo</w:t>
            </w:r>
          </w:p>
        </w:tc>
        <w:tc>
          <w:tcPr>
            <w:tcW w:w="1440" w:type="dxa"/>
          </w:tcPr>
          <w:p w14:paraId="7D880DF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42,768</w:t>
            </w:r>
          </w:p>
        </w:tc>
        <w:tc>
          <w:tcPr>
            <w:tcW w:w="1890" w:type="dxa"/>
          </w:tcPr>
          <w:p w14:paraId="678C3A8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Apostolic</w:t>
            </w:r>
          </w:p>
          <w:p w14:paraId="09AF4F9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Mount zion</w:t>
            </w:r>
          </w:p>
          <w:p w14:paraId="258D7DA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Church</w:t>
            </w:r>
          </w:p>
          <w:p w14:paraId="4019ED5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Mechanic shop</w:t>
            </w:r>
          </w:p>
          <w:p w14:paraId="3DB330F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1E6A786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52</w:t>
            </w:r>
          </w:p>
          <w:p w14:paraId="759AE1B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67</w:t>
            </w:r>
          </w:p>
          <w:p w14:paraId="51D2D7F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59</w:t>
            </w:r>
          </w:p>
          <w:p w14:paraId="20B4038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67</w:t>
            </w:r>
          </w:p>
          <w:p w14:paraId="34F777D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8,000</w:t>
            </w:r>
          </w:p>
        </w:tc>
        <w:tc>
          <w:tcPr>
            <w:tcW w:w="1620" w:type="dxa"/>
          </w:tcPr>
          <w:p w14:paraId="14BCE58C" w14:textId="77777777" w:rsidR="00051EC1" w:rsidRPr="00051EC1" w:rsidRDefault="00051EC1" w:rsidP="002C1720">
            <w:pPr>
              <w:jc w:val="both"/>
              <w:rPr>
                <w:rFonts w:ascii="Times New Roman" w:eastAsia="Calibri" w:hAnsi="Times New Roman" w:cs="Times New Roman"/>
                <w:sz w:val="20"/>
                <w:szCs w:val="20"/>
                <w:lang w:val="en-GB"/>
              </w:rPr>
            </w:pPr>
          </w:p>
          <w:p w14:paraId="2DBEE40F" w14:textId="77777777" w:rsidR="00051EC1" w:rsidRPr="00051EC1" w:rsidRDefault="00051EC1" w:rsidP="002C1720">
            <w:pPr>
              <w:jc w:val="both"/>
              <w:rPr>
                <w:rFonts w:ascii="Times New Roman" w:eastAsia="Calibri" w:hAnsi="Times New Roman" w:cs="Times New Roman"/>
                <w:sz w:val="20"/>
                <w:szCs w:val="20"/>
                <w:lang w:val="en-GB"/>
              </w:rPr>
            </w:pPr>
          </w:p>
          <w:p w14:paraId="0F3FCFC5" w14:textId="77777777" w:rsidR="00051EC1" w:rsidRPr="00051EC1" w:rsidRDefault="00051EC1" w:rsidP="002C1720">
            <w:pPr>
              <w:jc w:val="both"/>
              <w:rPr>
                <w:rFonts w:ascii="Times New Roman" w:eastAsia="Calibri" w:hAnsi="Times New Roman" w:cs="Times New Roman"/>
                <w:sz w:val="20"/>
                <w:szCs w:val="20"/>
                <w:lang w:val="en-GB"/>
              </w:rPr>
            </w:pPr>
          </w:p>
          <w:p w14:paraId="4CB9A027" w14:textId="77777777" w:rsidR="001C5A12" w:rsidRDefault="001C5A12" w:rsidP="002C1720">
            <w:pPr>
              <w:jc w:val="both"/>
              <w:rPr>
                <w:rFonts w:ascii="Times New Roman" w:eastAsia="Calibri" w:hAnsi="Times New Roman" w:cs="Times New Roman"/>
                <w:sz w:val="20"/>
                <w:szCs w:val="20"/>
                <w:lang w:val="en-GB"/>
              </w:rPr>
            </w:pPr>
          </w:p>
          <w:p w14:paraId="61F41372" w14:textId="77777777" w:rsidR="001C5A12" w:rsidRDefault="001C5A12" w:rsidP="002C1720">
            <w:pPr>
              <w:jc w:val="both"/>
              <w:rPr>
                <w:rFonts w:ascii="Times New Roman" w:eastAsia="Calibri" w:hAnsi="Times New Roman" w:cs="Times New Roman"/>
                <w:sz w:val="20"/>
                <w:szCs w:val="20"/>
                <w:lang w:val="en-GB"/>
              </w:rPr>
            </w:pPr>
          </w:p>
          <w:p w14:paraId="1E127483" w14:textId="0841DE26"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8,245</w:t>
            </w:r>
          </w:p>
        </w:tc>
      </w:tr>
      <w:tr w:rsidR="00051EC1" w:rsidRPr="00C046CA" w14:paraId="3439BAD0" w14:textId="77777777" w:rsidTr="00C046CA">
        <w:trPr>
          <w:trHeight w:val="1160"/>
        </w:trPr>
        <w:tc>
          <w:tcPr>
            <w:tcW w:w="815" w:type="dxa"/>
            <w:shd w:val="clear" w:color="auto" w:fill="D9D9D9"/>
          </w:tcPr>
          <w:p w14:paraId="0C593E2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lastRenderedPageBreak/>
              <w:t>8</w:t>
            </w:r>
          </w:p>
        </w:tc>
        <w:tc>
          <w:tcPr>
            <w:tcW w:w="1980" w:type="dxa"/>
            <w:shd w:val="clear" w:color="auto" w:fill="D9D9D9"/>
          </w:tcPr>
          <w:p w14:paraId="56B256B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Efut Uwanse</w:t>
            </w:r>
          </w:p>
        </w:tc>
        <w:tc>
          <w:tcPr>
            <w:tcW w:w="1440" w:type="dxa"/>
            <w:shd w:val="clear" w:color="auto" w:fill="D9D9D9"/>
          </w:tcPr>
          <w:p w14:paraId="12B6016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29,187</w:t>
            </w:r>
          </w:p>
        </w:tc>
        <w:tc>
          <w:tcPr>
            <w:tcW w:w="1890" w:type="dxa"/>
            <w:shd w:val="clear" w:color="auto" w:fill="D9D9D9"/>
          </w:tcPr>
          <w:p w14:paraId="6B5F979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Prosperous oil</w:t>
            </w:r>
          </w:p>
          <w:p w14:paraId="4D4856C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markets</w:t>
            </w:r>
          </w:p>
          <w:p w14:paraId="6B35C3C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Christ for the world mission</w:t>
            </w:r>
          </w:p>
          <w:p w14:paraId="08A42E3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Others</w:t>
            </w:r>
          </w:p>
        </w:tc>
        <w:tc>
          <w:tcPr>
            <w:tcW w:w="1170" w:type="dxa"/>
            <w:shd w:val="clear" w:color="auto" w:fill="D9D9D9"/>
          </w:tcPr>
          <w:p w14:paraId="1D8EB3B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w:t>
            </w:r>
          </w:p>
          <w:p w14:paraId="0690B63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43</w:t>
            </w:r>
          </w:p>
          <w:p w14:paraId="78AA394F" w14:textId="77777777" w:rsidR="00051EC1" w:rsidRPr="00051EC1" w:rsidRDefault="00051EC1" w:rsidP="002C1720">
            <w:pPr>
              <w:jc w:val="both"/>
              <w:rPr>
                <w:rFonts w:ascii="Times New Roman" w:eastAsia="Calibri" w:hAnsi="Times New Roman" w:cs="Times New Roman"/>
                <w:sz w:val="20"/>
                <w:szCs w:val="20"/>
                <w:lang w:val="en-GB"/>
              </w:rPr>
            </w:pPr>
          </w:p>
          <w:p w14:paraId="35657EC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36</w:t>
            </w:r>
          </w:p>
          <w:p w14:paraId="11BDE53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6,000</w:t>
            </w:r>
          </w:p>
        </w:tc>
        <w:tc>
          <w:tcPr>
            <w:tcW w:w="1620" w:type="dxa"/>
            <w:shd w:val="clear" w:color="auto" w:fill="D9D9D9"/>
          </w:tcPr>
          <w:p w14:paraId="3D0F8D61" w14:textId="77777777" w:rsidR="00051EC1" w:rsidRPr="00051EC1" w:rsidRDefault="00051EC1" w:rsidP="002C1720">
            <w:pPr>
              <w:jc w:val="both"/>
              <w:rPr>
                <w:rFonts w:ascii="Times New Roman" w:eastAsia="Calibri" w:hAnsi="Times New Roman" w:cs="Times New Roman"/>
                <w:sz w:val="20"/>
                <w:szCs w:val="20"/>
                <w:lang w:val="en-GB"/>
              </w:rPr>
            </w:pPr>
          </w:p>
          <w:p w14:paraId="18AF9BA1" w14:textId="77777777" w:rsidR="00051EC1" w:rsidRPr="00051EC1" w:rsidRDefault="00051EC1" w:rsidP="002C1720">
            <w:pPr>
              <w:jc w:val="both"/>
              <w:rPr>
                <w:rFonts w:ascii="Times New Roman" w:eastAsia="Calibri" w:hAnsi="Times New Roman" w:cs="Times New Roman"/>
                <w:sz w:val="20"/>
                <w:szCs w:val="20"/>
                <w:lang w:val="en-GB"/>
              </w:rPr>
            </w:pPr>
          </w:p>
          <w:p w14:paraId="23F23DB7" w14:textId="77777777" w:rsidR="00051EC1" w:rsidRPr="00051EC1" w:rsidRDefault="00051EC1" w:rsidP="002C1720">
            <w:pPr>
              <w:jc w:val="both"/>
              <w:rPr>
                <w:rFonts w:ascii="Times New Roman" w:eastAsia="Calibri" w:hAnsi="Times New Roman" w:cs="Times New Roman"/>
                <w:sz w:val="20"/>
                <w:szCs w:val="20"/>
                <w:lang w:val="en-GB"/>
              </w:rPr>
            </w:pPr>
          </w:p>
          <w:p w14:paraId="1F36613C" w14:textId="77777777" w:rsidR="00051EC1" w:rsidRPr="00051EC1" w:rsidRDefault="00051EC1" w:rsidP="002C1720">
            <w:pPr>
              <w:jc w:val="both"/>
              <w:rPr>
                <w:rFonts w:ascii="Times New Roman" w:eastAsia="Calibri" w:hAnsi="Times New Roman" w:cs="Times New Roman"/>
                <w:sz w:val="20"/>
                <w:szCs w:val="20"/>
                <w:lang w:val="en-GB"/>
              </w:rPr>
            </w:pPr>
          </w:p>
          <w:p w14:paraId="043D06C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6,112</w:t>
            </w:r>
          </w:p>
        </w:tc>
      </w:tr>
      <w:tr w:rsidR="00051EC1" w:rsidRPr="00051EC1" w14:paraId="2AC6BE4D" w14:textId="77777777" w:rsidTr="00C046CA">
        <w:tc>
          <w:tcPr>
            <w:tcW w:w="815" w:type="dxa"/>
          </w:tcPr>
          <w:p w14:paraId="25C0921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9</w:t>
            </w:r>
          </w:p>
        </w:tc>
        <w:tc>
          <w:tcPr>
            <w:tcW w:w="1980" w:type="dxa"/>
          </w:tcPr>
          <w:p w14:paraId="67B1054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Ekorinim </w:t>
            </w:r>
          </w:p>
        </w:tc>
        <w:tc>
          <w:tcPr>
            <w:tcW w:w="1440" w:type="dxa"/>
          </w:tcPr>
          <w:p w14:paraId="0D24198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28,995</w:t>
            </w:r>
          </w:p>
        </w:tc>
        <w:tc>
          <w:tcPr>
            <w:tcW w:w="1890" w:type="dxa"/>
          </w:tcPr>
          <w:p w14:paraId="3CF36A3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Golden penny</w:t>
            </w:r>
          </w:p>
          <w:p w14:paraId="613E9F9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w:t>
            </w:r>
          </w:p>
          <w:p w14:paraId="3A7D350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7067365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145</w:t>
            </w:r>
          </w:p>
          <w:p w14:paraId="429C6C5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23</w:t>
            </w:r>
          </w:p>
          <w:p w14:paraId="05F428A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11,200</w:t>
            </w:r>
          </w:p>
        </w:tc>
        <w:tc>
          <w:tcPr>
            <w:tcW w:w="1620" w:type="dxa"/>
          </w:tcPr>
          <w:p w14:paraId="02C79417" w14:textId="77777777" w:rsidR="00051EC1" w:rsidRPr="00051EC1" w:rsidRDefault="00051EC1" w:rsidP="002C1720">
            <w:pPr>
              <w:jc w:val="both"/>
              <w:rPr>
                <w:rFonts w:ascii="Times New Roman" w:eastAsia="Calibri" w:hAnsi="Times New Roman" w:cs="Times New Roman"/>
                <w:sz w:val="20"/>
                <w:szCs w:val="20"/>
                <w:lang w:val="en-GB"/>
              </w:rPr>
            </w:pPr>
          </w:p>
          <w:p w14:paraId="3D88E38A" w14:textId="77777777" w:rsidR="00051EC1" w:rsidRPr="00051EC1" w:rsidRDefault="00051EC1" w:rsidP="002C1720">
            <w:pPr>
              <w:jc w:val="both"/>
              <w:rPr>
                <w:rFonts w:ascii="Times New Roman" w:eastAsia="Calibri" w:hAnsi="Times New Roman" w:cs="Times New Roman"/>
                <w:sz w:val="20"/>
                <w:szCs w:val="20"/>
                <w:lang w:val="en-GB"/>
              </w:rPr>
            </w:pPr>
          </w:p>
          <w:p w14:paraId="478DECE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11,368</w:t>
            </w:r>
          </w:p>
        </w:tc>
      </w:tr>
      <w:tr w:rsidR="00051EC1" w:rsidRPr="00C046CA" w14:paraId="4821EA8D" w14:textId="77777777" w:rsidTr="00C046CA">
        <w:tc>
          <w:tcPr>
            <w:tcW w:w="815" w:type="dxa"/>
            <w:shd w:val="clear" w:color="auto" w:fill="D9D9D9"/>
          </w:tcPr>
          <w:p w14:paraId="257F5C0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w:t>
            </w:r>
          </w:p>
        </w:tc>
        <w:tc>
          <w:tcPr>
            <w:tcW w:w="1980" w:type="dxa"/>
            <w:shd w:val="clear" w:color="auto" w:fill="D9D9D9"/>
          </w:tcPr>
          <w:p w14:paraId="21FA3A0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Esin Ufot</w:t>
            </w:r>
          </w:p>
        </w:tc>
        <w:tc>
          <w:tcPr>
            <w:tcW w:w="1440" w:type="dxa"/>
            <w:shd w:val="clear" w:color="auto" w:fill="D9D9D9"/>
          </w:tcPr>
          <w:p w14:paraId="1791154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38,863</w:t>
            </w:r>
          </w:p>
        </w:tc>
        <w:tc>
          <w:tcPr>
            <w:tcW w:w="1890" w:type="dxa"/>
            <w:shd w:val="clear" w:color="auto" w:fill="D9D9D9"/>
          </w:tcPr>
          <w:p w14:paraId="33EB275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UD king</w:t>
            </w:r>
          </w:p>
          <w:p w14:paraId="5F51959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UD King</w:t>
            </w:r>
          </w:p>
          <w:p w14:paraId="57E593C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Carpentry</w:t>
            </w:r>
          </w:p>
          <w:p w14:paraId="1D63412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Church at Atu</w:t>
            </w:r>
          </w:p>
          <w:p w14:paraId="03C6C19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7AFEA56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36</w:t>
            </w:r>
          </w:p>
          <w:p w14:paraId="161D87C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51</w:t>
            </w:r>
          </w:p>
          <w:p w14:paraId="05EE282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23</w:t>
            </w:r>
          </w:p>
          <w:p w14:paraId="1C87DBC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21</w:t>
            </w:r>
          </w:p>
          <w:p w14:paraId="2307393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6,000</w:t>
            </w:r>
          </w:p>
        </w:tc>
        <w:tc>
          <w:tcPr>
            <w:tcW w:w="1620" w:type="dxa"/>
            <w:shd w:val="clear" w:color="auto" w:fill="D9D9D9"/>
          </w:tcPr>
          <w:p w14:paraId="67299C62" w14:textId="77777777" w:rsidR="00051EC1" w:rsidRPr="00051EC1" w:rsidRDefault="00051EC1" w:rsidP="002C1720">
            <w:pPr>
              <w:jc w:val="both"/>
              <w:rPr>
                <w:rFonts w:ascii="Times New Roman" w:eastAsia="Calibri" w:hAnsi="Times New Roman" w:cs="Times New Roman"/>
                <w:sz w:val="20"/>
                <w:szCs w:val="20"/>
                <w:lang w:val="en-GB"/>
              </w:rPr>
            </w:pPr>
          </w:p>
          <w:p w14:paraId="42615369" w14:textId="77777777" w:rsidR="00051EC1" w:rsidRPr="00051EC1" w:rsidRDefault="00051EC1" w:rsidP="002C1720">
            <w:pPr>
              <w:jc w:val="both"/>
              <w:rPr>
                <w:rFonts w:ascii="Times New Roman" w:eastAsia="Calibri" w:hAnsi="Times New Roman" w:cs="Times New Roman"/>
                <w:sz w:val="20"/>
                <w:szCs w:val="20"/>
                <w:lang w:val="en-GB"/>
              </w:rPr>
            </w:pPr>
          </w:p>
          <w:p w14:paraId="2AC9CDFE" w14:textId="77777777" w:rsidR="00051EC1" w:rsidRPr="00051EC1" w:rsidRDefault="00051EC1" w:rsidP="002C1720">
            <w:pPr>
              <w:jc w:val="both"/>
              <w:rPr>
                <w:rFonts w:ascii="Times New Roman" w:eastAsia="Calibri" w:hAnsi="Times New Roman" w:cs="Times New Roman"/>
                <w:sz w:val="20"/>
                <w:szCs w:val="20"/>
                <w:lang w:val="en-GB"/>
              </w:rPr>
            </w:pPr>
          </w:p>
          <w:p w14:paraId="1AF063DD" w14:textId="77777777" w:rsidR="00051EC1" w:rsidRPr="00051EC1" w:rsidRDefault="00051EC1" w:rsidP="002C1720">
            <w:pPr>
              <w:jc w:val="both"/>
              <w:rPr>
                <w:rFonts w:ascii="Times New Roman" w:eastAsia="Calibri" w:hAnsi="Times New Roman" w:cs="Times New Roman"/>
                <w:sz w:val="20"/>
                <w:szCs w:val="20"/>
                <w:lang w:val="en-GB"/>
              </w:rPr>
            </w:pPr>
          </w:p>
          <w:p w14:paraId="1333DFE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6,131</w:t>
            </w:r>
          </w:p>
        </w:tc>
      </w:tr>
      <w:tr w:rsidR="00051EC1" w:rsidRPr="00051EC1" w14:paraId="20EC76B6" w14:textId="77777777" w:rsidTr="00C046CA">
        <w:tc>
          <w:tcPr>
            <w:tcW w:w="815" w:type="dxa"/>
          </w:tcPr>
          <w:p w14:paraId="582FF53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w:t>
            </w:r>
          </w:p>
        </w:tc>
        <w:tc>
          <w:tcPr>
            <w:tcW w:w="1980" w:type="dxa"/>
          </w:tcPr>
          <w:p w14:paraId="42DE4E1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Essien Town</w:t>
            </w:r>
          </w:p>
        </w:tc>
        <w:tc>
          <w:tcPr>
            <w:tcW w:w="1440" w:type="dxa"/>
          </w:tcPr>
          <w:p w14:paraId="65659FE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27,673</w:t>
            </w:r>
          </w:p>
        </w:tc>
        <w:tc>
          <w:tcPr>
            <w:tcW w:w="1890" w:type="dxa"/>
          </w:tcPr>
          <w:p w14:paraId="06B4C7A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Cemetery</w:t>
            </w:r>
          </w:p>
          <w:p w14:paraId="605B030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w:t>
            </w:r>
          </w:p>
          <w:p w14:paraId="1E8F8BA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Golden penny</w:t>
            </w:r>
          </w:p>
          <w:p w14:paraId="03ECEE9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3389F2C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112</w:t>
            </w:r>
          </w:p>
          <w:p w14:paraId="4E342AB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w:t>
            </w:r>
          </w:p>
          <w:p w14:paraId="4257879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145</w:t>
            </w:r>
          </w:p>
          <w:p w14:paraId="32F8C4C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4,000</w:t>
            </w:r>
          </w:p>
        </w:tc>
        <w:tc>
          <w:tcPr>
            <w:tcW w:w="1620" w:type="dxa"/>
          </w:tcPr>
          <w:p w14:paraId="0CA0FC5A" w14:textId="77777777" w:rsidR="00051EC1" w:rsidRPr="00051EC1" w:rsidRDefault="00051EC1" w:rsidP="002C1720">
            <w:pPr>
              <w:jc w:val="both"/>
              <w:rPr>
                <w:rFonts w:ascii="Times New Roman" w:eastAsia="Calibri" w:hAnsi="Times New Roman" w:cs="Times New Roman"/>
                <w:sz w:val="20"/>
                <w:szCs w:val="20"/>
                <w:lang w:val="en-GB"/>
              </w:rPr>
            </w:pPr>
          </w:p>
          <w:p w14:paraId="16FDD32D" w14:textId="77777777" w:rsidR="00051EC1" w:rsidRPr="00051EC1" w:rsidRDefault="00051EC1" w:rsidP="002C1720">
            <w:pPr>
              <w:jc w:val="both"/>
              <w:rPr>
                <w:rFonts w:ascii="Times New Roman" w:eastAsia="Calibri" w:hAnsi="Times New Roman" w:cs="Times New Roman"/>
                <w:sz w:val="20"/>
                <w:szCs w:val="20"/>
                <w:lang w:val="en-GB"/>
              </w:rPr>
            </w:pPr>
          </w:p>
          <w:p w14:paraId="229B2DF5" w14:textId="77777777" w:rsidR="00051EC1" w:rsidRPr="00051EC1" w:rsidRDefault="00051EC1" w:rsidP="002C1720">
            <w:pPr>
              <w:jc w:val="both"/>
              <w:rPr>
                <w:rFonts w:ascii="Times New Roman" w:eastAsia="Calibri" w:hAnsi="Times New Roman" w:cs="Times New Roman"/>
                <w:sz w:val="20"/>
                <w:szCs w:val="20"/>
                <w:lang w:val="en-GB"/>
              </w:rPr>
            </w:pPr>
          </w:p>
          <w:p w14:paraId="363EC3D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4,290</w:t>
            </w:r>
          </w:p>
        </w:tc>
      </w:tr>
      <w:tr w:rsidR="00051EC1" w:rsidRPr="00C046CA" w14:paraId="3C9D7689" w14:textId="77777777" w:rsidTr="00C046CA">
        <w:tc>
          <w:tcPr>
            <w:tcW w:w="815" w:type="dxa"/>
            <w:shd w:val="clear" w:color="auto" w:fill="D9D9D9"/>
          </w:tcPr>
          <w:p w14:paraId="2A92E8E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12</w:t>
            </w:r>
          </w:p>
        </w:tc>
        <w:tc>
          <w:tcPr>
            <w:tcW w:w="1980" w:type="dxa"/>
            <w:shd w:val="clear" w:color="auto" w:fill="D9D9D9"/>
          </w:tcPr>
          <w:p w14:paraId="60FDB60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Henshaw Town</w:t>
            </w:r>
          </w:p>
        </w:tc>
        <w:tc>
          <w:tcPr>
            <w:tcW w:w="1440" w:type="dxa"/>
            <w:shd w:val="clear" w:color="auto" w:fill="D9D9D9"/>
          </w:tcPr>
          <w:p w14:paraId="003C97F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41,051</w:t>
            </w:r>
          </w:p>
        </w:tc>
        <w:tc>
          <w:tcPr>
            <w:tcW w:w="1890" w:type="dxa"/>
            <w:shd w:val="clear" w:color="auto" w:fill="D9D9D9"/>
          </w:tcPr>
          <w:p w14:paraId="2F9E906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Cathedral</w:t>
            </w:r>
          </w:p>
          <w:p w14:paraId="7116D00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Church </w:t>
            </w:r>
          </w:p>
          <w:p w14:paraId="13379A8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572EE10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115</w:t>
            </w:r>
          </w:p>
          <w:p w14:paraId="3C7B18F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53</w:t>
            </w:r>
          </w:p>
          <w:p w14:paraId="597A872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5,200</w:t>
            </w:r>
          </w:p>
        </w:tc>
        <w:tc>
          <w:tcPr>
            <w:tcW w:w="1620" w:type="dxa"/>
            <w:shd w:val="clear" w:color="auto" w:fill="D9D9D9"/>
          </w:tcPr>
          <w:p w14:paraId="4C9F32C4" w14:textId="77777777" w:rsidR="00051EC1" w:rsidRPr="00051EC1" w:rsidRDefault="00051EC1" w:rsidP="002C1720">
            <w:pPr>
              <w:jc w:val="both"/>
              <w:rPr>
                <w:rFonts w:ascii="Times New Roman" w:eastAsia="Calibri" w:hAnsi="Times New Roman" w:cs="Times New Roman"/>
                <w:sz w:val="20"/>
                <w:szCs w:val="20"/>
                <w:lang w:val="en-GB"/>
              </w:rPr>
            </w:pPr>
          </w:p>
          <w:p w14:paraId="126B5602" w14:textId="77777777" w:rsidR="00051EC1" w:rsidRPr="00051EC1" w:rsidRDefault="00051EC1" w:rsidP="002C1720">
            <w:pPr>
              <w:jc w:val="both"/>
              <w:rPr>
                <w:rFonts w:ascii="Times New Roman" w:eastAsia="Calibri" w:hAnsi="Times New Roman" w:cs="Times New Roman"/>
                <w:sz w:val="20"/>
                <w:szCs w:val="20"/>
                <w:lang w:val="en-GB"/>
              </w:rPr>
            </w:pPr>
          </w:p>
          <w:p w14:paraId="3ACF452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5,368</w:t>
            </w:r>
          </w:p>
        </w:tc>
      </w:tr>
      <w:tr w:rsidR="00051EC1" w:rsidRPr="00051EC1" w14:paraId="04668FCE" w14:textId="77777777" w:rsidTr="00C046CA">
        <w:tc>
          <w:tcPr>
            <w:tcW w:w="815" w:type="dxa"/>
          </w:tcPr>
          <w:p w14:paraId="7FD93F8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13</w:t>
            </w:r>
          </w:p>
        </w:tc>
        <w:tc>
          <w:tcPr>
            <w:tcW w:w="1980" w:type="dxa"/>
          </w:tcPr>
          <w:p w14:paraId="4C67357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Ikot Ansa</w:t>
            </w:r>
          </w:p>
        </w:tc>
        <w:tc>
          <w:tcPr>
            <w:tcW w:w="1440" w:type="dxa"/>
          </w:tcPr>
          <w:p w14:paraId="2E7B408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39,088</w:t>
            </w:r>
          </w:p>
        </w:tc>
        <w:tc>
          <w:tcPr>
            <w:tcW w:w="1890" w:type="dxa"/>
          </w:tcPr>
          <w:p w14:paraId="4967E95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St. Bernard’s</w:t>
            </w:r>
          </w:p>
          <w:p w14:paraId="326E939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 Residences/Ind</w:t>
            </w:r>
          </w:p>
          <w:p w14:paraId="572075B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Gas station</w:t>
            </w:r>
          </w:p>
          <w:p w14:paraId="135115B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28BA1F3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85</w:t>
            </w:r>
          </w:p>
          <w:p w14:paraId="074B3FE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7,567</w:t>
            </w:r>
          </w:p>
          <w:p w14:paraId="6CDEE44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50</w:t>
            </w:r>
          </w:p>
          <w:p w14:paraId="3DE9029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6,000</w:t>
            </w:r>
          </w:p>
        </w:tc>
        <w:tc>
          <w:tcPr>
            <w:tcW w:w="1620" w:type="dxa"/>
          </w:tcPr>
          <w:p w14:paraId="2F161422" w14:textId="77777777" w:rsidR="00051EC1" w:rsidRPr="00051EC1" w:rsidRDefault="00051EC1" w:rsidP="002C1720">
            <w:pPr>
              <w:jc w:val="both"/>
              <w:rPr>
                <w:rFonts w:ascii="Times New Roman" w:eastAsia="Calibri" w:hAnsi="Times New Roman" w:cs="Times New Roman"/>
                <w:sz w:val="20"/>
                <w:szCs w:val="20"/>
                <w:lang w:val="en-GB"/>
              </w:rPr>
            </w:pPr>
          </w:p>
          <w:p w14:paraId="7D0F20AF" w14:textId="77777777" w:rsidR="00051EC1" w:rsidRPr="00051EC1" w:rsidRDefault="00051EC1" w:rsidP="002C1720">
            <w:pPr>
              <w:jc w:val="both"/>
              <w:rPr>
                <w:rFonts w:ascii="Times New Roman" w:eastAsia="Calibri" w:hAnsi="Times New Roman" w:cs="Times New Roman"/>
                <w:sz w:val="20"/>
                <w:szCs w:val="20"/>
                <w:lang w:val="en-GB"/>
              </w:rPr>
            </w:pPr>
          </w:p>
          <w:p w14:paraId="3178A67D" w14:textId="77777777" w:rsidR="001C5A12" w:rsidRDefault="001C5A12" w:rsidP="002C1720">
            <w:pPr>
              <w:jc w:val="both"/>
              <w:rPr>
                <w:rFonts w:ascii="Times New Roman" w:eastAsia="Calibri" w:hAnsi="Times New Roman" w:cs="Times New Roman"/>
                <w:sz w:val="20"/>
                <w:szCs w:val="20"/>
                <w:lang w:val="en-GB"/>
              </w:rPr>
            </w:pPr>
          </w:p>
          <w:p w14:paraId="4865CC97" w14:textId="7C97DA41"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13,702</w:t>
            </w:r>
          </w:p>
        </w:tc>
      </w:tr>
      <w:tr w:rsidR="00051EC1" w:rsidRPr="00C046CA" w14:paraId="259597DD" w14:textId="77777777" w:rsidTr="00C046CA">
        <w:tc>
          <w:tcPr>
            <w:tcW w:w="815" w:type="dxa"/>
            <w:shd w:val="clear" w:color="auto" w:fill="D9D9D9"/>
          </w:tcPr>
          <w:p w14:paraId="6DA7883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14</w:t>
            </w:r>
          </w:p>
        </w:tc>
        <w:tc>
          <w:tcPr>
            <w:tcW w:w="1980" w:type="dxa"/>
            <w:shd w:val="clear" w:color="auto" w:fill="D9D9D9"/>
          </w:tcPr>
          <w:p w14:paraId="4F223AB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Ikot Effanga</w:t>
            </w:r>
          </w:p>
        </w:tc>
        <w:tc>
          <w:tcPr>
            <w:tcW w:w="1440" w:type="dxa"/>
            <w:shd w:val="clear" w:color="auto" w:fill="D9D9D9"/>
          </w:tcPr>
          <w:p w14:paraId="6F326A7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29,999</w:t>
            </w:r>
          </w:p>
        </w:tc>
        <w:tc>
          <w:tcPr>
            <w:tcW w:w="1890" w:type="dxa"/>
            <w:shd w:val="clear" w:color="auto" w:fill="D9D9D9"/>
          </w:tcPr>
          <w:p w14:paraId="7C2C6DF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St. Luke’s</w:t>
            </w:r>
          </w:p>
          <w:p w14:paraId="4F828E4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Lutheran</w:t>
            </w:r>
          </w:p>
          <w:p w14:paraId="5E99A1B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46DD0A5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w:t>
            </w:r>
          </w:p>
          <w:p w14:paraId="28E1D1C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23</w:t>
            </w:r>
          </w:p>
          <w:p w14:paraId="7A392E3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10,000</w:t>
            </w:r>
          </w:p>
        </w:tc>
        <w:tc>
          <w:tcPr>
            <w:tcW w:w="1620" w:type="dxa"/>
            <w:shd w:val="clear" w:color="auto" w:fill="D9D9D9"/>
          </w:tcPr>
          <w:p w14:paraId="7EAE9791" w14:textId="77777777" w:rsidR="00051EC1" w:rsidRPr="00051EC1" w:rsidRDefault="00051EC1" w:rsidP="002C1720">
            <w:pPr>
              <w:jc w:val="both"/>
              <w:rPr>
                <w:rFonts w:ascii="Times New Roman" w:eastAsia="Calibri" w:hAnsi="Times New Roman" w:cs="Times New Roman"/>
                <w:sz w:val="20"/>
                <w:szCs w:val="20"/>
                <w:lang w:val="en-GB"/>
              </w:rPr>
            </w:pPr>
          </w:p>
          <w:p w14:paraId="30AED343" w14:textId="77777777" w:rsidR="001C5A12" w:rsidRDefault="001C5A12" w:rsidP="002C1720">
            <w:pPr>
              <w:jc w:val="both"/>
              <w:rPr>
                <w:rFonts w:ascii="Times New Roman" w:eastAsia="Calibri" w:hAnsi="Times New Roman" w:cs="Times New Roman"/>
                <w:sz w:val="20"/>
                <w:szCs w:val="20"/>
                <w:lang w:val="en-GB"/>
              </w:rPr>
            </w:pPr>
          </w:p>
          <w:p w14:paraId="0AF9A0AC" w14:textId="679A9764"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10,050</w:t>
            </w:r>
          </w:p>
        </w:tc>
      </w:tr>
      <w:tr w:rsidR="00051EC1" w:rsidRPr="00051EC1" w14:paraId="35EE816E" w14:textId="77777777" w:rsidTr="00C046CA">
        <w:tc>
          <w:tcPr>
            <w:tcW w:w="815" w:type="dxa"/>
          </w:tcPr>
          <w:p w14:paraId="76EFC7A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15</w:t>
            </w:r>
          </w:p>
        </w:tc>
        <w:tc>
          <w:tcPr>
            <w:tcW w:w="1980" w:type="dxa"/>
          </w:tcPr>
          <w:p w14:paraId="67CB781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Ikot Ishie</w:t>
            </w:r>
          </w:p>
        </w:tc>
        <w:tc>
          <w:tcPr>
            <w:tcW w:w="1440" w:type="dxa"/>
          </w:tcPr>
          <w:p w14:paraId="03CAA7C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38,785</w:t>
            </w:r>
          </w:p>
        </w:tc>
        <w:tc>
          <w:tcPr>
            <w:tcW w:w="1890" w:type="dxa"/>
          </w:tcPr>
          <w:p w14:paraId="10944C1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Mount zion</w:t>
            </w:r>
          </w:p>
          <w:p w14:paraId="24373E4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Ikot Effah Ch</w:t>
            </w:r>
          </w:p>
          <w:p w14:paraId="765C3D2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4BA2A61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62</w:t>
            </w:r>
          </w:p>
          <w:p w14:paraId="39CB48C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31</w:t>
            </w:r>
          </w:p>
          <w:p w14:paraId="46B3D48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4,000</w:t>
            </w:r>
          </w:p>
        </w:tc>
        <w:tc>
          <w:tcPr>
            <w:tcW w:w="1620" w:type="dxa"/>
          </w:tcPr>
          <w:p w14:paraId="7BEC4D60" w14:textId="77777777" w:rsidR="00051EC1" w:rsidRPr="00051EC1" w:rsidRDefault="00051EC1" w:rsidP="002C1720">
            <w:pPr>
              <w:jc w:val="both"/>
              <w:rPr>
                <w:rFonts w:ascii="Times New Roman" w:eastAsia="Calibri" w:hAnsi="Times New Roman" w:cs="Times New Roman"/>
                <w:sz w:val="20"/>
                <w:szCs w:val="20"/>
                <w:lang w:val="en-GB"/>
              </w:rPr>
            </w:pPr>
          </w:p>
          <w:p w14:paraId="0D059AE4" w14:textId="77777777" w:rsidR="001C5A12" w:rsidRDefault="001C5A12" w:rsidP="002C1720">
            <w:pPr>
              <w:jc w:val="both"/>
              <w:rPr>
                <w:rFonts w:ascii="Times New Roman" w:eastAsia="Calibri" w:hAnsi="Times New Roman" w:cs="Times New Roman"/>
                <w:sz w:val="20"/>
                <w:szCs w:val="20"/>
                <w:lang w:val="en-GB"/>
              </w:rPr>
            </w:pPr>
          </w:p>
          <w:p w14:paraId="33614706" w14:textId="3DEB7573"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4,093</w:t>
            </w:r>
          </w:p>
        </w:tc>
      </w:tr>
      <w:tr w:rsidR="00051EC1" w:rsidRPr="00C046CA" w14:paraId="52B96C68" w14:textId="77777777" w:rsidTr="00C046CA">
        <w:tc>
          <w:tcPr>
            <w:tcW w:w="815" w:type="dxa"/>
            <w:shd w:val="clear" w:color="auto" w:fill="D9D9D9"/>
          </w:tcPr>
          <w:p w14:paraId="19E8210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16</w:t>
            </w:r>
          </w:p>
        </w:tc>
        <w:tc>
          <w:tcPr>
            <w:tcW w:w="1980" w:type="dxa"/>
            <w:shd w:val="clear" w:color="auto" w:fill="D9D9D9"/>
          </w:tcPr>
          <w:p w14:paraId="794872C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Ikot Omin</w:t>
            </w:r>
          </w:p>
        </w:tc>
        <w:tc>
          <w:tcPr>
            <w:tcW w:w="1440" w:type="dxa"/>
            <w:shd w:val="clear" w:color="auto" w:fill="D9D9D9"/>
          </w:tcPr>
          <w:p w14:paraId="6B68C0B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27,781</w:t>
            </w:r>
          </w:p>
        </w:tc>
        <w:tc>
          <w:tcPr>
            <w:tcW w:w="1890" w:type="dxa"/>
            <w:shd w:val="clear" w:color="auto" w:fill="D9D9D9"/>
          </w:tcPr>
          <w:p w14:paraId="2CB7218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Timber market</w:t>
            </w:r>
          </w:p>
          <w:p w14:paraId="088EE0B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w:t>
            </w:r>
          </w:p>
          <w:p w14:paraId="6C4E77D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Abattoir </w:t>
            </w:r>
          </w:p>
          <w:p w14:paraId="1958138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62F2D4B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207</w:t>
            </w:r>
          </w:p>
          <w:p w14:paraId="18D7A88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306</w:t>
            </w:r>
          </w:p>
          <w:p w14:paraId="24683AE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107</w:t>
            </w:r>
          </w:p>
          <w:p w14:paraId="4DA861D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3,000</w:t>
            </w:r>
          </w:p>
        </w:tc>
        <w:tc>
          <w:tcPr>
            <w:tcW w:w="1620" w:type="dxa"/>
            <w:shd w:val="clear" w:color="auto" w:fill="D9D9D9"/>
          </w:tcPr>
          <w:p w14:paraId="4FBD8E14" w14:textId="77777777" w:rsidR="00051EC1" w:rsidRPr="00051EC1" w:rsidRDefault="00051EC1" w:rsidP="002C1720">
            <w:pPr>
              <w:jc w:val="both"/>
              <w:rPr>
                <w:rFonts w:ascii="Times New Roman" w:eastAsia="Calibri" w:hAnsi="Times New Roman" w:cs="Times New Roman"/>
                <w:sz w:val="20"/>
                <w:szCs w:val="20"/>
                <w:lang w:val="en-GB"/>
              </w:rPr>
            </w:pPr>
          </w:p>
          <w:p w14:paraId="36007879" w14:textId="77777777" w:rsidR="00051EC1" w:rsidRPr="00051EC1" w:rsidRDefault="00051EC1" w:rsidP="002C1720">
            <w:pPr>
              <w:jc w:val="both"/>
              <w:rPr>
                <w:rFonts w:ascii="Times New Roman" w:eastAsia="Calibri" w:hAnsi="Times New Roman" w:cs="Times New Roman"/>
                <w:sz w:val="20"/>
                <w:szCs w:val="20"/>
                <w:lang w:val="en-GB"/>
              </w:rPr>
            </w:pPr>
          </w:p>
          <w:p w14:paraId="32FA08B3" w14:textId="77777777" w:rsidR="001C5A12" w:rsidRDefault="001C5A12" w:rsidP="002C1720">
            <w:pPr>
              <w:jc w:val="both"/>
              <w:rPr>
                <w:rFonts w:ascii="Times New Roman" w:eastAsia="Calibri" w:hAnsi="Times New Roman" w:cs="Times New Roman"/>
                <w:sz w:val="20"/>
                <w:szCs w:val="20"/>
                <w:lang w:val="en-GB"/>
              </w:rPr>
            </w:pPr>
          </w:p>
          <w:p w14:paraId="4B1A8050" w14:textId="2B13D5B3"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3,620</w:t>
            </w:r>
          </w:p>
        </w:tc>
      </w:tr>
      <w:tr w:rsidR="00051EC1" w:rsidRPr="00051EC1" w14:paraId="450994CD" w14:textId="77777777" w:rsidTr="00C046CA">
        <w:tc>
          <w:tcPr>
            <w:tcW w:w="815" w:type="dxa"/>
          </w:tcPr>
          <w:p w14:paraId="2E80A87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17</w:t>
            </w:r>
          </w:p>
        </w:tc>
        <w:tc>
          <w:tcPr>
            <w:tcW w:w="1980" w:type="dxa"/>
          </w:tcPr>
          <w:p w14:paraId="18CC09D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Mbukpa</w:t>
            </w:r>
          </w:p>
        </w:tc>
        <w:tc>
          <w:tcPr>
            <w:tcW w:w="1440" w:type="dxa"/>
          </w:tcPr>
          <w:p w14:paraId="66A3504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42,541</w:t>
            </w:r>
          </w:p>
        </w:tc>
        <w:tc>
          <w:tcPr>
            <w:tcW w:w="1890" w:type="dxa"/>
          </w:tcPr>
          <w:p w14:paraId="224CA53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Oando</w:t>
            </w:r>
          </w:p>
          <w:p w14:paraId="716A0F0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Mills</w:t>
            </w:r>
          </w:p>
          <w:p w14:paraId="0CCEA12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Apostolic faith</w:t>
            </w:r>
          </w:p>
          <w:p w14:paraId="6E08744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5561F3A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47</w:t>
            </w:r>
          </w:p>
          <w:p w14:paraId="29CE281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32</w:t>
            </w:r>
          </w:p>
          <w:p w14:paraId="64E3BD1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63</w:t>
            </w:r>
          </w:p>
          <w:p w14:paraId="0FD9D59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6,000</w:t>
            </w:r>
          </w:p>
        </w:tc>
        <w:tc>
          <w:tcPr>
            <w:tcW w:w="1620" w:type="dxa"/>
          </w:tcPr>
          <w:p w14:paraId="32E3476A" w14:textId="77777777" w:rsidR="00051EC1" w:rsidRPr="00051EC1" w:rsidRDefault="00051EC1" w:rsidP="002C1720">
            <w:pPr>
              <w:jc w:val="both"/>
              <w:rPr>
                <w:rFonts w:ascii="Times New Roman" w:eastAsia="Calibri" w:hAnsi="Times New Roman" w:cs="Times New Roman"/>
                <w:sz w:val="20"/>
                <w:szCs w:val="20"/>
                <w:lang w:val="en-GB"/>
              </w:rPr>
            </w:pPr>
          </w:p>
          <w:p w14:paraId="54376D45" w14:textId="77777777" w:rsidR="00051EC1" w:rsidRPr="00051EC1" w:rsidRDefault="00051EC1" w:rsidP="002C1720">
            <w:pPr>
              <w:jc w:val="both"/>
              <w:rPr>
                <w:rFonts w:ascii="Times New Roman" w:eastAsia="Calibri" w:hAnsi="Times New Roman" w:cs="Times New Roman"/>
                <w:sz w:val="20"/>
                <w:szCs w:val="20"/>
                <w:lang w:val="en-GB"/>
              </w:rPr>
            </w:pPr>
          </w:p>
          <w:p w14:paraId="6E0DCBB8" w14:textId="77777777" w:rsidR="001C5A12" w:rsidRDefault="001C5A12" w:rsidP="002C1720">
            <w:pPr>
              <w:jc w:val="both"/>
              <w:rPr>
                <w:rFonts w:ascii="Times New Roman" w:eastAsia="Calibri" w:hAnsi="Times New Roman" w:cs="Times New Roman"/>
                <w:sz w:val="20"/>
                <w:szCs w:val="20"/>
                <w:lang w:val="en-GB"/>
              </w:rPr>
            </w:pPr>
          </w:p>
          <w:p w14:paraId="6D67E002" w14:textId="3D2C783F"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6,142</w:t>
            </w:r>
          </w:p>
        </w:tc>
      </w:tr>
      <w:tr w:rsidR="00051EC1" w:rsidRPr="00C046CA" w14:paraId="3477FCD1" w14:textId="77777777" w:rsidTr="00C046CA">
        <w:tc>
          <w:tcPr>
            <w:tcW w:w="815" w:type="dxa"/>
            <w:shd w:val="clear" w:color="auto" w:fill="D9D9D9"/>
          </w:tcPr>
          <w:p w14:paraId="1B9E61D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18</w:t>
            </w:r>
          </w:p>
        </w:tc>
        <w:tc>
          <w:tcPr>
            <w:tcW w:w="1980" w:type="dxa"/>
            <w:shd w:val="clear" w:color="auto" w:fill="D9D9D9"/>
          </w:tcPr>
          <w:p w14:paraId="261CB8D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Nyahasang</w:t>
            </w:r>
          </w:p>
        </w:tc>
        <w:tc>
          <w:tcPr>
            <w:tcW w:w="1440" w:type="dxa"/>
            <w:shd w:val="clear" w:color="auto" w:fill="D9D9D9"/>
          </w:tcPr>
          <w:p w14:paraId="36EB14D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26,243</w:t>
            </w:r>
          </w:p>
        </w:tc>
        <w:tc>
          <w:tcPr>
            <w:tcW w:w="1890" w:type="dxa"/>
            <w:shd w:val="clear" w:color="auto" w:fill="D9D9D9"/>
          </w:tcPr>
          <w:p w14:paraId="738BAA6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Airport</w:t>
            </w:r>
          </w:p>
          <w:p w14:paraId="501484D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Poultry farms</w:t>
            </w:r>
          </w:p>
          <w:p w14:paraId="3E38DCB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Gasoline stations</w:t>
            </w:r>
          </w:p>
        </w:tc>
        <w:tc>
          <w:tcPr>
            <w:tcW w:w="1170" w:type="dxa"/>
            <w:shd w:val="clear" w:color="auto" w:fill="D9D9D9"/>
          </w:tcPr>
          <w:p w14:paraId="2678EDB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3,350</w:t>
            </w:r>
          </w:p>
          <w:p w14:paraId="0844620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2.50</w:t>
            </w:r>
          </w:p>
          <w:p w14:paraId="427119CE" w14:textId="77777777" w:rsidR="00051EC1" w:rsidRPr="00051EC1" w:rsidRDefault="00051EC1" w:rsidP="002C1720">
            <w:pPr>
              <w:jc w:val="both"/>
              <w:rPr>
                <w:rFonts w:ascii="Times New Roman" w:eastAsia="Calibri" w:hAnsi="Times New Roman" w:cs="Times New Roman"/>
                <w:sz w:val="20"/>
                <w:szCs w:val="20"/>
                <w:lang w:val="en-GB"/>
              </w:rPr>
            </w:pPr>
          </w:p>
          <w:p w14:paraId="07F7D25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7,000</w:t>
            </w:r>
          </w:p>
        </w:tc>
        <w:tc>
          <w:tcPr>
            <w:tcW w:w="1620" w:type="dxa"/>
            <w:shd w:val="clear" w:color="auto" w:fill="D9D9D9"/>
          </w:tcPr>
          <w:p w14:paraId="494C6F80" w14:textId="77777777" w:rsidR="00051EC1" w:rsidRPr="00051EC1" w:rsidRDefault="00051EC1" w:rsidP="002C1720">
            <w:pPr>
              <w:jc w:val="both"/>
              <w:rPr>
                <w:rFonts w:ascii="Times New Roman" w:eastAsia="Calibri" w:hAnsi="Times New Roman" w:cs="Times New Roman"/>
                <w:sz w:val="20"/>
                <w:szCs w:val="20"/>
                <w:lang w:val="en-GB"/>
              </w:rPr>
            </w:pPr>
          </w:p>
          <w:p w14:paraId="145E67EE" w14:textId="77777777" w:rsidR="00051EC1" w:rsidRPr="00051EC1" w:rsidRDefault="00051EC1" w:rsidP="002C1720">
            <w:pPr>
              <w:jc w:val="both"/>
              <w:rPr>
                <w:rFonts w:ascii="Times New Roman" w:eastAsia="Calibri" w:hAnsi="Times New Roman" w:cs="Times New Roman"/>
                <w:sz w:val="20"/>
                <w:szCs w:val="20"/>
                <w:lang w:val="en-GB"/>
              </w:rPr>
            </w:pPr>
          </w:p>
          <w:p w14:paraId="0B73E68F" w14:textId="77777777" w:rsidR="001C5A12" w:rsidRDefault="001C5A12" w:rsidP="002C1720">
            <w:pPr>
              <w:jc w:val="both"/>
              <w:rPr>
                <w:rFonts w:ascii="Times New Roman" w:eastAsia="Calibri" w:hAnsi="Times New Roman" w:cs="Times New Roman"/>
                <w:sz w:val="20"/>
                <w:szCs w:val="20"/>
                <w:lang w:val="en-GB"/>
              </w:rPr>
            </w:pPr>
          </w:p>
          <w:p w14:paraId="04C5D48E" w14:textId="224D52F3"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10,402.50</w:t>
            </w:r>
          </w:p>
        </w:tc>
      </w:tr>
      <w:tr w:rsidR="00051EC1" w:rsidRPr="00C046CA" w14:paraId="36CB0276" w14:textId="77777777" w:rsidTr="00C046CA">
        <w:tc>
          <w:tcPr>
            <w:tcW w:w="815" w:type="dxa"/>
            <w:shd w:val="clear" w:color="auto" w:fill="BFBFBF"/>
          </w:tcPr>
          <w:p w14:paraId="7A2A9E5C" w14:textId="77777777" w:rsidR="00051EC1" w:rsidRPr="00051EC1" w:rsidRDefault="00051EC1" w:rsidP="002C1720">
            <w:pPr>
              <w:jc w:val="both"/>
              <w:rPr>
                <w:rFonts w:ascii="Times New Roman" w:eastAsia="Calibri" w:hAnsi="Times New Roman" w:cs="Times New Roman"/>
                <w:sz w:val="20"/>
                <w:szCs w:val="20"/>
                <w:lang w:val="en-GB"/>
              </w:rPr>
            </w:pPr>
          </w:p>
        </w:tc>
        <w:tc>
          <w:tcPr>
            <w:tcW w:w="1980" w:type="dxa"/>
            <w:shd w:val="clear" w:color="auto" w:fill="BFBFBF"/>
          </w:tcPr>
          <w:p w14:paraId="7BB6C7D2" w14:textId="77777777" w:rsidR="001C5A12" w:rsidRDefault="001C5A12" w:rsidP="002C1720">
            <w:pPr>
              <w:jc w:val="both"/>
              <w:rPr>
                <w:rFonts w:ascii="Times New Roman" w:eastAsia="Calibri" w:hAnsi="Times New Roman" w:cs="Times New Roman"/>
                <w:b/>
                <w:sz w:val="20"/>
                <w:szCs w:val="20"/>
                <w:lang w:val="en-GB"/>
              </w:rPr>
            </w:pPr>
          </w:p>
          <w:p w14:paraId="500A37B7" w14:textId="03EB7A12"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 xml:space="preserve">Total </w:t>
            </w:r>
          </w:p>
        </w:tc>
        <w:tc>
          <w:tcPr>
            <w:tcW w:w="1440" w:type="dxa"/>
            <w:shd w:val="clear" w:color="auto" w:fill="BFBFBF"/>
          </w:tcPr>
          <w:p w14:paraId="22C8943C" w14:textId="77777777" w:rsidR="001C5A12" w:rsidRDefault="001C5A12" w:rsidP="002C1720">
            <w:pPr>
              <w:jc w:val="both"/>
              <w:rPr>
                <w:rFonts w:ascii="Times New Roman" w:eastAsia="Calibri" w:hAnsi="Times New Roman" w:cs="Times New Roman"/>
                <w:b/>
                <w:sz w:val="20"/>
                <w:szCs w:val="20"/>
              </w:rPr>
            </w:pPr>
          </w:p>
          <w:p w14:paraId="330850E8" w14:textId="77CD8732"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rPr>
              <w:t>630,628</w:t>
            </w:r>
          </w:p>
        </w:tc>
        <w:tc>
          <w:tcPr>
            <w:tcW w:w="1890" w:type="dxa"/>
            <w:shd w:val="clear" w:color="auto" w:fill="BFBFBF"/>
          </w:tcPr>
          <w:p w14:paraId="61149D8F" w14:textId="77777777" w:rsidR="00051EC1" w:rsidRPr="00051EC1" w:rsidRDefault="00051EC1" w:rsidP="002C1720">
            <w:pPr>
              <w:jc w:val="both"/>
              <w:rPr>
                <w:rFonts w:ascii="Times New Roman" w:eastAsia="Calibri" w:hAnsi="Times New Roman" w:cs="Times New Roman"/>
                <w:b/>
                <w:sz w:val="20"/>
                <w:szCs w:val="20"/>
                <w:lang w:val="en-GB"/>
              </w:rPr>
            </w:pPr>
          </w:p>
        </w:tc>
        <w:tc>
          <w:tcPr>
            <w:tcW w:w="1170" w:type="dxa"/>
            <w:shd w:val="clear" w:color="auto" w:fill="BFBFBF"/>
          </w:tcPr>
          <w:p w14:paraId="6EED6983" w14:textId="77777777" w:rsidR="00051EC1" w:rsidRPr="00051EC1" w:rsidRDefault="00051EC1" w:rsidP="002C1720">
            <w:pPr>
              <w:jc w:val="both"/>
              <w:rPr>
                <w:rFonts w:ascii="Times New Roman" w:eastAsia="Calibri" w:hAnsi="Times New Roman" w:cs="Times New Roman"/>
                <w:b/>
                <w:sz w:val="20"/>
                <w:szCs w:val="20"/>
                <w:lang w:val="en-GB"/>
              </w:rPr>
            </w:pPr>
          </w:p>
        </w:tc>
        <w:tc>
          <w:tcPr>
            <w:tcW w:w="1620" w:type="dxa"/>
            <w:shd w:val="clear" w:color="auto" w:fill="BFBFBF"/>
          </w:tcPr>
          <w:p w14:paraId="2F876229" w14:textId="77777777" w:rsidR="001C5A12" w:rsidRDefault="001C5A12" w:rsidP="002C1720">
            <w:pPr>
              <w:jc w:val="both"/>
              <w:rPr>
                <w:rFonts w:ascii="Times New Roman" w:eastAsia="Calibri" w:hAnsi="Times New Roman" w:cs="Times New Roman"/>
                <w:b/>
                <w:color w:val="000000"/>
                <w:sz w:val="20"/>
                <w:szCs w:val="20"/>
              </w:rPr>
            </w:pPr>
          </w:p>
          <w:p w14:paraId="24F5BC61" w14:textId="7860AADA" w:rsidR="00051EC1" w:rsidRPr="00051EC1" w:rsidRDefault="00051EC1" w:rsidP="002C1720">
            <w:pPr>
              <w:jc w:val="both"/>
              <w:rPr>
                <w:rFonts w:ascii="Times New Roman" w:eastAsia="Calibri" w:hAnsi="Times New Roman" w:cs="Times New Roman"/>
                <w:b/>
                <w:color w:val="000000"/>
                <w:sz w:val="20"/>
                <w:szCs w:val="20"/>
              </w:rPr>
            </w:pPr>
            <w:r w:rsidRPr="00051EC1">
              <w:rPr>
                <w:rFonts w:ascii="Times New Roman" w:eastAsia="Calibri" w:hAnsi="Times New Roman" w:cs="Times New Roman"/>
                <w:b/>
                <w:color w:val="000000"/>
                <w:sz w:val="20"/>
                <w:szCs w:val="20"/>
              </w:rPr>
              <w:t>136,963.50</w:t>
            </w:r>
          </w:p>
          <w:p w14:paraId="02489D66" w14:textId="77777777" w:rsidR="00051EC1" w:rsidRPr="00051EC1" w:rsidRDefault="00051EC1" w:rsidP="002C1720">
            <w:pPr>
              <w:jc w:val="both"/>
              <w:rPr>
                <w:rFonts w:ascii="Times New Roman" w:eastAsia="Calibri" w:hAnsi="Times New Roman" w:cs="Times New Roman"/>
                <w:b/>
                <w:sz w:val="20"/>
                <w:szCs w:val="20"/>
                <w:lang w:val="en-GB"/>
              </w:rPr>
            </w:pPr>
          </w:p>
        </w:tc>
      </w:tr>
    </w:tbl>
    <w:p w14:paraId="252A2962" w14:textId="77777777" w:rsidR="00051EC1" w:rsidRPr="00051EC1" w:rsidRDefault="00051EC1" w:rsidP="002C1720">
      <w:pPr>
        <w:spacing w:after="200" w:line="240" w:lineRule="auto"/>
        <w:jc w:val="both"/>
        <w:rPr>
          <w:rFonts w:ascii="Times New Roman" w:eastAsia="Calibri" w:hAnsi="Times New Roman" w:cs="Times New Roman"/>
          <w:b/>
          <w:i/>
          <w:kern w:val="0"/>
          <w:lang w:val="en-GB"/>
          <w14:ligatures w14:val="none"/>
        </w:rPr>
      </w:pPr>
      <w:r w:rsidRPr="00051EC1">
        <w:rPr>
          <w:rFonts w:ascii="Times New Roman" w:eastAsia="Calibri" w:hAnsi="Times New Roman" w:cs="Times New Roman"/>
          <w:b/>
          <w:i/>
          <w:kern w:val="0"/>
          <w:lang w:val="en-GB"/>
          <w14:ligatures w14:val="none"/>
        </w:rPr>
        <w:t xml:space="preserve">      </w:t>
      </w:r>
    </w:p>
    <w:p w14:paraId="5D826E24" w14:textId="43938B9A" w:rsidR="00051EC1" w:rsidRPr="00051EC1" w:rsidRDefault="00051EC1" w:rsidP="002C1720">
      <w:pPr>
        <w:spacing w:after="200" w:line="240" w:lineRule="auto"/>
        <w:jc w:val="both"/>
        <w:rPr>
          <w:rFonts w:ascii="Times New Roman" w:eastAsia="Calibri" w:hAnsi="Times New Roman" w:cs="Times New Roman"/>
          <w:b/>
          <w:i/>
          <w:kern w:val="0"/>
          <w:lang w:val="en-GB"/>
          <w14:ligatures w14:val="none"/>
        </w:rPr>
      </w:pPr>
      <w:r w:rsidRPr="00051EC1">
        <w:rPr>
          <w:rFonts w:ascii="Times New Roman" w:eastAsia="Calibri" w:hAnsi="Times New Roman" w:cs="Times New Roman"/>
          <w:b/>
          <w:i/>
          <w:kern w:val="0"/>
          <w:lang w:val="en-GB"/>
          <w14:ligatures w14:val="none"/>
        </w:rPr>
        <w:t>Source:</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Researcher’s compilation from field survey, 202</w:t>
      </w:r>
      <w:r w:rsidR="00C046CA">
        <w:rPr>
          <w:rFonts w:ascii="Times New Roman" w:eastAsia="Calibri" w:hAnsi="Times New Roman" w:cs="Times New Roman"/>
          <w:kern w:val="0"/>
          <w:lang w:val="en-GB"/>
          <w14:ligatures w14:val="none"/>
        </w:rPr>
        <w:t>5</w:t>
      </w:r>
      <w:r w:rsidRPr="00051EC1">
        <w:rPr>
          <w:rFonts w:ascii="Times New Roman" w:eastAsia="Calibri" w:hAnsi="Times New Roman" w:cs="Times New Roman"/>
          <w:kern w:val="0"/>
          <w:lang w:val="en-GB"/>
          <w14:ligatures w14:val="none"/>
        </w:rPr>
        <w:t>.</w:t>
      </w:r>
    </w:p>
    <w:p w14:paraId="6FC8373D" w14:textId="77777777"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lastRenderedPageBreak/>
        <w:t xml:space="preserve">     </w:t>
      </w:r>
      <w:r w:rsidRPr="00051EC1">
        <w:rPr>
          <w:rFonts w:ascii="Times New Roman" w:eastAsia="Calibri" w:hAnsi="Times New Roman" w:cs="Times New Roman"/>
          <w:noProof/>
          <w:kern w:val="0"/>
          <w14:ligatures w14:val="none"/>
        </w:rPr>
        <w:drawing>
          <wp:inline distT="0" distB="0" distL="0" distR="0" wp14:anchorId="3D7E6252" wp14:editId="348ECB0B">
            <wp:extent cx="5555412" cy="5374256"/>
            <wp:effectExtent l="0" t="0" r="2667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051EC1">
        <w:rPr>
          <w:rFonts w:ascii="Times New Roman" w:eastAsia="Calibri" w:hAnsi="Times New Roman" w:cs="Times New Roman"/>
          <w:kern w:val="0"/>
          <w:lang w:val="en-GB"/>
          <w14:ligatures w14:val="none"/>
        </w:rPr>
        <w:t xml:space="preserve">                                                          </w:t>
      </w:r>
    </w:p>
    <w:p w14:paraId="6EFC0908" w14:textId="77777777" w:rsidR="00051EC1" w:rsidRPr="00051EC1" w:rsidRDefault="00051EC1" w:rsidP="002C1720">
      <w:pPr>
        <w:spacing w:after="200" w:line="240" w:lineRule="auto"/>
        <w:jc w:val="both"/>
        <w:rPr>
          <w:rFonts w:ascii="Times New Roman" w:eastAsia="Calibri" w:hAnsi="Times New Roman" w:cs="Times New Roman"/>
          <w:b/>
          <w:kern w:val="0"/>
          <w:lang w:val="en-GB"/>
          <w14:ligatures w14:val="none"/>
        </w:rPr>
      </w:pPr>
    </w:p>
    <w:p w14:paraId="55F36B12" w14:textId="78FD78BE"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b/>
          <w:i/>
          <w:kern w:val="0"/>
          <w:lang w:val="en-GB"/>
          <w14:ligatures w14:val="none"/>
        </w:rPr>
        <w:t xml:space="preserve">Figure </w:t>
      </w:r>
      <w:r w:rsidR="00B57AA7" w:rsidRPr="002C1720">
        <w:rPr>
          <w:rFonts w:ascii="Times New Roman" w:eastAsia="Calibri" w:hAnsi="Times New Roman" w:cs="Times New Roman"/>
          <w:b/>
          <w:i/>
          <w:kern w:val="0"/>
          <w:lang w:val="en-GB"/>
          <w14:ligatures w14:val="none"/>
        </w:rPr>
        <w:t>2.0</w:t>
      </w:r>
      <w:r w:rsidRPr="00051EC1">
        <w:rPr>
          <w:rFonts w:ascii="Times New Roman" w:eastAsia="Calibri" w:hAnsi="Times New Roman" w:cs="Times New Roman"/>
          <w:b/>
          <w:i/>
          <w:kern w:val="0"/>
          <w:lang w:val="en-GB"/>
          <w14:ligatures w14:val="none"/>
        </w:rPr>
        <w:t>:</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 xml:space="preserve">Bar graph derived from Table </w:t>
      </w:r>
      <w:r w:rsidR="00B57AA7" w:rsidRPr="002C1720">
        <w:rPr>
          <w:rFonts w:ascii="Times New Roman" w:eastAsia="Calibri" w:hAnsi="Times New Roman" w:cs="Times New Roman"/>
          <w:kern w:val="0"/>
          <w:lang w:val="en-GB"/>
          <w14:ligatures w14:val="none"/>
        </w:rPr>
        <w:t>3.0</w:t>
      </w:r>
      <w:r w:rsidRPr="00051EC1">
        <w:rPr>
          <w:rFonts w:ascii="Times New Roman" w:eastAsia="Calibri" w:hAnsi="Times New Roman" w:cs="Times New Roman"/>
          <w:kern w:val="0"/>
          <w:lang w:val="en-GB"/>
          <w14:ligatures w14:val="none"/>
        </w:rPr>
        <w:t xml:space="preserve"> showing population </w:t>
      </w:r>
      <w:r w:rsidRPr="00051EC1">
        <w:rPr>
          <w:rFonts w:ascii="Times New Roman" w:eastAsia="Calibri" w:hAnsi="Times New Roman" w:cs="Times New Roman"/>
          <w:kern w:val="0"/>
          <w:lang w:val="en-GB"/>
          <w14:ligatures w14:val="none"/>
        </w:rPr>
        <w:tab/>
        <w:t>concentration</w:t>
      </w:r>
      <w:r w:rsidR="001C5A12">
        <w:rPr>
          <w:rFonts w:ascii="Times New Roman" w:eastAsia="Calibri" w:hAnsi="Times New Roman" w:cs="Times New Roman"/>
          <w:kern w:val="0"/>
          <w:lang w:val="en-GB"/>
          <w14:ligatures w14:val="none"/>
        </w:rPr>
        <w:t xml:space="preserve"> </w:t>
      </w:r>
      <w:r w:rsidRPr="00051EC1">
        <w:rPr>
          <w:rFonts w:ascii="Times New Roman" w:eastAsia="Calibri" w:hAnsi="Times New Roman" w:cs="Times New Roman"/>
          <w:kern w:val="0"/>
          <w:lang w:val="en-GB"/>
          <w14:ligatures w14:val="none"/>
        </w:rPr>
        <w:t xml:space="preserve">and the areal </w:t>
      </w:r>
      <w:r w:rsidR="001C5A12">
        <w:rPr>
          <w:rFonts w:ascii="Times New Roman" w:eastAsia="Calibri" w:hAnsi="Times New Roman" w:cs="Times New Roman"/>
          <w:kern w:val="0"/>
          <w:lang w:val="en-GB"/>
          <w14:ligatures w14:val="none"/>
        </w:rPr>
        <w:tab/>
      </w:r>
      <w:r w:rsidR="001C5A12">
        <w:rPr>
          <w:rFonts w:ascii="Times New Roman" w:eastAsia="Calibri" w:hAnsi="Times New Roman" w:cs="Times New Roman"/>
          <w:kern w:val="0"/>
          <w:lang w:val="en-GB"/>
          <w14:ligatures w14:val="none"/>
        </w:rPr>
        <w:tab/>
      </w:r>
      <w:r w:rsidR="001C5A12">
        <w:rPr>
          <w:rFonts w:ascii="Times New Roman" w:eastAsia="Calibri" w:hAnsi="Times New Roman" w:cs="Times New Roman"/>
          <w:kern w:val="0"/>
          <w:lang w:val="en-GB"/>
          <w14:ligatures w14:val="none"/>
        </w:rPr>
        <w:tab/>
      </w:r>
      <w:r w:rsidR="001C5A12">
        <w:rPr>
          <w:rFonts w:ascii="Times New Roman" w:eastAsia="Calibri" w:hAnsi="Times New Roman" w:cs="Times New Roman"/>
          <w:kern w:val="0"/>
          <w:lang w:val="en-GB"/>
          <w14:ligatures w14:val="none"/>
        </w:rPr>
        <w:tab/>
      </w:r>
      <w:r w:rsidRPr="00051EC1">
        <w:rPr>
          <w:rFonts w:ascii="Times New Roman" w:eastAsia="Calibri" w:hAnsi="Times New Roman" w:cs="Times New Roman"/>
          <w:kern w:val="0"/>
          <w:lang w:val="en-GB"/>
          <w14:ligatures w14:val="none"/>
        </w:rPr>
        <w:t xml:space="preserve">extent of mixed land uses in Calabar </w:t>
      </w:r>
      <w:r w:rsidRPr="00051EC1">
        <w:rPr>
          <w:rFonts w:ascii="Times New Roman" w:eastAsia="Calibri" w:hAnsi="Times New Roman" w:cs="Times New Roman"/>
          <w:kern w:val="0"/>
          <w:lang w:val="en-GB"/>
          <w14:ligatures w14:val="none"/>
        </w:rPr>
        <w:tab/>
        <w:t>Metropolis.</w:t>
      </w:r>
    </w:p>
    <w:p w14:paraId="765F726B" w14:textId="77777777" w:rsidR="00051EC1" w:rsidRPr="00051EC1" w:rsidRDefault="00051EC1" w:rsidP="002C1720">
      <w:pPr>
        <w:spacing w:after="200" w:line="240" w:lineRule="auto"/>
        <w:jc w:val="both"/>
        <w:rPr>
          <w:rFonts w:ascii="Times New Roman" w:eastAsia="Calibri" w:hAnsi="Times New Roman" w:cs="Times New Roman"/>
          <w:b/>
          <w:kern w:val="0"/>
          <w:lang w:val="en-GB"/>
          <w14:ligatures w14:val="none"/>
        </w:rPr>
      </w:pPr>
    </w:p>
    <w:p w14:paraId="46B56DC1" w14:textId="77777777" w:rsidR="00051EC1" w:rsidRPr="00051EC1" w:rsidRDefault="00051EC1"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kern w:val="0"/>
          <w14:ligatures w14:val="none"/>
        </w:rPr>
        <w:t xml:space="preserve"> Researcher’s compilation, 2023.</w:t>
      </w:r>
    </w:p>
    <w:p w14:paraId="39405AC2" w14:textId="77777777" w:rsidR="00051EC1" w:rsidRPr="00051EC1" w:rsidRDefault="00051EC1" w:rsidP="002C1720">
      <w:pPr>
        <w:autoSpaceDE w:val="0"/>
        <w:autoSpaceDN w:val="0"/>
        <w:adjustRightInd w:val="0"/>
        <w:spacing w:after="0" w:line="240" w:lineRule="auto"/>
        <w:jc w:val="both"/>
        <w:rPr>
          <w:rFonts w:ascii="Times New Roman" w:eastAsia="Calibri" w:hAnsi="Times New Roman" w:cs="Times New Roman"/>
          <w:b/>
          <w:kern w:val="0"/>
          <w14:ligatures w14:val="none"/>
        </w:rPr>
      </w:pPr>
      <w:r w:rsidRPr="00051EC1">
        <w:rPr>
          <w:rFonts w:ascii="Times New Roman" w:eastAsia="Calibri" w:hAnsi="Times New Roman" w:cs="Times New Roman"/>
          <w:b/>
          <w:noProof/>
          <w:kern w:val="0"/>
          <w14:ligatures w14:val="none"/>
        </w:rPr>
        <w:lastRenderedPageBreak/>
        <w:drawing>
          <wp:inline distT="0" distB="0" distL="0" distR="0" wp14:anchorId="65102402" wp14:editId="374257B7">
            <wp:extent cx="5683752" cy="6711351"/>
            <wp:effectExtent l="0" t="0" r="0" b="0"/>
            <wp:docPr id="36" name="Picture 36" descr="C:\Users\lenovo\Desktop\cal mun-south - zones-with-Population-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esktop\cal mun-south - zones-with-Population-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7333" cy="6727387"/>
                    </a:xfrm>
                    <a:prstGeom prst="rect">
                      <a:avLst/>
                    </a:prstGeom>
                    <a:noFill/>
                    <a:ln>
                      <a:noFill/>
                    </a:ln>
                  </pic:spPr>
                </pic:pic>
              </a:graphicData>
            </a:graphic>
          </wp:inline>
        </w:drawing>
      </w:r>
      <w:r w:rsidRPr="00051EC1">
        <w:rPr>
          <w:rFonts w:ascii="Times New Roman" w:eastAsia="Calibri" w:hAnsi="Times New Roman" w:cs="Times New Roman"/>
          <w:b/>
          <w:kern w:val="0"/>
          <w14:ligatures w14:val="none"/>
        </w:rPr>
        <w:t xml:space="preserve">      </w:t>
      </w:r>
    </w:p>
    <w:p w14:paraId="74E68F8D" w14:textId="37E6AE45" w:rsidR="00051EC1" w:rsidRPr="00051EC1" w:rsidRDefault="001C5A12" w:rsidP="002C1720">
      <w:pPr>
        <w:spacing w:after="200" w:line="240" w:lineRule="auto"/>
        <w:jc w:val="both"/>
        <w:rPr>
          <w:rFonts w:ascii="Times New Roman" w:eastAsia="Calibri" w:hAnsi="Times New Roman" w:cs="Times New Roman"/>
          <w:b/>
          <w:kern w:val="0"/>
          <w:lang w:val="en-GB"/>
          <w14:ligatures w14:val="none"/>
        </w:rPr>
      </w:pPr>
      <w:r>
        <w:rPr>
          <w:rFonts w:ascii="Times New Roman" w:eastAsia="Calibri" w:hAnsi="Times New Roman" w:cs="Times New Roman"/>
          <w:b/>
          <w:kern w:val="0"/>
          <w14:ligatures w14:val="none"/>
        </w:rPr>
        <w:t xml:space="preserve">       </w:t>
      </w:r>
      <w:r w:rsidR="00051EC1" w:rsidRPr="00051EC1">
        <w:rPr>
          <w:rFonts w:ascii="Times New Roman" w:eastAsia="Calibri" w:hAnsi="Times New Roman" w:cs="Times New Roman"/>
          <w:b/>
          <w:kern w:val="0"/>
          <w14:ligatures w14:val="none"/>
        </w:rPr>
        <w:t xml:space="preserve"> </w:t>
      </w:r>
      <w:r w:rsidR="00051EC1" w:rsidRPr="00051EC1">
        <w:rPr>
          <w:rFonts w:ascii="Times New Roman" w:eastAsia="Calibri" w:hAnsi="Times New Roman" w:cs="Times New Roman"/>
          <w:b/>
          <w:i/>
          <w:kern w:val="0"/>
          <w:lang w:val="en-GB"/>
          <w14:ligatures w14:val="none"/>
        </w:rPr>
        <w:t xml:space="preserve">Figure </w:t>
      </w:r>
      <w:r w:rsidR="00B57AA7" w:rsidRPr="002C1720">
        <w:rPr>
          <w:rFonts w:ascii="Times New Roman" w:eastAsia="Calibri" w:hAnsi="Times New Roman" w:cs="Times New Roman"/>
          <w:b/>
          <w:i/>
          <w:kern w:val="0"/>
          <w:lang w:val="en-GB"/>
          <w14:ligatures w14:val="none"/>
        </w:rPr>
        <w:t>3.0</w:t>
      </w:r>
      <w:r w:rsidR="00051EC1" w:rsidRPr="00051EC1">
        <w:rPr>
          <w:rFonts w:ascii="Times New Roman" w:eastAsia="Calibri" w:hAnsi="Times New Roman" w:cs="Times New Roman"/>
          <w:b/>
          <w:i/>
          <w:kern w:val="0"/>
          <w:lang w:val="en-GB"/>
          <w14:ligatures w14:val="none"/>
        </w:rPr>
        <w:t>:</w:t>
      </w:r>
      <w:r w:rsidR="00051EC1" w:rsidRPr="00051EC1">
        <w:rPr>
          <w:rFonts w:ascii="Times New Roman" w:eastAsia="Calibri" w:hAnsi="Times New Roman" w:cs="Times New Roman"/>
          <w:b/>
          <w:kern w:val="0"/>
          <w:lang w:val="en-GB"/>
          <w14:ligatures w14:val="none"/>
        </w:rPr>
        <w:t xml:space="preserve"> </w:t>
      </w:r>
      <w:r w:rsidR="00051EC1" w:rsidRPr="00051EC1">
        <w:rPr>
          <w:rFonts w:ascii="Times New Roman" w:eastAsia="Calibri" w:hAnsi="Times New Roman" w:cs="Times New Roman"/>
          <w:kern w:val="0"/>
          <w:lang w:val="en-GB"/>
          <w14:ligatures w14:val="none"/>
        </w:rPr>
        <w:t xml:space="preserve"> Population concentration in Calabar Metropolis from Table </w:t>
      </w:r>
      <w:r w:rsidR="00B57AA7" w:rsidRPr="002C1720">
        <w:rPr>
          <w:rFonts w:ascii="Times New Roman" w:eastAsia="Calibri" w:hAnsi="Times New Roman" w:cs="Times New Roman"/>
          <w:kern w:val="0"/>
          <w:lang w:val="en-GB"/>
          <w14:ligatures w14:val="none"/>
        </w:rPr>
        <w:t>3.0</w:t>
      </w:r>
      <w:r w:rsidR="00051EC1" w:rsidRPr="00051EC1">
        <w:rPr>
          <w:rFonts w:ascii="Times New Roman" w:eastAsia="Calibri" w:hAnsi="Times New Roman" w:cs="Times New Roman"/>
          <w:kern w:val="0"/>
          <w:lang w:val="en-GB"/>
          <w14:ligatures w14:val="none"/>
        </w:rPr>
        <w:t>.</w:t>
      </w:r>
    </w:p>
    <w:p w14:paraId="4C1E1493" w14:textId="66DAF4C3" w:rsidR="00051EC1" w:rsidRPr="00051EC1" w:rsidRDefault="001C5A12" w:rsidP="002C172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b/>
          <w:i/>
          <w:kern w:val="0"/>
          <w14:ligatures w14:val="none"/>
        </w:rPr>
        <w:t xml:space="preserve">                        </w:t>
      </w:r>
      <w:r w:rsidR="00051EC1" w:rsidRPr="00051EC1">
        <w:rPr>
          <w:rFonts w:ascii="Times New Roman" w:eastAsia="Calibri" w:hAnsi="Times New Roman" w:cs="Times New Roman"/>
          <w:b/>
          <w:i/>
          <w:kern w:val="0"/>
          <w14:ligatures w14:val="none"/>
        </w:rPr>
        <w:t>Source:</w:t>
      </w:r>
      <w:r w:rsidR="00051EC1" w:rsidRPr="00051EC1">
        <w:rPr>
          <w:rFonts w:ascii="Times New Roman" w:eastAsia="Calibri" w:hAnsi="Times New Roman" w:cs="Times New Roman"/>
          <w:kern w:val="0"/>
          <w14:ligatures w14:val="none"/>
        </w:rPr>
        <w:t xml:space="preserve"> Researcher’s design, 202</w:t>
      </w:r>
      <w:r>
        <w:rPr>
          <w:rFonts w:ascii="Times New Roman" w:eastAsia="Calibri" w:hAnsi="Times New Roman" w:cs="Times New Roman"/>
          <w:kern w:val="0"/>
          <w14:ligatures w14:val="none"/>
        </w:rPr>
        <w:t>5</w:t>
      </w:r>
      <w:r w:rsidR="00051EC1" w:rsidRPr="00051EC1">
        <w:rPr>
          <w:rFonts w:ascii="Times New Roman" w:eastAsia="Calibri" w:hAnsi="Times New Roman" w:cs="Times New Roman"/>
          <w:kern w:val="0"/>
          <w14:ligatures w14:val="none"/>
        </w:rPr>
        <w:t>.</w:t>
      </w:r>
    </w:p>
    <w:p w14:paraId="39082B16" w14:textId="77777777" w:rsidR="00051EC1" w:rsidRPr="00051EC1" w:rsidRDefault="00051EC1"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6BC8D5A0" w14:textId="31A3C3C6" w:rsidR="00051EC1" w:rsidRPr="00051EC1" w:rsidRDefault="001C5A12" w:rsidP="002C172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051EC1" w:rsidRPr="00051EC1">
        <w:rPr>
          <w:rFonts w:ascii="Times New Roman" w:eastAsia="Calibri" w:hAnsi="Times New Roman" w:cs="Times New Roman"/>
          <w:kern w:val="0"/>
          <w14:ligatures w14:val="none"/>
        </w:rPr>
        <w:t xml:space="preserve">Data set in Table </w:t>
      </w:r>
      <w:r w:rsidR="00B57AA7" w:rsidRPr="002C1720">
        <w:rPr>
          <w:rFonts w:ascii="Times New Roman" w:eastAsia="Calibri" w:hAnsi="Times New Roman" w:cs="Times New Roman"/>
          <w:kern w:val="0"/>
          <w14:ligatures w14:val="none"/>
        </w:rPr>
        <w:t>3.0</w:t>
      </w:r>
      <w:r w:rsidR="00051EC1" w:rsidRPr="00051EC1">
        <w:rPr>
          <w:rFonts w:ascii="Times New Roman" w:eastAsia="Calibri" w:hAnsi="Times New Roman" w:cs="Times New Roman"/>
          <w:kern w:val="0"/>
          <w14:ligatures w14:val="none"/>
        </w:rPr>
        <w:t xml:space="preserve"> was used in testing the formulated hypothesis</w:t>
      </w:r>
      <w:r w:rsidR="00B57AA7" w:rsidRPr="002C1720">
        <w:rPr>
          <w:rFonts w:ascii="Times New Roman" w:eastAsia="Calibri" w:hAnsi="Times New Roman" w:cs="Times New Roman"/>
          <w:kern w:val="0"/>
          <w14:ligatures w14:val="none"/>
        </w:rPr>
        <w:t xml:space="preserve"> that:</w:t>
      </w:r>
    </w:p>
    <w:p w14:paraId="12B8471A" w14:textId="7D053A1F" w:rsidR="00051EC1" w:rsidRPr="00051EC1" w:rsidRDefault="00051EC1"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 There is no significant relationship between population concentration and </w:t>
      </w:r>
      <w:r w:rsidRPr="00051EC1">
        <w:rPr>
          <w:rFonts w:ascii="Times New Roman" w:eastAsia="Calibri" w:hAnsi="Times New Roman" w:cs="Times New Roman"/>
          <w:kern w:val="0"/>
          <w14:ligatures w14:val="none"/>
        </w:rPr>
        <w:tab/>
      </w:r>
      <w:bookmarkStart w:id="1" w:name="_Hlk215413255"/>
      <w:r w:rsidRPr="00051EC1">
        <w:rPr>
          <w:rFonts w:ascii="Times New Roman" w:eastAsia="Calibri" w:hAnsi="Times New Roman" w:cs="Times New Roman"/>
          <w:kern w:val="0"/>
          <w14:ligatures w14:val="none"/>
        </w:rPr>
        <w:t>the areal extent (m</w:t>
      </w:r>
      <w:r w:rsidRPr="00051EC1">
        <w:rPr>
          <w:rFonts w:ascii="Times New Roman" w:eastAsia="Calibri" w:hAnsi="Times New Roman" w:cs="Times New Roman"/>
          <w:kern w:val="0"/>
          <w:vertAlign w:val="superscript"/>
          <w14:ligatures w14:val="none"/>
        </w:rPr>
        <w:t>2</w:t>
      </w:r>
      <w:r w:rsidRPr="00051EC1">
        <w:rPr>
          <w:rFonts w:ascii="Times New Roman" w:eastAsia="Calibri" w:hAnsi="Times New Roman" w:cs="Times New Roman"/>
          <w:kern w:val="0"/>
          <w14:ligatures w14:val="none"/>
        </w:rPr>
        <w:t xml:space="preserve">) of </w:t>
      </w:r>
      <w:r w:rsidR="001C5A12">
        <w:rPr>
          <w:rFonts w:ascii="Times New Roman" w:eastAsia="Calibri" w:hAnsi="Times New Roman" w:cs="Times New Roman"/>
          <w:kern w:val="0"/>
          <w14:ligatures w14:val="none"/>
        </w:rPr>
        <w:t xml:space="preserve">       </w:t>
      </w:r>
      <w:r w:rsidRPr="00051EC1">
        <w:rPr>
          <w:rFonts w:ascii="Times New Roman" w:eastAsia="Calibri" w:hAnsi="Times New Roman" w:cs="Times New Roman"/>
          <w:kern w:val="0"/>
          <w14:ligatures w14:val="none"/>
        </w:rPr>
        <w:t>mixed land uses within the neighbourhood zones of Calabar Metropolis.</w:t>
      </w:r>
    </w:p>
    <w:bookmarkEnd w:id="1"/>
    <w:p w14:paraId="63B402A2" w14:textId="77777777" w:rsidR="00E32CD6" w:rsidRDefault="00051EC1" w:rsidP="00E32CD6">
      <w:pPr>
        <w:spacing w:line="240" w:lineRule="auto"/>
        <w:jc w:val="both"/>
        <w:rPr>
          <w:rFonts w:ascii="Times New Roman" w:eastAsia="Calibri" w:hAnsi="Times New Roman" w:cs="Times New Roman"/>
          <w:bCs/>
          <w:kern w:val="0"/>
          <w14:ligatures w14:val="none"/>
        </w:rPr>
      </w:pPr>
      <w:r w:rsidRPr="00051EC1">
        <w:rPr>
          <w:rFonts w:ascii="Times New Roman" w:eastAsia="Calibri" w:hAnsi="Times New Roman" w:cs="Times New Roman"/>
          <w:kern w:val="0"/>
          <w14:ligatures w14:val="none"/>
        </w:rPr>
        <w:lastRenderedPageBreak/>
        <w:t xml:space="preserve">This hypothesis was tested using the Simple Linear Regression analysis with data set in Table </w:t>
      </w:r>
      <w:r w:rsidR="00B57AA7" w:rsidRPr="002C1720">
        <w:rPr>
          <w:rFonts w:ascii="Times New Roman" w:eastAsia="Calibri" w:hAnsi="Times New Roman" w:cs="Times New Roman"/>
          <w:kern w:val="0"/>
          <w14:ligatures w14:val="none"/>
        </w:rPr>
        <w:t>3.0</w:t>
      </w:r>
      <w:r w:rsidRPr="00051EC1">
        <w:rPr>
          <w:rFonts w:ascii="Times New Roman" w:eastAsia="Calibri" w:hAnsi="Times New Roman" w:cs="Times New Roman"/>
          <w:kern w:val="0"/>
          <w14:ligatures w14:val="none"/>
        </w:rPr>
        <w:t>.</w:t>
      </w:r>
      <w:r w:rsidRPr="00051EC1">
        <w:rPr>
          <w:rFonts w:ascii="Times New Roman" w:eastAsia="Calibri" w:hAnsi="Times New Roman" w:cs="Times New Roman"/>
          <w:b/>
          <w:kern w:val="0"/>
          <w14:ligatures w14:val="none"/>
        </w:rPr>
        <w:t xml:space="preserve"> </w:t>
      </w:r>
      <w:r w:rsidR="00E32CD6">
        <w:rPr>
          <w:rFonts w:ascii="Times New Roman" w:eastAsia="Calibri" w:hAnsi="Times New Roman" w:cs="Times New Roman"/>
          <w:bCs/>
          <w:kern w:val="0"/>
          <w14:ligatures w14:val="none"/>
        </w:rPr>
        <w:t xml:space="preserve">It is Mathematically expressed as: </w:t>
      </w:r>
    </w:p>
    <w:p w14:paraId="0A96F76A" w14:textId="096AC6DB" w:rsidR="00E32CD6" w:rsidRPr="00E32CD6" w:rsidRDefault="00E32CD6" w:rsidP="00E32CD6">
      <w:pPr>
        <w:spacing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Y = a+bx+e ……………………………………</w:t>
      </w:r>
      <w:r>
        <w:rPr>
          <w:rFonts w:ascii="Times New Roman" w:eastAsia="Calibri" w:hAnsi="Times New Roman" w:cs="Times New Roman"/>
          <w:kern w:val="0"/>
          <w14:ligatures w14:val="none"/>
        </w:rPr>
        <w:t>……………………..</w:t>
      </w:r>
      <w:r w:rsidRPr="00E32CD6">
        <w:rPr>
          <w:rFonts w:ascii="Times New Roman" w:eastAsia="Calibri" w:hAnsi="Times New Roman" w:cs="Times New Roman"/>
          <w:kern w:val="0"/>
          <w14:ligatures w14:val="none"/>
        </w:rPr>
        <w:t>……….……….. eqn</w:t>
      </w:r>
      <w:r>
        <w:rPr>
          <w:rFonts w:ascii="Times New Roman" w:eastAsia="Calibri" w:hAnsi="Times New Roman" w:cs="Times New Roman"/>
          <w:kern w:val="0"/>
          <w14:ligatures w14:val="none"/>
        </w:rPr>
        <w:t>.</w:t>
      </w:r>
      <w:r w:rsidRPr="00E32CD6">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2</w:t>
      </w:r>
      <w:r w:rsidRPr="00E32CD6">
        <w:rPr>
          <w:rFonts w:ascii="Times New Roman" w:eastAsia="Calibri" w:hAnsi="Times New Roman" w:cs="Times New Roman"/>
          <w:kern w:val="0"/>
          <w14:ligatures w14:val="none"/>
        </w:rPr>
        <w:t xml:space="preserve">. </w:t>
      </w:r>
    </w:p>
    <w:p w14:paraId="1FC6C9C1" w14:textId="77777777" w:rsidR="00E32CD6" w:rsidRDefault="00E32CD6" w:rsidP="00E32CD6">
      <w:pPr>
        <w:spacing w:after="20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 xml:space="preserve">The assumptions/conditions of the LR showed that: </w:t>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p>
    <w:p w14:paraId="19CAB5A7" w14:textId="77777777" w:rsidR="00E32CD6" w:rsidRDefault="00E32CD6" w:rsidP="00E32CD6">
      <w:pPr>
        <w:spacing w:after="20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(i) The dependent variable should be measured on a continuous</w:t>
      </w:r>
      <w:r>
        <w:rPr>
          <w:rFonts w:ascii="Times New Roman" w:eastAsia="Calibri" w:hAnsi="Times New Roman" w:cs="Times New Roman"/>
          <w:kern w:val="0"/>
          <w14:ligatures w14:val="none"/>
        </w:rPr>
        <w:t xml:space="preserve"> </w:t>
      </w:r>
      <w:r w:rsidRPr="00E32CD6">
        <w:rPr>
          <w:rFonts w:ascii="Times New Roman" w:eastAsia="Calibri" w:hAnsi="Times New Roman" w:cs="Times New Roman"/>
          <w:kern w:val="0"/>
          <w14:ligatures w14:val="none"/>
        </w:rPr>
        <w:t>scale (interval or ratio scale).</w:t>
      </w:r>
    </w:p>
    <w:p w14:paraId="482593CE" w14:textId="77777777" w:rsidR="00E32CD6" w:rsidRDefault="00E32CD6" w:rsidP="00E32CD6">
      <w:pPr>
        <w:spacing w:after="20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 xml:space="preserve">(ii) There should be one independent variable, which can </w:t>
      </w:r>
      <w:r>
        <w:rPr>
          <w:rFonts w:ascii="Times New Roman" w:eastAsia="Calibri" w:hAnsi="Times New Roman" w:cs="Times New Roman"/>
          <w:kern w:val="0"/>
          <w14:ligatures w14:val="none"/>
        </w:rPr>
        <w:t xml:space="preserve">be </w:t>
      </w:r>
      <w:r w:rsidRPr="00E32CD6">
        <w:rPr>
          <w:rFonts w:ascii="Times New Roman" w:eastAsia="Calibri" w:hAnsi="Times New Roman" w:cs="Times New Roman"/>
          <w:kern w:val="0"/>
          <w14:ligatures w14:val="none"/>
        </w:rPr>
        <w:t>either continuous or categorical.</w:t>
      </w:r>
    </w:p>
    <w:p w14:paraId="5C9E5807" w14:textId="073D8313" w:rsidR="00E32CD6" w:rsidRPr="00E32CD6" w:rsidRDefault="00E32CD6" w:rsidP="00E32CD6">
      <w:pPr>
        <w:spacing w:after="20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(iii) There should be independence of observations (that is independence of residuals) which can be checked using the Durbin-Watson statistic.</w:t>
      </w:r>
      <w:r w:rsidRPr="00E32CD6">
        <w:rPr>
          <w:rFonts w:ascii="Times New Roman" w:eastAsia="Calibri" w:hAnsi="Times New Roman" w:cs="Times New Roman"/>
          <w:kern w:val="0"/>
          <w14:ligatures w14:val="none"/>
        </w:rPr>
        <w:tab/>
      </w:r>
    </w:p>
    <w:p w14:paraId="003A936B" w14:textId="77777777" w:rsidR="00E32CD6" w:rsidRDefault="00E32CD6" w:rsidP="00E32CD6">
      <w:pPr>
        <w:autoSpaceDE w:val="0"/>
        <w:autoSpaceDN w:val="0"/>
        <w:adjustRightInd w:val="0"/>
        <w:spacing w:after="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(iv) There should be a linear relationship between the dependent</w:t>
      </w:r>
      <w:r>
        <w:rPr>
          <w:rFonts w:ascii="Times New Roman" w:eastAsia="Calibri" w:hAnsi="Times New Roman" w:cs="Times New Roman"/>
          <w:kern w:val="0"/>
          <w14:ligatures w14:val="none"/>
        </w:rPr>
        <w:t xml:space="preserve"> </w:t>
      </w:r>
      <w:r w:rsidRPr="00E32CD6">
        <w:rPr>
          <w:rFonts w:ascii="Times New Roman" w:eastAsia="Calibri" w:hAnsi="Times New Roman" w:cs="Times New Roman"/>
          <w:kern w:val="0"/>
          <w14:ligatures w14:val="none"/>
        </w:rPr>
        <w:t>variable and the independent variable.</w:t>
      </w:r>
    </w:p>
    <w:p w14:paraId="2431FF8F" w14:textId="77777777" w:rsidR="00E32CD6" w:rsidRDefault="00E32CD6" w:rsidP="00E32CD6">
      <w:pPr>
        <w:autoSpaceDE w:val="0"/>
        <w:autoSpaceDN w:val="0"/>
        <w:adjustRightInd w:val="0"/>
        <w:spacing w:after="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(v) The data sets need to show homoscedasticity, that is, the variances along the line of best fit remain similar as movement continues along the line.</w:t>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p>
    <w:p w14:paraId="25853511" w14:textId="77777777" w:rsidR="00E32CD6" w:rsidRDefault="00E32CD6" w:rsidP="00E32CD6">
      <w:pPr>
        <w:autoSpaceDE w:val="0"/>
        <w:autoSpaceDN w:val="0"/>
        <w:adjustRightInd w:val="0"/>
        <w:spacing w:after="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(vi) There should be no significant outliers, high leverage points or highly influential points.</w:t>
      </w:r>
    </w:p>
    <w:p w14:paraId="1D6C7739" w14:textId="6AE670E0" w:rsidR="00051EC1" w:rsidRPr="00051EC1" w:rsidRDefault="00E32CD6" w:rsidP="00E32CD6">
      <w:pPr>
        <w:autoSpaceDE w:val="0"/>
        <w:autoSpaceDN w:val="0"/>
        <w:adjustRightInd w:val="0"/>
        <w:spacing w:after="0" w:line="240" w:lineRule="auto"/>
        <w:jc w:val="both"/>
        <w:rPr>
          <w:rFonts w:ascii="Times New Roman" w:eastAsia="Calibri" w:hAnsi="Times New Roman" w:cs="Times New Roman"/>
          <w:b/>
          <w:kern w:val="0"/>
          <w14:ligatures w14:val="none"/>
        </w:rPr>
      </w:pPr>
      <w:r w:rsidRPr="00E32CD6">
        <w:rPr>
          <w:rFonts w:ascii="Times New Roman" w:eastAsia="Calibri" w:hAnsi="Times New Roman" w:cs="Times New Roman"/>
          <w:kern w:val="0"/>
          <w14:ligatures w14:val="none"/>
        </w:rPr>
        <w:t xml:space="preserve">(vii) The residuals (errors) should be approximately or normally </w:t>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r w:rsidR="00051EC1" w:rsidRPr="00051EC1">
        <w:rPr>
          <w:rFonts w:ascii="Times New Roman" w:eastAsia="Calibri" w:hAnsi="Times New Roman" w:cs="Times New Roman"/>
          <w:b/>
          <w:kern w:val="0"/>
          <w14:ligatures w14:val="none"/>
        </w:rPr>
        <w:t xml:space="preserve">   </w:t>
      </w:r>
    </w:p>
    <w:p w14:paraId="65267762" w14:textId="77777777" w:rsidR="00051EC1" w:rsidRPr="00051EC1" w:rsidRDefault="00051EC1" w:rsidP="002C1720">
      <w:pPr>
        <w:spacing w:line="240" w:lineRule="auto"/>
        <w:jc w:val="both"/>
        <w:rPr>
          <w:rFonts w:ascii="Times New Roman" w:eastAsia="Calibri" w:hAnsi="Times New Roman" w:cs="Times New Roman"/>
          <w:kern w:val="0"/>
          <w14:ligatures w14:val="none"/>
        </w:rPr>
      </w:pPr>
    </w:p>
    <w:p w14:paraId="0FBED4DA" w14:textId="0675E7DA"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From the regression output in Table 4.</w:t>
      </w:r>
      <w:r w:rsidR="00B57AA7" w:rsidRPr="002C1720">
        <w:rPr>
          <w:rFonts w:ascii="Times New Roman" w:eastAsia="Calibri" w:hAnsi="Times New Roman" w:cs="Times New Roman"/>
          <w:kern w:val="0"/>
          <w14:ligatures w14:val="none"/>
        </w:rPr>
        <w:t>0</w:t>
      </w:r>
      <w:r w:rsidRPr="00051EC1">
        <w:rPr>
          <w:rFonts w:ascii="Times New Roman" w:eastAsia="Calibri" w:hAnsi="Times New Roman" w:cs="Times New Roman"/>
          <w:kern w:val="0"/>
          <w14:ligatures w14:val="none"/>
        </w:rPr>
        <w:t>, it showed that:</w:t>
      </w:r>
    </w:p>
    <w:p w14:paraId="26F87867" w14:textId="77777777" w:rsidR="00051EC1" w:rsidRPr="00051EC1" w:rsidRDefault="00051EC1" w:rsidP="002C1720">
      <w:pPr>
        <w:numPr>
          <w:ilvl w:val="0"/>
          <w:numId w:val="14"/>
        </w:numPr>
        <w:spacing w:after="200" w:line="240" w:lineRule="auto"/>
        <w:contextualSpacing/>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Population concentration and mixed land uses are </w:t>
      </w:r>
      <w:bookmarkStart w:id="2" w:name="_Hlk215499539"/>
      <w:r w:rsidRPr="00051EC1">
        <w:rPr>
          <w:rFonts w:ascii="Times New Roman" w:eastAsia="Calibri" w:hAnsi="Times New Roman" w:cs="Times New Roman"/>
          <w:kern w:val="0"/>
          <w14:ligatures w14:val="none"/>
        </w:rPr>
        <w:t>not statistically significant.</w:t>
      </w:r>
    </w:p>
    <w:p w14:paraId="252FCCA7" w14:textId="77777777" w:rsidR="00051EC1" w:rsidRPr="00051EC1" w:rsidRDefault="00051EC1" w:rsidP="002C1720">
      <w:pPr>
        <w:numPr>
          <w:ilvl w:val="0"/>
          <w:numId w:val="14"/>
        </w:numPr>
        <w:spacing w:after="200" w:line="240" w:lineRule="auto"/>
        <w:contextualSpacing/>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The overall model fit, R</w:t>
      </w:r>
      <w:r w:rsidRPr="00051EC1">
        <w:rPr>
          <w:rFonts w:ascii="Times New Roman" w:eastAsia="Calibri" w:hAnsi="Times New Roman" w:cs="Times New Roman"/>
          <w:kern w:val="0"/>
          <w:vertAlign w:val="superscript"/>
          <w14:ligatures w14:val="none"/>
        </w:rPr>
        <w:t>2</w:t>
      </w:r>
      <w:r w:rsidRPr="00051EC1">
        <w:rPr>
          <w:rFonts w:ascii="Times New Roman" w:eastAsia="Calibri" w:hAnsi="Times New Roman" w:cs="Times New Roman"/>
          <w:kern w:val="0"/>
          <w14:ligatures w14:val="none"/>
        </w:rPr>
        <w:t xml:space="preserve"> = 0.126 which is very low</w:t>
      </w:r>
      <w:bookmarkEnd w:id="2"/>
      <w:r w:rsidRPr="00051EC1">
        <w:rPr>
          <w:rFonts w:ascii="Times New Roman" w:eastAsia="Calibri" w:hAnsi="Times New Roman" w:cs="Times New Roman"/>
          <w:kern w:val="0"/>
          <w14:ligatures w14:val="none"/>
        </w:rPr>
        <w:t>.</w:t>
      </w:r>
    </w:p>
    <w:p w14:paraId="35CAF637" w14:textId="77777777" w:rsidR="00051EC1" w:rsidRPr="00051EC1" w:rsidRDefault="00051EC1" w:rsidP="002C1720">
      <w:pPr>
        <w:spacing w:after="200" w:line="240" w:lineRule="auto"/>
        <w:contextualSpacing/>
        <w:rPr>
          <w:rFonts w:ascii="Times New Roman" w:eastAsia="Calibri" w:hAnsi="Times New Roman" w:cs="Times New Roman"/>
          <w:kern w:val="0"/>
          <w14:ligatures w14:val="none"/>
        </w:rPr>
      </w:pPr>
    </w:p>
    <w:p w14:paraId="465463C3" w14:textId="77777777" w:rsidR="00051EC1" w:rsidRPr="00051EC1" w:rsidRDefault="00051EC1" w:rsidP="002C1720">
      <w:pPr>
        <w:numPr>
          <w:ilvl w:val="0"/>
          <w:numId w:val="14"/>
        </w:numPr>
        <w:autoSpaceDE w:val="0"/>
        <w:autoSpaceDN w:val="0"/>
        <w:adjustRightInd w:val="0"/>
        <w:spacing w:after="0" w:line="240" w:lineRule="auto"/>
        <w:contextualSpacing/>
        <w:jc w:val="both"/>
        <w:rPr>
          <w:rFonts w:ascii="Times New Roman" w:eastAsia="Calibri" w:hAnsi="Times New Roman" w:cs="Times New Roman"/>
          <w:b/>
          <w:kern w:val="0"/>
          <w14:ligatures w14:val="none"/>
        </w:rPr>
      </w:pPr>
      <w:r w:rsidRPr="00051EC1">
        <w:rPr>
          <w:rFonts w:ascii="Times New Roman" w:eastAsia="Calibri" w:hAnsi="Times New Roman" w:cs="Times New Roman"/>
          <w:kern w:val="0"/>
          <w14:ligatures w14:val="none"/>
        </w:rPr>
        <w:t xml:space="preserve">The results further showed an explanation of 7.1 per cent of variation in the areal extent of mixed land uses with linear explanatory variable of the predictor (population concentration). </w:t>
      </w:r>
    </w:p>
    <w:p w14:paraId="2E840A21" w14:textId="77777777" w:rsidR="00051EC1" w:rsidRPr="00051EC1" w:rsidRDefault="00051EC1" w:rsidP="002C1720">
      <w:pPr>
        <w:spacing w:after="200" w:line="240" w:lineRule="auto"/>
        <w:contextualSpacing/>
        <w:rPr>
          <w:rFonts w:ascii="Times New Roman" w:eastAsia="Calibri" w:hAnsi="Times New Roman" w:cs="Times New Roman"/>
          <w:kern w:val="0"/>
          <w14:ligatures w14:val="none"/>
        </w:rPr>
      </w:pPr>
    </w:p>
    <w:p w14:paraId="1A85691C" w14:textId="77777777" w:rsidR="00051EC1" w:rsidRPr="00051EC1" w:rsidRDefault="00051EC1" w:rsidP="002C1720">
      <w:pPr>
        <w:numPr>
          <w:ilvl w:val="0"/>
          <w:numId w:val="14"/>
        </w:numPr>
        <w:autoSpaceDE w:val="0"/>
        <w:autoSpaceDN w:val="0"/>
        <w:adjustRightInd w:val="0"/>
        <w:spacing w:after="0" w:line="240" w:lineRule="auto"/>
        <w:contextualSpacing/>
        <w:jc w:val="both"/>
        <w:rPr>
          <w:rFonts w:ascii="Times New Roman" w:eastAsia="Calibri" w:hAnsi="Times New Roman" w:cs="Times New Roman"/>
          <w:b/>
          <w:kern w:val="0"/>
          <w14:ligatures w14:val="none"/>
        </w:rPr>
      </w:pPr>
      <w:r w:rsidRPr="00051EC1">
        <w:rPr>
          <w:rFonts w:ascii="Times New Roman" w:eastAsia="Calibri" w:hAnsi="Times New Roman" w:cs="Times New Roman"/>
          <w:kern w:val="0"/>
          <w14:ligatures w14:val="none"/>
        </w:rPr>
        <w:t xml:space="preserve">12.6 per cent is the coefficient of determination (this means that it is the proportion of the variance in the areal extent of mixed land uses that is explained by the predictor). </w:t>
      </w:r>
    </w:p>
    <w:p w14:paraId="0B1E17D7" w14:textId="77777777" w:rsidR="00051EC1" w:rsidRPr="00051EC1" w:rsidRDefault="00051EC1" w:rsidP="002C1720">
      <w:pPr>
        <w:spacing w:after="200" w:line="240" w:lineRule="auto"/>
        <w:contextualSpacing/>
        <w:rPr>
          <w:rFonts w:ascii="Times New Roman" w:eastAsia="Calibri" w:hAnsi="Times New Roman" w:cs="Times New Roman"/>
          <w:kern w:val="0"/>
          <w14:ligatures w14:val="none"/>
        </w:rPr>
      </w:pPr>
    </w:p>
    <w:p w14:paraId="1C853D38" w14:textId="77777777" w:rsidR="00051EC1" w:rsidRDefault="00051EC1" w:rsidP="002C1720">
      <w:pPr>
        <w:numPr>
          <w:ilvl w:val="0"/>
          <w:numId w:val="14"/>
        </w:numPr>
        <w:autoSpaceDE w:val="0"/>
        <w:autoSpaceDN w:val="0"/>
        <w:adjustRightInd w:val="0"/>
        <w:spacing w:after="0" w:line="240" w:lineRule="auto"/>
        <w:contextualSpacing/>
        <w:jc w:val="both"/>
        <w:rPr>
          <w:rFonts w:ascii="Times New Roman" w:eastAsia="Calibri" w:hAnsi="Times New Roman" w:cs="Times New Roman"/>
          <w:b/>
          <w:kern w:val="0"/>
          <w14:ligatures w14:val="none"/>
        </w:rPr>
      </w:pPr>
      <w:r w:rsidRPr="00051EC1">
        <w:rPr>
          <w:rFonts w:ascii="Times New Roman" w:eastAsia="Calibri" w:hAnsi="Times New Roman" w:cs="Times New Roman"/>
          <w:kern w:val="0"/>
          <w14:ligatures w14:val="none"/>
        </w:rPr>
        <w:t>However, the Adjusted R Square penalizes the addition of extraneous predictor into the model. This explains a no relationship between population concentration and the areal extent of mixed land uses.</w:t>
      </w:r>
      <w:r w:rsidRPr="00051EC1">
        <w:rPr>
          <w:rFonts w:ascii="Times New Roman" w:eastAsia="Calibri" w:hAnsi="Times New Roman" w:cs="Times New Roman"/>
          <w:b/>
          <w:kern w:val="0"/>
          <w14:ligatures w14:val="none"/>
        </w:rPr>
        <w:t xml:space="preserve">    </w:t>
      </w:r>
    </w:p>
    <w:p w14:paraId="43D28087" w14:textId="77777777" w:rsidR="001C5A12" w:rsidRPr="00051EC1" w:rsidRDefault="001C5A12" w:rsidP="00E32CD6">
      <w:pPr>
        <w:autoSpaceDE w:val="0"/>
        <w:autoSpaceDN w:val="0"/>
        <w:adjustRightInd w:val="0"/>
        <w:spacing w:after="0" w:line="240" w:lineRule="auto"/>
        <w:contextualSpacing/>
        <w:jc w:val="both"/>
        <w:rPr>
          <w:rFonts w:ascii="Times New Roman" w:eastAsia="Calibri" w:hAnsi="Times New Roman" w:cs="Times New Roman"/>
          <w:b/>
          <w:kern w:val="0"/>
          <w14:ligatures w14:val="none"/>
        </w:rPr>
      </w:pPr>
    </w:p>
    <w:p w14:paraId="3E8A43F8" w14:textId="77777777"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072BCC0B" wp14:editId="363F7D31">
                <wp:simplePos x="0" y="0"/>
                <wp:positionH relativeFrom="column">
                  <wp:posOffset>622827</wp:posOffset>
                </wp:positionH>
                <wp:positionV relativeFrom="paragraph">
                  <wp:posOffset>-3151</wp:posOffset>
                </wp:positionV>
                <wp:extent cx="1595887" cy="284672"/>
                <wp:effectExtent l="0" t="0" r="4445" b="1270"/>
                <wp:wrapNone/>
                <wp:docPr id="90" name="Text Box 90"/>
                <wp:cNvGraphicFramePr/>
                <a:graphic xmlns:a="http://schemas.openxmlformats.org/drawingml/2006/main">
                  <a:graphicData uri="http://schemas.microsoft.com/office/word/2010/wordprocessingShape">
                    <wps:wsp>
                      <wps:cNvSpPr txBox="1"/>
                      <wps:spPr>
                        <a:xfrm>
                          <a:off x="0" y="0"/>
                          <a:ext cx="1595887" cy="284672"/>
                        </a:xfrm>
                        <a:prstGeom prst="rect">
                          <a:avLst/>
                        </a:prstGeom>
                        <a:solidFill>
                          <a:sysClr val="window" lastClr="FFFFFF"/>
                        </a:solidFill>
                        <a:ln w="6350">
                          <a:noFill/>
                        </a:ln>
                        <a:effectLst/>
                      </wps:spPr>
                      <wps:txbx>
                        <w:txbxContent>
                          <w:p w14:paraId="39385AC8" w14:textId="180D65B4" w:rsidR="00051EC1" w:rsidRPr="000A700A" w:rsidRDefault="00051EC1" w:rsidP="00051EC1">
                            <w:pPr>
                              <w:rPr>
                                <w:rFonts w:ascii="Times New Roman" w:hAnsi="Times New Roman" w:cs="Times New Roman"/>
                                <w:b/>
                                <w:sz w:val="26"/>
                                <w:szCs w:val="26"/>
                                <w:lang w:val="en-GB"/>
                              </w:rPr>
                            </w:pPr>
                            <w:r>
                              <w:rPr>
                                <w:rFonts w:ascii="Times New Roman" w:hAnsi="Times New Roman" w:cs="Times New Roman"/>
                                <w:lang w:val="en-GB"/>
                              </w:rPr>
                              <w:t xml:space="preserve">                  </w:t>
                            </w:r>
                            <w:r w:rsidRPr="000A700A">
                              <w:rPr>
                                <w:rFonts w:ascii="Times New Roman" w:hAnsi="Times New Roman" w:cs="Times New Roman"/>
                                <w:b/>
                                <w:sz w:val="26"/>
                                <w:szCs w:val="26"/>
                                <w:lang w:val="en-GB"/>
                              </w:rPr>
                              <w:t>Table 4.</w:t>
                            </w:r>
                            <w:r w:rsidR="00B57AA7">
                              <w:rPr>
                                <w:rFonts w:ascii="Times New Roman" w:hAnsi="Times New Roman" w:cs="Times New Roman"/>
                                <w:b/>
                                <w:sz w:val="26"/>
                                <w:szCs w:val="26"/>
                                <w:lang w:val="en-GB"/>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2BCC0B" id="_x0000_t202" coordsize="21600,21600" o:spt="202" path="m,l,21600r21600,l21600,xe">
                <v:stroke joinstyle="miter"/>
                <v:path gradientshapeok="t" o:connecttype="rect"/>
              </v:shapetype>
              <v:shape id="Text Box 90" o:spid="_x0000_s1026" type="#_x0000_t202" style="position:absolute;left:0;text-align:left;margin-left:49.05pt;margin-top:-.25pt;width:125.65pt;height:2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" fillcolor="window" stroked="f" strokeweight=".5pt">
                <v:textbox>
                  <w:txbxContent>
                    <w:p w14:paraId="39385AC8" w14:textId="180D65B4" w:rsidR="00051EC1" w:rsidRPr="000A700A" w:rsidRDefault="00051EC1" w:rsidP="00051EC1">
                      <w:pPr>
                        <w:rPr>
                          <w:rFonts w:ascii="Times New Roman" w:hAnsi="Times New Roman" w:cs="Times New Roman"/>
                          <w:b/>
                          <w:sz w:val="26"/>
                          <w:szCs w:val="26"/>
                          <w:lang w:val="en-GB"/>
                        </w:rPr>
                      </w:pPr>
                      <w:r>
                        <w:rPr>
                          <w:rFonts w:ascii="Times New Roman" w:hAnsi="Times New Roman" w:cs="Times New Roman"/>
                          <w:lang w:val="en-GB"/>
                        </w:rPr>
                        <w:t xml:space="preserve">                  </w:t>
                      </w:r>
                      <w:r w:rsidRPr="000A700A">
                        <w:rPr>
                          <w:rFonts w:ascii="Times New Roman" w:hAnsi="Times New Roman" w:cs="Times New Roman"/>
                          <w:b/>
                          <w:sz w:val="26"/>
                          <w:szCs w:val="26"/>
                          <w:lang w:val="en-GB"/>
                        </w:rPr>
                        <w:t>Table 4.</w:t>
                      </w:r>
                      <w:r w:rsidR="00B57AA7">
                        <w:rPr>
                          <w:rFonts w:ascii="Times New Roman" w:hAnsi="Times New Roman" w:cs="Times New Roman"/>
                          <w:b/>
                          <w:sz w:val="26"/>
                          <w:szCs w:val="26"/>
                          <w:lang w:val="en-GB"/>
                        </w:rPr>
                        <w:t>0</w:t>
                      </w:r>
                    </w:p>
                  </w:txbxContent>
                </v:textbox>
              </v:shape>
            </w:pict>
          </mc:Fallback>
        </mc:AlternateContent>
      </w:r>
      <w:r w:rsidRPr="00051EC1">
        <w:rPr>
          <w:rFonts w:ascii="Times New Roman" w:eastAsia="Calibri" w:hAnsi="Times New Roman" w:cs="Times New Roman"/>
          <w:noProof/>
          <w:kern w:val="0"/>
          <w14:ligatures w14:val="none"/>
        </w:rPr>
        <w:drawing>
          <wp:inline distT="0" distB="0" distL="0" distR="0" wp14:anchorId="3CB2874F" wp14:editId="27FDB89E">
            <wp:extent cx="5080958" cy="1725283"/>
            <wp:effectExtent l="0" t="0" r="5715"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99461" cy="1731566"/>
                    </a:xfrm>
                    <a:prstGeom prst="rect">
                      <a:avLst/>
                    </a:prstGeom>
                  </pic:spPr>
                </pic:pic>
              </a:graphicData>
            </a:graphic>
          </wp:inline>
        </w:drawing>
      </w:r>
    </w:p>
    <w:p w14:paraId="595E4487" w14:textId="7DA4FA46"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B57AA7" w:rsidRPr="002C1720">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051EC1" w:rsidRPr="00051EC1" w14:paraId="0C77297E" w14:textId="77777777" w:rsidTr="008C4A86">
        <w:trPr>
          <w:cantSplit/>
        </w:trPr>
        <w:tc>
          <w:tcPr>
            <w:tcW w:w="7889" w:type="dxa"/>
            <w:gridSpan w:val="7"/>
            <w:tcBorders>
              <w:top w:val="nil"/>
              <w:left w:val="nil"/>
              <w:bottom w:val="nil"/>
              <w:right w:val="nil"/>
            </w:tcBorders>
            <w:shd w:val="clear" w:color="auto" w:fill="FFFFFF"/>
          </w:tcPr>
          <w:p w14:paraId="611FB837" w14:textId="53C11434"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b/>
                <w:bCs/>
                <w:color w:val="000000"/>
                <w:kern w:val="0"/>
                <w:vertAlign w:val="superscript"/>
                <w14:ligatures w14:val="none"/>
              </w:rPr>
            </w:pPr>
            <w:r w:rsidRPr="00051EC1">
              <w:rPr>
                <w:rFonts w:ascii="Times New Roman" w:eastAsia="Calibri" w:hAnsi="Times New Roman" w:cs="Times New Roman"/>
                <w:b/>
                <w:bCs/>
                <w:color w:val="000000"/>
                <w:kern w:val="0"/>
                <w14:ligatures w14:val="none"/>
              </w:rPr>
              <w:lastRenderedPageBreak/>
              <w:tab/>
              <w:t xml:space="preserve">Table </w:t>
            </w:r>
            <w:r w:rsidR="00B57AA7" w:rsidRPr="002C1720">
              <w:rPr>
                <w:rFonts w:ascii="Times New Roman" w:eastAsia="Calibri" w:hAnsi="Times New Roman" w:cs="Times New Roman"/>
                <w:b/>
                <w:bCs/>
                <w:color w:val="000000"/>
                <w:kern w:val="0"/>
                <w14:ligatures w14:val="none"/>
              </w:rPr>
              <w:t>5.0</w:t>
            </w:r>
            <w:r w:rsidRPr="00051EC1">
              <w:rPr>
                <w:rFonts w:ascii="Times New Roman" w:eastAsia="Calibri" w:hAnsi="Times New Roman" w:cs="Times New Roman"/>
                <w:b/>
                <w:bCs/>
                <w:color w:val="000000"/>
                <w:kern w:val="0"/>
                <w14:ligatures w14:val="none"/>
              </w:rPr>
              <w:t>: ANOVA</w:t>
            </w:r>
            <w:r w:rsidRPr="00051EC1">
              <w:rPr>
                <w:rFonts w:ascii="Times New Roman" w:eastAsia="Calibri" w:hAnsi="Times New Roman" w:cs="Times New Roman"/>
                <w:b/>
                <w:bCs/>
                <w:color w:val="000000"/>
                <w:kern w:val="0"/>
                <w:vertAlign w:val="superscript"/>
                <w14:ligatures w14:val="none"/>
              </w:rPr>
              <w:t>a</w:t>
            </w:r>
          </w:p>
          <w:p w14:paraId="18EB0DA5"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p>
        </w:tc>
      </w:tr>
      <w:tr w:rsidR="00051EC1" w:rsidRPr="002C1720" w14:paraId="6AA9544D" w14:textId="77777777" w:rsidTr="00051EC1">
        <w:trPr>
          <w:cantSplit/>
        </w:trPr>
        <w:tc>
          <w:tcPr>
            <w:tcW w:w="2003" w:type="dxa"/>
            <w:gridSpan w:val="2"/>
            <w:tcBorders>
              <w:top w:val="single" w:sz="16" w:space="0" w:color="000000"/>
              <w:left w:val="single" w:sz="16" w:space="0" w:color="000000"/>
              <w:bottom w:val="single" w:sz="16" w:space="0" w:color="000000"/>
              <w:right w:val="nil"/>
            </w:tcBorders>
            <w:shd w:val="clear" w:color="auto" w:fill="BFBFBF"/>
          </w:tcPr>
          <w:p w14:paraId="527F833D"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Model</w:t>
            </w:r>
          </w:p>
        </w:tc>
        <w:tc>
          <w:tcPr>
            <w:tcW w:w="1468" w:type="dxa"/>
            <w:tcBorders>
              <w:top w:val="single" w:sz="16" w:space="0" w:color="000000"/>
              <w:left w:val="single" w:sz="16" w:space="0" w:color="000000"/>
              <w:bottom w:val="single" w:sz="16" w:space="0" w:color="000000"/>
            </w:tcBorders>
            <w:shd w:val="clear" w:color="auto" w:fill="BFBFBF"/>
          </w:tcPr>
          <w:p w14:paraId="00DAAB68"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Sum of Squares</w:t>
            </w:r>
          </w:p>
        </w:tc>
        <w:tc>
          <w:tcPr>
            <w:tcW w:w="1009" w:type="dxa"/>
            <w:tcBorders>
              <w:top w:val="single" w:sz="16" w:space="0" w:color="000000"/>
              <w:bottom w:val="single" w:sz="16" w:space="0" w:color="000000"/>
            </w:tcBorders>
            <w:shd w:val="clear" w:color="auto" w:fill="BFBFBF"/>
          </w:tcPr>
          <w:p w14:paraId="5FEE6C00"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Df</w:t>
            </w:r>
          </w:p>
        </w:tc>
        <w:tc>
          <w:tcPr>
            <w:tcW w:w="1391" w:type="dxa"/>
            <w:tcBorders>
              <w:top w:val="single" w:sz="16" w:space="0" w:color="000000"/>
              <w:bottom w:val="single" w:sz="16" w:space="0" w:color="000000"/>
            </w:tcBorders>
            <w:shd w:val="clear" w:color="auto" w:fill="BFBFBF"/>
          </w:tcPr>
          <w:p w14:paraId="58B2372F"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Mean Square</w:t>
            </w:r>
          </w:p>
        </w:tc>
        <w:tc>
          <w:tcPr>
            <w:tcW w:w="1009" w:type="dxa"/>
            <w:tcBorders>
              <w:top w:val="single" w:sz="16" w:space="0" w:color="000000"/>
              <w:bottom w:val="single" w:sz="16" w:space="0" w:color="000000"/>
            </w:tcBorders>
            <w:shd w:val="clear" w:color="auto" w:fill="BFBFBF"/>
          </w:tcPr>
          <w:p w14:paraId="47FBDCB1"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F</w:t>
            </w:r>
          </w:p>
        </w:tc>
        <w:tc>
          <w:tcPr>
            <w:tcW w:w="1009" w:type="dxa"/>
            <w:tcBorders>
              <w:top w:val="single" w:sz="16" w:space="0" w:color="000000"/>
              <w:bottom w:val="single" w:sz="16" w:space="0" w:color="000000"/>
              <w:right w:val="single" w:sz="16" w:space="0" w:color="000000"/>
            </w:tcBorders>
            <w:shd w:val="clear" w:color="auto" w:fill="BFBFBF"/>
          </w:tcPr>
          <w:p w14:paraId="244E4B3E"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Sig.</w:t>
            </w:r>
          </w:p>
        </w:tc>
      </w:tr>
      <w:tr w:rsidR="00051EC1" w:rsidRPr="002C1720" w14:paraId="05FBF5AB" w14:textId="77777777" w:rsidTr="00051EC1">
        <w:trPr>
          <w:cantSplit/>
        </w:trPr>
        <w:tc>
          <w:tcPr>
            <w:tcW w:w="734" w:type="dxa"/>
            <w:vMerge w:val="restart"/>
            <w:tcBorders>
              <w:top w:val="single" w:sz="16" w:space="0" w:color="000000"/>
              <w:left w:val="single" w:sz="16" w:space="0" w:color="000000"/>
              <w:bottom w:val="single" w:sz="16" w:space="0" w:color="000000"/>
              <w:right w:val="nil"/>
            </w:tcBorders>
            <w:shd w:val="clear" w:color="auto" w:fill="BFBFBF"/>
            <w:vAlign w:val="center"/>
          </w:tcPr>
          <w:p w14:paraId="7D13F273"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w:t>
            </w:r>
          </w:p>
        </w:tc>
        <w:tc>
          <w:tcPr>
            <w:tcW w:w="1269" w:type="dxa"/>
            <w:tcBorders>
              <w:top w:val="single" w:sz="16" w:space="0" w:color="000000"/>
              <w:left w:val="nil"/>
              <w:bottom w:val="nil"/>
              <w:right w:val="single" w:sz="16" w:space="0" w:color="000000"/>
            </w:tcBorders>
            <w:shd w:val="clear" w:color="auto" w:fill="BFBFBF"/>
            <w:vAlign w:val="center"/>
          </w:tcPr>
          <w:p w14:paraId="014915E0"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Regression</w:t>
            </w:r>
          </w:p>
        </w:tc>
        <w:tc>
          <w:tcPr>
            <w:tcW w:w="1468" w:type="dxa"/>
            <w:tcBorders>
              <w:top w:val="single" w:sz="16" w:space="0" w:color="000000"/>
              <w:left w:val="single" w:sz="16" w:space="0" w:color="000000"/>
              <w:bottom w:val="nil"/>
            </w:tcBorders>
            <w:shd w:val="clear" w:color="auto" w:fill="FFFFFF"/>
            <w:vAlign w:val="center"/>
          </w:tcPr>
          <w:p w14:paraId="6BD8DBA8"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133602.901</w:t>
            </w:r>
          </w:p>
        </w:tc>
        <w:tc>
          <w:tcPr>
            <w:tcW w:w="1009" w:type="dxa"/>
            <w:tcBorders>
              <w:top w:val="single" w:sz="16" w:space="0" w:color="000000"/>
              <w:bottom w:val="nil"/>
            </w:tcBorders>
            <w:shd w:val="clear" w:color="auto" w:fill="D9D9D9"/>
            <w:vAlign w:val="center"/>
          </w:tcPr>
          <w:p w14:paraId="796FBF74"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w:t>
            </w:r>
          </w:p>
        </w:tc>
        <w:tc>
          <w:tcPr>
            <w:tcW w:w="1391" w:type="dxa"/>
            <w:tcBorders>
              <w:top w:val="single" w:sz="16" w:space="0" w:color="000000"/>
              <w:bottom w:val="nil"/>
            </w:tcBorders>
            <w:shd w:val="clear" w:color="auto" w:fill="FFFFFF"/>
            <w:vAlign w:val="center"/>
          </w:tcPr>
          <w:p w14:paraId="4F10C172"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133602.901</w:t>
            </w:r>
          </w:p>
        </w:tc>
        <w:tc>
          <w:tcPr>
            <w:tcW w:w="1009" w:type="dxa"/>
            <w:tcBorders>
              <w:top w:val="single" w:sz="16" w:space="0" w:color="000000"/>
              <w:bottom w:val="nil"/>
            </w:tcBorders>
            <w:shd w:val="clear" w:color="auto" w:fill="D9D9D9"/>
            <w:vAlign w:val="center"/>
          </w:tcPr>
          <w:p w14:paraId="50DA1971"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2.304</w:t>
            </w:r>
          </w:p>
        </w:tc>
        <w:tc>
          <w:tcPr>
            <w:tcW w:w="1009" w:type="dxa"/>
            <w:tcBorders>
              <w:top w:val="single" w:sz="16" w:space="0" w:color="000000"/>
              <w:bottom w:val="nil"/>
              <w:right w:val="single" w:sz="16" w:space="0" w:color="000000"/>
            </w:tcBorders>
            <w:shd w:val="clear" w:color="auto" w:fill="FFFFFF"/>
            <w:vAlign w:val="center"/>
          </w:tcPr>
          <w:p w14:paraId="5A0ED486"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.149</w:t>
            </w:r>
            <w:r w:rsidRPr="00051EC1">
              <w:rPr>
                <w:rFonts w:ascii="Times New Roman" w:eastAsia="Calibri" w:hAnsi="Times New Roman" w:cs="Times New Roman"/>
                <w:color w:val="000000"/>
                <w:kern w:val="0"/>
                <w:vertAlign w:val="superscript"/>
                <w14:ligatures w14:val="none"/>
              </w:rPr>
              <w:t>b</w:t>
            </w:r>
          </w:p>
        </w:tc>
      </w:tr>
      <w:tr w:rsidR="00051EC1" w:rsidRPr="002C1720" w14:paraId="3757FE14" w14:textId="77777777" w:rsidTr="00051EC1">
        <w:trPr>
          <w:cantSplit/>
        </w:trPr>
        <w:tc>
          <w:tcPr>
            <w:tcW w:w="734" w:type="dxa"/>
            <w:vMerge/>
            <w:tcBorders>
              <w:top w:val="single" w:sz="16" w:space="0" w:color="000000"/>
              <w:left w:val="single" w:sz="16" w:space="0" w:color="000000"/>
              <w:bottom w:val="single" w:sz="16" w:space="0" w:color="000000"/>
              <w:right w:val="nil"/>
            </w:tcBorders>
            <w:shd w:val="clear" w:color="auto" w:fill="BFBFBF"/>
            <w:vAlign w:val="center"/>
          </w:tcPr>
          <w:p w14:paraId="2E0C648F"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color w:val="000000"/>
                <w:kern w:val="0"/>
                <w14:ligatures w14:val="none"/>
              </w:rPr>
            </w:pPr>
          </w:p>
        </w:tc>
        <w:tc>
          <w:tcPr>
            <w:tcW w:w="1269" w:type="dxa"/>
            <w:tcBorders>
              <w:top w:val="nil"/>
              <w:left w:val="nil"/>
              <w:bottom w:val="nil"/>
              <w:right w:val="single" w:sz="16" w:space="0" w:color="000000"/>
            </w:tcBorders>
            <w:shd w:val="clear" w:color="auto" w:fill="BFBFBF"/>
            <w:vAlign w:val="center"/>
          </w:tcPr>
          <w:p w14:paraId="2C7A87B5"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Residual</w:t>
            </w:r>
          </w:p>
        </w:tc>
        <w:tc>
          <w:tcPr>
            <w:tcW w:w="1468" w:type="dxa"/>
            <w:tcBorders>
              <w:top w:val="nil"/>
              <w:left w:val="single" w:sz="16" w:space="0" w:color="000000"/>
              <w:bottom w:val="nil"/>
            </w:tcBorders>
            <w:shd w:val="clear" w:color="auto" w:fill="FFFFFF"/>
            <w:vAlign w:val="center"/>
          </w:tcPr>
          <w:p w14:paraId="73B508B6"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927772.877</w:t>
            </w:r>
          </w:p>
        </w:tc>
        <w:tc>
          <w:tcPr>
            <w:tcW w:w="1009" w:type="dxa"/>
            <w:tcBorders>
              <w:top w:val="nil"/>
              <w:bottom w:val="nil"/>
            </w:tcBorders>
            <w:shd w:val="clear" w:color="auto" w:fill="D9D9D9"/>
            <w:vAlign w:val="center"/>
          </w:tcPr>
          <w:p w14:paraId="031C25C8"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16</w:t>
            </w:r>
          </w:p>
        </w:tc>
        <w:tc>
          <w:tcPr>
            <w:tcW w:w="1391" w:type="dxa"/>
            <w:tcBorders>
              <w:top w:val="nil"/>
              <w:bottom w:val="nil"/>
            </w:tcBorders>
            <w:shd w:val="clear" w:color="auto" w:fill="FFFFFF"/>
            <w:vAlign w:val="center"/>
          </w:tcPr>
          <w:p w14:paraId="69E22047"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57985.805</w:t>
            </w:r>
          </w:p>
        </w:tc>
        <w:tc>
          <w:tcPr>
            <w:tcW w:w="1009" w:type="dxa"/>
            <w:tcBorders>
              <w:top w:val="nil"/>
              <w:bottom w:val="nil"/>
            </w:tcBorders>
            <w:shd w:val="clear" w:color="auto" w:fill="D9D9D9"/>
          </w:tcPr>
          <w:p w14:paraId="22FD2D99"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c>
          <w:tcPr>
            <w:tcW w:w="1009" w:type="dxa"/>
            <w:tcBorders>
              <w:top w:val="nil"/>
              <w:bottom w:val="nil"/>
              <w:right w:val="single" w:sz="16" w:space="0" w:color="000000"/>
            </w:tcBorders>
            <w:shd w:val="clear" w:color="auto" w:fill="FFFFFF"/>
          </w:tcPr>
          <w:p w14:paraId="65CAFCFA"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r>
      <w:tr w:rsidR="00051EC1" w:rsidRPr="002C1720" w14:paraId="7E147C8A" w14:textId="77777777" w:rsidTr="00051EC1">
        <w:trPr>
          <w:cantSplit/>
        </w:trPr>
        <w:tc>
          <w:tcPr>
            <w:tcW w:w="734" w:type="dxa"/>
            <w:vMerge/>
            <w:tcBorders>
              <w:top w:val="single" w:sz="16" w:space="0" w:color="000000"/>
              <w:left w:val="single" w:sz="16" w:space="0" w:color="000000"/>
              <w:bottom w:val="single" w:sz="16" w:space="0" w:color="000000"/>
              <w:right w:val="nil"/>
            </w:tcBorders>
            <w:shd w:val="clear" w:color="auto" w:fill="BFBFBF"/>
            <w:vAlign w:val="center"/>
          </w:tcPr>
          <w:p w14:paraId="45BB1763"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c>
          <w:tcPr>
            <w:tcW w:w="1269" w:type="dxa"/>
            <w:tcBorders>
              <w:top w:val="nil"/>
              <w:left w:val="nil"/>
              <w:bottom w:val="single" w:sz="16" w:space="0" w:color="000000"/>
              <w:right w:val="single" w:sz="16" w:space="0" w:color="000000"/>
            </w:tcBorders>
            <w:shd w:val="clear" w:color="auto" w:fill="BFBFBF"/>
            <w:vAlign w:val="center"/>
          </w:tcPr>
          <w:p w14:paraId="357D0DCD"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Total</w:t>
            </w:r>
          </w:p>
        </w:tc>
        <w:tc>
          <w:tcPr>
            <w:tcW w:w="1468" w:type="dxa"/>
            <w:tcBorders>
              <w:top w:val="nil"/>
              <w:left w:val="single" w:sz="16" w:space="0" w:color="000000"/>
              <w:bottom w:val="single" w:sz="16" w:space="0" w:color="000000"/>
            </w:tcBorders>
            <w:shd w:val="clear" w:color="auto" w:fill="FFFFFF"/>
            <w:vAlign w:val="center"/>
          </w:tcPr>
          <w:p w14:paraId="19874D56"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1061375.778</w:t>
            </w:r>
          </w:p>
        </w:tc>
        <w:tc>
          <w:tcPr>
            <w:tcW w:w="1009" w:type="dxa"/>
            <w:tcBorders>
              <w:top w:val="nil"/>
              <w:bottom w:val="single" w:sz="16" w:space="0" w:color="000000"/>
            </w:tcBorders>
            <w:shd w:val="clear" w:color="auto" w:fill="D9D9D9"/>
            <w:vAlign w:val="center"/>
          </w:tcPr>
          <w:p w14:paraId="76AEAA3D"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17</w:t>
            </w:r>
          </w:p>
        </w:tc>
        <w:tc>
          <w:tcPr>
            <w:tcW w:w="1391" w:type="dxa"/>
            <w:tcBorders>
              <w:top w:val="nil"/>
              <w:bottom w:val="single" w:sz="16" w:space="0" w:color="000000"/>
            </w:tcBorders>
            <w:shd w:val="clear" w:color="auto" w:fill="FFFFFF"/>
          </w:tcPr>
          <w:p w14:paraId="25C5E9BC"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c>
          <w:tcPr>
            <w:tcW w:w="1009" w:type="dxa"/>
            <w:tcBorders>
              <w:top w:val="nil"/>
              <w:bottom w:val="single" w:sz="16" w:space="0" w:color="000000"/>
            </w:tcBorders>
            <w:shd w:val="clear" w:color="auto" w:fill="D9D9D9"/>
          </w:tcPr>
          <w:p w14:paraId="34A4A9A3"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c>
          <w:tcPr>
            <w:tcW w:w="1009" w:type="dxa"/>
            <w:tcBorders>
              <w:top w:val="nil"/>
              <w:bottom w:val="single" w:sz="16" w:space="0" w:color="000000"/>
              <w:right w:val="single" w:sz="16" w:space="0" w:color="000000"/>
            </w:tcBorders>
            <w:shd w:val="clear" w:color="auto" w:fill="FFFFFF"/>
          </w:tcPr>
          <w:p w14:paraId="2C0CB1FA"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r>
      <w:tr w:rsidR="00051EC1" w:rsidRPr="00051EC1" w14:paraId="14EE47E5" w14:textId="77777777" w:rsidTr="008C4A86">
        <w:trPr>
          <w:cantSplit/>
        </w:trPr>
        <w:tc>
          <w:tcPr>
            <w:tcW w:w="7889" w:type="dxa"/>
            <w:gridSpan w:val="7"/>
            <w:tcBorders>
              <w:top w:val="nil"/>
              <w:left w:val="nil"/>
              <w:bottom w:val="nil"/>
              <w:right w:val="nil"/>
            </w:tcBorders>
            <w:shd w:val="clear" w:color="auto" w:fill="FFFFFF"/>
          </w:tcPr>
          <w:p w14:paraId="72FAA73A"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a. Dependent Variable: Areal extent of mixed land uses (Y)</w:t>
            </w:r>
          </w:p>
        </w:tc>
      </w:tr>
      <w:tr w:rsidR="00051EC1" w:rsidRPr="00051EC1" w14:paraId="4A870B72" w14:textId="77777777" w:rsidTr="008C4A86">
        <w:trPr>
          <w:cantSplit/>
        </w:trPr>
        <w:tc>
          <w:tcPr>
            <w:tcW w:w="7889" w:type="dxa"/>
            <w:gridSpan w:val="7"/>
            <w:tcBorders>
              <w:top w:val="nil"/>
              <w:left w:val="nil"/>
              <w:bottom w:val="nil"/>
              <w:right w:val="nil"/>
            </w:tcBorders>
            <w:shd w:val="clear" w:color="auto" w:fill="FFFFFF"/>
          </w:tcPr>
          <w:p w14:paraId="1448DE5B"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b. Predictors: (Constant), Population Concentration (X)</w:t>
            </w:r>
          </w:p>
        </w:tc>
      </w:tr>
    </w:tbl>
    <w:p w14:paraId="39CEEBB5"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p w14:paraId="523549AE" w14:textId="2045B1E2"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1C5A12">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p w14:paraId="61588AA0" w14:textId="061A60ED"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14:ligatures w14:val="none"/>
        </w:rPr>
        <w:t xml:space="preserve">The ANOVA (Table </w:t>
      </w:r>
      <w:r w:rsidR="00B57AA7" w:rsidRPr="002C1720">
        <w:rPr>
          <w:rFonts w:ascii="Times New Roman" w:eastAsia="Calibri" w:hAnsi="Times New Roman" w:cs="Times New Roman"/>
          <w:kern w:val="0"/>
          <w14:ligatures w14:val="none"/>
        </w:rPr>
        <w:t>5.0</w:t>
      </w:r>
      <w:r w:rsidRPr="00051EC1">
        <w:rPr>
          <w:rFonts w:ascii="Times New Roman" w:eastAsia="Calibri" w:hAnsi="Times New Roman" w:cs="Times New Roman"/>
          <w:kern w:val="0"/>
          <w14:ligatures w14:val="none"/>
        </w:rPr>
        <w:t>) of the regression analysis showed a low F-value of 2.3 and a p-value of 0.149. However, considering 95.0 per cent confidence interval with 0.149 which is ≥ 0.05, therefore, the result is not statistically significant.</w:t>
      </w:r>
    </w:p>
    <w:p w14:paraId="1CCB03FA" w14:textId="78ED5849" w:rsid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The Table </w:t>
      </w:r>
      <w:r w:rsidR="00B57AA7" w:rsidRPr="002C1720">
        <w:rPr>
          <w:rFonts w:ascii="Times New Roman" w:eastAsia="Calibri" w:hAnsi="Times New Roman" w:cs="Times New Roman"/>
          <w:kern w:val="0"/>
          <w:lang w:val="en-GB"/>
          <w14:ligatures w14:val="none"/>
        </w:rPr>
        <w:t>6.0</w:t>
      </w:r>
      <w:r w:rsidRPr="00051EC1">
        <w:rPr>
          <w:rFonts w:ascii="Times New Roman" w:eastAsia="Calibri" w:hAnsi="Times New Roman" w:cs="Times New Roman"/>
          <w:kern w:val="0"/>
          <w:lang w:val="en-GB"/>
          <w14:ligatures w14:val="none"/>
        </w:rPr>
        <w:t xml:space="preserve"> showed an explanation of t. value of 1.518 at confidence interval of 95.0 per cent, giving a no statistically significant relationship (p-value = 0.149) between population concentration and the areal extent of mixed land uses. The regression equation is also expressed in the Table of regression coefficients (B) as:  Y</w:t>
      </w:r>
      <w:r w:rsidR="001C5A12">
        <w:rPr>
          <w:rFonts w:ascii="Times New Roman" w:eastAsia="Calibri" w:hAnsi="Times New Roman" w:cs="Times New Roman"/>
          <w:kern w:val="0"/>
          <w:lang w:val="en-GB"/>
          <w14:ligatures w14:val="none"/>
        </w:rPr>
        <w:t>=</w:t>
      </w:r>
      <w:r w:rsidRPr="00051EC1">
        <w:rPr>
          <w:rFonts w:ascii="Times New Roman" w:eastAsia="Calibri" w:hAnsi="Times New Roman" w:cs="Times New Roman"/>
          <w:kern w:val="0"/>
          <w:lang w:val="en-GB"/>
          <w14:ligatures w14:val="none"/>
        </w:rPr>
        <w:t>79.044+1.353x</w:t>
      </w:r>
    </w:p>
    <w:p w14:paraId="3FAD91C8" w14:textId="77777777" w:rsidR="001C5A12" w:rsidRPr="00051EC1" w:rsidRDefault="001C5A12" w:rsidP="002C1720">
      <w:pPr>
        <w:spacing w:after="200" w:line="240" w:lineRule="auto"/>
        <w:jc w:val="both"/>
        <w:rPr>
          <w:rFonts w:ascii="Times New Roman" w:eastAsia="Calibri" w:hAnsi="Times New Roman" w:cs="Times New Roman"/>
          <w:kern w:val="0"/>
          <w:lang w:val="en-GB"/>
          <w14:ligatures w14:val="none"/>
        </w:rPr>
      </w:pPr>
    </w:p>
    <w:p w14:paraId="33645E38" w14:textId="77777777" w:rsidR="00051EC1" w:rsidRPr="00051EC1" w:rsidRDefault="00051EC1" w:rsidP="002C1720">
      <w:pPr>
        <w:spacing w:line="240" w:lineRule="auto"/>
        <w:jc w:val="both"/>
        <w:rPr>
          <w:rFonts w:ascii="Times New Roman" w:eastAsia="Calibri" w:hAnsi="Times New Roman" w:cs="Times New Roman"/>
          <w:b/>
          <w:i/>
          <w:kern w:val="0"/>
          <w14:ligatures w14:val="none"/>
        </w:rPr>
      </w:pPr>
      <w:r w:rsidRPr="00051EC1">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4BA053D9" wp14:editId="60BD8C7D">
                <wp:simplePos x="0" y="0"/>
                <wp:positionH relativeFrom="column">
                  <wp:posOffset>1002389</wp:posOffset>
                </wp:positionH>
                <wp:positionV relativeFrom="paragraph">
                  <wp:posOffset>-1725</wp:posOffset>
                </wp:positionV>
                <wp:extent cx="1345553" cy="293298"/>
                <wp:effectExtent l="0" t="0" r="7620" b="0"/>
                <wp:wrapNone/>
                <wp:docPr id="93" name="Text Box 93"/>
                <wp:cNvGraphicFramePr/>
                <a:graphic xmlns:a="http://schemas.openxmlformats.org/drawingml/2006/main">
                  <a:graphicData uri="http://schemas.microsoft.com/office/word/2010/wordprocessingShape">
                    <wps:wsp>
                      <wps:cNvSpPr txBox="1"/>
                      <wps:spPr>
                        <a:xfrm>
                          <a:off x="0" y="0"/>
                          <a:ext cx="1345553" cy="293298"/>
                        </a:xfrm>
                        <a:prstGeom prst="rect">
                          <a:avLst/>
                        </a:prstGeom>
                        <a:solidFill>
                          <a:sysClr val="window" lastClr="FFFFFF"/>
                        </a:solidFill>
                        <a:ln w="6350">
                          <a:noFill/>
                        </a:ln>
                        <a:effectLst/>
                      </wps:spPr>
                      <wps:txbx>
                        <w:txbxContent>
                          <w:p w14:paraId="02CCEAD7" w14:textId="2B368499" w:rsidR="00051EC1" w:rsidRPr="00A647DB" w:rsidRDefault="00051EC1" w:rsidP="00051EC1">
                            <w:pPr>
                              <w:rPr>
                                <w:rFonts w:ascii="Times New Roman" w:hAnsi="Times New Roman" w:cs="Times New Roman"/>
                                <w:b/>
                                <w:lang w:val="en-GB"/>
                              </w:rPr>
                            </w:pPr>
                            <w:r>
                              <w:rPr>
                                <w:rFonts w:ascii="Times New Roman" w:hAnsi="Times New Roman" w:cs="Times New Roman"/>
                                <w:b/>
                                <w:lang w:val="en-GB"/>
                              </w:rPr>
                              <w:t xml:space="preserve">      Table </w:t>
                            </w:r>
                            <w:r w:rsidR="00B57AA7">
                              <w:rPr>
                                <w:rFonts w:ascii="Times New Roman" w:hAnsi="Times New Roman" w:cs="Times New Roman"/>
                                <w:b/>
                                <w:lang w:val="en-GB"/>
                              </w:rPr>
                              <w:t>6.0</w:t>
                            </w:r>
                            <w:r w:rsidRPr="00A647DB">
                              <w:rPr>
                                <w:rFonts w:ascii="Times New Roman" w:hAnsi="Times New Roman" w:cs="Times New Roman"/>
                                <w:b/>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053D9" id="Text Box 93" o:spid="_x0000_s1027" type="#_x0000_t202" style="position:absolute;left:0;text-align:left;margin-left:78.95pt;margin-top:-.15pt;width:105.9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" fillcolor="window" stroked="f" strokeweight=".5pt">
                <v:textbox>
                  <w:txbxContent>
                    <w:p w14:paraId="02CCEAD7" w14:textId="2B368499" w:rsidR="00051EC1" w:rsidRPr="00A647DB" w:rsidRDefault="00051EC1" w:rsidP="00051EC1">
                      <w:pPr>
                        <w:rPr>
                          <w:rFonts w:ascii="Times New Roman" w:hAnsi="Times New Roman" w:cs="Times New Roman"/>
                          <w:b/>
                          <w:lang w:val="en-GB"/>
                        </w:rPr>
                      </w:pPr>
                      <w:r>
                        <w:rPr>
                          <w:rFonts w:ascii="Times New Roman" w:hAnsi="Times New Roman" w:cs="Times New Roman"/>
                          <w:b/>
                          <w:lang w:val="en-GB"/>
                        </w:rPr>
                        <w:t xml:space="preserve">      Table </w:t>
                      </w:r>
                      <w:r w:rsidR="00B57AA7">
                        <w:rPr>
                          <w:rFonts w:ascii="Times New Roman" w:hAnsi="Times New Roman" w:cs="Times New Roman"/>
                          <w:b/>
                          <w:lang w:val="en-GB"/>
                        </w:rPr>
                        <w:t>6.0</w:t>
                      </w:r>
                      <w:r w:rsidRPr="00A647DB">
                        <w:rPr>
                          <w:rFonts w:ascii="Times New Roman" w:hAnsi="Times New Roman" w:cs="Times New Roman"/>
                          <w:b/>
                          <w:lang w:val="en-GB"/>
                        </w:rPr>
                        <w:t xml:space="preserve">  </w:t>
                      </w:r>
                    </w:p>
                  </w:txbxContent>
                </v:textbox>
              </v:shape>
            </w:pict>
          </mc:Fallback>
        </mc:AlternateContent>
      </w:r>
      <w:r w:rsidRPr="00051EC1">
        <w:rPr>
          <w:rFonts w:ascii="Times New Roman" w:eastAsia="Calibri" w:hAnsi="Times New Roman" w:cs="Times New Roman"/>
          <w:noProof/>
          <w:kern w:val="0"/>
          <w14:ligatures w14:val="none"/>
        </w:rPr>
        <w:drawing>
          <wp:inline distT="0" distB="0" distL="0" distR="0" wp14:anchorId="62C37D63" wp14:editId="00AE20FA">
            <wp:extent cx="5210355" cy="1777041"/>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2080" cy="1777629"/>
                    </a:xfrm>
                    <a:prstGeom prst="rect">
                      <a:avLst/>
                    </a:prstGeom>
                  </pic:spPr>
                </pic:pic>
              </a:graphicData>
            </a:graphic>
          </wp:inline>
        </w:drawing>
      </w:r>
    </w:p>
    <w:p w14:paraId="2C7F605D" w14:textId="6070022B"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B57AA7" w:rsidRPr="002C1720">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p w14:paraId="2DA09758" w14:textId="77777777" w:rsidR="00051EC1" w:rsidRPr="00051EC1" w:rsidRDefault="00051EC1" w:rsidP="002C1720">
      <w:pPr>
        <w:spacing w:line="240" w:lineRule="auto"/>
        <w:jc w:val="both"/>
        <w:rPr>
          <w:rFonts w:ascii="Times New Roman" w:eastAsia="Calibri" w:hAnsi="Times New Roman" w:cs="Times New Roman"/>
          <w:kern w:val="0"/>
          <w14:ligatures w14:val="none"/>
        </w:rPr>
      </w:pPr>
    </w:p>
    <w:p w14:paraId="04DAD05B" w14:textId="77777777" w:rsidR="00051EC1" w:rsidRPr="00051EC1" w:rsidRDefault="00051EC1" w:rsidP="002C1720">
      <w:pPr>
        <w:spacing w:line="240" w:lineRule="auto"/>
        <w:jc w:val="both"/>
        <w:rPr>
          <w:rFonts w:ascii="Times New Roman" w:eastAsia="Calibri" w:hAnsi="Times New Roman" w:cs="Times New Roman"/>
          <w:kern w:val="0"/>
          <w14:ligatures w14:val="none"/>
        </w:rPr>
      </w:pPr>
    </w:p>
    <w:p w14:paraId="5977EE2D"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r w:rsidRPr="00051EC1">
        <w:rPr>
          <w:rFonts w:ascii="Times New Roman" w:eastAsia="Calibri" w:hAnsi="Times New Roman" w:cs="Times New Roman"/>
          <w:noProof/>
          <w:kern w:val="0"/>
          <w14:ligatures w14:val="none"/>
        </w:rPr>
        <w:lastRenderedPageBreak/>
        <w:drawing>
          <wp:inline distT="0" distB="0" distL="0" distR="0" wp14:anchorId="3333BA6A" wp14:editId="628332B3">
            <wp:extent cx="5287993" cy="4752975"/>
            <wp:effectExtent l="0" t="0" r="825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7993" cy="4752975"/>
                    </a:xfrm>
                    <a:prstGeom prst="rect">
                      <a:avLst/>
                    </a:prstGeom>
                    <a:noFill/>
                    <a:ln>
                      <a:noFill/>
                    </a:ln>
                  </pic:spPr>
                </pic:pic>
              </a:graphicData>
            </a:graphic>
          </wp:inline>
        </w:drawing>
      </w:r>
    </w:p>
    <w:p w14:paraId="68F91A3F"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p w14:paraId="3770E44A" w14:textId="680CB5C9"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Figure 4.</w:t>
      </w:r>
      <w:r w:rsidR="00B57AA7" w:rsidRPr="002C1720">
        <w:rPr>
          <w:rFonts w:ascii="Times New Roman" w:eastAsia="Calibri" w:hAnsi="Times New Roman" w:cs="Times New Roman"/>
          <w:b/>
          <w:i/>
          <w:kern w:val="0"/>
          <w14:ligatures w14:val="none"/>
        </w:rPr>
        <w:t>0</w:t>
      </w:r>
      <w:r w:rsidRPr="00051EC1">
        <w:rPr>
          <w:rFonts w:ascii="Times New Roman" w:eastAsia="Calibri" w:hAnsi="Times New Roman" w:cs="Times New Roman"/>
          <w:b/>
          <w:i/>
          <w:kern w:val="0"/>
          <w14:ligatures w14:val="none"/>
        </w:rPr>
        <w:t>:</w:t>
      </w:r>
      <w:r w:rsidRPr="00051EC1">
        <w:rPr>
          <w:rFonts w:ascii="Times New Roman" w:eastAsia="Calibri" w:hAnsi="Times New Roman" w:cs="Times New Roman"/>
          <w:kern w:val="0"/>
          <w14:ligatures w14:val="none"/>
        </w:rPr>
        <w:t xml:space="preserve"> Histogram and Isoline of plots of regression analysis.</w:t>
      </w:r>
    </w:p>
    <w:p w14:paraId="00F2B8F6" w14:textId="77777777" w:rsidR="00051EC1" w:rsidRPr="00051EC1" w:rsidRDefault="00051EC1" w:rsidP="002C1720">
      <w:pPr>
        <w:spacing w:line="240" w:lineRule="auto"/>
        <w:jc w:val="both"/>
        <w:rPr>
          <w:rFonts w:ascii="Times New Roman" w:eastAsia="Calibri" w:hAnsi="Times New Roman" w:cs="Times New Roman"/>
          <w:b/>
          <w:i/>
          <w:kern w:val="0"/>
          <w14:ligatures w14:val="none"/>
        </w:rPr>
      </w:pPr>
    </w:p>
    <w:p w14:paraId="7AAE732E" w14:textId="7A181460"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B57AA7" w:rsidRPr="002C1720">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p w14:paraId="1185A64C" w14:textId="77777777" w:rsidR="00051EC1" w:rsidRPr="00051EC1" w:rsidRDefault="00051EC1" w:rsidP="002C1720">
      <w:pPr>
        <w:spacing w:line="240" w:lineRule="auto"/>
        <w:jc w:val="both"/>
        <w:rPr>
          <w:rFonts w:ascii="Times New Roman" w:eastAsia="Calibri" w:hAnsi="Times New Roman" w:cs="Times New Roman"/>
          <w:kern w:val="0"/>
          <w14:ligatures w14:val="none"/>
        </w:rPr>
      </w:pPr>
    </w:p>
    <w:p w14:paraId="4F4976EB" w14:textId="4460D624"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The histogram of frequency of plots is s Figure 4.13 showing the distribution of regularly spaced variables. The residual plot is not normally distributed and indicates that the assumption of the residual was incorrect.</w:t>
      </w:r>
    </w:p>
    <w:p w14:paraId="5063EFE2"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r w:rsidRPr="00051EC1">
        <w:rPr>
          <w:rFonts w:ascii="Times New Roman" w:eastAsia="Calibri" w:hAnsi="Times New Roman" w:cs="Times New Roman"/>
          <w:b/>
          <w:noProof/>
          <w:kern w:val="0"/>
          <w14:ligatures w14:val="none"/>
        </w:rPr>
        <w:lastRenderedPageBreak/>
        <mc:AlternateContent>
          <mc:Choice Requires="wps">
            <w:drawing>
              <wp:anchor distT="0" distB="0" distL="114300" distR="114300" simplePos="0" relativeHeight="251661312" behindDoc="0" locked="0" layoutInCell="1" allowOverlap="1" wp14:anchorId="5E3CD93A" wp14:editId="5F666048">
                <wp:simplePos x="0" y="0"/>
                <wp:positionH relativeFrom="column">
                  <wp:posOffset>4063820</wp:posOffset>
                </wp:positionH>
                <wp:positionV relativeFrom="paragraph">
                  <wp:posOffset>598229</wp:posOffset>
                </wp:positionV>
                <wp:extent cx="1708030" cy="224287"/>
                <wp:effectExtent l="0" t="0" r="6985" b="4445"/>
                <wp:wrapNone/>
                <wp:docPr id="45" name="Text Box 45"/>
                <wp:cNvGraphicFramePr/>
                <a:graphic xmlns:a="http://schemas.openxmlformats.org/drawingml/2006/main">
                  <a:graphicData uri="http://schemas.microsoft.com/office/word/2010/wordprocessingShape">
                    <wps:wsp>
                      <wps:cNvSpPr txBox="1"/>
                      <wps:spPr>
                        <a:xfrm>
                          <a:off x="0" y="0"/>
                          <a:ext cx="1708030" cy="224287"/>
                        </a:xfrm>
                        <a:prstGeom prst="rect">
                          <a:avLst/>
                        </a:prstGeom>
                        <a:solidFill>
                          <a:sysClr val="window" lastClr="FFFFFF"/>
                        </a:solidFill>
                        <a:ln w="6350">
                          <a:noFill/>
                        </a:ln>
                        <a:effectLst/>
                      </wps:spPr>
                      <wps:txbx>
                        <w:txbxContent>
                          <w:p w14:paraId="34363EBF" w14:textId="3E94FE9B" w:rsidR="00051EC1" w:rsidRPr="00175F47" w:rsidRDefault="00051EC1" w:rsidP="00051EC1">
                            <w:pPr>
                              <w:spacing w:line="480" w:lineRule="auto"/>
                              <w:jc w:val="both"/>
                              <w:rPr>
                                <w:rFonts w:ascii="Times New Roman" w:hAnsi="Times New Roman" w:cs="Times New Roman"/>
                                <w:b/>
                                <w:sz w:val="18"/>
                                <w:szCs w:val="18"/>
                                <w:lang w:val="en-GB"/>
                              </w:rPr>
                            </w:pPr>
                            <w:r w:rsidRPr="00175F47">
                              <w:rPr>
                                <w:rFonts w:ascii="Times New Roman" w:hAnsi="Times New Roman" w:cs="Times New Roman"/>
                                <w:b/>
                                <w:sz w:val="18"/>
                                <w:szCs w:val="18"/>
                                <w:lang w:val="en-GB"/>
                              </w:rPr>
                              <w:t>Y=</w:t>
                            </w:r>
                            <w:r>
                              <w:rPr>
                                <w:rFonts w:ascii="Times New Roman" w:hAnsi="Times New Roman" w:cs="Times New Roman"/>
                                <w:b/>
                                <w:sz w:val="18"/>
                                <w:szCs w:val="18"/>
                                <w:lang w:val="en-GB"/>
                              </w:rPr>
                              <w:t xml:space="preserve"> </w:t>
                            </w:r>
                            <w:r w:rsidRPr="00175F47">
                              <w:rPr>
                                <w:rFonts w:ascii="Times New Roman" w:hAnsi="Times New Roman" w:cs="Times New Roman"/>
                                <w:b/>
                                <w:sz w:val="18"/>
                                <w:szCs w:val="18"/>
                                <w:lang w:val="en-GB"/>
                              </w:rPr>
                              <w:t>-79.044+1.353</w:t>
                            </w:r>
                            <w:r w:rsidR="00234802">
                              <w:rPr>
                                <w:rFonts w:ascii="Times New Roman" w:hAnsi="Times New Roman" w:cs="Times New Roman"/>
                                <w:b/>
                                <w:sz w:val="18"/>
                                <w:szCs w:val="18"/>
                                <w:lang w:val="en-GB"/>
                              </w:rPr>
                              <w:t>X</w:t>
                            </w:r>
                          </w:p>
                          <w:p w14:paraId="201203DD" w14:textId="77777777" w:rsidR="00051EC1" w:rsidRDefault="00051EC1" w:rsidP="00051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D93A" id="Text Box 45" o:spid="_x0000_s1028" type="#_x0000_t202" style="position:absolute;margin-left:320pt;margin-top:47.1pt;width:134.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" fillcolor="window" stroked="f" strokeweight=".5pt">
                <v:textbox>
                  <w:txbxContent>
                    <w:p w14:paraId="34363EBF" w14:textId="3E94FE9B" w:rsidR="00051EC1" w:rsidRPr="00175F47" w:rsidRDefault="00051EC1" w:rsidP="00051EC1">
                      <w:pPr>
                        <w:spacing w:line="480" w:lineRule="auto"/>
                        <w:jc w:val="both"/>
                        <w:rPr>
                          <w:rFonts w:ascii="Times New Roman" w:hAnsi="Times New Roman" w:cs="Times New Roman"/>
                          <w:b/>
                          <w:sz w:val="18"/>
                          <w:szCs w:val="18"/>
                          <w:lang w:val="en-GB"/>
                        </w:rPr>
                      </w:pPr>
                      <w:r w:rsidRPr="00175F47">
                        <w:rPr>
                          <w:rFonts w:ascii="Times New Roman" w:hAnsi="Times New Roman" w:cs="Times New Roman"/>
                          <w:b/>
                          <w:sz w:val="18"/>
                          <w:szCs w:val="18"/>
                          <w:lang w:val="en-GB"/>
                        </w:rPr>
                        <w:t>Y=</w:t>
                      </w:r>
                      <w:r>
                        <w:rPr>
                          <w:rFonts w:ascii="Times New Roman" w:hAnsi="Times New Roman" w:cs="Times New Roman"/>
                          <w:b/>
                          <w:sz w:val="18"/>
                          <w:szCs w:val="18"/>
                          <w:lang w:val="en-GB"/>
                        </w:rPr>
                        <w:t xml:space="preserve"> </w:t>
                      </w:r>
                      <w:r w:rsidRPr="00175F47">
                        <w:rPr>
                          <w:rFonts w:ascii="Times New Roman" w:hAnsi="Times New Roman" w:cs="Times New Roman"/>
                          <w:b/>
                          <w:sz w:val="18"/>
                          <w:szCs w:val="18"/>
                          <w:lang w:val="en-GB"/>
                        </w:rPr>
                        <w:t>-79.044+1.353</w:t>
                      </w:r>
                      <w:r w:rsidR="00234802">
                        <w:rPr>
                          <w:rFonts w:ascii="Times New Roman" w:hAnsi="Times New Roman" w:cs="Times New Roman"/>
                          <w:b/>
                          <w:sz w:val="18"/>
                          <w:szCs w:val="18"/>
                          <w:lang w:val="en-GB"/>
                        </w:rPr>
                        <w:t>X</w:t>
                      </w:r>
                    </w:p>
                    <w:p w14:paraId="201203DD" w14:textId="77777777" w:rsidR="00051EC1" w:rsidRDefault="00051EC1" w:rsidP="00051EC1"/>
                  </w:txbxContent>
                </v:textbox>
              </v:shape>
            </w:pict>
          </mc:Fallback>
        </mc:AlternateConten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noProof/>
          <w:kern w:val="0"/>
          <w14:ligatures w14:val="none"/>
        </w:rPr>
        <w:drawing>
          <wp:inline distT="0" distB="0" distL="0" distR="0" wp14:anchorId="75889EAB" wp14:editId="153BF146">
            <wp:extent cx="4304581" cy="4752975"/>
            <wp:effectExtent l="0" t="0" r="127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4581" cy="4752975"/>
                    </a:xfrm>
                    <a:prstGeom prst="rect">
                      <a:avLst/>
                    </a:prstGeom>
                    <a:noFill/>
                    <a:ln>
                      <a:noFill/>
                    </a:ln>
                  </pic:spPr>
                </pic:pic>
              </a:graphicData>
            </a:graphic>
          </wp:inline>
        </w:drawing>
      </w:r>
    </w:p>
    <w:p w14:paraId="24F69B21" w14:textId="77777777" w:rsidR="00051EC1" w:rsidRPr="00051EC1" w:rsidRDefault="00051EC1" w:rsidP="002C1720">
      <w:pPr>
        <w:spacing w:after="200" w:line="240" w:lineRule="auto"/>
        <w:jc w:val="both"/>
        <w:rPr>
          <w:rFonts w:ascii="Times New Roman" w:eastAsia="Times New Roman" w:hAnsi="Times New Roman" w:cs="Times New Roman"/>
          <w:b/>
          <w:bCs/>
          <w:kern w:val="0"/>
          <w14:ligatures w14:val="none"/>
        </w:rPr>
      </w:pPr>
    </w:p>
    <w:p w14:paraId="23A9F54A" w14:textId="42277B93" w:rsidR="00051EC1" w:rsidRPr="00051EC1" w:rsidRDefault="00051EC1" w:rsidP="002C1720">
      <w:pPr>
        <w:spacing w:line="240" w:lineRule="auto"/>
        <w:jc w:val="both"/>
        <w:rPr>
          <w:rFonts w:ascii="Times New Roman" w:eastAsia="Calibri" w:hAnsi="Times New Roman" w:cs="Times New Roman"/>
          <w:b/>
          <w:kern w:val="0"/>
          <w:lang w:val="en-GB"/>
          <w14:ligatures w14:val="none"/>
        </w:rPr>
      </w:pPr>
      <w:r w:rsidRPr="00051EC1">
        <w:rPr>
          <w:rFonts w:ascii="Times New Roman" w:eastAsia="Calibri" w:hAnsi="Times New Roman" w:cs="Times New Roman"/>
          <w:b/>
          <w:i/>
          <w:kern w:val="0"/>
          <w:lang w:val="en-GB"/>
          <w14:ligatures w14:val="none"/>
        </w:rPr>
        <w:t xml:space="preserve">Figure </w:t>
      </w:r>
      <w:r w:rsidR="00B57AA7" w:rsidRPr="002C1720">
        <w:rPr>
          <w:rFonts w:ascii="Times New Roman" w:eastAsia="Calibri" w:hAnsi="Times New Roman" w:cs="Times New Roman"/>
          <w:b/>
          <w:i/>
          <w:kern w:val="0"/>
          <w:lang w:val="en-GB"/>
          <w14:ligatures w14:val="none"/>
        </w:rPr>
        <w:t>5.0</w:t>
      </w:r>
      <w:r w:rsidRPr="00051EC1">
        <w:rPr>
          <w:rFonts w:ascii="Times New Roman" w:eastAsia="Calibri" w:hAnsi="Times New Roman" w:cs="Times New Roman"/>
          <w:b/>
          <w:kern w:val="0"/>
          <w:lang w:val="en-GB"/>
          <w14:ligatures w14:val="none"/>
        </w:rPr>
        <w:t>: Normal plot of regression residuals</w:t>
      </w:r>
      <w:r w:rsidRPr="00051EC1">
        <w:rPr>
          <w:rFonts w:ascii="Times New Roman" w:eastAsia="Calibri" w:hAnsi="Times New Roman" w:cs="Times New Roman"/>
          <w:b/>
          <w:kern w:val="0"/>
          <w:lang w:val="en-GB"/>
          <w14:ligatures w14:val="none"/>
        </w:rPr>
        <w:tab/>
      </w:r>
    </w:p>
    <w:p w14:paraId="4A33E97B" w14:textId="77777777" w:rsidR="00051EC1" w:rsidRPr="00051EC1" w:rsidRDefault="00051EC1" w:rsidP="002C1720">
      <w:pPr>
        <w:spacing w:line="240" w:lineRule="auto"/>
        <w:jc w:val="both"/>
        <w:rPr>
          <w:rFonts w:ascii="Times New Roman" w:eastAsia="Calibri" w:hAnsi="Times New Roman" w:cs="Times New Roman"/>
          <w:b/>
          <w:i/>
          <w:kern w:val="0"/>
          <w14:ligatures w14:val="none"/>
        </w:rPr>
      </w:pPr>
    </w:p>
    <w:p w14:paraId="4490E61B" w14:textId="7ED6F920"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B57AA7" w:rsidRPr="002C1720">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p w14:paraId="05D86C29" w14:textId="77777777"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p>
    <w:p w14:paraId="5ABA05E8" w14:textId="54306980" w:rsid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The Figure </w:t>
      </w:r>
      <w:r w:rsidR="00B57AA7" w:rsidRPr="002C1720">
        <w:rPr>
          <w:rFonts w:ascii="Times New Roman" w:eastAsia="Calibri" w:hAnsi="Times New Roman" w:cs="Times New Roman"/>
          <w:kern w:val="0"/>
          <w:lang w:val="en-GB"/>
          <w14:ligatures w14:val="none"/>
        </w:rPr>
        <w:t>5.0</w:t>
      </w:r>
      <w:r w:rsidRPr="00051EC1">
        <w:rPr>
          <w:rFonts w:ascii="Times New Roman" w:eastAsia="Calibri" w:hAnsi="Times New Roman" w:cs="Times New Roman"/>
          <w:kern w:val="0"/>
          <w:lang w:val="en-GB"/>
          <w14:ligatures w14:val="none"/>
        </w:rPr>
        <w:t xml:space="preserve"> showed the assumption that the residuals are not related to the explanatory variables and hence, the slope of the regression plot demonstrates a gradual </w:t>
      </w:r>
      <w:r w:rsidR="001C5A12" w:rsidRPr="00051EC1">
        <w:rPr>
          <w:rFonts w:ascii="Times New Roman" w:eastAsia="Calibri" w:hAnsi="Times New Roman" w:cs="Times New Roman"/>
          <w:kern w:val="0"/>
          <w:lang w:val="en-GB"/>
          <w14:ligatures w14:val="none"/>
        </w:rPr>
        <w:t>downward</w:t>
      </w:r>
      <w:r w:rsidRPr="00051EC1">
        <w:rPr>
          <w:rFonts w:ascii="Times New Roman" w:eastAsia="Calibri" w:hAnsi="Times New Roman" w:cs="Times New Roman"/>
          <w:kern w:val="0"/>
          <w:lang w:val="en-GB"/>
          <w14:ligatures w14:val="none"/>
        </w:rPr>
        <w:t xml:space="preserve"> movement from right to left which is normal. It also showed a </w:t>
      </w:r>
      <w:r w:rsidR="001C5A12" w:rsidRPr="00051EC1">
        <w:rPr>
          <w:rFonts w:ascii="Times New Roman" w:eastAsia="Calibri" w:hAnsi="Times New Roman" w:cs="Times New Roman"/>
          <w:kern w:val="0"/>
          <w:lang w:val="en-GB"/>
          <w14:ligatures w14:val="none"/>
        </w:rPr>
        <w:t>straight-line</w:t>
      </w:r>
      <w:r w:rsidRPr="00051EC1">
        <w:rPr>
          <w:rFonts w:ascii="Times New Roman" w:eastAsia="Calibri" w:hAnsi="Times New Roman" w:cs="Times New Roman"/>
          <w:kern w:val="0"/>
          <w:lang w:val="en-GB"/>
          <w14:ligatures w14:val="none"/>
        </w:rPr>
        <w:t xml:space="preserve"> relationship between the residuals and the predicted responses.</w:t>
      </w:r>
      <w:r w:rsidRPr="00051EC1">
        <w:rPr>
          <w:rFonts w:ascii="Times New Roman" w:eastAsia="Calibri" w:hAnsi="Times New Roman" w:cs="Times New Roman"/>
          <w:kern w:val="0"/>
          <w:lang w:val="en-GB"/>
          <w14:ligatures w14:val="none"/>
        </w:rPr>
        <w:tab/>
      </w:r>
    </w:p>
    <w:p w14:paraId="650F98CD" w14:textId="77777777" w:rsidR="001C5A12" w:rsidRPr="00051EC1" w:rsidRDefault="001C5A12" w:rsidP="002C1720">
      <w:pPr>
        <w:spacing w:after="200" w:line="240" w:lineRule="auto"/>
        <w:jc w:val="both"/>
        <w:rPr>
          <w:rFonts w:ascii="Times New Roman" w:eastAsia="Calibri" w:hAnsi="Times New Roman" w:cs="Times New Roman"/>
          <w:kern w:val="0"/>
          <w:lang w:val="en-GB"/>
          <w14:ligatures w14:val="none"/>
        </w:rPr>
      </w:pPr>
    </w:p>
    <w:p w14:paraId="0ABB1FD3" w14:textId="51CC643C" w:rsidR="00051EC1" w:rsidRPr="001C5A12" w:rsidRDefault="00C70366" w:rsidP="002C1720">
      <w:pPr>
        <w:spacing w:line="240" w:lineRule="auto"/>
        <w:rPr>
          <w:rFonts w:ascii="Times New Roman" w:hAnsi="Times New Roman" w:cs="Times New Roman"/>
          <w:b/>
          <w:bCs/>
        </w:rPr>
      </w:pPr>
      <w:r>
        <w:rPr>
          <w:rFonts w:ascii="Times New Roman" w:hAnsi="Times New Roman" w:cs="Times New Roman"/>
          <w:b/>
          <w:bCs/>
        </w:rPr>
        <w:t xml:space="preserve">IV. </w:t>
      </w:r>
      <w:r w:rsidR="00051EC1" w:rsidRPr="001C5A12">
        <w:rPr>
          <w:rFonts w:ascii="Times New Roman" w:hAnsi="Times New Roman" w:cs="Times New Roman"/>
          <w:b/>
          <w:bCs/>
        </w:rPr>
        <w:t>DISCUSSION</w:t>
      </w:r>
    </w:p>
    <w:p w14:paraId="3D2E4426" w14:textId="2E707CAE" w:rsidR="00051EC1" w:rsidRPr="00051EC1" w:rsidRDefault="001C5A12" w:rsidP="002C1720">
      <w:pPr>
        <w:spacing w:after="20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The h</w:t>
      </w:r>
      <w:r w:rsidR="00051EC1" w:rsidRPr="00051EC1">
        <w:rPr>
          <w:rFonts w:ascii="Times New Roman" w:eastAsia="Calibri" w:hAnsi="Times New Roman" w:cs="Times New Roman"/>
          <w:kern w:val="0"/>
          <w:lang w:val="en-GB"/>
          <w14:ligatures w14:val="none"/>
        </w:rPr>
        <w:t xml:space="preserve">ypothesis </w:t>
      </w:r>
      <w:r>
        <w:rPr>
          <w:rFonts w:ascii="Times New Roman" w:eastAsia="Calibri" w:hAnsi="Times New Roman" w:cs="Times New Roman"/>
          <w:kern w:val="0"/>
          <w:lang w:val="en-GB"/>
          <w14:ligatures w14:val="none"/>
        </w:rPr>
        <w:t>was formulated</w:t>
      </w:r>
      <w:r w:rsidR="00051EC1" w:rsidRPr="00051EC1">
        <w:rPr>
          <w:rFonts w:ascii="Times New Roman" w:eastAsia="Calibri" w:hAnsi="Times New Roman" w:cs="Times New Roman"/>
          <w:kern w:val="0"/>
          <w:lang w:val="en-GB"/>
          <w14:ligatures w14:val="none"/>
        </w:rPr>
        <w:t xml:space="preserve"> to test whether there is a significant relationship between population concentration and the areal extent (m</w:t>
      </w:r>
      <w:r w:rsidR="00051EC1" w:rsidRPr="00051EC1">
        <w:rPr>
          <w:rFonts w:ascii="Times New Roman" w:eastAsia="Calibri" w:hAnsi="Times New Roman" w:cs="Times New Roman"/>
          <w:kern w:val="0"/>
          <w:vertAlign w:val="superscript"/>
          <w:lang w:val="en-GB"/>
          <w14:ligatures w14:val="none"/>
        </w:rPr>
        <w:t>2</w:t>
      </w:r>
      <w:r w:rsidR="00051EC1" w:rsidRPr="00051EC1">
        <w:rPr>
          <w:rFonts w:ascii="Times New Roman" w:eastAsia="Calibri" w:hAnsi="Times New Roman" w:cs="Times New Roman"/>
          <w:kern w:val="0"/>
          <w:lang w:val="en-GB"/>
          <w14:ligatures w14:val="none"/>
        </w:rPr>
        <w:t xml:space="preserve">) of mixed land uses. The data set in Table </w:t>
      </w:r>
      <w:r>
        <w:rPr>
          <w:rFonts w:ascii="Times New Roman" w:eastAsia="Calibri" w:hAnsi="Times New Roman" w:cs="Times New Roman"/>
          <w:kern w:val="0"/>
          <w:lang w:val="en-GB"/>
          <w14:ligatures w14:val="none"/>
        </w:rPr>
        <w:t xml:space="preserve">3.0 </w:t>
      </w:r>
      <w:r w:rsidR="00051EC1" w:rsidRPr="00051EC1">
        <w:rPr>
          <w:rFonts w:ascii="Times New Roman" w:eastAsia="Calibri" w:hAnsi="Times New Roman" w:cs="Times New Roman"/>
          <w:kern w:val="0"/>
          <w:lang w:val="en-GB"/>
          <w14:ligatures w14:val="none"/>
        </w:rPr>
        <w:t xml:space="preserve">was used in testing the hypothesis. The Simple Linear Regression analysis was the test statistic </w:t>
      </w:r>
      <w:r w:rsidR="00051EC1" w:rsidRPr="00051EC1">
        <w:rPr>
          <w:rFonts w:ascii="Times New Roman" w:eastAsia="Calibri" w:hAnsi="Times New Roman" w:cs="Times New Roman"/>
          <w:kern w:val="0"/>
          <w:lang w:val="en-GB"/>
          <w14:ligatures w14:val="none"/>
        </w:rPr>
        <w:lastRenderedPageBreak/>
        <w:t>applied. The result was not significant and hence, accepted the null hypothesis (Ho) which states that there is no significant relationship between population concentration and the areal extent (m</w:t>
      </w:r>
      <w:r w:rsidR="00051EC1" w:rsidRPr="00051EC1">
        <w:rPr>
          <w:rFonts w:ascii="Times New Roman" w:eastAsia="Calibri" w:hAnsi="Times New Roman" w:cs="Times New Roman"/>
          <w:kern w:val="0"/>
          <w:vertAlign w:val="superscript"/>
          <w:lang w:val="en-GB"/>
          <w14:ligatures w14:val="none"/>
        </w:rPr>
        <w:t>2</w:t>
      </w:r>
      <w:r w:rsidR="00051EC1" w:rsidRPr="00051EC1">
        <w:rPr>
          <w:rFonts w:ascii="Times New Roman" w:eastAsia="Calibri" w:hAnsi="Times New Roman" w:cs="Times New Roman"/>
          <w:kern w:val="0"/>
          <w:lang w:val="en-GB"/>
          <w14:ligatures w14:val="none"/>
        </w:rPr>
        <w:t>) of mixed land uses within the neighbourhood zones of Calabar Metropolis. The result therefore, illustrated that the overall model fit was R</w:t>
      </w:r>
      <w:r w:rsidR="00051EC1" w:rsidRPr="00051EC1">
        <w:rPr>
          <w:rFonts w:ascii="Times New Roman" w:eastAsia="Calibri" w:hAnsi="Times New Roman" w:cs="Times New Roman"/>
          <w:kern w:val="0"/>
          <w:vertAlign w:val="superscript"/>
          <w:lang w:val="en-GB"/>
          <w14:ligatures w14:val="none"/>
        </w:rPr>
        <w:t>2</w:t>
      </w:r>
      <w:r w:rsidR="00051EC1" w:rsidRPr="00051EC1">
        <w:rPr>
          <w:rFonts w:ascii="Times New Roman" w:eastAsia="Calibri" w:hAnsi="Times New Roman" w:cs="Times New Roman"/>
          <w:kern w:val="0"/>
          <w:lang w:val="en-GB"/>
          <w14:ligatures w14:val="none"/>
        </w:rPr>
        <w:t xml:space="preserve"> = 0.126 (Table 4.</w:t>
      </w:r>
      <w:r w:rsidR="002C1720" w:rsidRPr="002C1720">
        <w:rPr>
          <w:rFonts w:ascii="Times New Roman" w:eastAsia="Calibri" w:hAnsi="Times New Roman" w:cs="Times New Roman"/>
          <w:kern w:val="0"/>
          <w:lang w:val="en-GB"/>
          <w14:ligatures w14:val="none"/>
        </w:rPr>
        <w:t>0</w:t>
      </w:r>
      <w:r w:rsidR="00051EC1" w:rsidRPr="00051EC1">
        <w:rPr>
          <w:rFonts w:ascii="Times New Roman" w:eastAsia="Calibri" w:hAnsi="Times New Roman" w:cs="Times New Roman"/>
          <w:kern w:val="0"/>
          <w:lang w:val="en-GB"/>
          <w14:ligatures w14:val="none"/>
        </w:rPr>
        <w:t xml:space="preserve">). It implied an explanation of t.value of 1.518 and p-value of 0.149 ≥ 0.05 level of confidence at confidence interval of 95.0 per cent (Tables </w:t>
      </w:r>
      <w:r w:rsidR="002C1720" w:rsidRPr="002C1720">
        <w:rPr>
          <w:rFonts w:ascii="Times New Roman" w:eastAsia="Calibri" w:hAnsi="Times New Roman" w:cs="Times New Roman"/>
          <w:kern w:val="0"/>
          <w:lang w:val="en-GB"/>
          <w14:ligatures w14:val="none"/>
        </w:rPr>
        <w:t>5.0</w:t>
      </w:r>
      <w:r w:rsidR="00051EC1" w:rsidRPr="00051EC1">
        <w:rPr>
          <w:rFonts w:ascii="Times New Roman" w:eastAsia="Calibri" w:hAnsi="Times New Roman" w:cs="Times New Roman"/>
          <w:kern w:val="0"/>
          <w:lang w:val="en-GB"/>
          <w14:ligatures w14:val="none"/>
        </w:rPr>
        <w:t xml:space="preserve"> and </w:t>
      </w:r>
      <w:r w:rsidR="002C1720" w:rsidRPr="002C1720">
        <w:rPr>
          <w:rFonts w:ascii="Times New Roman" w:eastAsia="Calibri" w:hAnsi="Times New Roman" w:cs="Times New Roman"/>
          <w:kern w:val="0"/>
          <w:lang w:val="en-GB"/>
          <w14:ligatures w14:val="none"/>
        </w:rPr>
        <w:t>6.0</w:t>
      </w:r>
      <w:r w:rsidR="00051EC1" w:rsidRPr="00051EC1">
        <w:rPr>
          <w:rFonts w:ascii="Times New Roman" w:eastAsia="Calibri" w:hAnsi="Times New Roman" w:cs="Times New Roman"/>
          <w:kern w:val="0"/>
          <w:lang w:val="en-GB"/>
          <w14:ligatures w14:val="none"/>
        </w:rPr>
        <w:t>)</w:t>
      </w:r>
      <w:r w:rsidR="002C1720" w:rsidRPr="002C1720">
        <w:rPr>
          <w:rFonts w:ascii="Times New Roman" w:eastAsia="Calibri" w:hAnsi="Times New Roman" w:cs="Times New Roman"/>
          <w:kern w:val="0"/>
          <w:lang w:val="en-GB"/>
          <w14:ligatures w14:val="none"/>
        </w:rPr>
        <w:t xml:space="preserve"> respectively</w:t>
      </w:r>
      <w:r w:rsidR="00051EC1" w:rsidRPr="00051EC1">
        <w:rPr>
          <w:rFonts w:ascii="Times New Roman" w:eastAsia="Calibri" w:hAnsi="Times New Roman" w:cs="Times New Roman"/>
          <w:kern w:val="0"/>
          <w:lang w:val="en-GB"/>
          <w14:ligatures w14:val="none"/>
        </w:rPr>
        <w:t xml:space="preserve">. Simply put, the result of the test showed that population concentration has not potentially predicted increase in development of mixed land uses in Calabar Metropolis. Therefore, population concentration is not a causal factor of mixed land uses. This also implied that mixed land uses are simply activity areas where people are not living. The areas of thick population </w:t>
      </w:r>
      <w:r w:rsidR="002C1720" w:rsidRPr="002C1720">
        <w:rPr>
          <w:rFonts w:ascii="Times New Roman" w:eastAsia="Calibri" w:hAnsi="Times New Roman" w:cs="Times New Roman"/>
          <w:kern w:val="0"/>
          <w:lang w:val="en-GB"/>
          <w14:ligatures w14:val="none"/>
        </w:rPr>
        <w:t>comprise</w:t>
      </w:r>
      <w:r w:rsidR="00051EC1" w:rsidRPr="00051EC1">
        <w:rPr>
          <w:rFonts w:ascii="Times New Roman" w:eastAsia="Calibri" w:hAnsi="Times New Roman" w:cs="Times New Roman"/>
          <w:kern w:val="0"/>
          <w:lang w:val="en-GB"/>
          <w14:ligatures w14:val="none"/>
        </w:rPr>
        <w:t xml:space="preserve"> the settlement areas while activity areas are not living areas but areas used for businesses, offices, and other </w:t>
      </w:r>
      <w:r w:rsidR="002C1720" w:rsidRPr="002C1720">
        <w:rPr>
          <w:rFonts w:ascii="Times New Roman" w:eastAsia="Calibri" w:hAnsi="Times New Roman" w:cs="Times New Roman"/>
          <w:kern w:val="0"/>
          <w:lang w:val="en-GB"/>
          <w14:ligatures w14:val="none"/>
        </w:rPr>
        <w:t>activities</w:t>
      </w:r>
    </w:p>
    <w:p w14:paraId="32F94856" w14:textId="6121CBC1"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 This result further pointed to the fact that population concentration has not influenced the development of mixed land uses in Calabar Metropolis. However, this result showed a total deviation from the norm which should have been, where people are many, more mixed land uses would be developed in such areas, for example, Ekpo Abasi, Etta Agbor, Akim, Esin Ufot (Table </w:t>
      </w:r>
      <w:r w:rsidR="002C1720" w:rsidRPr="002C1720">
        <w:rPr>
          <w:rFonts w:ascii="Times New Roman" w:eastAsia="Calibri" w:hAnsi="Times New Roman" w:cs="Times New Roman"/>
          <w:kern w:val="0"/>
          <w14:ligatures w14:val="none"/>
        </w:rPr>
        <w:t>3.0</w:t>
      </w:r>
      <w:r w:rsidRPr="00051EC1">
        <w:rPr>
          <w:rFonts w:ascii="Times New Roman" w:eastAsia="Calibri" w:hAnsi="Times New Roman" w:cs="Times New Roman"/>
          <w:kern w:val="0"/>
          <w14:ligatures w14:val="none"/>
        </w:rPr>
        <w:t xml:space="preserve"> and Figure </w:t>
      </w:r>
      <w:r w:rsidR="002C1720" w:rsidRPr="002C1720">
        <w:rPr>
          <w:rFonts w:ascii="Times New Roman" w:eastAsia="Calibri" w:hAnsi="Times New Roman" w:cs="Times New Roman"/>
          <w:kern w:val="0"/>
          <w14:ligatures w14:val="none"/>
        </w:rPr>
        <w:t>3.0</w:t>
      </w:r>
      <w:r w:rsidRPr="00051EC1">
        <w:rPr>
          <w:rFonts w:ascii="Times New Roman" w:eastAsia="Calibri" w:hAnsi="Times New Roman" w:cs="Times New Roman"/>
          <w:kern w:val="0"/>
          <w14:ligatures w14:val="none"/>
        </w:rPr>
        <w:t xml:space="preserve"> showed these distributions). This result, therefore, calls for further investigation.</w:t>
      </w:r>
    </w:p>
    <w:p w14:paraId="2058DF9D" w14:textId="184E4A0B"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Responses on the Likert scale were also used to measure qualitatively the relationship between population concentration and mixed land uses. Table </w:t>
      </w:r>
      <w:r w:rsidR="002C1720" w:rsidRPr="002C1720">
        <w:rPr>
          <w:rFonts w:ascii="Times New Roman" w:eastAsia="Calibri" w:hAnsi="Times New Roman" w:cs="Times New Roman"/>
          <w:kern w:val="0"/>
          <w14:ligatures w14:val="none"/>
        </w:rPr>
        <w:t>3.0</w:t>
      </w:r>
      <w:r w:rsidRPr="00051EC1">
        <w:rPr>
          <w:rFonts w:ascii="Times New Roman" w:eastAsia="Calibri" w:hAnsi="Times New Roman" w:cs="Times New Roman"/>
          <w:kern w:val="0"/>
          <w14:ligatures w14:val="none"/>
        </w:rPr>
        <w:t xml:space="preserve"> showed the relationship between population concentration and the areal extent of mixed land uses. The analysis is represented in a bar graph (Figure</w:t>
      </w:r>
      <w:r w:rsidR="002C1720" w:rsidRPr="002C1720">
        <w:rPr>
          <w:rFonts w:ascii="Times New Roman" w:eastAsia="Calibri" w:hAnsi="Times New Roman" w:cs="Times New Roman"/>
          <w:kern w:val="0"/>
          <w14:ligatures w14:val="none"/>
        </w:rPr>
        <w:t xml:space="preserve"> 2.0</w:t>
      </w:r>
      <w:r w:rsidRPr="00051EC1">
        <w:rPr>
          <w:rFonts w:ascii="Times New Roman" w:eastAsia="Calibri" w:hAnsi="Times New Roman" w:cs="Times New Roman"/>
          <w:kern w:val="0"/>
          <w14:ligatures w14:val="none"/>
        </w:rPr>
        <w:t>).</w:t>
      </w:r>
    </w:p>
    <w:p w14:paraId="0C8751BF" w14:textId="3B070875"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The analyses were meant to evaluate the influence of population concentration on the areal extent of mixed land uses within the neighbourhood zones of Calabar Metropolis. This result was, however, not seen in a study by Obongha, et al., (2022) who noted that mixed land uses, such as gasoline stations, abattoir, open markets, and poultry farms in residential zones affect safety and, therefore, result to environmental degradation of the areas where they occur. The result disagreed with the views of Obongha (2019) that population concentration combined with mixed land uses within a city centre bring about insecurity (such as kidnapping, </w:t>
      </w:r>
      <w:r w:rsidR="001C5A12" w:rsidRPr="00051EC1">
        <w:rPr>
          <w:rFonts w:ascii="Times New Roman" w:eastAsia="Calibri" w:hAnsi="Times New Roman" w:cs="Times New Roman"/>
          <w:kern w:val="0"/>
          <w14:ligatures w14:val="none"/>
        </w:rPr>
        <w:t>robbery</w:t>
      </w:r>
      <w:r w:rsidRPr="00051EC1">
        <w:rPr>
          <w:rFonts w:ascii="Times New Roman" w:eastAsia="Calibri" w:hAnsi="Times New Roman" w:cs="Times New Roman"/>
          <w:kern w:val="0"/>
          <w14:ligatures w14:val="none"/>
        </w:rPr>
        <w:t xml:space="preserve">, looting and burglary) and anti-social behaviour (such as fighting, heavy drinking, incivility, congestion, and disorderliness). </w:t>
      </w:r>
    </w:p>
    <w:p w14:paraId="3E57B958" w14:textId="29D0552E" w:rsid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The findings of Odunola and Odunjo (2015) were quite different with this result since mixed land uses and population concentration are not related then, the two variables cannot bring about traffic congestion, delay fares and cause accidents. They pointed out that pollution and indiscriminate dumping of waste are causal attributes of the two variables under study. The no significant relationship between population concentration and the areal extent of mixed land uses was also not in agreement with the findings of Fan, et al., (2009) and Oka (2009). They found that the demand for land would always increase as population increases and that population concentration has resulted to land use alteration and alternation. Jointly, they cause negative impact on the spatio-temporal land cover features of Calabar Metropolis. Park’s ecological theory which explains how human population collectively adapts, invades, succeeds, and dominates the environment was also not seen in the result of this study, which calls for further investigation.</w:t>
      </w:r>
    </w:p>
    <w:p w14:paraId="7711BB2D" w14:textId="77777777" w:rsidR="001C5A12" w:rsidRDefault="001C5A12" w:rsidP="002C1720">
      <w:pPr>
        <w:spacing w:line="240" w:lineRule="auto"/>
        <w:jc w:val="both"/>
        <w:rPr>
          <w:rFonts w:ascii="Times New Roman" w:eastAsia="Calibri" w:hAnsi="Times New Roman" w:cs="Times New Roman"/>
          <w:kern w:val="0"/>
          <w14:ligatures w14:val="none"/>
        </w:rPr>
      </w:pPr>
    </w:p>
    <w:p w14:paraId="75D66A7D" w14:textId="77777777" w:rsidR="001C5A12" w:rsidRDefault="001C5A12" w:rsidP="002C1720">
      <w:pPr>
        <w:spacing w:line="240" w:lineRule="auto"/>
        <w:jc w:val="both"/>
        <w:rPr>
          <w:rFonts w:ascii="Times New Roman" w:eastAsia="Calibri" w:hAnsi="Times New Roman" w:cs="Times New Roman"/>
          <w:kern w:val="0"/>
          <w14:ligatures w14:val="none"/>
        </w:rPr>
      </w:pPr>
    </w:p>
    <w:p w14:paraId="104B2157" w14:textId="77777777" w:rsidR="001C5A12" w:rsidRPr="00051EC1" w:rsidRDefault="001C5A12" w:rsidP="002C1720">
      <w:pPr>
        <w:spacing w:line="240" w:lineRule="auto"/>
        <w:jc w:val="both"/>
        <w:rPr>
          <w:rFonts w:ascii="Times New Roman" w:eastAsia="Calibri" w:hAnsi="Times New Roman" w:cs="Times New Roman"/>
          <w:kern w:val="0"/>
          <w14:ligatures w14:val="none"/>
        </w:rPr>
      </w:pPr>
    </w:p>
    <w:p w14:paraId="3539AEC9" w14:textId="126A83EC" w:rsidR="00051EC1" w:rsidRPr="001C5A12" w:rsidRDefault="00C70366" w:rsidP="002C1720">
      <w:pPr>
        <w:spacing w:line="240" w:lineRule="auto"/>
        <w:rPr>
          <w:rFonts w:ascii="Times New Roman" w:hAnsi="Times New Roman" w:cs="Times New Roman"/>
          <w:b/>
          <w:bCs/>
        </w:rPr>
      </w:pPr>
      <w:r>
        <w:rPr>
          <w:rFonts w:ascii="Times New Roman" w:hAnsi="Times New Roman" w:cs="Times New Roman"/>
          <w:b/>
          <w:bCs/>
        </w:rPr>
        <w:lastRenderedPageBreak/>
        <w:t xml:space="preserve">V. </w:t>
      </w:r>
      <w:r w:rsidR="00051EC1" w:rsidRPr="001C5A12">
        <w:rPr>
          <w:rFonts w:ascii="Times New Roman" w:hAnsi="Times New Roman" w:cs="Times New Roman"/>
          <w:b/>
          <w:bCs/>
        </w:rPr>
        <w:t>CONCLUSION</w:t>
      </w:r>
    </w:p>
    <w:p w14:paraId="4D0DBCE2" w14:textId="6CC7820C" w:rsidR="00051EC1" w:rsidRDefault="00051EC1"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The introduction of positive mixed land uses that encourage compact development as a means of enhancing socio-cultural diversity is </w:t>
      </w:r>
      <w:r w:rsidRPr="00051EC1">
        <w:rPr>
          <w:rFonts w:ascii="Times New Roman" w:eastAsia="Calibri" w:hAnsi="Times New Roman" w:cs="Times New Roman"/>
          <w:kern w:val="0"/>
          <w14:ligatures w14:val="none"/>
        </w:rPr>
        <w:tab/>
        <w:t xml:space="preserve">crucial. This could be done through in-fill developments as emphasized </w:t>
      </w:r>
      <w:r w:rsidRPr="00051EC1">
        <w:rPr>
          <w:rFonts w:ascii="Times New Roman" w:eastAsia="Calibri" w:hAnsi="Times New Roman" w:cs="Times New Roman"/>
          <w:kern w:val="0"/>
          <w14:ligatures w14:val="none"/>
        </w:rPr>
        <w:tab/>
        <w:t>by the advocates of New Urbanism. This study strongly suggests that further studies be conducted on the relationship between population concentration and the areal extent (development) of mixed land uses. Further studies should also be carried out on appraisal of the activities of institutions responsible for land use administration.</w:t>
      </w:r>
    </w:p>
    <w:p w14:paraId="3F5EDCC4" w14:textId="77777777" w:rsidR="00E32CD6" w:rsidRDefault="00E32CD6"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29D09F0B" w14:textId="77777777" w:rsidR="00E32CD6" w:rsidRPr="00051EC1" w:rsidRDefault="00E32CD6"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7801225E" w14:textId="77777777" w:rsidR="00051EC1" w:rsidRDefault="00051EC1" w:rsidP="002C1720">
      <w:pPr>
        <w:spacing w:line="240" w:lineRule="auto"/>
        <w:rPr>
          <w:rFonts w:ascii="Times New Roman" w:hAnsi="Times New Roman" w:cs="Times New Roman"/>
        </w:rPr>
      </w:pPr>
    </w:p>
    <w:p w14:paraId="29021015" w14:textId="2DFE0BE0" w:rsidR="001C5A12" w:rsidRDefault="001C5A12" w:rsidP="002C1720">
      <w:pPr>
        <w:spacing w:line="240" w:lineRule="auto"/>
        <w:rPr>
          <w:rFonts w:ascii="Times New Roman" w:hAnsi="Times New Roman" w:cs="Times New Roman"/>
          <w:b/>
          <w:bCs/>
        </w:rPr>
      </w:pPr>
      <w:r w:rsidRPr="001C5A12">
        <w:rPr>
          <w:rFonts w:ascii="Times New Roman" w:hAnsi="Times New Roman" w:cs="Times New Roman"/>
          <w:b/>
          <w:bCs/>
        </w:rPr>
        <w:t>REFERENCES</w:t>
      </w:r>
    </w:p>
    <w:p w14:paraId="5F91D4FB" w14:textId="31FC52B6" w:rsidR="003400B9" w:rsidRPr="003400B9" w:rsidRDefault="003400B9" w:rsidP="003400B9">
      <w:pPr>
        <w:spacing w:after="200" w:line="276" w:lineRule="auto"/>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sz w:val="26"/>
          <w:szCs w:val="26"/>
          <w:lang w:val="en-GB"/>
          <w14:ligatures w14:val="none"/>
        </w:rPr>
        <w:t xml:space="preserve">Aruand, A. (2010). Density, Housing Types and Mixed Land Use: a Smart Tool for </w:t>
      </w:r>
      <w:r>
        <w:rPr>
          <w:rFonts w:ascii="Times New Roman" w:eastAsia="Calibri" w:hAnsi="Times New Roman" w:cs="Times New Roman"/>
          <w:noProof/>
          <w:kern w:val="0"/>
          <w:sz w:val="26"/>
          <w:szCs w:val="26"/>
          <w:lang w:val="en-GB"/>
          <w14:ligatures w14:val="none"/>
        </w:rPr>
        <w:tab/>
      </w:r>
      <w:r w:rsidRPr="003400B9">
        <w:rPr>
          <w:rFonts w:ascii="Times New Roman" w:eastAsia="Calibri" w:hAnsi="Times New Roman" w:cs="Times New Roman"/>
          <w:noProof/>
          <w:kern w:val="0"/>
          <w:lang w:val="en-GB"/>
          <w14:ligatures w14:val="none"/>
        </w:rPr>
        <w:t xml:space="preserve">Affordable Housing? </w:t>
      </w:r>
      <w:r w:rsidRPr="003400B9">
        <w:rPr>
          <w:rFonts w:ascii="Times New Roman" w:eastAsia="Calibri" w:hAnsi="Times New Roman" w:cs="Times New Roman"/>
          <w:i/>
          <w:iCs/>
          <w:noProof/>
          <w:kern w:val="0"/>
          <w:lang w:val="en-GB"/>
          <w14:ligatures w14:val="none"/>
        </w:rPr>
        <w:t>Urban Studies</w:t>
      </w:r>
      <w:r w:rsidRPr="003400B9">
        <w:rPr>
          <w:rFonts w:ascii="Times New Roman" w:eastAsia="Calibri" w:hAnsi="Times New Roman" w:cs="Times New Roman"/>
          <w:noProof/>
          <w:kern w:val="0"/>
          <w:lang w:val="en-GB"/>
          <w14:ligatures w14:val="none"/>
        </w:rPr>
        <w:t>, 47 (5): 1015-1036.</w:t>
      </w:r>
    </w:p>
    <w:p w14:paraId="78A4886F"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Ayuba, J. G., &amp; Rikko, L. S. (2019). </w:t>
      </w:r>
      <w:r w:rsidRPr="003400B9">
        <w:rPr>
          <w:rFonts w:ascii="Times New Roman" w:eastAsia="Calibri" w:hAnsi="Times New Roman" w:cs="Times New Roman"/>
          <w:i/>
          <w:iCs/>
          <w:noProof/>
          <w:kern w:val="0"/>
          <w:lang w:val="en-GB"/>
          <w14:ligatures w14:val="none"/>
        </w:rPr>
        <w:t>Dictionary of Urban and Regional Planning.</w:t>
      </w:r>
      <w:r w:rsidRPr="003400B9">
        <w:rPr>
          <w:rFonts w:ascii="Times New Roman" w:eastAsia="Calibri" w:hAnsi="Times New Roman" w:cs="Times New Roman"/>
          <w:noProof/>
          <w:kern w:val="0"/>
          <w:lang w:val="en-GB"/>
          <w14:ligatures w14:val="none"/>
        </w:rPr>
        <w:t xml:space="preserve"> Jos: Umah Publishers Nig. Ltd.</w:t>
      </w:r>
    </w:p>
    <w:p w14:paraId="5B12EFB3"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Barbier, E. B., Georgiou, I. Y., Enchelmeyer, B. &amp; Reed, D. J. (2013). The Value of Wetlands in Protecting Southeast Louisiana from Hurricane Storm Surges. </w:t>
      </w:r>
      <w:r w:rsidRPr="003400B9">
        <w:rPr>
          <w:rFonts w:ascii="Times New Roman" w:eastAsia="Calibri" w:hAnsi="Times New Roman" w:cs="Times New Roman"/>
          <w:i/>
          <w:iCs/>
          <w:noProof/>
          <w:kern w:val="0"/>
          <w:lang w:val="en-GB"/>
          <w14:ligatures w14:val="none"/>
        </w:rPr>
        <w:t>PLOS ONE</w:t>
      </w:r>
      <w:r w:rsidRPr="003400B9">
        <w:rPr>
          <w:rFonts w:ascii="Times New Roman" w:eastAsia="Calibri" w:hAnsi="Times New Roman" w:cs="Times New Roman"/>
          <w:noProof/>
          <w:kern w:val="0"/>
          <w:lang w:val="en-GB"/>
          <w14:ligatures w14:val="none"/>
        </w:rPr>
        <w:t>, 8 (3): 1-20.</w:t>
      </w:r>
    </w:p>
    <w:p w14:paraId="00829D18"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Brown, B. B., Yamada, I., Smith, K. K., Zick, C. D., Kowaleski-Jones, L., &amp; Fan, J. X. (2009). Mixed Land Use and Walkability: Variations in Land Use Measures and Relationships with BMI Overweights and Obesity. </w:t>
      </w:r>
      <w:r w:rsidRPr="003400B9">
        <w:rPr>
          <w:rFonts w:ascii="Times New Roman" w:eastAsia="Calibri" w:hAnsi="Times New Roman" w:cs="Times New Roman"/>
          <w:i/>
          <w:iCs/>
          <w:noProof/>
          <w:kern w:val="0"/>
          <w:lang w:val="en-GB"/>
          <w14:ligatures w14:val="none"/>
        </w:rPr>
        <w:t>Health and Place</w:t>
      </w:r>
      <w:r w:rsidRPr="003400B9">
        <w:rPr>
          <w:rFonts w:ascii="Times New Roman" w:eastAsia="Calibri" w:hAnsi="Times New Roman" w:cs="Times New Roman"/>
          <w:noProof/>
          <w:kern w:val="0"/>
          <w:lang w:val="en-GB"/>
          <w14:ligatures w14:val="none"/>
        </w:rPr>
        <w:t>, 15(4): 1130-1141.</w:t>
      </w:r>
    </w:p>
    <w:p w14:paraId="2DD146E2"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Burton, E. (2000). The Compact City: Just or Just Compact City? A Preliminary Analysis. </w:t>
      </w:r>
      <w:r w:rsidRPr="003400B9">
        <w:rPr>
          <w:rFonts w:ascii="Times New Roman" w:eastAsia="Calibri" w:hAnsi="Times New Roman" w:cs="Times New Roman"/>
          <w:i/>
          <w:iCs/>
          <w:noProof/>
          <w:kern w:val="0"/>
          <w:lang w:val="en-GB"/>
          <w14:ligatures w14:val="none"/>
        </w:rPr>
        <w:t>Urban Studies</w:t>
      </w:r>
      <w:r w:rsidRPr="003400B9">
        <w:rPr>
          <w:rFonts w:ascii="Times New Roman" w:eastAsia="Calibri" w:hAnsi="Times New Roman" w:cs="Times New Roman"/>
          <w:noProof/>
          <w:kern w:val="0"/>
          <w:lang w:val="en-GB"/>
          <w14:ligatures w14:val="none"/>
        </w:rPr>
        <w:t>, 37(11): 1969-2006.</w:t>
      </w:r>
    </w:p>
    <w:p w14:paraId="5099298A"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Calthorpe, P. &amp; Fulton, W. (2001). </w:t>
      </w:r>
      <w:r w:rsidRPr="003400B9">
        <w:rPr>
          <w:rFonts w:ascii="Times New Roman" w:eastAsia="Calibri" w:hAnsi="Times New Roman" w:cs="Times New Roman"/>
          <w:i/>
          <w:iCs/>
          <w:noProof/>
          <w:kern w:val="0"/>
          <w:lang w:val="en-GB"/>
          <w14:ligatures w14:val="none"/>
        </w:rPr>
        <w:t>The Regional City.</w:t>
      </w:r>
      <w:r w:rsidRPr="003400B9">
        <w:rPr>
          <w:rFonts w:ascii="Times New Roman" w:eastAsia="Calibri" w:hAnsi="Times New Roman" w:cs="Times New Roman"/>
          <w:noProof/>
          <w:kern w:val="0"/>
          <w:lang w:val="en-GB"/>
          <w14:ligatures w14:val="none"/>
        </w:rPr>
        <w:t xml:space="preserve"> Washington DC: Island Press.</w:t>
      </w:r>
    </w:p>
    <w:p w14:paraId="1EDB6585"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Carnoske, C., Hoehner, C., Ruthmann, N., Frank, L., Hardy, S., &amp; Hill, J. . (2010). Developer and Realtor Perspectives on Factors that Influence Development, Scale, and Perceived Demand for Activity-Friendly Communities. </w:t>
      </w:r>
      <w:r w:rsidRPr="003400B9">
        <w:rPr>
          <w:rFonts w:ascii="Times New Roman" w:eastAsia="Calibri" w:hAnsi="Times New Roman" w:cs="Times New Roman"/>
          <w:i/>
          <w:iCs/>
          <w:noProof/>
          <w:kern w:val="0"/>
          <w:lang w:val="en-GB"/>
          <w14:ligatures w14:val="none"/>
        </w:rPr>
        <w:t>Journal of Physical Activity and Health</w:t>
      </w:r>
      <w:r w:rsidRPr="003400B9">
        <w:rPr>
          <w:rFonts w:ascii="Times New Roman" w:eastAsia="Calibri" w:hAnsi="Times New Roman" w:cs="Times New Roman"/>
          <w:noProof/>
          <w:kern w:val="0"/>
          <w:lang w:val="en-GB"/>
          <w14:ligatures w14:val="none"/>
        </w:rPr>
        <w:t>, 7(1): 20-32.</w:t>
      </w:r>
    </w:p>
    <w:p w14:paraId="61D25AF5"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Duany, A. &amp; Tallen, E. (2002). Transact Planning. </w:t>
      </w:r>
      <w:r w:rsidRPr="003400B9">
        <w:rPr>
          <w:rFonts w:ascii="Times New Roman" w:eastAsia="Calibri" w:hAnsi="Times New Roman" w:cs="Times New Roman"/>
          <w:i/>
          <w:iCs/>
          <w:noProof/>
          <w:kern w:val="0"/>
          <w:lang w:val="en-GB"/>
          <w14:ligatures w14:val="none"/>
        </w:rPr>
        <w:t>Journal of American Planning Association</w:t>
      </w:r>
      <w:r w:rsidRPr="003400B9">
        <w:rPr>
          <w:rFonts w:ascii="Times New Roman" w:eastAsia="Calibri" w:hAnsi="Times New Roman" w:cs="Times New Roman"/>
          <w:noProof/>
          <w:kern w:val="0"/>
          <w:lang w:val="en-GB"/>
          <w14:ligatures w14:val="none"/>
        </w:rPr>
        <w:t>, 68(3): 245-266.</w:t>
      </w:r>
    </w:p>
    <w:p w14:paraId="5DF85952"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Duany, A., Plater-Zyberk, E., &amp; Speck, J. (2000). </w:t>
      </w:r>
      <w:r w:rsidRPr="003400B9">
        <w:rPr>
          <w:rFonts w:ascii="Times New Roman" w:eastAsia="Calibri" w:hAnsi="Times New Roman" w:cs="Times New Roman"/>
          <w:i/>
          <w:iCs/>
          <w:noProof/>
          <w:kern w:val="0"/>
          <w:lang w:val="en-GB"/>
          <w14:ligatures w14:val="none"/>
        </w:rPr>
        <w:t>Suburban Nation: The Rise of Sprawl and Decline of the American Dream.</w:t>
      </w:r>
      <w:r w:rsidRPr="003400B9">
        <w:rPr>
          <w:rFonts w:ascii="Times New Roman" w:eastAsia="Calibri" w:hAnsi="Times New Roman" w:cs="Times New Roman"/>
          <w:noProof/>
          <w:kern w:val="0"/>
          <w:lang w:val="en-GB"/>
          <w14:ligatures w14:val="none"/>
        </w:rPr>
        <w:t xml:space="preserve"> New York: North Paint Press.</w:t>
      </w:r>
    </w:p>
    <w:p w14:paraId="1B878358"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Ellis, C. (2002). The New Urbanism: Critics and Rebuttals. </w:t>
      </w:r>
      <w:r w:rsidRPr="003400B9">
        <w:rPr>
          <w:rFonts w:ascii="Times New Roman" w:eastAsia="Calibri" w:hAnsi="Times New Roman" w:cs="Times New Roman"/>
          <w:i/>
          <w:iCs/>
          <w:noProof/>
          <w:kern w:val="0"/>
          <w:lang w:val="en-GB"/>
          <w14:ligatures w14:val="none"/>
        </w:rPr>
        <w:t>Journal of Urban Design</w:t>
      </w:r>
      <w:r w:rsidRPr="003400B9">
        <w:rPr>
          <w:rFonts w:ascii="Times New Roman" w:eastAsia="Calibri" w:hAnsi="Times New Roman" w:cs="Times New Roman"/>
          <w:noProof/>
          <w:kern w:val="0"/>
          <w:lang w:val="en-GB"/>
          <w14:ligatures w14:val="none"/>
        </w:rPr>
        <w:t>, 7(3): 261-291.</w:t>
      </w:r>
    </w:p>
    <w:p w14:paraId="38C697AB"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lastRenderedPageBreak/>
        <w:t xml:space="preserve">Fan, F., Wang, Y., Qui, M., &amp; Wang, Z. (2009). Evaluating the Temporal and Spatial Urban Expansion Patterns of Guangzhou from 1979-2003 by Remote Sensing and GIS Methods. </w:t>
      </w:r>
      <w:r w:rsidRPr="003400B9">
        <w:rPr>
          <w:rFonts w:ascii="Times New Roman" w:eastAsia="Calibri" w:hAnsi="Times New Roman" w:cs="Times New Roman"/>
          <w:i/>
          <w:iCs/>
          <w:noProof/>
          <w:kern w:val="0"/>
          <w:lang w:val="en-GB"/>
          <w14:ligatures w14:val="none"/>
        </w:rPr>
        <w:t>International Journal of Geographical Information Systems</w:t>
      </w:r>
      <w:r w:rsidRPr="003400B9">
        <w:rPr>
          <w:rFonts w:ascii="Times New Roman" w:eastAsia="Calibri" w:hAnsi="Times New Roman" w:cs="Times New Roman"/>
          <w:noProof/>
          <w:kern w:val="0"/>
          <w:lang w:val="en-GB"/>
          <w14:ligatures w14:val="none"/>
        </w:rPr>
        <w:t>, 23 (11): 11-36.</w:t>
      </w:r>
    </w:p>
    <w:p w14:paraId="35B546A6"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Frank, L. D., Greenwald, M. J., Winkleman, S., Chapman, J., &amp; Karage, S. (2010). Carbonless Footprints: Promoting Health and Climate Stabilization through Active Transportation. </w:t>
      </w:r>
      <w:r w:rsidRPr="003400B9">
        <w:rPr>
          <w:rFonts w:ascii="Times New Roman" w:eastAsia="Calibri" w:hAnsi="Times New Roman" w:cs="Times New Roman"/>
          <w:i/>
          <w:iCs/>
          <w:noProof/>
          <w:kern w:val="0"/>
          <w:lang w:val="en-GB"/>
          <w14:ligatures w14:val="none"/>
        </w:rPr>
        <w:t>Preventive Medicine</w:t>
      </w:r>
      <w:r w:rsidRPr="003400B9">
        <w:rPr>
          <w:rFonts w:ascii="Times New Roman" w:eastAsia="Calibri" w:hAnsi="Times New Roman" w:cs="Times New Roman"/>
          <w:noProof/>
          <w:kern w:val="0"/>
          <w:lang w:val="en-GB"/>
          <w14:ligatures w14:val="none"/>
        </w:rPr>
        <w:t>, 50 (6): 18-36.</w:t>
      </w:r>
    </w:p>
    <w:p w14:paraId="06642BBE"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Gordon, P. &amp; Richardson, H. W. (2000). Compactness or Sprawl: American Future vs the Present. </w:t>
      </w:r>
      <w:r w:rsidRPr="003400B9">
        <w:rPr>
          <w:rFonts w:ascii="Times New Roman" w:eastAsia="Calibri" w:hAnsi="Times New Roman" w:cs="Times New Roman"/>
          <w:i/>
          <w:iCs/>
          <w:noProof/>
          <w:kern w:val="0"/>
          <w:lang w:val="en-GB"/>
          <w14:ligatures w14:val="none"/>
        </w:rPr>
        <w:t>ACSP Conferencr</w:t>
      </w:r>
      <w:r w:rsidRPr="003400B9">
        <w:rPr>
          <w:rFonts w:ascii="Times New Roman" w:eastAsia="Calibri" w:hAnsi="Times New Roman" w:cs="Times New Roman"/>
          <w:noProof/>
          <w:kern w:val="0"/>
          <w:lang w:val="en-GB"/>
          <w14:ligatures w14:val="none"/>
        </w:rPr>
        <w:t>, (pp. 33-44). Atlanta GA.</w:t>
      </w:r>
    </w:p>
    <w:p w14:paraId="4BEEDEE8"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Jaeger, W. K. (2013). Determinants of Urban Land Market Outcomes. </w:t>
      </w:r>
      <w:r w:rsidRPr="003400B9">
        <w:rPr>
          <w:rFonts w:ascii="Times New Roman" w:eastAsia="Calibri" w:hAnsi="Times New Roman" w:cs="Times New Roman"/>
          <w:i/>
          <w:iCs/>
          <w:noProof/>
          <w:kern w:val="0"/>
          <w:lang w:val="en-GB"/>
          <w14:ligatures w14:val="none"/>
        </w:rPr>
        <w:t>Evidence from California Land Policy</w:t>
      </w:r>
      <w:r w:rsidRPr="003400B9">
        <w:rPr>
          <w:rFonts w:ascii="Times New Roman" w:eastAsia="Calibri" w:hAnsi="Times New Roman" w:cs="Times New Roman"/>
          <w:noProof/>
          <w:kern w:val="0"/>
          <w:lang w:val="en-GB"/>
          <w14:ligatures w14:val="none"/>
        </w:rPr>
        <w:t>, 30 (3): 966-973.</w:t>
      </w:r>
    </w:p>
    <w:p w14:paraId="25EA3DAE"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Kelbough, D. (2002). </w:t>
      </w:r>
      <w:r w:rsidRPr="003400B9">
        <w:rPr>
          <w:rFonts w:ascii="Times New Roman" w:eastAsia="Calibri" w:hAnsi="Times New Roman" w:cs="Times New Roman"/>
          <w:i/>
          <w:iCs/>
          <w:noProof/>
          <w:kern w:val="0"/>
          <w:lang w:val="en-GB"/>
          <w14:ligatures w14:val="none"/>
        </w:rPr>
        <w:t>Reparing the American Metropolis: Common Place Revisited.</w:t>
      </w:r>
      <w:r w:rsidRPr="003400B9">
        <w:rPr>
          <w:rFonts w:ascii="Times New Roman" w:eastAsia="Calibri" w:hAnsi="Times New Roman" w:cs="Times New Roman"/>
          <w:noProof/>
          <w:kern w:val="0"/>
          <w:lang w:val="en-GB"/>
          <w14:ligatures w14:val="none"/>
        </w:rPr>
        <w:t xml:space="preserve"> Seattle, USA: University of Washington Press.</w:t>
      </w:r>
    </w:p>
    <w:p w14:paraId="264CF60F" w14:textId="77777777" w:rsidR="003400B9" w:rsidRDefault="003400B9" w:rsidP="003400B9">
      <w:pPr>
        <w:spacing w:after="0" w:line="240" w:lineRule="auto"/>
        <w:ind w:left="720" w:hanging="720"/>
        <w:jc w:val="both"/>
        <w:rPr>
          <w:rFonts w:ascii="Times New Roman" w:eastAsia="Calibri" w:hAnsi="Times New Roman" w:cs="Times New Roman"/>
          <w:kern w:val="0"/>
          <w14:ligatures w14:val="none"/>
        </w:rPr>
      </w:pPr>
      <w:r w:rsidRPr="003400B9">
        <w:rPr>
          <w:rFonts w:ascii="Times New Roman" w:eastAsia="Calibri" w:hAnsi="Times New Roman" w:cs="Times New Roman"/>
          <w:kern w:val="0"/>
          <w14:ligatures w14:val="none"/>
        </w:rPr>
        <w:t xml:space="preserve">Koster, H. A. and Rouwendal, J. (2012). The Impact of Mixed Land Use on Residential Property Values. </w:t>
      </w:r>
      <w:r w:rsidRPr="003400B9">
        <w:rPr>
          <w:rFonts w:ascii="Times New Roman" w:eastAsia="Calibri" w:hAnsi="Times New Roman" w:cs="Times New Roman"/>
          <w:i/>
          <w:kern w:val="0"/>
          <w14:ligatures w14:val="none"/>
        </w:rPr>
        <w:t>Journal of Regional Science</w:t>
      </w:r>
      <w:r w:rsidRPr="003400B9">
        <w:rPr>
          <w:rFonts w:ascii="Times New Roman" w:eastAsia="Calibri" w:hAnsi="Times New Roman" w:cs="Times New Roman"/>
          <w:kern w:val="0"/>
          <w14:ligatures w14:val="none"/>
        </w:rPr>
        <w:t>, 52 (5): 733–761.</w:t>
      </w:r>
    </w:p>
    <w:p w14:paraId="22D17001" w14:textId="77777777" w:rsidR="003400B9" w:rsidRPr="003400B9" w:rsidRDefault="003400B9" w:rsidP="003400B9">
      <w:pPr>
        <w:spacing w:after="0" w:line="240" w:lineRule="auto"/>
        <w:ind w:left="720" w:hanging="720"/>
        <w:jc w:val="both"/>
        <w:rPr>
          <w:rFonts w:ascii="Times New Roman" w:eastAsia="Calibri" w:hAnsi="Times New Roman" w:cs="Times New Roman"/>
          <w:kern w:val="0"/>
          <w14:ligatures w14:val="none"/>
        </w:rPr>
      </w:pPr>
    </w:p>
    <w:p w14:paraId="7188599D"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Kunstler, J. H. (2006). </w:t>
      </w:r>
      <w:r w:rsidRPr="003400B9">
        <w:rPr>
          <w:rFonts w:ascii="Times New Roman" w:eastAsia="Calibri" w:hAnsi="Times New Roman" w:cs="Times New Roman"/>
          <w:i/>
          <w:iCs/>
          <w:noProof/>
          <w:kern w:val="0"/>
          <w:lang w:val="en-GB"/>
          <w14:ligatures w14:val="none"/>
        </w:rPr>
        <w:t>The Geography of Nowhere: The Rise and Decline of American Man-made Landscape.</w:t>
      </w:r>
      <w:r w:rsidRPr="003400B9">
        <w:rPr>
          <w:rFonts w:ascii="Times New Roman" w:eastAsia="Calibri" w:hAnsi="Times New Roman" w:cs="Times New Roman"/>
          <w:noProof/>
          <w:kern w:val="0"/>
          <w:lang w:val="en-GB"/>
          <w14:ligatures w14:val="none"/>
        </w:rPr>
        <w:t xml:space="preserve"> New York: Simon and Schuster.</w:t>
      </w:r>
    </w:p>
    <w:p w14:paraId="16E2D6C5"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Mumford, K. G., Contant, C. K., Weissman, J., Wolf, J., &amp; Glanz, K. . (2011). Physical Activity and Travel Behaviours in Residents of a Mixed Use Development. </w:t>
      </w:r>
      <w:r w:rsidRPr="003400B9">
        <w:rPr>
          <w:rFonts w:ascii="Times New Roman" w:eastAsia="Calibri" w:hAnsi="Times New Roman" w:cs="Times New Roman"/>
          <w:i/>
          <w:iCs/>
          <w:noProof/>
          <w:kern w:val="0"/>
          <w:lang w:val="en-GB"/>
          <w14:ligatures w14:val="none"/>
        </w:rPr>
        <w:t>American Journal of Preventive Medicine</w:t>
      </w:r>
      <w:r w:rsidRPr="003400B9">
        <w:rPr>
          <w:rFonts w:ascii="Times New Roman" w:eastAsia="Calibri" w:hAnsi="Times New Roman" w:cs="Times New Roman"/>
          <w:noProof/>
          <w:kern w:val="0"/>
          <w:lang w:val="en-GB"/>
          <w14:ligatures w14:val="none"/>
        </w:rPr>
        <w:t>, 41 (5): 25-40.</w:t>
      </w:r>
    </w:p>
    <w:p w14:paraId="17560B6D" w14:textId="57C2AD34" w:rsidR="003400B9" w:rsidRPr="003400B9" w:rsidRDefault="003400B9" w:rsidP="003400B9">
      <w:pPr>
        <w:spacing w:after="200" w:line="276" w:lineRule="auto"/>
        <w:jc w:val="both"/>
        <w:rPr>
          <w:rFonts w:ascii="Times New Roman" w:eastAsia="Calibri" w:hAnsi="Times New Roman" w:cs="Times New Roman"/>
          <w:kern w:val="0"/>
          <w14:ligatures w14:val="none"/>
        </w:rPr>
      </w:pPr>
      <w:r w:rsidRPr="003400B9">
        <w:rPr>
          <w:rFonts w:ascii="Times New Roman" w:eastAsia="Calibri" w:hAnsi="Times New Roman" w:cs="Times New Roman"/>
          <w:kern w:val="0"/>
          <w14:ligatures w14:val="none"/>
        </w:rPr>
        <w:t xml:space="preserve">National Bureau of Statistics (2021). </w:t>
      </w:r>
      <w:r w:rsidRPr="003400B9">
        <w:rPr>
          <w:rFonts w:ascii="Times New Roman" w:eastAsia="Calibri" w:hAnsi="Times New Roman" w:cs="Times New Roman"/>
          <w:i/>
          <w:kern w:val="0"/>
          <w14:ligatures w14:val="none"/>
        </w:rPr>
        <w:t xml:space="preserve">Population and households in Nigeria: The structure of </w:t>
      </w:r>
      <w:r w:rsidRPr="003400B9">
        <w:rPr>
          <w:rFonts w:ascii="Times New Roman" w:eastAsia="Calibri" w:hAnsi="Times New Roman" w:cs="Times New Roman"/>
          <w:i/>
          <w:kern w:val="0"/>
          <w14:ligatures w14:val="none"/>
        </w:rPr>
        <w:tab/>
        <w:t>Nigeria's economy</w:t>
      </w:r>
      <w:r w:rsidRPr="003400B9">
        <w:rPr>
          <w:rFonts w:ascii="Times New Roman" w:eastAsia="Calibri" w:hAnsi="Times New Roman" w:cs="Times New Roman"/>
          <w:kern w:val="0"/>
          <w14:ligatures w14:val="none"/>
        </w:rPr>
        <w:t xml:space="preserve">. Abuja, NBS.   </w:t>
      </w:r>
    </w:p>
    <w:p w14:paraId="5B010F7D" w14:textId="77777777" w:rsid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National Population Commission, (2007). </w:t>
      </w:r>
      <w:r w:rsidRPr="003400B9">
        <w:rPr>
          <w:rFonts w:ascii="Times New Roman" w:eastAsia="Calibri" w:hAnsi="Times New Roman" w:cs="Times New Roman"/>
          <w:i/>
          <w:iCs/>
          <w:noProof/>
          <w:kern w:val="0"/>
          <w:lang w:val="en-GB"/>
          <w14:ligatures w14:val="none"/>
        </w:rPr>
        <w:t>The 2006 Census for Calabar, Cross River State.</w:t>
      </w:r>
      <w:r w:rsidRPr="003400B9">
        <w:rPr>
          <w:rFonts w:ascii="Times New Roman" w:eastAsia="Calibri" w:hAnsi="Times New Roman" w:cs="Times New Roman"/>
          <w:noProof/>
          <w:kern w:val="0"/>
          <w:lang w:val="en-GB"/>
          <w14:ligatures w14:val="none"/>
        </w:rPr>
        <w:t xml:space="preserve"> Calabar: NPC.</w:t>
      </w:r>
    </w:p>
    <w:p w14:paraId="400ABDC2" w14:textId="7EB197BA"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bCs/>
          <w:kern w:val="0"/>
          <w14:ligatures w14:val="none"/>
        </w:rPr>
        <w:t>Obongha, U. E.,</w:t>
      </w:r>
      <w:r w:rsidRPr="003400B9">
        <w:rPr>
          <w:rFonts w:ascii="Times New Roman" w:eastAsia="Calibri" w:hAnsi="Times New Roman" w:cs="Times New Roman"/>
          <w:kern w:val="0"/>
          <w14:ligatures w14:val="none"/>
        </w:rPr>
        <w:t xml:space="preserve"> Ukam, L. E. &amp; Inah, S. A. (2024). Evaluation of residential</w:t>
      </w:r>
      <w:r>
        <w:rPr>
          <w:rFonts w:ascii="Times New Roman" w:eastAsia="Calibri" w:hAnsi="Times New Roman" w:cs="Times New Roman"/>
          <w:kern w:val="0"/>
          <w14:ligatures w14:val="none"/>
        </w:rPr>
        <w:t xml:space="preserve"> </w:t>
      </w:r>
      <w:r w:rsidRPr="003400B9">
        <w:rPr>
          <w:rFonts w:ascii="Times New Roman" w:eastAsia="Calibri" w:hAnsi="Times New Roman" w:cs="Times New Roman"/>
          <w:kern w:val="0"/>
          <w14:ligatures w14:val="none"/>
        </w:rPr>
        <w:t xml:space="preserve">neighbourhoods compliance with zoning of the 1973 Calabar urban master plan. </w:t>
      </w:r>
      <w:r w:rsidRPr="003400B9">
        <w:rPr>
          <w:rFonts w:ascii="Times New Roman" w:eastAsia="Calibri" w:hAnsi="Times New Roman" w:cs="Times New Roman"/>
          <w:i/>
          <w:kern w:val="0"/>
          <w14:ligatures w14:val="none"/>
        </w:rPr>
        <w:t xml:space="preserve">Journal of the Nigerian Institute of Town Planners </w:t>
      </w:r>
      <w:r w:rsidRPr="003400B9">
        <w:rPr>
          <w:rFonts w:ascii="Times New Roman" w:eastAsia="Calibri" w:hAnsi="Times New Roman" w:cs="Times New Roman"/>
          <w:kern w:val="0"/>
          <w14:ligatures w14:val="none"/>
        </w:rPr>
        <w:t>30 (1): 135-146. ISSN: 0189-885</w:t>
      </w:r>
    </w:p>
    <w:p w14:paraId="52BC25C5" w14:textId="23B78D37" w:rsidR="003400B9" w:rsidRPr="003400B9" w:rsidRDefault="003400B9" w:rsidP="003400B9">
      <w:pPr>
        <w:spacing w:after="200" w:line="276" w:lineRule="auto"/>
        <w:jc w:val="both"/>
        <w:rPr>
          <w:rFonts w:ascii="Times New Roman" w:eastAsia="Calibri" w:hAnsi="Times New Roman" w:cs="Times New Roman"/>
          <w:kern w:val="0"/>
          <w:lang w:val="en-GB"/>
          <w14:ligatures w14:val="none"/>
        </w:rPr>
      </w:pPr>
      <w:r w:rsidRPr="003400B9">
        <w:rPr>
          <w:rFonts w:ascii="Times New Roman" w:eastAsia="Calibri" w:hAnsi="Times New Roman" w:cs="Times New Roman"/>
          <w:kern w:val="0"/>
          <w:lang w:val="en-GB"/>
          <w14:ligatures w14:val="none"/>
        </w:rPr>
        <w:t xml:space="preserve">Obongha, U. E., Agbor, E. A., </w:t>
      </w:r>
      <w:r>
        <w:rPr>
          <w:rFonts w:ascii="Times New Roman" w:eastAsia="Calibri" w:hAnsi="Times New Roman" w:cs="Times New Roman"/>
          <w:kern w:val="0"/>
          <w:lang w:val="en-GB"/>
          <w14:ligatures w14:val="none"/>
        </w:rPr>
        <w:t>&amp;</w:t>
      </w:r>
      <w:r w:rsidRPr="003400B9">
        <w:rPr>
          <w:rFonts w:ascii="Times New Roman" w:eastAsia="Calibri" w:hAnsi="Times New Roman" w:cs="Times New Roman"/>
          <w:kern w:val="0"/>
          <w:lang w:val="en-GB"/>
          <w14:ligatures w14:val="none"/>
        </w:rPr>
        <w:t xml:space="preserve"> Upuji, J. K. (2022). Analysis of the pattern of land use change in </w:t>
      </w:r>
      <w:r>
        <w:rPr>
          <w:rFonts w:ascii="Times New Roman" w:eastAsia="Calibri" w:hAnsi="Times New Roman" w:cs="Times New Roman"/>
          <w:kern w:val="0"/>
          <w:lang w:val="en-GB"/>
          <w14:ligatures w14:val="none"/>
        </w:rPr>
        <w:tab/>
      </w:r>
      <w:r w:rsidRPr="003400B9">
        <w:rPr>
          <w:rFonts w:ascii="Times New Roman" w:eastAsia="Calibri" w:hAnsi="Times New Roman" w:cs="Times New Roman"/>
          <w:kern w:val="0"/>
          <w:lang w:val="en-GB"/>
          <w14:ligatures w14:val="none"/>
        </w:rPr>
        <w:t xml:space="preserve">Calabar Municipality of Cross River State, Nigeria. </w:t>
      </w:r>
      <w:r w:rsidRPr="003400B9">
        <w:rPr>
          <w:rFonts w:ascii="Times New Roman" w:eastAsia="Calibri" w:hAnsi="Times New Roman" w:cs="Times New Roman"/>
          <w:i/>
          <w:kern w:val="0"/>
          <w:lang w:val="en-GB"/>
          <w14:ligatures w14:val="none"/>
        </w:rPr>
        <w:t xml:space="preserve">International Journal of Research and </w:t>
      </w:r>
      <w:r>
        <w:rPr>
          <w:rFonts w:ascii="Times New Roman" w:eastAsia="Calibri" w:hAnsi="Times New Roman" w:cs="Times New Roman"/>
          <w:i/>
          <w:kern w:val="0"/>
          <w:lang w:val="en-GB"/>
          <w14:ligatures w14:val="none"/>
        </w:rPr>
        <w:tab/>
      </w:r>
      <w:r w:rsidRPr="003400B9">
        <w:rPr>
          <w:rFonts w:ascii="Times New Roman" w:eastAsia="Calibri" w:hAnsi="Times New Roman" w:cs="Times New Roman"/>
          <w:i/>
          <w:kern w:val="0"/>
          <w:lang w:val="en-GB"/>
          <w14:ligatures w14:val="none"/>
        </w:rPr>
        <w:t xml:space="preserve">Innovation in </w:t>
      </w:r>
      <w:r w:rsidRPr="003400B9">
        <w:rPr>
          <w:rFonts w:ascii="Times New Roman" w:eastAsia="Calibri" w:hAnsi="Times New Roman" w:cs="Times New Roman"/>
          <w:i/>
          <w:kern w:val="0"/>
          <w:lang w:val="en-GB"/>
          <w14:ligatures w14:val="none"/>
        </w:rPr>
        <w:tab/>
        <w:t xml:space="preserve">Social </w:t>
      </w:r>
      <w:r w:rsidRPr="003400B9">
        <w:rPr>
          <w:rFonts w:ascii="Times New Roman" w:eastAsia="Calibri" w:hAnsi="Times New Roman" w:cs="Times New Roman"/>
          <w:i/>
          <w:kern w:val="0"/>
          <w:lang w:val="en-GB"/>
          <w14:ligatures w14:val="none"/>
        </w:rPr>
        <w:tab/>
        <w:t>Sciences.</w:t>
      </w:r>
      <w:r w:rsidRPr="003400B9">
        <w:rPr>
          <w:rFonts w:ascii="Times New Roman" w:eastAsia="Calibri" w:hAnsi="Times New Roman" w:cs="Times New Roman"/>
          <w:kern w:val="0"/>
          <w:lang w:val="en-GB"/>
          <w14:ligatures w14:val="none"/>
        </w:rPr>
        <w:t xml:space="preserve"> 6: (1):982-988. </w:t>
      </w:r>
    </w:p>
    <w:p w14:paraId="3A7ED4BE" w14:textId="53B14B0D" w:rsidR="003400B9" w:rsidRPr="003400B9" w:rsidRDefault="003400B9" w:rsidP="003400B9">
      <w:pPr>
        <w:spacing w:after="200" w:line="240"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Obongha, U. E. (2019). The Spatial Pattern of Anti-Social Behaviour in Sheffield, UK. </w:t>
      </w:r>
      <w:r w:rsidRPr="003400B9">
        <w:rPr>
          <w:rFonts w:ascii="Times New Roman" w:eastAsia="Calibri" w:hAnsi="Times New Roman" w:cs="Times New Roman"/>
          <w:i/>
          <w:iCs/>
          <w:noProof/>
          <w:kern w:val="0"/>
          <w:lang w:val="en-GB"/>
          <w14:ligatures w14:val="none"/>
        </w:rPr>
        <w:t>International Journal of Scientific and Engineering Research</w:t>
      </w:r>
      <w:r w:rsidRPr="003400B9">
        <w:rPr>
          <w:rFonts w:ascii="Times New Roman" w:eastAsia="Calibri" w:hAnsi="Times New Roman" w:cs="Times New Roman"/>
          <w:noProof/>
          <w:kern w:val="0"/>
          <w:lang w:val="en-GB"/>
          <w14:ligatures w14:val="none"/>
        </w:rPr>
        <w:t>, 10(12): 233-251.</w:t>
      </w:r>
    </w:p>
    <w:p w14:paraId="2EB44255"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lastRenderedPageBreak/>
        <w:t xml:space="preserve">Odunola, O. O. &amp; Odunjo, O. O. (2015). Effect of Mixed Land Use on Housing Live-ability in Sagamu, Ogun State, Nigeria. </w:t>
      </w:r>
      <w:r w:rsidRPr="003400B9">
        <w:rPr>
          <w:rFonts w:ascii="Times New Roman" w:eastAsia="Calibri" w:hAnsi="Times New Roman" w:cs="Times New Roman"/>
          <w:i/>
          <w:iCs/>
          <w:noProof/>
          <w:kern w:val="0"/>
          <w:lang w:val="en-GB"/>
          <w14:ligatures w14:val="none"/>
        </w:rPr>
        <w:t>International Journal of Scientific and Engineering Research</w:t>
      </w:r>
      <w:r w:rsidRPr="003400B9">
        <w:rPr>
          <w:rFonts w:ascii="Times New Roman" w:eastAsia="Calibri" w:hAnsi="Times New Roman" w:cs="Times New Roman"/>
          <w:noProof/>
          <w:kern w:val="0"/>
          <w:lang w:val="en-GB"/>
          <w14:ligatures w14:val="none"/>
        </w:rPr>
        <w:t>, 6 (2): 1454-1560.</w:t>
      </w:r>
    </w:p>
    <w:p w14:paraId="54619164" w14:textId="77777777" w:rsidR="003400B9" w:rsidRPr="003400B9" w:rsidRDefault="003400B9" w:rsidP="003400B9">
      <w:pPr>
        <w:spacing w:after="200" w:line="240" w:lineRule="auto"/>
        <w:ind w:left="720" w:hanging="720"/>
        <w:jc w:val="both"/>
        <w:rPr>
          <w:rFonts w:ascii="Times New Roman" w:eastAsia="Calibri" w:hAnsi="Times New Roman" w:cs="Times New Roman"/>
          <w:kern w:val="0"/>
          <w:lang w:val="en-GB"/>
          <w14:ligatures w14:val="none"/>
        </w:rPr>
      </w:pPr>
      <w:r w:rsidRPr="003400B9">
        <w:rPr>
          <w:rFonts w:ascii="Times New Roman" w:eastAsia="Calibri" w:hAnsi="Times New Roman" w:cs="Times New Roman"/>
          <w:kern w:val="0"/>
          <w:lang w:val="en-GB"/>
          <w14:ligatures w14:val="none"/>
        </w:rPr>
        <w:t>Ojikpong, B. E., Ekeng, B. E., Obongha, U. E., and Emri, S. I. (2016). Flood risk assessment of residential neighbourhoods in Calabar Metropolis, Cross River State, Nigeria.</w:t>
      </w:r>
      <w:r w:rsidRPr="003400B9">
        <w:rPr>
          <w:rFonts w:ascii="Times New Roman" w:eastAsia="Calibri" w:hAnsi="Times New Roman" w:cs="Times New Roman"/>
          <w:i/>
          <w:kern w:val="0"/>
          <w:lang w:val="en-GB"/>
          <w14:ligatures w14:val="none"/>
        </w:rPr>
        <w:t xml:space="preserve"> Environment and Natural resources Research,</w:t>
      </w:r>
      <w:r w:rsidRPr="003400B9">
        <w:rPr>
          <w:rFonts w:ascii="Times New Roman" w:eastAsia="Calibri" w:hAnsi="Times New Roman" w:cs="Times New Roman"/>
          <w:kern w:val="0"/>
          <w:lang w:val="en-GB"/>
          <w14:ligatures w14:val="none"/>
        </w:rPr>
        <w:t xml:space="preserve"> 6(2): 115-127.</w:t>
      </w:r>
    </w:p>
    <w:p w14:paraId="3E13935A"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Oka, P. O. (2009). Managing the Impact of Urbanization on Biodivsersity in Emerging Urban Fringe Settlement: The Case of Satellite Town Calabar, Nigeria . </w:t>
      </w:r>
      <w:r w:rsidRPr="003400B9">
        <w:rPr>
          <w:rFonts w:ascii="Times New Roman" w:eastAsia="Calibri" w:hAnsi="Times New Roman" w:cs="Times New Roman"/>
          <w:i/>
          <w:iCs/>
          <w:noProof/>
          <w:kern w:val="0"/>
          <w:lang w:val="en-GB"/>
          <w14:ligatures w14:val="none"/>
        </w:rPr>
        <w:t>Global Journal of Social Sciences</w:t>
      </w:r>
      <w:r w:rsidRPr="003400B9">
        <w:rPr>
          <w:rFonts w:ascii="Times New Roman" w:eastAsia="Calibri" w:hAnsi="Times New Roman" w:cs="Times New Roman"/>
          <w:noProof/>
          <w:kern w:val="0"/>
          <w:lang w:val="en-GB"/>
          <w14:ligatures w14:val="none"/>
        </w:rPr>
        <w:t>, 8(1): 13-20.</w:t>
      </w:r>
    </w:p>
    <w:p w14:paraId="1008BE5D"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Pickett, S. T. A., Cadenasso, M. L., Grove, J. M., Boone, C. G., Grofman, P. M., &amp; Irwin, E. (2011). Urban Ecological Systems: Scientific Foundations and a Decade of Progress. </w:t>
      </w:r>
      <w:r w:rsidRPr="003400B9">
        <w:rPr>
          <w:rFonts w:ascii="Times New Roman" w:eastAsia="Calibri" w:hAnsi="Times New Roman" w:cs="Times New Roman"/>
          <w:i/>
          <w:iCs/>
          <w:noProof/>
          <w:kern w:val="0"/>
          <w:lang w:val="en-GB"/>
          <w14:ligatures w14:val="none"/>
        </w:rPr>
        <w:t>Journal of Environmental Management</w:t>
      </w:r>
      <w:r w:rsidRPr="003400B9">
        <w:rPr>
          <w:rFonts w:ascii="Times New Roman" w:eastAsia="Calibri" w:hAnsi="Times New Roman" w:cs="Times New Roman"/>
          <w:noProof/>
          <w:kern w:val="0"/>
          <w:lang w:val="en-GB"/>
          <w14:ligatures w14:val="none"/>
        </w:rPr>
        <w:t>, 92(3): 331-362.</w:t>
      </w:r>
    </w:p>
    <w:p w14:paraId="3A7BA105" w14:textId="539903EB" w:rsidR="003400B9" w:rsidRPr="003400B9" w:rsidRDefault="003400B9" w:rsidP="003400B9">
      <w:pPr>
        <w:spacing w:after="200" w:line="276" w:lineRule="auto"/>
        <w:jc w:val="both"/>
        <w:rPr>
          <w:rFonts w:ascii="Times New Roman" w:eastAsia="Calibri" w:hAnsi="Times New Roman" w:cs="Times New Roman"/>
          <w:kern w:val="0"/>
          <w:lang w:val="en-GB"/>
          <w14:ligatures w14:val="none"/>
        </w:rPr>
      </w:pPr>
      <w:r w:rsidRPr="003400B9">
        <w:rPr>
          <w:rFonts w:ascii="Times New Roman" w:eastAsia="Calibri" w:hAnsi="Times New Roman" w:cs="Times New Roman"/>
          <w:kern w:val="0"/>
          <w:lang w:val="en-GB"/>
          <w14:ligatures w14:val="none"/>
        </w:rPr>
        <w:t>Population World Master (2020). Retrieved from www.populationstudies.com March 3, 2020.</w:t>
      </w:r>
    </w:p>
    <w:p w14:paraId="33DD0F3D"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Roser, J. F., Leiborici, D. G., &amp; Jackson, M. J. (2011). Rapid Flood Inundation Mapping Using Social Media, Remote Sensing and Topographic Data. </w:t>
      </w:r>
      <w:r w:rsidRPr="003400B9">
        <w:rPr>
          <w:rFonts w:ascii="Times New Roman" w:eastAsia="Calibri" w:hAnsi="Times New Roman" w:cs="Times New Roman"/>
          <w:i/>
          <w:iCs/>
          <w:noProof/>
          <w:kern w:val="0"/>
          <w:lang w:val="en-GB"/>
          <w14:ligatures w14:val="none"/>
        </w:rPr>
        <w:t>International Weekly Journal of Science</w:t>
      </w:r>
      <w:r w:rsidRPr="003400B9">
        <w:rPr>
          <w:rFonts w:ascii="Times New Roman" w:eastAsia="Calibri" w:hAnsi="Times New Roman" w:cs="Times New Roman"/>
          <w:noProof/>
          <w:kern w:val="0"/>
          <w:lang w:val="en-GB"/>
          <w14:ligatures w14:val="none"/>
        </w:rPr>
        <w:t>, 6(5): 103-120.</w:t>
      </w:r>
    </w:p>
    <w:p w14:paraId="429E6982"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US Census Bureau, (2020). </w:t>
      </w:r>
      <w:r w:rsidRPr="003400B9">
        <w:rPr>
          <w:rFonts w:ascii="Times New Roman" w:eastAsia="Calibri" w:hAnsi="Times New Roman" w:cs="Times New Roman"/>
          <w:i/>
          <w:iCs/>
          <w:noProof/>
          <w:kern w:val="0"/>
          <w:lang w:val="en-GB"/>
          <w14:ligatures w14:val="none"/>
        </w:rPr>
        <w:t>2018 Census of Population and Housing, Housing Unit Counts.</w:t>
      </w:r>
      <w:r w:rsidRPr="003400B9">
        <w:rPr>
          <w:rFonts w:ascii="Times New Roman" w:eastAsia="Calibri" w:hAnsi="Times New Roman" w:cs="Times New Roman"/>
          <w:noProof/>
          <w:kern w:val="0"/>
          <w:lang w:val="en-GB"/>
          <w14:ligatures w14:val="none"/>
        </w:rPr>
        <w:t xml:space="preserve"> United States Population Summary.</w:t>
      </w:r>
    </w:p>
    <w:p w14:paraId="52426B9B"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Working Group on Sustainable Land Use. (2001). </w:t>
      </w:r>
      <w:r w:rsidRPr="003400B9">
        <w:rPr>
          <w:rFonts w:ascii="Times New Roman" w:eastAsia="Calibri" w:hAnsi="Times New Roman" w:cs="Times New Roman"/>
          <w:i/>
          <w:iCs/>
          <w:noProof/>
          <w:kern w:val="0"/>
          <w:lang w:val="en-GB"/>
          <w14:ligatures w14:val="none"/>
        </w:rPr>
        <w:t>Twards More Sustainable Urban Land Use: Advice to European Commission for Policy and Action.</w:t>
      </w:r>
      <w:r w:rsidRPr="003400B9">
        <w:rPr>
          <w:rFonts w:ascii="Times New Roman" w:eastAsia="Calibri" w:hAnsi="Times New Roman" w:cs="Times New Roman"/>
          <w:noProof/>
          <w:kern w:val="0"/>
          <w:lang w:val="en-GB"/>
          <w14:ligatures w14:val="none"/>
        </w:rPr>
        <w:t xml:space="preserve"> Europian Commission.</w:t>
      </w:r>
    </w:p>
    <w:p w14:paraId="3024E435" w14:textId="6567FE0F" w:rsidR="003400B9" w:rsidRPr="003400B9" w:rsidRDefault="003400B9" w:rsidP="002C1720">
      <w:pPr>
        <w:spacing w:line="240" w:lineRule="auto"/>
        <w:rPr>
          <w:rFonts w:ascii="Times New Roman" w:hAnsi="Times New Roman" w:cs="Times New Roman"/>
          <w:b/>
          <w:bCs/>
        </w:rPr>
      </w:pPr>
      <w:r w:rsidRPr="003400B9">
        <w:rPr>
          <w:rFonts w:ascii="Times New Roman" w:eastAsia="Calibri" w:hAnsi="Times New Roman" w:cs="Times New Roman"/>
          <w:bCs/>
          <w:kern w:val="0"/>
          <w14:ligatures w14:val="none"/>
        </w:rPr>
        <w:t xml:space="preserve">Yaro, M. A., Shabu, T., Obongha, U. E., Okon, A. E. &amp; Tagha, E. T. (2025). Impact of </w:t>
      </w:r>
      <w:r w:rsidRPr="003400B9">
        <w:rPr>
          <w:rFonts w:ascii="Times New Roman" w:eastAsia="Calibri" w:hAnsi="Times New Roman" w:cs="Times New Roman"/>
          <w:bCs/>
          <w:kern w:val="0"/>
          <w14:ligatures w14:val="none"/>
        </w:rPr>
        <w:tab/>
        <w:t xml:space="preserve">population growth on agricultural land use in derived savanna of Southern </w:t>
      </w:r>
      <w:r w:rsidRPr="003400B9">
        <w:rPr>
          <w:rFonts w:ascii="Times New Roman" w:eastAsia="Calibri" w:hAnsi="Times New Roman" w:cs="Times New Roman"/>
          <w:bCs/>
          <w:kern w:val="0"/>
          <w14:ligatures w14:val="none"/>
        </w:rPr>
        <w:tab/>
        <w:t xml:space="preserve">Nigeria. </w:t>
      </w:r>
      <w:r w:rsidRPr="003400B9">
        <w:rPr>
          <w:rFonts w:ascii="Times New Roman" w:eastAsia="Calibri" w:hAnsi="Times New Roman" w:cs="Times New Roman"/>
          <w:bCs/>
          <w:kern w:val="0"/>
          <w14:ligatures w14:val="none"/>
        </w:rPr>
        <w:tab/>
      </w:r>
      <w:r w:rsidRPr="003400B9">
        <w:rPr>
          <w:rFonts w:ascii="Times New Roman" w:eastAsia="Calibri" w:hAnsi="Times New Roman" w:cs="Times New Roman"/>
          <w:bCs/>
          <w:i/>
          <w:iCs/>
          <w:kern w:val="0"/>
          <w14:ligatures w14:val="none"/>
        </w:rPr>
        <w:t>PLASU Journal of Environment Sciences</w:t>
      </w:r>
      <w:r w:rsidRPr="003400B9">
        <w:rPr>
          <w:rFonts w:ascii="Times New Roman" w:eastAsia="Calibri" w:hAnsi="Times New Roman" w:cs="Times New Roman"/>
          <w:bCs/>
          <w:kern w:val="0"/>
          <w14:ligatures w14:val="none"/>
        </w:rPr>
        <w:t xml:space="preserve">. 1 (2): 40-54. </w:t>
      </w:r>
      <w:hyperlink r:id="rId12" w:history="1">
        <w:r w:rsidRPr="00DA547D">
          <w:rPr>
            <w:rStyle w:val="Hyperlink"/>
            <w:rFonts w:ascii="Times New Roman" w:eastAsia="Calibri" w:hAnsi="Times New Roman" w:cs="Times New Roman"/>
            <w:kern w:val="0"/>
            <w14:ligatures w14:val="none"/>
          </w:rPr>
          <w:t>https://www.pjes.ng.DOI</w:t>
        </w:r>
      </w:hyperlink>
      <w:r w:rsidRPr="003400B9">
        <w:rPr>
          <w:rFonts w:ascii="Times New Roman" w:eastAsia="Calibri" w:hAnsi="Times New Roman" w:cs="Times New Roman"/>
          <w:kern w:val="0"/>
          <w14:ligatures w14:val="none"/>
        </w:rPr>
        <w:t xml:space="preserve">: </w:t>
      </w:r>
      <w:r w:rsidRPr="003400B9">
        <w:rPr>
          <w:rFonts w:ascii="Times New Roman" w:eastAsia="Calibri" w:hAnsi="Times New Roman" w:cs="Times New Roman"/>
          <w:kern w:val="0"/>
          <w14:ligatures w14:val="none"/>
        </w:rPr>
        <w:tab/>
        <w:t>10.5281/zenodo.15515873.</w:t>
      </w:r>
    </w:p>
    <w:sectPr w:rsidR="003400B9" w:rsidRPr="0034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D29"/>
    <w:multiLevelType w:val="hybridMultilevel"/>
    <w:tmpl w:val="C46E373A"/>
    <w:lvl w:ilvl="0" w:tplc="874E57AC">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7FB5"/>
    <w:multiLevelType w:val="hybridMultilevel"/>
    <w:tmpl w:val="7AA6C390"/>
    <w:lvl w:ilvl="0" w:tplc="0E1E190E">
      <w:start w:val="12"/>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127535BC"/>
    <w:multiLevelType w:val="hybridMultilevel"/>
    <w:tmpl w:val="E06C37D8"/>
    <w:lvl w:ilvl="0" w:tplc="A3AC9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81969"/>
    <w:multiLevelType w:val="hybridMultilevel"/>
    <w:tmpl w:val="A0009350"/>
    <w:lvl w:ilvl="0" w:tplc="16503B12">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54187"/>
    <w:multiLevelType w:val="hybridMultilevel"/>
    <w:tmpl w:val="7F648E5E"/>
    <w:lvl w:ilvl="0" w:tplc="2932CA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00941"/>
    <w:multiLevelType w:val="hybridMultilevel"/>
    <w:tmpl w:val="09E6FD2C"/>
    <w:lvl w:ilvl="0" w:tplc="12E089B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A7ADD"/>
    <w:multiLevelType w:val="hybridMultilevel"/>
    <w:tmpl w:val="7DF0D11C"/>
    <w:lvl w:ilvl="0" w:tplc="9BC2032E">
      <w:start w:val="17"/>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26F1370D"/>
    <w:multiLevelType w:val="hybridMultilevel"/>
    <w:tmpl w:val="9EB4C776"/>
    <w:lvl w:ilvl="0" w:tplc="AB50A83E">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80ADF"/>
    <w:multiLevelType w:val="multilevel"/>
    <w:tmpl w:val="150CD424"/>
    <w:lvl w:ilvl="0">
      <w:start w:val="1"/>
      <w:numFmt w:val="lowerRoman"/>
      <w:lvlText w:val="%1."/>
      <w:lvlJc w:val="righ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A049FF"/>
    <w:multiLevelType w:val="hybridMultilevel"/>
    <w:tmpl w:val="B810CE18"/>
    <w:lvl w:ilvl="0" w:tplc="8EE8C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36692"/>
    <w:multiLevelType w:val="hybridMultilevel"/>
    <w:tmpl w:val="80CA3BE2"/>
    <w:lvl w:ilvl="0" w:tplc="D2B4F0E0">
      <w:start w:val="16"/>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15:restartNumberingAfterBreak="0">
    <w:nsid w:val="49CB2E84"/>
    <w:multiLevelType w:val="multilevel"/>
    <w:tmpl w:val="BA6EC714"/>
    <w:lvl w:ilvl="0">
      <w:start w:val="2"/>
      <w:numFmt w:val="decimal"/>
      <w:lvlText w:val="%1"/>
      <w:lvlJc w:val="left"/>
      <w:pPr>
        <w:ind w:left="525" w:hanging="525"/>
      </w:pPr>
      <w:rPr>
        <w:rFonts w:hint="default"/>
      </w:rPr>
    </w:lvl>
    <w:lvl w:ilvl="1">
      <w:start w:val="1"/>
      <w:numFmt w:val="decimal"/>
      <w:lvlText w:val="%1.%2"/>
      <w:lvlJc w:val="left"/>
      <w:pPr>
        <w:ind w:left="1065" w:hanging="525"/>
      </w:pPr>
      <w:rPr>
        <w:rFonts w:hint="default"/>
        <w:b/>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E711C94"/>
    <w:multiLevelType w:val="hybridMultilevel"/>
    <w:tmpl w:val="1890C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738D5"/>
    <w:multiLevelType w:val="hybridMultilevel"/>
    <w:tmpl w:val="4320B376"/>
    <w:lvl w:ilvl="0" w:tplc="07FA7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93952"/>
    <w:multiLevelType w:val="hybridMultilevel"/>
    <w:tmpl w:val="7EFACB82"/>
    <w:lvl w:ilvl="0" w:tplc="D75A13CA">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15:restartNumberingAfterBreak="0">
    <w:nsid w:val="62CB4AE4"/>
    <w:multiLevelType w:val="multilevel"/>
    <w:tmpl w:val="181C57D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E05F91"/>
    <w:multiLevelType w:val="hybridMultilevel"/>
    <w:tmpl w:val="A330042C"/>
    <w:lvl w:ilvl="0" w:tplc="874E57AC">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427F9"/>
    <w:multiLevelType w:val="hybridMultilevel"/>
    <w:tmpl w:val="4052FE96"/>
    <w:lvl w:ilvl="0" w:tplc="16503B12">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D6A8D"/>
    <w:multiLevelType w:val="multilevel"/>
    <w:tmpl w:val="CA06FA34"/>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b/>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76E034C6"/>
    <w:multiLevelType w:val="multilevel"/>
    <w:tmpl w:val="9D98785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9F911DE"/>
    <w:multiLevelType w:val="hybridMultilevel"/>
    <w:tmpl w:val="AB5A4918"/>
    <w:lvl w:ilvl="0" w:tplc="333C0B1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E11062"/>
    <w:multiLevelType w:val="hybridMultilevel"/>
    <w:tmpl w:val="34669644"/>
    <w:lvl w:ilvl="0" w:tplc="A9BAB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E3598"/>
    <w:multiLevelType w:val="hybridMultilevel"/>
    <w:tmpl w:val="6968516A"/>
    <w:lvl w:ilvl="0" w:tplc="7A8242C2">
      <w:start w:val="17"/>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1257445092">
    <w:abstractNumId w:val="8"/>
  </w:num>
  <w:num w:numId="2" w16cid:durableId="1885167300">
    <w:abstractNumId w:val="0"/>
  </w:num>
  <w:num w:numId="3" w16cid:durableId="739716178">
    <w:abstractNumId w:val="16"/>
  </w:num>
  <w:num w:numId="4" w16cid:durableId="1173372222">
    <w:abstractNumId w:val="20"/>
  </w:num>
  <w:num w:numId="5" w16cid:durableId="823081455">
    <w:abstractNumId w:val="18"/>
  </w:num>
  <w:num w:numId="6" w16cid:durableId="713426849">
    <w:abstractNumId w:val="12"/>
  </w:num>
  <w:num w:numId="7" w16cid:durableId="1250381870">
    <w:abstractNumId w:val="15"/>
  </w:num>
  <w:num w:numId="8" w16cid:durableId="1725135213">
    <w:abstractNumId w:val="7"/>
  </w:num>
  <w:num w:numId="9" w16cid:durableId="2015766272">
    <w:abstractNumId w:val="21"/>
  </w:num>
  <w:num w:numId="10" w16cid:durableId="671834672">
    <w:abstractNumId w:val="4"/>
  </w:num>
  <w:num w:numId="11" w16cid:durableId="1569073452">
    <w:abstractNumId w:val="11"/>
  </w:num>
  <w:num w:numId="12" w16cid:durableId="1030106262">
    <w:abstractNumId w:val="13"/>
  </w:num>
  <w:num w:numId="13" w16cid:durableId="1935818468">
    <w:abstractNumId w:val="10"/>
  </w:num>
  <w:num w:numId="14" w16cid:durableId="1566835612">
    <w:abstractNumId w:val="5"/>
  </w:num>
  <w:num w:numId="15" w16cid:durableId="1500654986">
    <w:abstractNumId w:val="19"/>
  </w:num>
  <w:num w:numId="16" w16cid:durableId="1811894653">
    <w:abstractNumId w:val="14"/>
  </w:num>
  <w:num w:numId="17" w16cid:durableId="2114201606">
    <w:abstractNumId w:val="1"/>
  </w:num>
  <w:num w:numId="18" w16cid:durableId="63842457">
    <w:abstractNumId w:val="22"/>
  </w:num>
  <w:num w:numId="19" w16cid:durableId="1971202900">
    <w:abstractNumId w:val="6"/>
  </w:num>
  <w:num w:numId="20" w16cid:durableId="436288735">
    <w:abstractNumId w:val="17"/>
  </w:num>
  <w:num w:numId="21" w16cid:durableId="1537694323">
    <w:abstractNumId w:val="3"/>
  </w:num>
  <w:num w:numId="22" w16cid:durableId="1869220434">
    <w:abstractNumId w:val="9"/>
  </w:num>
  <w:num w:numId="23" w16cid:durableId="1726488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C1"/>
    <w:rsid w:val="00016646"/>
    <w:rsid w:val="00051EC1"/>
    <w:rsid w:val="000C6E27"/>
    <w:rsid w:val="001415CD"/>
    <w:rsid w:val="001C5A12"/>
    <w:rsid w:val="00234802"/>
    <w:rsid w:val="002A1EF9"/>
    <w:rsid w:val="002C1720"/>
    <w:rsid w:val="00325138"/>
    <w:rsid w:val="003400B9"/>
    <w:rsid w:val="005A151B"/>
    <w:rsid w:val="007B494B"/>
    <w:rsid w:val="007D03D9"/>
    <w:rsid w:val="007D05DB"/>
    <w:rsid w:val="007E633E"/>
    <w:rsid w:val="008144C0"/>
    <w:rsid w:val="00852FA0"/>
    <w:rsid w:val="00912F99"/>
    <w:rsid w:val="00972C6E"/>
    <w:rsid w:val="00A1175C"/>
    <w:rsid w:val="00A16F5A"/>
    <w:rsid w:val="00A34C08"/>
    <w:rsid w:val="00A855C8"/>
    <w:rsid w:val="00AB50AF"/>
    <w:rsid w:val="00AF64D1"/>
    <w:rsid w:val="00B41294"/>
    <w:rsid w:val="00B57AA7"/>
    <w:rsid w:val="00C046CA"/>
    <w:rsid w:val="00C70366"/>
    <w:rsid w:val="00D02168"/>
    <w:rsid w:val="00DA66D5"/>
    <w:rsid w:val="00E32CD6"/>
    <w:rsid w:val="00EF2F8C"/>
    <w:rsid w:val="00F34343"/>
    <w:rsid w:val="00F458FC"/>
    <w:rsid w:val="00F85072"/>
    <w:rsid w:val="00F94FFA"/>
    <w:rsid w:val="00FE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C250"/>
  <w15:chartTrackingRefBased/>
  <w15:docId w15:val="{AC6A05BE-41E1-4233-B449-0ADBDFE8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E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E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E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E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E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E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E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E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E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EC1"/>
    <w:rPr>
      <w:rFonts w:eastAsiaTheme="majorEastAsia" w:cstheme="majorBidi"/>
      <w:color w:val="272727" w:themeColor="text1" w:themeTint="D8"/>
    </w:rPr>
  </w:style>
  <w:style w:type="paragraph" w:styleId="Title">
    <w:name w:val="Title"/>
    <w:basedOn w:val="Normal"/>
    <w:next w:val="Normal"/>
    <w:link w:val="TitleChar"/>
    <w:uiPriority w:val="10"/>
    <w:qFormat/>
    <w:rsid w:val="00051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EC1"/>
    <w:pPr>
      <w:spacing w:before="160"/>
      <w:jc w:val="center"/>
    </w:pPr>
    <w:rPr>
      <w:i/>
      <w:iCs/>
      <w:color w:val="404040" w:themeColor="text1" w:themeTint="BF"/>
    </w:rPr>
  </w:style>
  <w:style w:type="character" w:customStyle="1" w:styleId="QuoteChar">
    <w:name w:val="Quote Char"/>
    <w:basedOn w:val="DefaultParagraphFont"/>
    <w:link w:val="Quote"/>
    <w:uiPriority w:val="29"/>
    <w:rsid w:val="00051EC1"/>
    <w:rPr>
      <w:i/>
      <w:iCs/>
      <w:color w:val="404040" w:themeColor="text1" w:themeTint="BF"/>
    </w:rPr>
  </w:style>
  <w:style w:type="paragraph" w:styleId="ListParagraph">
    <w:name w:val="List Paragraph"/>
    <w:basedOn w:val="Normal"/>
    <w:uiPriority w:val="34"/>
    <w:qFormat/>
    <w:rsid w:val="00051EC1"/>
    <w:pPr>
      <w:ind w:left="720"/>
      <w:contextualSpacing/>
    </w:pPr>
  </w:style>
  <w:style w:type="character" w:styleId="IntenseEmphasis">
    <w:name w:val="Intense Emphasis"/>
    <w:basedOn w:val="DefaultParagraphFont"/>
    <w:uiPriority w:val="21"/>
    <w:qFormat/>
    <w:rsid w:val="00051EC1"/>
    <w:rPr>
      <w:i/>
      <w:iCs/>
      <w:color w:val="2F5496" w:themeColor="accent1" w:themeShade="BF"/>
    </w:rPr>
  </w:style>
  <w:style w:type="paragraph" w:styleId="IntenseQuote">
    <w:name w:val="Intense Quote"/>
    <w:basedOn w:val="Normal"/>
    <w:next w:val="Normal"/>
    <w:link w:val="IntenseQuoteChar"/>
    <w:uiPriority w:val="30"/>
    <w:qFormat/>
    <w:rsid w:val="00051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EC1"/>
    <w:rPr>
      <w:i/>
      <w:iCs/>
      <w:color w:val="2F5496" w:themeColor="accent1" w:themeShade="BF"/>
    </w:rPr>
  </w:style>
  <w:style w:type="character" w:styleId="IntenseReference">
    <w:name w:val="Intense Reference"/>
    <w:basedOn w:val="DefaultParagraphFont"/>
    <w:uiPriority w:val="32"/>
    <w:qFormat/>
    <w:rsid w:val="00051EC1"/>
    <w:rPr>
      <w:b/>
      <w:bCs/>
      <w:smallCaps/>
      <w:color w:val="2F5496" w:themeColor="accent1" w:themeShade="BF"/>
      <w:spacing w:val="5"/>
    </w:rPr>
  </w:style>
  <w:style w:type="numbering" w:customStyle="1" w:styleId="NoList1">
    <w:name w:val="No List1"/>
    <w:next w:val="NoList"/>
    <w:uiPriority w:val="99"/>
    <w:semiHidden/>
    <w:unhideWhenUsed/>
    <w:rsid w:val="00051EC1"/>
  </w:style>
  <w:style w:type="paragraph" w:styleId="Header">
    <w:name w:val="header"/>
    <w:basedOn w:val="Normal"/>
    <w:link w:val="HeaderChar"/>
    <w:uiPriority w:val="99"/>
    <w:unhideWhenUsed/>
    <w:rsid w:val="00051EC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051EC1"/>
    <w:rPr>
      <w:kern w:val="0"/>
      <w:sz w:val="22"/>
      <w:szCs w:val="22"/>
      <w14:ligatures w14:val="none"/>
    </w:rPr>
  </w:style>
  <w:style w:type="paragraph" w:styleId="Footer">
    <w:name w:val="footer"/>
    <w:basedOn w:val="Normal"/>
    <w:link w:val="FooterChar"/>
    <w:uiPriority w:val="99"/>
    <w:unhideWhenUsed/>
    <w:rsid w:val="00051EC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051EC1"/>
    <w:rPr>
      <w:kern w:val="0"/>
      <w:sz w:val="22"/>
      <w:szCs w:val="22"/>
      <w14:ligatures w14:val="none"/>
    </w:rPr>
  </w:style>
  <w:style w:type="paragraph" w:styleId="BalloonText">
    <w:name w:val="Balloon Text"/>
    <w:basedOn w:val="Normal"/>
    <w:link w:val="BalloonTextChar"/>
    <w:uiPriority w:val="99"/>
    <w:semiHidden/>
    <w:unhideWhenUsed/>
    <w:rsid w:val="00051EC1"/>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51EC1"/>
    <w:rPr>
      <w:rFonts w:ascii="Tahoma" w:hAnsi="Tahoma" w:cs="Tahoma"/>
      <w:kern w:val="0"/>
      <w:sz w:val="16"/>
      <w:szCs w:val="16"/>
      <w14:ligatures w14:val="none"/>
    </w:rPr>
  </w:style>
  <w:style w:type="table" w:styleId="TableGrid">
    <w:name w:val="Table Grid"/>
    <w:basedOn w:val="TableNormal"/>
    <w:uiPriority w:val="59"/>
    <w:rsid w:val="00051E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51EC1"/>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51EC1"/>
    <w:pPr>
      <w:spacing w:after="200" w:line="276" w:lineRule="auto"/>
    </w:pPr>
    <w:rPr>
      <w:kern w:val="0"/>
      <w:sz w:val="22"/>
      <w:szCs w:val="22"/>
      <w14:ligatures w14:val="none"/>
    </w:rPr>
  </w:style>
  <w:style w:type="paragraph" w:customStyle="1" w:styleId="Style">
    <w:name w:val="Style"/>
    <w:rsid w:val="00051EC1"/>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NoSpacing">
    <w:name w:val="No Spacing"/>
    <w:uiPriority w:val="1"/>
    <w:qFormat/>
    <w:rsid w:val="00051EC1"/>
    <w:pPr>
      <w:spacing w:after="0" w:line="240" w:lineRule="auto"/>
    </w:pPr>
    <w:rPr>
      <w:kern w:val="0"/>
      <w:sz w:val="22"/>
      <w:szCs w:val="22"/>
      <w14:ligatures w14:val="none"/>
    </w:rPr>
  </w:style>
  <w:style w:type="character" w:styleId="Hyperlink">
    <w:name w:val="Hyperlink"/>
    <w:basedOn w:val="DefaultParagraphFont"/>
    <w:uiPriority w:val="99"/>
    <w:unhideWhenUsed/>
    <w:rsid w:val="003400B9"/>
    <w:rPr>
      <w:color w:val="0563C1" w:themeColor="hyperlink"/>
      <w:u w:val="single"/>
    </w:rPr>
  </w:style>
  <w:style w:type="character" w:styleId="UnresolvedMention">
    <w:name w:val="Unresolved Mention"/>
    <w:basedOn w:val="DefaultParagraphFont"/>
    <w:uiPriority w:val="99"/>
    <w:semiHidden/>
    <w:unhideWhenUsed/>
    <w:rsid w:val="0034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pjes.ng.D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7.png"/><Relationship Id="rId5" Type="http://schemas.openxmlformats.org/officeDocument/2006/relationships/chart" Target="charts/chart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Strongly Agree</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Sheet1!$B$2:$B$10</c:f>
              <c:numCache>
                <c:formatCode>General</c:formatCode>
                <c:ptCount val="9"/>
                <c:pt idx="0">
                  <c:v>196</c:v>
                </c:pt>
                <c:pt idx="1">
                  <c:v>138</c:v>
                </c:pt>
                <c:pt idx="2">
                  <c:v>123</c:v>
                </c:pt>
                <c:pt idx="3">
                  <c:v>129</c:v>
                </c:pt>
                <c:pt idx="4">
                  <c:v>101</c:v>
                </c:pt>
                <c:pt idx="5">
                  <c:v>129</c:v>
                </c:pt>
                <c:pt idx="6">
                  <c:v>115</c:v>
                </c:pt>
                <c:pt idx="7">
                  <c:v>119</c:v>
                </c:pt>
                <c:pt idx="8">
                  <c:v>182</c:v>
                </c:pt>
              </c:numCache>
            </c:numRef>
          </c:val>
          <c:extLst>
            <c:ext xmlns:c16="http://schemas.microsoft.com/office/drawing/2014/chart" uri="{C3380CC4-5D6E-409C-BE32-E72D297353CC}">
              <c16:uniqueId val="{00000000-6D0A-4237-A801-0007178F440C}"/>
            </c:ext>
          </c:extLst>
        </c:ser>
        <c:ser>
          <c:idx val="1"/>
          <c:order val="1"/>
          <c:tx>
            <c:strRef>
              <c:f>Sheet1!$C$1</c:f>
              <c:strCache>
                <c:ptCount val="1"/>
                <c:pt idx="0">
                  <c:v>Agree</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Sheet1!$C$2:$C$10</c:f>
              <c:numCache>
                <c:formatCode>General</c:formatCode>
                <c:ptCount val="9"/>
                <c:pt idx="0">
                  <c:v>103</c:v>
                </c:pt>
                <c:pt idx="1">
                  <c:v>94</c:v>
                </c:pt>
                <c:pt idx="2">
                  <c:v>89</c:v>
                </c:pt>
                <c:pt idx="3">
                  <c:v>105</c:v>
                </c:pt>
                <c:pt idx="4">
                  <c:v>91</c:v>
                </c:pt>
                <c:pt idx="5">
                  <c:v>103</c:v>
                </c:pt>
                <c:pt idx="6">
                  <c:v>106</c:v>
                </c:pt>
                <c:pt idx="7">
                  <c:v>117</c:v>
                </c:pt>
                <c:pt idx="8">
                  <c:v>79</c:v>
                </c:pt>
              </c:numCache>
            </c:numRef>
          </c:val>
          <c:extLst>
            <c:ext xmlns:c16="http://schemas.microsoft.com/office/drawing/2014/chart" uri="{C3380CC4-5D6E-409C-BE32-E72D297353CC}">
              <c16:uniqueId val="{00000001-6D0A-4237-A801-0007178F440C}"/>
            </c:ext>
          </c:extLst>
        </c:ser>
        <c:ser>
          <c:idx val="2"/>
          <c:order val="2"/>
          <c:tx>
            <c:strRef>
              <c:f>Sheet1!$D$1</c:f>
              <c:strCache>
                <c:ptCount val="1"/>
                <c:pt idx="0">
                  <c:v>Strongly Disagree</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Sheet1!$D$2:$D$10</c:f>
              <c:numCache>
                <c:formatCode>General</c:formatCode>
                <c:ptCount val="9"/>
                <c:pt idx="0">
                  <c:v>95</c:v>
                </c:pt>
                <c:pt idx="1">
                  <c:v>137</c:v>
                </c:pt>
                <c:pt idx="2">
                  <c:v>76</c:v>
                </c:pt>
                <c:pt idx="3">
                  <c:v>64</c:v>
                </c:pt>
                <c:pt idx="4">
                  <c:v>113</c:v>
                </c:pt>
                <c:pt idx="5">
                  <c:v>82</c:v>
                </c:pt>
                <c:pt idx="6">
                  <c:v>94</c:v>
                </c:pt>
                <c:pt idx="7">
                  <c:v>84</c:v>
                </c:pt>
                <c:pt idx="8">
                  <c:v>63</c:v>
                </c:pt>
              </c:numCache>
            </c:numRef>
          </c:val>
          <c:extLst>
            <c:ext xmlns:c16="http://schemas.microsoft.com/office/drawing/2014/chart" uri="{C3380CC4-5D6E-409C-BE32-E72D297353CC}">
              <c16:uniqueId val="{00000002-6D0A-4237-A801-0007178F440C}"/>
            </c:ext>
          </c:extLst>
        </c:ser>
        <c:ser>
          <c:idx val="3"/>
          <c:order val="3"/>
          <c:tx>
            <c:strRef>
              <c:f>Sheet1!$E$1</c:f>
              <c:strCache>
                <c:ptCount val="1"/>
                <c:pt idx="0">
                  <c:v>Disagree</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Sheet1!$E$2:$E$10</c:f>
              <c:numCache>
                <c:formatCode>General</c:formatCode>
                <c:ptCount val="9"/>
                <c:pt idx="0">
                  <c:v>93</c:v>
                </c:pt>
                <c:pt idx="1">
                  <c:v>92</c:v>
                </c:pt>
                <c:pt idx="2">
                  <c:v>85</c:v>
                </c:pt>
                <c:pt idx="3">
                  <c:v>51</c:v>
                </c:pt>
                <c:pt idx="4">
                  <c:v>98</c:v>
                </c:pt>
                <c:pt idx="5">
                  <c:v>93</c:v>
                </c:pt>
                <c:pt idx="6">
                  <c:v>83</c:v>
                </c:pt>
                <c:pt idx="7">
                  <c:v>77</c:v>
                </c:pt>
                <c:pt idx="8">
                  <c:v>81</c:v>
                </c:pt>
              </c:numCache>
            </c:numRef>
          </c:val>
          <c:extLst>
            <c:ext xmlns:c16="http://schemas.microsoft.com/office/drawing/2014/chart" uri="{C3380CC4-5D6E-409C-BE32-E72D297353CC}">
              <c16:uniqueId val="{00000003-6D0A-4237-A801-0007178F440C}"/>
            </c:ext>
          </c:extLst>
        </c:ser>
        <c:ser>
          <c:idx val="4"/>
          <c:order val="4"/>
          <c:tx>
            <c:strRef>
              <c:f>Sheet1!$F$1</c:f>
              <c:strCache>
                <c:ptCount val="1"/>
                <c:pt idx="0">
                  <c:v>Undecided</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Sheet1!$F$2:$F$10</c:f>
              <c:numCache>
                <c:formatCode>General</c:formatCode>
                <c:ptCount val="9"/>
                <c:pt idx="0">
                  <c:v>7</c:v>
                </c:pt>
                <c:pt idx="1">
                  <c:v>33</c:v>
                </c:pt>
                <c:pt idx="2">
                  <c:v>121</c:v>
                </c:pt>
                <c:pt idx="3">
                  <c:v>145</c:v>
                </c:pt>
                <c:pt idx="4">
                  <c:v>91</c:v>
                </c:pt>
                <c:pt idx="5">
                  <c:v>87</c:v>
                </c:pt>
                <c:pt idx="6">
                  <c:v>96</c:v>
                </c:pt>
                <c:pt idx="7">
                  <c:v>97</c:v>
                </c:pt>
                <c:pt idx="8">
                  <c:v>89</c:v>
                </c:pt>
              </c:numCache>
            </c:numRef>
          </c:val>
          <c:extLst>
            <c:ext xmlns:c16="http://schemas.microsoft.com/office/drawing/2014/chart" uri="{C3380CC4-5D6E-409C-BE32-E72D297353CC}">
              <c16:uniqueId val="{00000004-6D0A-4237-A801-0007178F440C}"/>
            </c:ext>
          </c:extLst>
        </c:ser>
        <c:dLbls>
          <c:showLegendKey val="0"/>
          <c:showVal val="0"/>
          <c:showCatName val="0"/>
          <c:showSerName val="0"/>
          <c:showPercent val="0"/>
          <c:showBubbleSize val="0"/>
        </c:dLbls>
        <c:gapWidth val="150"/>
        <c:shape val="cylinder"/>
        <c:axId val="352813440"/>
        <c:axId val="352815360"/>
        <c:axId val="0"/>
      </c:bar3DChart>
      <c:catAx>
        <c:axId val="352813440"/>
        <c:scaling>
          <c:orientation val="minMax"/>
        </c:scaling>
        <c:delete val="0"/>
        <c:axPos val="b"/>
        <c:title>
          <c:tx>
            <c:rich>
              <a:bodyPr/>
              <a:lstStyle/>
              <a:p>
                <a:pPr>
                  <a:defRPr/>
                </a:pPr>
                <a:r>
                  <a:rPr lang="en-US"/>
                  <a:t>Attributes of mixed land uses</a:t>
                </a:r>
              </a:p>
            </c:rich>
          </c:tx>
          <c:overlay val="0"/>
        </c:title>
        <c:numFmt formatCode="General" sourceLinked="0"/>
        <c:majorTickMark val="none"/>
        <c:minorTickMark val="none"/>
        <c:tickLblPos val="nextTo"/>
        <c:crossAx val="352815360"/>
        <c:crosses val="autoZero"/>
        <c:auto val="1"/>
        <c:lblAlgn val="ctr"/>
        <c:lblOffset val="100"/>
        <c:noMultiLvlLbl val="0"/>
      </c:catAx>
      <c:valAx>
        <c:axId val="352815360"/>
        <c:scaling>
          <c:orientation val="minMax"/>
        </c:scaling>
        <c:delete val="0"/>
        <c:axPos val="l"/>
        <c:majorGridlines/>
        <c:title>
          <c:tx>
            <c:rich>
              <a:bodyPr/>
              <a:lstStyle/>
              <a:p>
                <a:pPr>
                  <a:defRPr/>
                </a:pPr>
                <a:r>
                  <a:rPr lang="en-US"/>
                  <a:t>Level</a:t>
                </a:r>
                <a:r>
                  <a:rPr lang="en-US" baseline="0"/>
                  <a:t> of responses</a:t>
                </a:r>
                <a:endParaRPr lang="en-US"/>
              </a:p>
            </c:rich>
          </c:tx>
          <c:overlay val="0"/>
        </c:title>
        <c:numFmt formatCode="General" sourceLinked="1"/>
        <c:majorTickMark val="out"/>
        <c:minorTickMark val="none"/>
        <c:tickLblPos val="nextTo"/>
        <c:crossAx val="352813440"/>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REg!$B$1</c:f>
              <c:strCache>
                <c:ptCount val="1"/>
                <c:pt idx="0">
                  <c:v>Population Concentration (X)</c:v>
                </c:pt>
              </c:strCache>
            </c:strRef>
          </c:tx>
          <c:spPr>
            <a:blipFill>
              <a:blip xmlns:r="http://schemas.openxmlformats.org/officeDocument/2006/relationships" r:embed="rId2"/>
              <a:tile tx="0" ty="0" sx="100000" sy="100000" flip="none" algn="tl"/>
            </a:blipFill>
          </c:spPr>
          <c:invertIfNegative val="0"/>
          <c:cat>
            <c:strRef>
              <c:f>REg!$A$2:$A$19</c:f>
              <c:strCache>
                <c:ptCount val="18"/>
                <c:pt idx="0">
                  <c:v>Akim Qua Town</c:v>
                </c:pt>
                <c:pt idx="1">
                  <c:v>Big Qua Town</c:v>
                </c:pt>
                <c:pt idx="2">
                  <c:v>Duke/Cobhom Town</c:v>
                </c:pt>
                <c:pt idx="3">
                  <c:v>Ediba Qua Town</c:v>
                </c:pt>
                <c:pt idx="4">
                  <c:v>Efut Abua</c:v>
                </c:pt>
                <c:pt idx="5">
                  <c:v>Efut Anantigha</c:v>
                </c:pt>
                <c:pt idx="6">
                  <c:v>Efut Ekondo</c:v>
                </c:pt>
                <c:pt idx="7">
                  <c:v>Efut Uwanse</c:v>
                </c:pt>
                <c:pt idx="8">
                  <c:v>Ekorinim 1 and 2</c:v>
                </c:pt>
                <c:pt idx="9">
                  <c:v>Esin Ufot</c:v>
                </c:pt>
                <c:pt idx="10">
                  <c:v>Essien Town</c:v>
                </c:pt>
                <c:pt idx="11">
                  <c:v>Henshaw Town</c:v>
                </c:pt>
                <c:pt idx="12">
                  <c:v>Ikot Ansa </c:v>
                </c:pt>
                <c:pt idx="13">
                  <c:v>Ikot Effangha Mkpa</c:v>
                </c:pt>
                <c:pt idx="14">
                  <c:v>Ikot Ishie</c:v>
                </c:pt>
                <c:pt idx="15">
                  <c:v>Ikot Omin</c:v>
                </c:pt>
                <c:pt idx="16">
                  <c:v>Mbukapa</c:v>
                </c:pt>
                <c:pt idx="17">
                  <c:v>Nyahasang</c:v>
                </c:pt>
              </c:strCache>
            </c:strRef>
          </c:cat>
          <c:val>
            <c:numRef>
              <c:f>REg!$B$2:$B$19</c:f>
              <c:numCache>
                <c:formatCode>General</c:formatCode>
                <c:ptCount val="18"/>
                <c:pt idx="0">
                  <c:v>42125</c:v>
                </c:pt>
                <c:pt idx="1">
                  <c:v>40645</c:v>
                </c:pt>
                <c:pt idx="2">
                  <c:v>42540</c:v>
                </c:pt>
                <c:pt idx="3">
                  <c:v>36965</c:v>
                </c:pt>
                <c:pt idx="4">
                  <c:v>27785</c:v>
                </c:pt>
                <c:pt idx="5">
                  <c:v>27594</c:v>
                </c:pt>
                <c:pt idx="6">
                  <c:v>42768</c:v>
                </c:pt>
                <c:pt idx="7">
                  <c:v>29187</c:v>
                </c:pt>
                <c:pt idx="8">
                  <c:v>28995</c:v>
                </c:pt>
                <c:pt idx="9">
                  <c:v>38865</c:v>
                </c:pt>
                <c:pt idx="10">
                  <c:v>27675</c:v>
                </c:pt>
                <c:pt idx="11">
                  <c:v>41051</c:v>
                </c:pt>
                <c:pt idx="12">
                  <c:v>39088</c:v>
                </c:pt>
                <c:pt idx="13">
                  <c:v>29999</c:v>
                </c:pt>
                <c:pt idx="14">
                  <c:v>38785</c:v>
                </c:pt>
                <c:pt idx="15">
                  <c:v>27781</c:v>
                </c:pt>
                <c:pt idx="16">
                  <c:v>42541</c:v>
                </c:pt>
                <c:pt idx="17">
                  <c:v>26243</c:v>
                </c:pt>
              </c:numCache>
            </c:numRef>
          </c:val>
          <c:extLst>
            <c:ext xmlns:c16="http://schemas.microsoft.com/office/drawing/2014/chart" uri="{C3380CC4-5D6E-409C-BE32-E72D297353CC}">
              <c16:uniqueId val="{00000000-65C6-4A8F-A06C-7DDA8D18A916}"/>
            </c:ext>
          </c:extLst>
        </c:ser>
        <c:ser>
          <c:idx val="1"/>
          <c:order val="1"/>
          <c:tx>
            <c:strRef>
              <c:f>REg!$C$1</c:f>
              <c:strCache>
                <c:ptCount val="1"/>
                <c:pt idx="0">
                  <c:v>Areal Extent (M2) (Y)</c:v>
                </c:pt>
              </c:strCache>
            </c:strRef>
          </c:tx>
          <c:spPr>
            <a:blipFill>
              <a:blip xmlns:r="http://schemas.openxmlformats.org/officeDocument/2006/relationships" r:embed="rId3"/>
              <a:tile tx="0" ty="0" sx="100000" sy="100000" flip="none" algn="tl"/>
            </a:blipFill>
          </c:spPr>
          <c:invertIfNegative val="0"/>
          <c:cat>
            <c:strRef>
              <c:f>REg!$A$2:$A$19</c:f>
              <c:strCache>
                <c:ptCount val="18"/>
                <c:pt idx="0">
                  <c:v>Akim Qua Town</c:v>
                </c:pt>
                <c:pt idx="1">
                  <c:v>Big Qua Town</c:v>
                </c:pt>
                <c:pt idx="2">
                  <c:v>Duke/Cobhom Town</c:v>
                </c:pt>
                <c:pt idx="3">
                  <c:v>Ediba Qua Town</c:v>
                </c:pt>
                <c:pt idx="4">
                  <c:v>Efut Abua</c:v>
                </c:pt>
                <c:pt idx="5">
                  <c:v>Efut Anantigha</c:v>
                </c:pt>
                <c:pt idx="6">
                  <c:v>Efut Ekondo</c:v>
                </c:pt>
                <c:pt idx="7">
                  <c:v>Efut Uwanse</c:v>
                </c:pt>
                <c:pt idx="8">
                  <c:v>Ekorinim 1 and 2</c:v>
                </c:pt>
                <c:pt idx="9">
                  <c:v>Esin Ufot</c:v>
                </c:pt>
                <c:pt idx="10">
                  <c:v>Essien Town</c:v>
                </c:pt>
                <c:pt idx="11">
                  <c:v>Henshaw Town</c:v>
                </c:pt>
                <c:pt idx="12">
                  <c:v>Ikot Ansa </c:v>
                </c:pt>
                <c:pt idx="13">
                  <c:v>Ikot Effangha Mkpa</c:v>
                </c:pt>
                <c:pt idx="14">
                  <c:v>Ikot Ishie</c:v>
                </c:pt>
                <c:pt idx="15">
                  <c:v>Ikot Omin</c:v>
                </c:pt>
                <c:pt idx="16">
                  <c:v>Mbukapa</c:v>
                </c:pt>
                <c:pt idx="17">
                  <c:v>Nyahasang</c:v>
                </c:pt>
              </c:strCache>
            </c:strRef>
          </c:cat>
          <c:val>
            <c:numRef>
              <c:f>REg!$C$2:$C$19</c:f>
              <c:numCache>
                <c:formatCode>General</c:formatCode>
                <c:ptCount val="18"/>
                <c:pt idx="0">
                  <c:v>15251</c:v>
                </c:pt>
                <c:pt idx="1">
                  <c:v>34690</c:v>
                </c:pt>
                <c:pt idx="2">
                  <c:v>28020</c:v>
                </c:pt>
                <c:pt idx="3">
                  <c:v>89080</c:v>
                </c:pt>
                <c:pt idx="4">
                  <c:v>44530</c:v>
                </c:pt>
                <c:pt idx="5">
                  <c:v>12557</c:v>
                </c:pt>
                <c:pt idx="6">
                  <c:v>82450</c:v>
                </c:pt>
                <c:pt idx="7">
                  <c:v>61120</c:v>
                </c:pt>
                <c:pt idx="8">
                  <c:v>61310</c:v>
                </c:pt>
                <c:pt idx="9">
                  <c:v>42900</c:v>
                </c:pt>
                <c:pt idx="10">
                  <c:v>53680</c:v>
                </c:pt>
                <c:pt idx="11">
                  <c:v>13702</c:v>
                </c:pt>
                <c:pt idx="12">
                  <c:v>10050</c:v>
                </c:pt>
                <c:pt idx="13">
                  <c:v>40930</c:v>
                </c:pt>
                <c:pt idx="14">
                  <c:v>36200</c:v>
                </c:pt>
                <c:pt idx="15">
                  <c:v>61420</c:v>
                </c:pt>
                <c:pt idx="16">
                  <c:v>10402</c:v>
                </c:pt>
                <c:pt idx="17" formatCode="#,##0">
                  <c:v>11368</c:v>
                </c:pt>
              </c:numCache>
            </c:numRef>
          </c:val>
          <c:extLst>
            <c:ext xmlns:c16="http://schemas.microsoft.com/office/drawing/2014/chart" uri="{C3380CC4-5D6E-409C-BE32-E72D297353CC}">
              <c16:uniqueId val="{00000001-65C6-4A8F-A06C-7DDA8D18A916}"/>
            </c:ext>
          </c:extLst>
        </c:ser>
        <c:dLbls>
          <c:showLegendKey val="0"/>
          <c:showVal val="0"/>
          <c:showCatName val="0"/>
          <c:showSerName val="0"/>
          <c:showPercent val="0"/>
          <c:showBubbleSize val="0"/>
        </c:dLbls>
        <c:gapWidth val="300"/>
        <c:shape val="cylinder"/>
        <c:axId val="352804224"/>
        <c:axId val="414811648"/>
        <c:axId val="0"/>
      </c:bar3DChart>
      <c:catAx>
        <c:axId val="352804224"/>
        <c:scaling>
          <c:orientation val="minMax"/>
        </c:scaling>
        <c:delete val="0"/>
        <c:axPos val="b"/>
        <c:title>
          <c:tx>
            <c:rich>
              <a:bodyPr/>
              <a:lstStyle/>
              <a:p>
                <a:pPr>
                  <a:defRPr/>
                </a:pPr>
                <a:r>
                  <a:rPr lang="en-US"/>
                  <a:t>Neighbourhood</a:t>
                </a:r>
                <a:r>
                  <a:rPr lang="en-US" baseline="0"/>
                  <a:t> zone</a:t>
                </a:r>
                <a:endParaRPr lang="en-US"/>
              </a:p>
            </c:rich>
          </c:tx>
          <c:overlay val="0"/>
        </c:title>
        <c:numFmt formatCode="General" sourceLinked="0"/>
        <c:majorTickMark val="none"/>
        <c:minorTickMark val="none"/>
        <c:tickLblPos val="nextTo"/>
        <c:crossAx val="414811648"/>
        <c:crosses val="autoZero"/>
        <c:auto val="1"/>
        <c:lblAlgn val="ctr"/>
        <c:lblOffset val="100"/>
        <c:noMultiLvlLbl val="0"/>
      </c:catAx>
      <c:valAx>
        <c:axId val="414811648"/>
        <c:scaling>
          <c:orientation val="minMax"/>
        </c:scaling>
        <c:delete val="0"/>
        <c:axPos val="l"/>
        <c:majorGridlines/>
        <c:minorGridlines/>
        <c:title>
          <c:tx>
            <c:rich>
              <a:bodyPr/>
              <a:lstStyle/>
              <a:p>
                <a:pPr>
                  <a:defRPr/>
                </a:pPr>
                <a:r>
                  <a:rPr lang="en-US"/>
                  <a:t>Population Concentration/Arel extent (m2)</a:t>
                </a:r>
              </a:p>
            </c:rich>
          </c:tx>
          <c:overlay val="0"/>
        </c:title>
        <c:numFmt formatCode="General" sourceLinked="1"/>
        <c:majorTickMark val="out"/>
        <c:minorTickMark val="none"/>
        <c:tickLblPos val="nextTo"/>
        <c:crossAx val="352804224"/>
        <c:crosses val="autoZero"/>
        <c:crossBetween val="between"/>
      </c:valAx>
    </c:plotArea>
    <c:legend>
      <c:legendPos val="b"/>
      <c:overlay val="0"/>
    </c:legend>
    <c:plotVisOnly val="1"/>
    <c:dispBlanksAs val="gap"/>
    <c:showDLblsOverMax val="0"/>
  </c:chart>
  <c:externalData r:id="rId4">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79</TotalTime>
  <Pages>21</Pages>
  <Words>6086</Words>
  <Characters>34691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Ukpali Obongha</dc:creator>
  <cp:keywords/>
  <dc:description/>
  <cp:lastModifiedBy>theaisha1707@gmail.com</cp:lastModifiedBy>
  <cp:revision>11</cp:revision>
  <dcterms:created xsi:type="dcterms:W3CDTF">2025-11-30T15:43:00Z</dcterms:created>
  <dcterms:modified xsi:type="dcterms:W3CDTF">2026-04-06T07:14:00Z</dcterms:modified>
</cp:coreProperties>
</file>