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E11BC" w14:textId="77777777" w:rsidR="001D04B0" w:rsidRDefault="00000000">
      <w:pPr>
        <w:pStyle w:val="Heading1"/>
        <w:spacing w:line="360" w:lineRule="auto"/>
        <w:ind w:firstLineChars="1150" w:firstLine="3682"/>
        <w:rPr>
          <w:rFonts w:ascii="Times New Roman" w:hAnsi="Times New Roman" w:cs="Times New Roman"/>
          <w:b/>
          <w:bCs/>
          <w:color w:val="C00000"/>
          <w:sz w:val="28"/>
          <w:szCs w:val="28"/>
        </w:rPr>
      </w:pPr>
      <w:r>
        <w:rPr>
          <w:rFonts w:ascii="Times New Roman" w:hAnsi="Times New Roman" w:cs="Times New Roman"/>
          <w:b/>
          <w:bCs/>
          <w:color w:val="C00000"/>
        </w:rPr>
        <w:t>RESEARCH  ARTICLE</w:t>
      </w:r>
    </w:p>
    <w:p w14:paraId="7C9B5034" w14:textId="77777777" w:rsidR="001D04B0" w:rsidRDefault="001D04B0"/>
    <w:p w14:paraId="6D60E535" w14:textId="77777777" w:rsidR="001D04B0" w:rsidRDefault="00000000">
      <w:pPr>
        <w:spacing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STABILITY INDICATING RP-HPLC METHOD DEVELOPMENT AND VALIDATION FOR SIMULTANEOUS ESTIMATION OF DAPAGLIFLOZIN PROPANEDIOL MONOHYDRATE AND  EPLERENONE IN ITS SYNTHETIC MIXTURE </w:t>
      </w:r>
    </w:p>
    <w:p w14:paraId="5C98EC1A" w14:textId="77777777" w:rsidR="001D04B0" w:rsidRDefault="001D04B0">
      <w:pPr>
        <w:spacing w:line="240" w:lineRule="auto"/>
        <w:jc w:val="center"/>
        <w:rPr>
          <w:rFonts w:ascii="Times New Roman" w:hAnsi="Times New Roman" w:cs="Times New Roman"/>
          <w:b/>
          <w:bCs/>
          <w:color w:val="C00000"/>
          <w:sz w:val="24"/>
          <w:szCs w:val="24"/>
        </w:rPr>
        <w:sectPr w:rsidR="001D04B0">
          <w:headerReference w:type="default" r:id="rId9"/>
          <w:footerReference w:type="default" r:id="rId10"/>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p>
    <w:p w14:paraId="71A67E6E" w14:textId="77777777" w:rsidR="001D04B0"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ABSTRACT</w:t>
      </w:r>
    </w:p>
    <w:p w14:paraId="1B4D2BC3" w14:textId="77777777" w:rsidR="001D04B0" w:rsidRDefault="001D04B0">
      <w:pPr>
        <w:spacing w:line="360" w:lineRule="auto"/>
        <w:ind w:firstLineChars="150" w:firstLine="360"/>
        <w:jc w:val="both"/>
        <w:rPr>
          <w:rFonts w:ascii="Times New Roman" w:hAnsi="Times New Roman" w:cs="Times New Roman"/>
          <w:sz w:val="24"/>
          <w:szCs w:val="24"/>
        </w:rPr>
        <w:sectPr w:rsidR="001D04B0">
          <w:type w:val="continuous"/>
          <w:pgSz w:w="11906" w:h="16838"/>
          <w:pgMar w:top="425" w:right="289" w:bottom="669" w:left="289" w:header="1134" w:footer="1134" w:gutter="0"/>
          <w:pgBorders>
            <w:top w:val="thinThickSmallGap" w:sz="24" w:space="1" w:color="C00000"/>
            <w:bottom w:val="thickThinSmallGap" w:sz="24" w:space="1" w:color="C00000"/>
          </w:pgBorders>
          <w:cols w:space="425"/>
          <w:docGrid w:linePitch="360"/>
        </w:sectPr>
      </w:pPr>
    </w:p>
    <w:p w14:paraId="7A949D9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growing need for effective analytical techniques for combination drug therapy has led to the development of reliable and stability-indicating methods for quantitative estimation. The present work was aimed at developing and validating a reverse phase high performance liquid chromatographic (RP-HPLC) method for the simultaneous estimation of dapagliflozin propanediol monohydrate and eplerenone in a synthetic mixture. The chromatographic separation was achieved using a Cosmosil C18 column (250 mm × 4.6 mm, 5 µm) with a mobile phase consisting of phosphate buffer and methanol in the ratio of 30:70 % v/v. The detection was carried out at 228 nm. The retention times of dapagliflozin propanediol monohydrate and eplerenone were found to be 6.2 min and 2.6 min, respectively, indicating satisfactory separation of both analytes. The developed method was validated as per ICH guidelines for various parameters such as linearity, accuracy, precision, specificity, robustness, and system suitability. The method showed good linearity with correlation coefficients close to unity for both drugs. The accuracy of the method was confirmed by recovery studies, and precision studies showed %RSD values within acceptable limit indicating reproducibility. The specificity of the method was established by the absence of interference from excipients and degradation products. Forced degradation studies were performed under acidic, alkaline, oxidative, thermal, and photolytic conditions,and the results confirmed that the method is capable of effectively separating degradation products from the analytes, thereby demonstrating its stability-indicating nature. The developed RP-HPLC method was found to be simple, precise, accurate,and robust, making it suitable for routine quality control analysis and stability studies of dapagliflozin propanediol monohydrate and eplerenone in synthetic mixtures.</w:t>
      </w:r>
    </w:p>
    <w:p w14:paraId="326ED48B" w14:textId="77777777" w:rsidR="001D04B0" w:rsidRDefault="001D04B0">
      <w:pPr>
        <w:spacing w:line="240" w:lineRule="auto"/>
        <w:ind w:firstLineChars="150" w:firstLine="360"/>
        <w:jc w:val="both"/>
        <w:rPr>
          <w:rFonts w:ascii="Times New Roman" w:hAnsi="Times New Roman" w:cs="Times New Roman"/>
          <w:sz w:val="24"/>
          <w:szCs w:val="24"/>
        </w:rPr>
        <w:sectPr w:rsidR="001D04B0">
          <w:type w:val="continuous"/>
          <w:pgSz w:w="11906" w:h="16838"/>
          <w:pgMar w:top="431" w:right="238" w:bottom="238" w:left="238" w:header="1134" w:footer="1134" w:gutter="0"/>
          <w:pgBorders>
            <w:top w:val="thinThickSmallGap" w:sz="24" w:space="1" w:color="C00000"/>
            <w:bottom w:val="thickThinSmallGap" w:sz="24" w:space="1" w:color="C00000"/>
          </w:pgBorders>
          <w:cols w:space="425"/>
          <w:docGrid w:linePitch="360"/>
        </w:sectPr>
      </w:pPr>
    </w:p>
    <w:p w14:paraId="60DCA9F1" w14:textId="77777777" w:rsidR="001D04B0" w:rsidRDefault="001D04B0">
      <w:pPr>
        <w:spacing w:line="240" w:lineRule="auto"/>
        <w:jc w:val="both"/>
        <w:rPr>
          <w:rFonts w:ascii="Times New Roman" w:hAnsi="Times New Roman" w:cs="Times New Roman"/>
          <w:sz w:val="24"/>
          <w:szCs w:val="24"/>
        </w:rPr>
      </w:pPr>
    </w:p>
    <w:p w14:paraId="0C706D6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KEYWORDS</w:t>
      </w:r>
    </w:p>
    <w:p w14:paraId="5021BCA4" w14:textId="77777777" w:rsidR="001D04B0" w:rsidRDefault="00000000">
      <w:pPr>
        <w:spacing w:line="240" w:lineRule="auto"/>
        <w:ind w:firstLineChars="250" w:firstLine="600"/>
        <w:rPr>
          <w:rFonts w:ascii="Times New Roman" w:hAnsi="Times New Roman" w:cs="Times New Roman"/>
          <w:sz w:val="24"/>
          <w:szCs w:val="24"/>
        </w:rPr>
      </w:pPr>
      <w:r>
        <w:rPr>
          <w:rFonts w:ascii="Times New Roman" w:hAnsi="Times New Roman" w:cs="Times New Roman"/>
          <w:sz w:val="24"/>
          <w:szCs w:val="24"/>
        </w:rPr>
        <w:t>Dapagliflozin Propanediol Monohydrate, Eplerenone, Forced degradation studies, RP-HPLC, Stability-indicating method</w:t>
      </w:r>
    </w:p>
    <w:p w14:paraId="394ED092" w14:textId="77777777" w:rsidR="001D04B0" w:rsidRDefault="001D04B0">
      <w:pPr>
        <w:spacing w:line="240" w:lineRule="auto"/>
        <w:rPr>
          <w:rFonts w:ascii="Times New Roman" w:hAnsi="Times New Roman" w:cs="Times New Roman"/>
          <w:b/>
          <w:bCs/>
          <w:color w:val="C00000"/>
          <w:sz w:val="24"/>
          <w:szCs w:val="24"/>
        </w:rPr>
        <w:sectPr w:rsidR="001D04B0">
          <w:type w:val="continuous"/>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14:paraId="1FA44795" w14:textId="77777777" w:rsidR="001D04B0" w:rsidRDefault="001D04B0">
      <w:pPr>
        <w:pStyle w:val="Heading1"/>
        <w:spacing w:line="240" w:lineRule="auto"/>
        <w:ind w:left="567" w:hanging="567"/>
        <w:jc w:val="both"/>
        <w:rPr>
          <w:rFonts w:ascii="Times New Roman" w:hAnsi="Times New Roman" w:cs="Times New Roman"/>
          <w:b/>
          <w:bCs/>
          <w:color w:val="auto"/>
          <w:sz w:val="24"/>
          <w:szCs w:val="24"/>
        </w:rPr>
        <w:sectPr w:rsidR="001D04B0">
          <w:pgSz w:w="11906" w:h="16838"/>
          <w:pgMar w:top="425" w:right="289" w:bottom="669" w:left="289" w:header="346" w:footer="403" w:gutter="0"/>
          <w:pgBorders>
            <w:top w:val="thinThickSmallGap" w:sz="24" w:space="1" w:color="C00000"/>
            <w:bottom w:val="thickThinSmallGap" w:sz="24" w:space="1" w:color="C00000"/>
          </w:pgBorders>
          <w:cols w:space="425"/>
          <w:docGrid w:linePitch="360"/>
        </w:sectPr>
      </w:pPr>
    </w:p>
    <w:p w14:paraId="7C5AF119" w14:textId="77777777" w:rsidR="001D04B0" w:rsidRDefault="00000000">
      <w:pPr>
        <w:pStyle w:val="Heading1"/>
        <w:spacing w:line="240" w:lineRule="auto"/>
        <w:ind w:left="567" w:hanging="567"/>
        <w:jc w:val="both"/>
        <w:rPr>
          <w:rFonts w:ascii="Times New Roman" w:hAnsi="Times New Roman" w:cs="Times New Roman"/>
          <w:b/>
          <w:bCs/>
          <w:color w:val="auto"/>
          <w:sz w:val="24"/>
          <w:szCs w:val="24"/>
        </w:rPr>
      </w:pPr>
      <w:r>
        <w:rPr>
          <w:rFonts w:ascii="Times New Roman" w:hAnsi="Times New Roman" w:cs="Times New Roman"/>
          <w:b/>
          <w:bCs/>
          <w:color w:val="auto"/>
          <w:sz w:val="28"/>
          <w:szCs w:val="28"/>
        </w:rPr>
        <w:t>INTRODUCTION</w:t>
      </w:r>
    </w:p>
    <w:p w14:paraId="47E04158" w14:textId="77777777" w:rsidR="001D04B0" w:rsidRDefault="00000000">
      <w:pPr>
        <w:pStyle w:val="Heading2"/>
        <w:spacing w:line="240" w:lineRule="auto"/>
        <w:ind w:left="567" w:hanging="567"/>
        <w:jc w:val="both"/>
        <w:rPr>
          <w:rFonts w:ascii="Times New Roman" w:hAnsi="Times New Roman" w:cs="Times New Roman"/>
          <w:b/>
          <w:bCs/>
          <w:color w:val="auto"/>
          <w:sz w:val="24"/>
          <w:szCs w:val="24"/>
          <w:vertAlign w:val="superscript"/>
        </w:rPr>
      </w:pPr>
      <w:r>
        <w:rPr>
          <w:rFonts w:ascii="Times New Roman" w:hAnsi="Times New Roman" w:cs="Times New Roman"/>
          <w:b/>
          <w:bCs/>
          <w:color w:val="auto"/>
          <w:sz w:val="24"/>
          <w:szCs w:val="24"/>
        </w:rPr>
        <w:t xml:space="preserve">Introduction to disease and drug combination </w:t>
      </w:r>
      <w:r>
        <w:rPr>
          <w:rFonts w:ascii="Times New Roman" w:hAnsi="Times New Roman" w:cs="Times New Roman"/>
          <w:b/>
          <w:bCs/>
          <w:color w:val="auto"/>
          <w:sz w:val="24"/>
          <w:szCs w:val="24"/>
          <w:vertAlign w:val="superscript"/>
        </w:rPr>
        <w:t>[1-3]</w:t>
      </w:r>
    </w:p>
    <w:p w14:paraId="0137B127" w14:textId="77777777" w:rsidR="001D04B0" w:rsidRDefault="00000000">
      <w:pPr>
        <w:pStyle w:val="Heading2"/>
        <w:spacing w:line="240" w:lineRule="auto"/>
        <w:ind w:left="567" w:hanging="567"/>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Chronic cardiovascular and renal disease</w:t>
      </w:r>
    </w:p>
    <w:p w14:paraId="5093D306"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Chronic cardiovascular and renal diseases often coexist with metabolic disorders such as type 2 diabetes mellitus (T2DM). In patients with T2DM, the risks of heart failure, chronic kidney disease (CKD), and hypertension are elevated. Over the past decade, therapeutic strategies have increasingly sought not only to control glycemia or blood pressure, but to provide cardio-renal protection beyond glucose lowering. In this regard, combination therapies that address multiple pathophysiologic axes hold promise.</w:t>
      </w:r>
    </w:p>
    <w:p w14:paraId="52136D5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Eplerenone is a selective mineralocorticoid (aldosterone) receptor antagonist, primarily used in cardiovascular settings to mitigate the harmful effects of aldosterone excess (e.g. in heart failure or post-myocardial infarction). Dapagliflozin is an inhibitor of sodium–glucose cotransporter 2 (SGLT2), a newer class of medicines originally developed to enhance urinary glucose excretion and thus improve glycemic control in T2DM, but which has also shown substantial benefits on heart failure and renal outcomes. The hypothesis of combining eplerenone with dapagliflozin is to target complementary mechanisms of disease (aldosterone-mediated remodeling, fluid retention, renal stress, metabolic stress) and thereby achieve additive or even synergistic benefits, while balancing safety considerations (e.g. electrolyte disturbances, volume effects).</w:t>
      </w:r>
    </w:p>
    <w:p w14:paraId="4E557D1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Below is the outline of the pharmacologic profiles of each drug, their therapeutic roles, and the mechanistic and clinical rationale for their combination.</w:t>
      </w:r>
    </w:p>
    <w:p w14:paraId="40ACABD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Pharmacology of Eplerenone</w:t>
      </w:r>
    </w:p>
    <w:p w14:paraId="3B48C101"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Chemical and Pharmacodynamic Properties</w:t>
      </w:r>
    </w:p>
    <w:p w14:paraId="712106CC"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Eplerenone is a steroidal compound that acts as a selective antagonist of the mineralocorticoid receptor (MR). It competes with aldosterone for binding to the receptor in target tissues (kidneys, heart, vasculature). Compared to older agents like spironolactone, eplerenone has a lower affinity for androgen or progesterone receptors and thus fewer endocrine side effects (e.g. gynecomastia).</w:t>
      </w:r>
    </w:p>
    <w:p w14:paraId="1B0EAC3C"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By blocking aldosterone action, eplerenone reduces sodium reabsorption and water retention, attenuates potassium excretion, and diminishes maladaptive remodeling, inflammation, and fibrosis in cardiovascular and renal tissues.</w:t>
      </w:r>
    </w:p>
    <w:p w14:paraId="1CF23179"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Indications and Clinical Benefits</w:t>
      </w:r>
    </w:p>
    <w:p w14:paraId="1260A0DD"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Eplerenone is indicated primarily in:</w:t>
      </w:r>
    </w:p>
    <w:p w14:paraId="2007F0B7" w14:textId="77777777" w:rsidR="001D04B0" w:rsidRDefault="00000000">
      <w:pPr>
        <w:numPr>
          <w:ilvl w:val="0"/>
          <w:numId w:val="1"/>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Patients with heart failure with reduced ejection fraction (HFrEF) to reduce morbidity and mortality. </w:t>
      </w:r>
    </w:p>
    <w:p w14:paraId="6BAA5952" w14:textId="77777777" w:rsidR="001D04B0" w:rsidRDefault="00000000">
      <w:pPr>
        <w:numPr>
          <w:ilvl w:val="0"/>
          <w:numId w:val="1"/>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Post‐myocardial infarction (with left ventricular dysfunction) to reduce risk of death and hospitalization from heart failure.</w:t>
      </w:r>
    </w:p>
    <w:p w14:paraId="01318B84" w14:textId="77777777" w:rsidR="001D04B0" w:rsidRDefault="00000000">
      <w:pPr>
        <w:numPr>
          <w:ilvl w:val="0"/>
          <w:numId w:val="1"/>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Off‐label in resistant hypertension settings, particularly when aldosterone excess is implicated.</w:t>
      </w:r>
    </w:p>
    <w:p w14:paraId="64C1E9A5"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In heart failure, eplerenone helps suppress the harmful effects of elevated aldosterone signaling (ventricular remodeling, fibrosis, sodium retention) and contributes to improved outcomes when used as part of guideline-directed medical therapy. </w:t>
      </w:r>
    </w:p>
    <w:p w14:paraId="7E2D3C99"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Pharmacokinetics and Safety</w:t>
      </w:r>
    </w:p>
    <w:p w14:paraId="287AC733"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Eplerenone is orally bioavailable, has moderate half-life, and is metabolized by hepatic cytochrome P450 enzymes. Because of its potassium-sparing action, hyperkalemia is a key safety concern, especially when used with other agents that increase potassium (e.g. ACE inhibitors, ARBs). Renal function must be monitored, and dose adjustment or discontinuation may be needed in renal insufficiency.</w:t>
      </w:r>
    </w:p>
    <w:p w14:paraId="0938AEB2"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Pharmacology of Dapagliflozin</w:t>
      </w:r>
    </w:p>
    <w:p w14:paraId="5E929ADC"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Mechanism of Action</w:t>
      </w:r>
    </w:p>
    <w:p w14:paraId="394BCC9A" w14:textId="77777777" w:rsidR="001D04B0" w:rsidRDefault="001D04B0">
      <w:pPr>
        <w:spacing w:line="240" w:lineRule="auto"/>
        <w:jc w:val="both"/>
        <w:rPr>
          <w:rFonts w:ascii="Times New Roman" w:hAnsi="Times New Roman" w:cs="Times New Roman"/>
          <w:bCs/>
          <w:sz w:val="24"/>
          <w:szCs w:val="24"/>
        </w:rPr>
      </w:pPr>
    </w:p>
    <w:p w14:paraId="2BF51241"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Dapagliflozin belongs to the class of SGLT2 inhibitors. In the renal proximal tubule, SGLT2 is responsible for reabsorbing about 90 % of filtered glucose. By inhibiting SGLT2, dapagliflozin reduces reabsorption of glucose (and associated sodium) and increases urinary glucose excretion (glucosuria) — thereby lowering plasma glucose levels. Because sodium reabsorption is coupled, it also increases natriuresis moderately, reducing intravascular volume and lowering blood pressure.</w:t>
      </w:r>
    </w:p>
    <w:p w14:paraId="73CA071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Therapeutic Uses and Benefits Beyond Glycemic Control</w:t>
      </w:r>
    </w:p>
    <w:p w14:paraId="287E5E56"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Originally approved for improving glycemic control in T2DM as adjuncts to diet and exercise, dapagliflozin’s scope has expanded due to its favorable effects on cardiovascular and renal endpoints.</w:t>
      </w:r>
    </w:p>
    <w:p w14:paraId="12F5DB97"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Key benefits include:</w:t>
      </w:r>
    </w:p>
    <w:p w14:paraId="7CF5FB3B" w14:textId="77777777" w:rsidR="001D04B0" w:rsidRDefault="00000000">
      <w:pPr>
        <w:numPr>
          <w:ilvl w:val="0"/>
          <w:numId w:val="2"/>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Heart failure benefits: In patients with and without diabetes, dapagliflozin reduces risk of hospitalization for heart failure and cardiovascular death, particularly in patients with reduced ejection fraction. </w:t>
      </w:r>
    </w:p>
    <w:p w14:paraId="03B3FC4D" w14:textId="77777777" w:rsidR="001D04B0" w:rsidRDefault="00000000">
      <w:pPr>
        <w:numPr>
          <w:ilvl w:val="0"/>
          <w:numId w:val="2"/>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Renal protection: Slowed decline in estimated glomerular filtration rate (eGFR), reduced risk of end-stage kidney disease, and diminished progression of CKD in at-risk populations. </w:t>
      </w:r>
    </w:p>
    <w:p w14:paraId="2AE2BECF" w14:textId="77777777" w:rsidR="001D04B0" w:rsidRDefault="00000000">
      <w:pPr>
        <w:numPr>
          <w:ilvl w:val="0"/>
          <w:numId w:val="2"/>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Blood pressure and weight effects: Modest reductions in blood pressure (through natriuresis) and modest weight loss (due to caloric loss via glucosuria).</w:t>
      </w:r>
    </w:p>
    <w:p w14:paraId="57BEE4D0"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Pharmacokinetics and Safety Considerations</w:t>
      </w:r>
    </w:p>
    <w:p w14:paraId="515CE2B1"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After oral administration, dapagliflozin is absorbed and becomes systemically available; it is eliminated largely via metabolism (UGT enzymes). Because its action depends on renal filtration and function, the efficacy is attenuated in patients with reduced eGFR; below certain cutoffs (often eGFR &lt;45 mL/min/1.73 m²) its use may be contraindicated or limited.</w:t>
      </w:r>
    </w:p>
    <w:p w14:paraId="7371860D"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Major safety issues include:</w:t>
      </w:r>
    </w:p>
    <w:p w14:paraId="6530942F" w14:textId="77777777" w:rsidR="001D04B0" w:rsidRDefault="00000000">
      <w:pPr>
        <w:numPr>
          <w:ilvl w:val="0"/>
          <w:numId w:val="3"/>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Genital mycotic infections and urinary tract infections (due to glucosuria)</w:t>
      </w:r>
    </w:p>
    <w:p w14:paraId="13B1CBD5" w14:textId="77777777" w:rsidR="001D04B0" w:rsidRDefault="00000000">
      <w:pPr>
        <w:numPr>
          <w:ilvl w:val="0"/>
          <w:numId w:val="3"/>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Volume depletion, hypotension (especially in those taking diuretics or with low baseline volume)</w:t>
      </w:r>
    </w:p>
    <w:p w14:paraId="26E56E6A" w14:textId="77777777" w:rsidR="001D04B0" w:rsidRDefault="00000000">
      <w:pPr>
        <w:numPr>
          <w:ilvl w:val="0"/>
          <w:numId w:val="3"/>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Rarely, euglycemic diabetic ketoacidosis (in susceptible individuals) </w:t>
      </w:r>
    </w:p>
    <w:p w14:paraId="4AC9AFA6"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Rationale and Potential Advantages of Combination Therapy</w:t>
      </w:r>
    </w:p>
    <w:p w14:paraId="366456A9"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Given the distinct but partially overlapping mechanisms of eplerenone and dapagliflozin, combining them offers several theoretical and practical advantages. Below is an outline of the rationale:</w:t>
      </w:r>
    </w:p>
    <w:p w14:paraId="425D65B0" w14:textId="77777777" w:rsidR="001D04B0" w:rsidRDefault="00000000">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Complementary Mechanisms</w:t>
      </w:r>
    </w:p>
    <w:p w14:paraId="1412F80B"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Eplerenone acts primarily by blocking aldosterone-mediated effects — sodium retention, potassium excretion, fibrosis, and remodeling.</w:t>
      </w:r>
    </w:p>
    <w:p w14:paraId="36C26F13"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Dapagliflozin acts via inhibition of glucose and sodium reabsorption, inducing natriuresis, osmotic diuresis, and metabolic effects.</w:t>
      </w:r>
      <w:r>
        <w:rPr>
          <w:rFonts w:ascii="Times New Roman" w:hAnsi="Times New Roman" w:cs="Times New Roman"/>
          <w:bCs/>
          <w:sz w:val="24"/>
          <w:szCs w:val="24"/>
        </w:rPr>
        <w:br/>
        <w:t>Because the two act at different points in renal and cardiovascular homeostasis, their effects may complement rather than duplicate.</w:t>
      </w:r>
    </w:p>
    <w:p w14:paraId="5C2C04C4" w14:textId="77777777" w:rsidR="001D04B0" w:rsidRDefault="00000000">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Enhanced Natriuretic/Diuretic Effect</w:t>
      </w:r>
    </w:p>
    <w:p w14:paraId="1FBFBD61"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Dapagliflozin produces mild natriuresis; adding eplerenone may enhance sodium excretion further by antagonizing distal sodium retention pathways mediated by aldosterone.</w:t>
      </w:r>
    </w:p>
    <w:p w14:paraId="19D0F47A"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In conditions of fluid retention (e.g. heart failure), this complementary diuretic effect may improve decongestion while potentially allowing lower doses of loop diuretics.</w:t>
      </w:r>
    </w:p>
    <w:p w14:paraId="003FB5AE" w14:textId="77777777" w:rsidR="001D04B0" w:rsidRDefault="00000000">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Attenuation of Adverse Remodeling and Fibrosis</w:t>
      </w:r>
    </w:p>
    <w:p w14:paraId="27298105"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Aldosterone promotes myocardial and vascular fibrosis; eplerenone mitigates this.</w:t>
      </w:r>
    </w:p>
    <w:p w14:paraId="7E47681E" w14:textId="77777777" w:rsidR="001D04B0" w:rsidRDefault="001D04B0">
      <w:pPr>
        <w:tabs>
          <w:tab w:val="left" w:pos="567"/>
        </w:tabs>
        <w:spacing w:line="240" w:lineRule="auto"/>
        <w:jc w:val="both"/>
        <w:rPr>
          <w:rFonts w:ascii="Times New Roman" w:hAnsi="Times New Roman" w:cs="Times New Roman"/>
          <w:bCs/>
          <w:sz w:val="24"/>
          <w:szCs w:val="24"/>
        </w:rPr>
      </w:pPr>
    </w:p>
    <w:p w14:paraId="1472442E"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lastRenderedPageBreak/>
        <w:t>Dapagliflozin, via hemodynamic and metabolic effects, may also lessen stress on cardiac tissue and kidneys, thereby reducing maladaptive remodeling. Some preclinical and clinical data suggest that SGLT2 inhibitors have anti-inflammatory or anti-fibrotic effects beyond hemodynamics.</w:t>
      </w:r>
    </w:p>
    <w:p w14:paraId="7EAE6728" w14:textId="77777777" w:rsidR="001D04B0" w:rsidRDefault="00000000">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Improved Cardiovascular and Renal Outcomes</w:t>
      </w:r>
    </w:p>
    <w:p w14:paraId="03B8708E"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Both drugs individually have demonstrated cardiovascular and renal benefits in randomized trials (e.g. SGLT2 inhibitors in heart failure, MRAs in post-MI or HFrEF). Using them together may yield additive protection.</w:t>
      </w:r>
    </w:p>
    <w:p w14:paraId="55C2B759"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In patients with T2DM and heart failure, combining glycemic control (via dapagliflozin) with neurohormonal blockade (via eplerenone) might more comprehensively address disease progression.</w:t>
      </w:r>
    </w:p>
    <w:p w14:paraId="2A00C147" w14:textId="77777777" w:rsidR="001D04B0" w:rsidRDefault="00000000">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Mitigating Side-Effects via Dose Optimization</w:t>
      </w:r>
    </w:p>
    <w:p w14:paraId="7A038280"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A combination approach may allow use of lower doses of each with retained benefit, potentially reducing side effects (e.g. hyperkalemia risk from MR antagonists, volume depletion from SGLT2 inhibitors).</w:t>
      </w:r>
    </w:p>
    <w:p w14:paraId="73B2742A"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Careful monitoring of electrolytes (especially potassium), renal function, and volume status would be necessary.</w:t>
      </w:r>
    </w:p>
    <w:p w14:paraId="201F5F47" w14:textId="77777777" w:rsidR="001D04B0" w:rsidRDefault="00000000">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Synergistic Renal Protection</w:t>
      </w:r>
    </w:p>
    <w:p w14:paraId="6E96EF8C" w14:textId="77777777" w:rsidR="001D04B0" w:rsidRDefault="00000000">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Dapagliflozin reduces intraglomerular pressure and attenuates hyperfiltration; eplerenone may reduce aldosterone-mediated glomerular injury and interstitial fibrosis. Together, they may slow CKD progression more effectively.</w:t>
      </w:r>
    </w:p>
    <w:p w14:paraId="2F70B603" w14:textId="77777777" w:rsidR="001D04B0" w:rsidRDefault="0000000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However, this combination also raises potential challenges—most notably, the risk of hyperkalemia, volume depletion, and acute declines in renal function. In patients receiving ACE inhibitors, ARBs, or other potassium-sparing medications, the combination must be used with caution, with frequent monitoring.</w:t>
      </w:r>
    </w:p>
    <w:p w14:paraId="12035727"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 Summary of Eplerenone and Dapagliflozin</w:t>
      </w:r>
    </w:p>
    <w:tbl>
      <w:tblPr>
        <w:tblStyle w:val="TableGrid"/>
        <w:tblW w:w="0" w:type="auto"/>
        <w:jc w:val="center"/>
        <w:tblLook w:val="04A0" w:firstRow="1" w:lastRow="0" w:firstColumn="1" w:lastColumn="0" w:noHBand="0" w:noVBand="1"/>
      </w:tblPr>
      <w:tblGrid>
        <w:gridCol w:w="1657"/>
        <w:gridCol w:w="3134"/>
        <w:gridCol w:w="3739"/>
        <w:gridCol w:w="2890"/>
      </w:tblGrid>
      <w:tr w:rsidR="001D04B0" w14:paraId="7F5BBC09" w14:textId="77777777">
        <w:trPr>
          <w:jc w:val="center"/>
        </w:trPr>
        <w:tc>
          <w:tcPr>
            <w:tcW w:w="0" w:type="auto"/>
          </w:tcPr>
          <w:p w14:paraId="25332047" w14:textId="77777777" w:rsidR="001D04B0" w:rsidRDefault="00000000">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Feature</w:t>
            </w:r>
          </w:p>
        </w:tc>
        <w:tc>
          <w:tcPr>
            <w:tcW w:w="0" w:type="auto"/>
          </w:tcPr>
          <w:p w14:paraId="356A049B" w14:textId="77777777" w:rsidR="001D04B0" w:rsidRDefault="00000000">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Eplerenone</w:t>
            </w:r>
          </w:p>
        </w:tc>
        <w:tc>
          <w:tcPr>
            <w:tcW w:w="0" w:type="auto"/>
          </w:tcPr>
          <w:p w14:paraId="3F3F8CB8" w14:textId="77777777" w:rsidR="001D04B0" w:rsidRDefault="00000000">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Dapagliflozin</w:t>
            </w:r>
          </w:p>
        </w:tc>
        <w:tc>
          <w:tcPr>
            <w:tcW w:w="0" w:type="auto"/>
          </w:tcPr>
          <w:p w14:paraId="04064397" w14:textId="77777777" w:rsidR="001D04B0" w:rsidRDefault="00000000">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Combination Benefit</w:t>
            </w:r>
          </w:p>
        </w:tc>
      </w:tr>
      <w:tr w:rsidR="001D04B0" w14:paraId="227900EE" w14:textId="77777777">
        <w:trPr>
          <w:jc w:val="center"/>
        </w:trPr>
        <w:tc>
          <w:tcPr>
            <w:tcW w:w="0" w:type="auto"/>
          </w:tcPr>
          <w:p w14:paraId="7D49B0B5"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Drug Type</w:t>
            </w:r>
          </w:p>
        </w:tc>
        <w:tc>
          <w:tcPr>
            <w:tcW w:w="0" w:type="auto"/>
          </w:tcPr>
          <w:p w14:paraId="0F0D114F"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Aldosterone (mineralocorticoid) receptor blocker</w:t>
            </w:r>
          </w:p>
        </w:tc>
        <w:tc>
          <w:tcPr>
            <w:tcW w:w="0" w:type="auto"/>
          </w:tcPr>
          <w:p w14:paraId="035DB96D"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SGLT2 (sodium–glucose cotransporter 2) inhibitor</w:t>
            </w:r>
          </w:p>
        </w:tc>
        <w:tc>
          <w:tcPr>
            <w:tcW w:w="0" w:type="auto"/>
          </w:tcPr>
          <w:p w14:paraId="3D9F4724"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Two different actions that work well together</w:t>
            </w:r>
          </w:p>
        </w:tc>
      </w:tr>
      <w:tr w:rsidR="001D04B0" w14:paraId="237D5ACB" w14:textId="77777777">
        <w:trPr>
          <w:jc w:val="center"/>
        </w:trPr>
        <w:tc>
          <w:tcPr>
            <w:tcW w:w="0" w:type="auto"/>
          </w:tcPr>
          <w:p w14:paraId="17255D91"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Main Use</w:t>
            </w:r>
          </w:p>
        </w:tc>
        <w:tc>
          <w:tcPr>
            <w:tcW w:w="0" w:type="auto"/>
          </w:tcPr>
          <w:p w14:paraId="0F833282"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Heart failure, high blood pressure</w:t>
            </w:r>
          </w:p>
        </w:tc>
        <w:tc>
          <w:tcPr>
            <w:tcW w:w="0" w:type="auto"/>
          </w:tcPr>
          <w:p w14:paraId="37356CDC"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Diabetes, heart failure, kidney disease</w:t>
            </w:r>
          </w:p>
        </w:tc>
        <w:tc>
          <w:tcPr>
            <w:tcW w:w="0" w:type="auto"/>
          </w:tcPr>
          <w:p w14:paraId="179E0047"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Useful for patients with both heart and kidney problems</w:t>
            </w:r>
          </w:p>
        </w:tc>
      </w:tr>
      <w:tr w:rsidR="001D04B0" w14:paraId="652B945B" w14:textId="77777777">
        <w:trPr>
          <w:jc w:val="center"/>
        </w:trPr>
        <w:tc>
          <w:tcPr>
            <w:tcW w:w="0" w:type="auto"/>
          </w:tcPr>
          <w:p w14:paraId="1B10DDAA"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How It Works</w:t>
            </w:r>
          </w:p>
        </w:tc>
        <w:tc>
          <w:tcPr>
            <w:tcW w:w="0" w:type="auto"/>
          </w:tcPr>
          <w:p w14:paraId="711473E8"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Stops aldosterone → less sodium and water retention</w:t>
            </w:r>
          </w:p>
        </w:tc>
        <w:tc>
          <w:tcPr>
            <w:tcW w:w="0" w:type="auto"/>
          </w:tcPr>
          <w:p w14:paraId="38AF917B"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Blocks glucose and sodium reabsorption in kidneys → more sugar and salt in urine</w:t>
            </w:r>
          </w:p>
        </w:tc>
        <w:tc>
          <w:tcPr>
            <w:tcW w:w="0" w:type="auto"/>
          </w:tcPr>
          <w:p w14:paraId="426CDB73"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Helps reduce blood pressure, swelling, and heart strain</w:t>
            </w:r>
          </w:p>
        </w:tc>
      </w:tr>
      <w:tr w:rsidR="001D04B0" w14:paraId="365F8C74" w14:textId="77777777">
        <w:trPr>
          <w:jc w:val="center"/>
        </w:trPr>
        <w:tc>
          <w:tcPr>
            <w:tcW w:w="0" w:type="auto"/>
          </w:tcPr>
          <w:p w14:paraId="53E74F22"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Heart Benefits</w:t>
            </w:r>
          </w:p>
        </w:tc>
        <w:tc>
          <w:tcPr>
            <w:tcW w:w="0" w:type="auto"/>
          </w:tcPr>
          <w:p w14:paraId="6BD3B0A7"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Reduces heart strain and scarring</w:t>
            </w:r>
          </w:p>
        </w:tc>
        <w:tc>
          <w:tcPr>
            <w:tcW w:w="0" w:type="auto"/>
          </w:tcPr>
          <w:p w14:paraId="332CE6B0"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Lowers risk of heart failure and death</w:t>
            </w:r>
          </w:p>
        </w:tc>
        <w:tc>
          <w:tcPr>
            <w:tcW w:w="0" w:type="auto"/>
          </w:tcPr>
          <w:p w14:paraId="5C9AB6B1"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May give stronger heart protection</w:t>
            </w:r>
          </w:p>
        </w:tc>
      </w:tr>
      <w:tr w:rsidR="001D04B0" w14:paraId="392A1777" w14:textId="77777777">
        <w:trPr>
          <w:jc w:val="center"/>
        </w:trPr>
        <w:tc>
          <w:tcPr>
            <w:tcW w:w="0" w:type="auto"/>
          </w:tcPr>
          <w:p w14:paraId="0A9C040D"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Kidney Benefits</w:t>
            </w:r>
          </w:p>
        </w:tc>
        <w:tc>
          <w:tcPr>
            <w:tcW w:w="0" w:type="auto"/>
          </w:tcPr>
          <w:p w14:paraId="1E542C42"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Protects kidneys from aldosterone damage</w:t>
            </w:r>
          </w:p>
        </w:tc>
        <w:tc>
          <w:tcPr>
            <w:tcW w:w="0" w:type="auto"/>
          </w:tcPr>
          <w:p w14:paraId="1E32A909"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Slows kidney damage and protein loss</w:t>
            </w:r>
          </w:p>
        </w:tc>
        <w:tc>
          <w:tcPr>
            <w:tcW w:w="0" w:type="auto"/>
          </w:tcPr>
          <w:p w14:paraId="188B7592"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Combined kidney protection</w:t>
            </w:r>
          </w:p>
        </w:tc>
      </w:tr>
      <w:tr w:rsidR="001D04B0" w14:paraId="2F399BC7" w14:textId="77777777">
        <w:trPr>
          <w:jc w:val="center"/>
        </w:trPr>
        <w:tc>
          <w:tcPr>
            <w:tcW w:w="0" w:type="auto"/>
          </w:tcPr>
          <w:p w14:paraId="1ED2F744"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Main Side Effects</w:t>
            </w:r>
          </w:p>
        </w:tc>
        <w:tc>
          <w:tcPr>
            <w:tcW w:w="0" w:type="auto"/>
          </w:tcPr>
          <w:p w14:paraId="1E64A6AD"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High potassium, low blood pressure</w:t>
            </w:r>
          </w:p>
        </w:tc>
        <w:tc>
          <w:tcPr>
            <w:tcW w:w="0" w:type="auto"/>
          </w:tcPr>
          <w:p w14:paraId="165AEC74"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Dehydration, low BP, genital infections</w:t>
            </w:r>
          </w:p>
        </w:tc>
        <w:tc>
          <w:tcPr>
            <w:tcW w:w="0" w:type="auto"/>
          </w:tcPr>
          <w:p w14:paraId="392DDB0F"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Must monitor kidney function, potassium, and hydration</w:t>
            </w:r>
          </w:p>
        </w:tc>
      </w:tr>
      <w:tr w:rsidR="001D04B0" w14:paraId="5EE97423" w14:textId="77777777">
        <w:trPr>
          <w:jc w:val="center"/>
        </w:trPr>
        <w:tc>
          <w:tcPr>
            <w:tcW w:w="0" w:type="auto"/>
          </w:tcPr>
          <w:p w14:paraId="5019E627"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Form</w:t>
            </w:r>
          </w:p>
        </w:tc>
        <w:tc>
          <w:tcPr>
            <w:tcW w:w="0" w:type="auto"/>
          </w:tcPr>
          <w:p w14:paraId="0C9F3D3D"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Oral tablet</w:t>
            </w:r>
          </w:p>
        </w:tc>
        <w:tc>
          <w:tcPr>
            <w:tcW w:w="0" w:type="auto"/>
          </w:tcPr>
          <w:p w14:paraId="53FD032F"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Oral tablet</w:t>
            </w:r>
          </w:p>
        </w:tc>
        <w:tc>
          <w:tcPr>
            <w:tcW w:w="0" w:type="auto"/>
          </w:tcPr>
          <w:p w14:paraId="2C6FFA7E"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Easy to take together</w:t>
            </w:r>
          </w:p>
        </w:tc>
      </w:tr>
      <w:tr w:rsidR="001D04B0" w14:paraId="35787F2A" w14:textId="77777777">
        <w:trPr>
          <w:jc w:val="center"/>
        </w:trPr>
        <w:tc>
          <w:tcPr>
            <w:tcW w:w="0" w:type="auto"/>
          </w:tcPr>
          <w:p w14:paraId="3D193DAE"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Monitoring Needed</w:t>
            </w:r>
          </w:p>
        </w:tc>
        <w:tc>
          <w:tcPr>
            <w:tcW w:w="0" w:type="auto"/>
          </w:tcPr>
          <w:p w14:paraId="0C600352"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Check potassium, kidney function</w:t>
            </w:r>
          </w:p>
        </w:tc>
        <w:tc>
          <w:tcPr>
            <w:tcW w:w="0" w:type="auto"/>
          </w:tcPr>
          <w:p w14:paraId="5A6C22BA"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Check kidney function, hydration</w:t>
            </w:r>
          </w:p>
        </w:tc>
        <w:tc>
          <w:tcPr>
            <w:tcW w:w="0" w:type="auto"/>
          </w:tcPr>
          <w:p w14:paraId="017D0D6B"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Regular labs and BP checks</w:t>
            </w:r>
          </w:p>
        </w:tc>
      </w:tr>
    </w:tbl>
    <w:p w14:paraId="6AB33810" w14:textId="77777777" w:rsidR="001D04B0" w:rsidRDefault="001D04B0">
      <w:pPr>
        <w:spacing w:line="240" w:lineRule="auto"/>
        <w:jc w:val="both"/>
        <w:rPr>
          <w:rFonts w:ascii="Times New Roman" w:hAnsi="Times New Roman" w:cs="Times New Roman"/>
          <w:sz w:val="24"/>
          <w:szCs w:val="24"/>
        </w:rPr>
      </w:pPr>
    </w:p>
    <w:p w14:paraId="787A9FE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Based on these findings, CDSCO has given approval for the FDC of Dapagliflozin and Eplerenone tablets with a dose of 10mg + 25 mg to M/s. Exemed Pharmaceuticals on 07/01/2025.</w:t>
      </w:r>
    </w:p>
    <w:p w14:paraId="1354E51E" w14:textId="77777777" w:rsidR="001D04B0" w:rsidRDefault="00000000">
      <w:pPr>
        <w:pStyle w:val="Heading2"/>
        <w:spacing w:line="24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14:anchorId="25815B97" wp14:editId="6EA375E9">
            <wp:simplePos x="0" y="0"/>
            <wp:positionH relativeFrom="margin">
              <wp:posOffset>115570</wp:posOffset>
            </wp:positionH>
            <wp:positionV relativeFrom="margin">
              <wp:posOffset>-153670</wp:posOffset>
            </wp:positionV>
            <wp:extent cx="7011035" cy="2056130"/>
            <wp:effectExtent l="0" t="0" r="18415" b="127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011035" cy="2056130"/>
                    </a:xfrm>
                    <a:prstGeom prst="rect">
                      <a:avLst/>
                    </a:prstGeom>
                  </pic:spPr>
                </pic:pic>
              </a:graphicData>
            </a:graphic>
          </wp:anchor>
        </w:drawing>
      </w:r>
      <w:r>
        <w:rPr>
          <w:rFonts w:ascii="Times New Roman" w:hAnsi="Times New Roman" w:cs="Times New Roman"/>
          <w:b/>
          <w:sz w:val="24"/>
          <w:szCs w:val="24"/>
        </w:rPr>
        <w:t xml:space="preserve">        </w:t>
      </w:r>
      <w:r>
        <w:rPr>
          <w:rFonts w:ascii="Times New Roman" w:hAnsi="Times New Roman" w:cs="Times New Roman"/>
          <w:b/>
          <w:color w:val="auto"/>
          <w:sz w:val="24"/>
          <w:szCs w:val="24"/>
        </w:rPr>
        <w:t>Figure 1: CDSCO approval letter</w:t>
      </w:r>
    </w:p>
    <w:p w14:paraId="3AE669F8" w14:textId="77777777" w:rsidR="001D04B0" w:rsidRDefault="00000000">
      <w:pPr>
        <w:pStyle w:val="Heading2"/>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Introduction to Analytical Method Development </w:t>
      </w:r>
      <w:r>
        <w:rPr>
          <w:rFonts w:ascii="Times New Roman" w:hAnsi="Times New Roman" w:cs="Times New Roman"/>
          <w:b/>
          <w:bCs/>
          <w:color w:val="auto"/>
          <w:sz w:val="24"/>
          <w:szCs w:val="24"/>
          <w:vertAlign w:val="superscript"/>
        </w:rPr>
        <w:t>[4-10]</w:t>
      </w:r>
    </w:p>
    <w:p w14:paraId="347C202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methods are fundamental to modern science, quietly driving progress across many fields. In the pharmaceutical industry, however, their role becomes even more critical, as they form the backbone of ensuring that medicines are safe, effective, and consistent. Developing analytical methods is therefore not just a technical exercise but a vital process that safeguards patient health and supports innovation. This section highlights why analytical method development is essential, how the process unfolds, and the long-term benefits it brings.</w:t>
      </w:r>
    </w:p>
    <w:p w14:paraId="18EAD9A1"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 Need for Developing Analytical Methods</w:t>
      </w:r>
    </w:p>
    <w:p w14:paraId="04ABBE53"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Drug discovery and development are fast-paced, with new compounds constantly being designed and tested. Standard analytical techniques are not always adequate for these novel drugs, each of which may have unique chemical and physical characteristics. Analytical method development fills this gap by designing approaches tailored to each molecule, covering multiple key areas:</w:t>
      </w:r>
    </w:p>
    <w:p w14:paraId="4BB1188B" w14:textId="77777777" w:rsidR="001D04B0" w:rsidRDefault="00000000">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Characterization:</w:t>
      </w:r>
      <w:r>
        <w:rPr>
          <w:rFonts w:ascii="Times New Roman" w:hAnsi="Times New Roman" w:cs="Times New Roman"/>
          <w:sz w:val="24"/>
          <w:szCs w:val="24"/>
        </w:rPr>
        <w:t xml:space="preserve"> Analytical techniques help in identifying a drug’s basic properties such as solubility, stability, and purity. These insights are crucial in determining whether the drug can be developed safely and effectively.</w:t>
      </w:r>
    </w:p>
    <w:p w14:paraId="640774A5" w14:textId="77777777" w:rsidR="001D04B0" w:rsidRDefault="00000000">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Quantification:</w:t>
      </w:r>
      <w:r>
        <w:rPr>
          <w:rFonts w:ascii="Times New Roman" w:hAnsi="Times New Roman" w:cs="Times New Roman"/>
          <w:sz w:val="24"/>
          <w:szCs w:val="24"/>
        </w:rPr>
        <w:t xml:space="preserve"> Precise measurement of active pharmaceutical ingredients in raw materials, intermediates, and finished products ensures consistent strength and performance across all manufactured batches.</w:t>
      </w:r>
    </w:p>
    <w:p w14:paraId="0D12CA37" w14:textId="77777777" w:rsidR="001D04B0" w:rsidRDefault="00000000">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Quality Assurance:</w:t>
      </w:r>
      <w:r>
        <w:rPr>
          <w:rFonts w:ascii="Times New Roman" w:hAnsi="Times New Roman" w:cs="Times New Roman"/>
          <w:sz w:val="24"/>
          <w:szCs w:val="24"/>
        </w:rPr>
        <w:t xml:space="preserve"> Every stage of drug production must meet strict quality benchmarks. Analytical methods act as quality checkpoints, detecting deviations early and ensuring regulatory compliance.</w:t>
      </w:r>
    </w:p>
    <w:p w14:paraId="24E46584" w14:textId="77777777" w:rsidR="001D04B0" w:rsidRDefault="00000000">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Impurity Profiling:</w:t>
      </w:r>
      <w:r>
        <w:rPr>
          <w:rFonts w:ascii="Times New Roman" w:hAnsi="Times New Roman" w:cs="Times New Roman"/>
          <w:sz w:val="24"/>
          <w:szCs w:val="24"/>
        </w:rPr>
        <w:t xml:space="preserve"> Impurities introduced during synthesis or storage may compromise safety. Specialized methods allow for their detection, quantification, and control, ensuring patient safety.</w:t>
      </w:r>
    </w:p>
    <w:p w14:paraId="69174202" w14:textId="77777777" w:rsidR="001D04B0" w:rsidRDefault="00000000">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Dissolution Testing:</w:t>
      </w:r>
      <w:r>
        <w:rPr>
          <w:rFonts w:ascii="Times New Roman" w:hAnsi="Times New Roman" w:cs="Times New Roman"/>
          <w:sz w:val="24"/>
          <w:szCs w:val="24"/>
        </w:rPr>
        <w:t xml:space="preserve"> By assessing how well a drug dissolves in physiological conditions, analytical methods predict absorption and bioavailability, which are directly linked to therapeutic effectiveness.</w:t>
      </w:r>
    </w:p>
    <w:p w14:paraId="3C4C2463" w14:textId="77777777" w:rsidR="001D04B0" w:rsidRDefault="00000000">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Stability Studies:</w:t>
      </w:r>
      <w:r>
        <w:rPr>
          <w:rFonts w:ascii="Times New Roman" w:hAnsi="Times New Roman" w:cs="Times New Roman"/>
          <w:sz w:val="24"/>
          <w:szCs w:val="24"/>
        </w:rPr>
        <w:t xml:space="preserve"> Drugs face environmental challenges such as heat, humidity, and light. Stability testing determines how a compound holds up under these conditions, guiding shelf life and storage requirements.</w:t>
      </w:r>
    </w:p>
    <w:p w14:paraId="501CC5C0"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 Method Development Process</w:t>
      </w:r>
    </w:p>
    <w:p w14:paraId="7ADB442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Creating a robust analytical method is a systematic journey involving several stages:</w:t>
      </w:r>
    </w:p>
    <w:p w14:paraId="48D220C6" w14:textId="77777777" w:rsidR="001D04B0" w:rsidRDefault="00000000">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Technique Selection:</w:t>
      </w:r>
      <w:r>
        <w:rPr>
          <w:rFonts w:ascii="Times New Roman" w:hAnsi="Times New Roman" w:cs="Times New Roman"/>
          <w:sz w:val="24"/>
          <w:szCs w:val="24"/>
        </w:rPr>
        <w:t xml:space="preserve"> Choosing the most appropriate analytical tool is the starting point. High-performance liquid chromatography (HPLC), gas chromatography (GC), spectroscopy, and mass spectrometry are among the most widely used, each selected based on the drug’s properties and the type of data required.</w:t>
      </w:r>
    </w:p>
    <w:p w14:paraId="404023F9" w14:textId="77777777" w:rsidR="001D04B0" w:rsidRDefault="00000000">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Optimization:</w:t>
      </w:r>
      <w:r>
        <w:rPr>
          <w:rFonts w:ascii="Times New Roman" w:hAnsi="Times New Roman" w:cs="Times New Roman"/>
          <w:sz w:val="24"/>
          <w:szCs w:val="24"/>
        </w:rPr>
        <w:t xml:space="preserve"> Once a technique is chosen, conditions are fine-tuned. In HPLC, for example, factors like mobile phase composition, column type, and detector wavelength are adjusted to achieve accurate separation and measurement.</w:t>
      </w:r>
    </w:p>
    <w:p w14:paraId="77B0CB57" w14:textId="77777777" w:rsidR="001D04B0" w:rsidRDefault="00000000">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Validation:</w:t>
      </w:r>
      <w:r>
        <w:rPr>
          <w:rFonts w:ascii="Times New Roman" w:hAnsi="Times New Roman" w:cs="Times New Roman"/>
          <w:sz w:val="24"/>
          <w:szCs w:val="24"/>
        </w:rPr>
        <w:t xml:space="preserve"> Before implementation, the method must demonstrate reliability. Validation involves testing for parameters such as accuracy, precision, specificity, linearity, robustness, and reproducibility, ensuring the method is fit for its intended purpose.</w:t>
      </w:r>
    </w:p>
    <w:p w14:paraId="5475B82C" w14:textId="77777777" w:rsidR="001D04B0" w:rsidRDefault="001D04B0">
      <w:pPr>
        <w:tabs>
          <w:tab w:val="left" w:pos="567"/>
        </w:tabs>
        <w:spacing w:line="240" w:lineRule="auto"/>
        <w:jc w:val="both"/>
        <w:rPr>
          <w:rFonts w:ascii="Times New Roman" w:hAnsi="Times New Roman" w:cs="Times New Roman"/>
          <w:sz w:val="24"/>
          <w:szCs w:val="24"/>
        </w:rPr>
      </w:pPr>
    </w:p>
    <w:p w14:paraId="43275BA8" w14:textId="77777777" w:rsidR="001D04B0" w:rsidRDefault="00000000">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Documentation:</w:t>
      </w:r>
      <w:r>
        <w:rPr>
          <w:rFonts w:ascii="Times New Roman" w:hAnsi="Times New Roman" w:cs="Times New Roman"/>
          <w:sz w:val="24"/>
          <w:szCs w:val="24"/>
        </w:rPr>
        <w:t xml:space="preserve"> Every detail of the method—from equipment settings to acceptance criteria—is documented. This ensures consistency, reproducibility, and alignment with regulatory requirements.</w:t>
      </w:r>
    </w:p>
    <w:p w14:paraId="57F4168B"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Benefits of Effective Method Development</w:t>
      </w:r>
    </w:p>
    <w:p w14:paraId="4A11BC8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Well-designed analytical methods benefit both research and manufacturing:</w:t>
      </w:r>
    </w:p>
    <w:p w14:paraId="257A14FB" w14:textId="77777777" w:rsidR="001D04B0" w:rsidRDefault="00000000">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Improved Drug Quality:</w:t>
      </w:r>
      <w:r>
        <w:rPr>
          <w:rFonts w:ascii="Times New Roman" w:hAnsi="Times New Roman" w:cs="Times New Roman"/>
          <w:sz w:val="24"/>
          <w:szCs w:val="24"/>
        </w:rPr>
        <w:t xml:space="preserve"> They ensure that medicines consistently meet required standards of potency, purity, and safety.</w:t>
      </w:r>
    </w:p>
    <w:p w14:paraId="5783B2C8" w14:textId="77777777" w:rsidR="001D04B0" w:rsidRDefault="00000000">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Efficient Manufacturing:</w:t>
      </w:r>
      <w:r>
        <w:rPr>
          <w:rFonts w:ascii="Times New Roman" w:hAnsi="Times New Roman" w:cs="Times New Roman"/>
          <w:sz w:val="24"/>
          <w:szCs w:val="24"/>
        </w:rPr>
        <w:t xml:space="preserve"> Real-time analysis during production helps quickly detect and correct problems, reducing delays and costs.</w:t>
      </w:r>
    </w:p>
    <w:p w14:paraId="726E7513" w14:textId="77777777" w:rsidR="001D04B0" w:rsidRDefault="00000000">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Regulatory Readiness:</w:t>
      </w:r>
      <w:r>
        <w:rPr>
          <w:rFonts w:ascii="Times New Roman" w:hAnsi="Times New Roman" w:cs="Times New Roman"/>
          <w:sz w:val="24"/>
          <w:szCs w:val="24"/>
        </w:rPr>
        <w:t xml:space="preserve"> Comprehensive analytical data supports submissions to regulatory agencies, streamlining the approval process.</w:t>
      </w:r>
    </w:p>
    <w:p w14:paraId="128E529D" w14:textId="77777777" w:rsidR="001D04B0" w:rsidRDefault="00000000">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Accelerated R&amp;D:</w:t>
      </w:r>
      <w:r>
        <w:rPr>
          <w:rFonts w:ascii="Times New Roman" w:hAnsi="Times New Roman" w:cs="Times New Roman"/>
          <w:sz w:val="24"/>
          <w:szCs w:val="24"/>
        </w:rPr>
        <w:t xml:space="preserve"> Reliable methods enable researchers to better evaluate new drug candidates and move them through development pipelines faster.</w:t>
      </w:r>
    </w:p>
    <w:p w14:paraId="79041C7C"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2DC5BDE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method development is not optional but essential in pharmaceutical research and production. By enabling precise characterization, accurate measurement, and rigorous quality control, these methods protect patient safety and enhance drug reliability. As new therapies emerge and technologies evolve, advancing analytical approaches will remain a cornerstone of successful drug development.</w:t>
      </w:r>
    </w:p>
    <w:p w14:paraId="16122BE5"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Key elements of analytical method development </w:t>
      </w:r>
    </w:p>
    <w:tbl>
      <w:tblPr>
        <w:tblStyle w:val="TableGrid"/>
        <w:tblW w:w="0" w:type="auto"/>
        <w:tblLook w:val="04A0" w:firstRow="1" w:lastRow="0" w:firstColumn="1" w:lastColumn="0" w:noHBand="0" w:noVBand="1"/>
      </w:tblPr>
      <w:tblGrid>
        <w:gridCol w:w="2067"/>
        <w:gridCol w:w="4431"/>
        <w:gridCol w:w="4922"/>
      </w:tblGrid>
      <w:tr w:rsidR="001D04B0" w14:paraId="6422C933" w14:textId="77777777">
        <w:tc>
          <w:tcPr>
            <w:tcW w:w="0" w:type="auto"/>
          </w:tcPr>
          <w:p w14:paraId="522AAAC9" w14:textId="77777777" w:rsidR="001D04B0" w:rsidRDefault="00000000">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Stage/Aspect</w:t>
            </w:r>
          </w:p>
        </w:tc>
        <w:tc>
          <w:tcPr>
            <w:tcW w:w="0" w:type="auto"/>
          </w:tcPr>
          <w:p w14:paraId="49E6BC82" w14:textId="77777777" w:rsidR="001D04B0" w:rsidRDefault="00000000">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Purpose</w:t>
            </w:r>
          </w:p>
        </w:tc>
        <w:tc>
          <w:tcPr>
            <w:tcW w:w="0" w:type="auto"/>
          </w:tcPr>
          <w:p w14:paraId="33DA98C0" w14:textId="77777777" w:rsidR="001D04B0" w:rsidRDefault="00000000">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Examples/Details</w:t>
            </w:r>
          </w:p>
        </w:tc>
      </w:tr>
      <w:tr w:rsidR="001D04B0" w14:paraId="53428B21" w14:textId="77777777">
        <w:tc>
          <w:tcPr>
            <w:tcW w:w="0" w:type="auto"/>
          </w:tcPr>
          <w:p w14:paraId="258DA65C"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Characterization</w:t>
            </w:r>
          </w:p>
        </w:tc>
        <w:tc>
          <w:tcPr>
            <w:tcW w:w="0" w:type="auto"/>
          </w:tcPr>
          <w:p w14:paraId="4633E26D"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understand basic physicochemical properties of the drug.</w:t>
            </w:r>
          </w:p>
        </w:tc>
        <w:tc>
          <w:tcPr>
            <w:tcW w:w="0" w:type="auto"/>
          </w:tcPr>
          <w:p w14:paraId="4F82429E"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Solubility, stability, purity, molecular structure.</w:t>
            </w:r>
          </w:p>
        </w:tc>
      </w:tr>
      <w:tr w:rsidR="001D04B0" w14:paraId="44AE6935" w14:textId="77777777">
        <w:tc>
          <w:tcPr>
            <w:tcW w:w="0" w:type="auto"/>
          </w:tcPr>
          <w:p w14:paraId="3AE041C3"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Quantification</w:t>
            </w:r>
          </w:p>
        </w:tc>
        <w:tc>
          <w:tcPr>
            <w:tcW w:w="0" w:type="auto"/>
          </w:tcPr>
          <w:p w14:paraId="4847A856"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measure the exact amount of drug substance or product.</w:t>
            </w:r>
          </w:p>
        </w:tc>
        <w:tc>
          <w:tcPr>
            <w:tcW w:w="0" w:type="auto"/>
          </w:tcPr>
          <w:p w14:paraId="0011C490"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Active pharmaceutical ingredient (API) levels in raw materials, tablets, or capsules.</w:t>
            </w:r>
          </w:p>
        </w:tc>
      </w:tr>
      <w:tr w:rsidR="001D04B0" w14:paraId="2F172913" w14:textId="77777777">
        <w:tc>
          <w:tcPr>
            <w:tcW w:w="0" w:type="auto"/>
          </w:tcPr>
          <w:p w14:paraId="7206E620"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Quality Control</w:t>
            </w:r>
          </w:p>
        </w:tc>
        <w:tc>
          <w:tcPr>
            <w:tcW w:w="0" w:type="auto"/>
          </w:tcPr>
          <w:p w14:paraId="0DB7593B"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ensure consistent product quality during manufacturing.</w:t>
            </w:r>
          </w:p>
        </w:tc>
        <w:tc>
          <w:tcPr>
            <w:tcW w:w="0" w:type="auto"/>
          </w:tcPr>
          <w:p w14:paraId="4DE6ECCC"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Batch testing, in-process controls, detection of deviations.</w:t>
            </w:r>
          </w:p>
        </w:tc>
      </w:tr>
      <w:tr w:rsidR="001D04B0" w14:paraId="069B4FB3" w14:textId="77777777">
        <w:tc>
          <w:tcPr>
            <w:tcW w:w="0" w:type="auto"/>
          </w:tcPr>
          <w:p w14:paraId="268F8503"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Impurity Profiling</w:t>
            </w:r>
          </w:p>
        </w:tc>
        <w:tc>
          <w:tcPr>
            <w:tcW w:w="0" w:type="auto"/>
          </w:tcPr>
          <w:p w14:paraId="6AEE8606"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detect, identify, and quantify impurities or degradation products.</w:t>
            </w:r>
          </w:p>
        </w:tc>
        <w:tc>
          <w:tcPr>
            <w:tcW w:w="0" w:type="auto"/>
          </w:tcPr>
          <w:p w14:paraId="5B988E63"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By-products, contaminants, degradation markers.</w:t>
            </w:r>
          </w:p>
        </w:tc>
      </w:tr>
      <w:tr w:rsidR="001D04B0" w14:paraId="59DD3A95" w14:textId="77777777">
        <w:tc>
          <w:tcPr>
            <w:tcW w:w="0" w:type="auto"/>
          </w:tcPr>
          <w:p w14:paraId="0F4D3071"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Dissolution Testing</w:t>
            </w:r>
          </w:p>
        </w:tc>
        <w:tc>
          <w:tcPr>
            <w:tcW w:w="0" w:type="auto"/>
          </w:tcPr>
          <w:p w14:paraId="1F480B30"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evaluate how quickly and completely a drug dissolves in a medium.</w:t>
            </w:r>
          </w:p>
        </w:tc>
        <w:tc>
          <w:tcPr>
            <w:tcW w:w="0" w:type="auto"/>
          </w:tcPr>
          <w:p w14:paraId="29E1E364"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Predicts absorption, bioavailability, and therapeutic effectiveness.</w:t>
            </w:r>
          </w:p>
        </w:tc>
      </w:tr>
      <w:tr w:rsidR="001D04B0" w14:paraId="5F1BF84A" w14:textId="77777777">
        <w:tc>
          <w:tcPr>
            <w:tcW w:w="0" w:type="auto"/>
          </w:tcPr>
          <w:p w14:paraId="171D5C5E"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Stability Testing</w:t>
            </w:r>
          </w:p>
        </w:tc>
        <w:tc>
          <w:tcPr>
            <w:tcW w:w="0" w:type="auto"/>
          </w:tcPr>
          <w:p w14:paraId="5C6D4DC0"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determine how the drug performs under environmental stress.</w:t>
            </w:r>
          </w:p>
        </w:tc>
        <w:tc>
          <w:tcPr>
            <w:tcW w:w="0" w:type="auto"/>
          </w:tcPr>
          <w:p w14:paraId="684CA327"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Effect of temperature, light, humidity on shelf life and degradation.</w:t>
            </w:r>
          </w:p>
        </w:tc>
      </w:tr>
      <w:tr w:rsidR="001D04B0" w14:paraId="1A48F69C" w14:textId="77777777">
        <w:tc>
          <w:tcPr>
            <w:tcW w:w="0" w:type="auto"/>
          </w:tcPr>
          <w:p w14:paraId="4F112904"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Method Selection</w:t>
            </w:r>
          </w:p>
        </w:tc>
        <w:tc>
          <w:tcPr>
            <w:tcW w:w="0" w:type="auto"/>
          </w:tcPr>
          <w:p w14:paraId="605F5B23"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choose the most suitable analytical technique.</w:t>
            </w:r>
          </w:p>
        </w:tc>
        <w:tc>
          <w:tcPr>
            <w:tcW w:w="0" w:type="auto"/>
          </w:tcPr>
          <w:p w14:paraId="45384201"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HPLC, GC, UV/IR spectroscopy, Mass Spectrometry.</w:t>
            </w:r>
          </w:p>
        </w:tc>
      </w:tr>
      <w:tr w:rsidR="001D04B0" w14:paraId="74EDFD4F" w14:textId="77777777">
        <w:tc>
          <w:tcPr>
            <w:tcW w:w="0" w:type="auto"/>
          </w:tcPr>
          <w:p w14:paraId="7C2974C4"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Optimization</w:t>
            </w:r>
          </w:p>
        </w:tc>
        <w:tc>
          <w:tcPr>
            <w:tcW w:w="0" w:type="auto"/>
          </w:tcPr>
          <w:p w14:paraId="5D7188F3"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refine the chosen method for accuracy and reliability.</w:t>
            </w:r>
          </w:p>
        </w:tc>
        <w:tc>
          <w:tcPr>
            <w:tcW w:w="0" w:type="auto"/>
          </w:tcPr>
          <w:p w14:paraId="679FB4F5"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Adjusting mobile phase, detector settings, or instrument parameters.</w:t>
            </w:r>
          </w:p>
        </w:tc>
      </w:tr>
      <w:tr w:rsidR="001D04B0" w14:paraId="766195A0" w14:textId="77777777">
        <w:tc>
          <w:tcPr>
            <w:tcW w:w="0" w:type="auto"/>
          </w:tcPr>
          <w:p w14:paraId="691BA586"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Validation</w:t>
            </w:r>
          </w:p>
        </w:tc>
        <w:tc>
          <w:tcPr>
            <w:tcW w:w="0" w:type="auto"/>
          </w:tcPr>
          <w:p w14:paraId="64AA002F"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confirm the method is reliable, reproducible, and regulatory-compliant.</w:t>
            </w:r>
          </w:p>
        </w:tc>
        <w:tc>
          <w:tcPr>
            <w:tcW w:w="0" w:type="auto"/>
          </w:tcPr>
          <w:p w14:paraId="68D60A9A"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Accuracy, precision, specificity, linearity, robustness.</w:t>
            </w:r>
          </w:p>
        </w:tc>
      </w:tr>
      <w:tr w:rsidR="001D04B0" w14:paraId="41762F94" w14:textId="77777777">
        <w:tc>
          <w:tcPr>
            <w:tcW w:w="0" w:type="auto"/>
          </w:tcPr>
          <w:p w14:paraId="18B6199B"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Documentation</w:t>
            </w:r>
          </w:p>
        </w:tc>
        <w:tc>
          <w:tcPr>
            <w:tcW w:w="0" w:type="auto"/>
          </w:tcPr>
          <w:p w14:paraId="1D011A2A"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ensure reproducibility and regulatory approval.</w:t>
            </w:r>
          </w:p>
        </w:tc>
        <w:tc>
          <w:tcPr>
            <w:tcW w:w="0" w:type="auto"/>
          </w:tcPr>
          <w:p w14:paraId="4E558257" w14:textId="77777777" w:rsidR="001D04B0" w:rsidRDefault="00000000">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Standard operating procedures, acceptance criteria, method reports.</w:t>
            </w:r>
          </w:p>
        </w:tc>
      </w:tr>
    </w:tbl>
    <w:p w14:paraId="6E0C10C9" w14:textId="77777777" w:rsidR="001D04B0" w:rsidRDefault="001D04B0">
      <w:pPr>
        <w:spacing w:line="240" w:lineRule="auto"/>
        <w:jc w:val="both"/>
        <w:rPr>
          <w:rFonts w:ascii="Times New Roman" w:hAnsi="Times New Roman" w:cs="Times New Roman"/>
          <w:b/>
          <w:bCs/>
          <w:sz w:val="24"/>
          <w:szCs w:val="24"/>
        </w:rPr>
      </w:pPr>
    </w:p>
    <w:p w14:paraId="5FECEEEC" w14:textId="77777777" w:rsidR="001D04B0" w:rsidRDefault="00000000">
      <w:pPr>
        <w:pStyle w:val="Heading2"/>
        <w:spacing w:line="240" w:lineRule="auto"/>
        <w:jc w:val="both"/>
        <w:rPr>
          <w:rFonts w:ascii="Times New Roman" w:hAnsi="Times New Roman" w:cs="Times New Roman"/>
          <w:b/>
          <w:bCs/>
          <w:color w:val="auto"/>
          <w:sz w:val="24"/>
          <w:szCs w:val="24"/>
          <w:vertAlign w:val="superscript"/>
        </w:rPr>
      </w:pPr>
      <w:r>
        <w:rPr>
          <w:rFonts w:ascii="Times New Roman" w:hAnsi="Times New Roman" w:cs="Times New Roman"/>
          <w:b/>
          <w:bCs/>
          <w:color w:val="auto"/>
          <w:sz w:val="24"/>
          <w:szCs w:val="24"/>
        </w:rPr>
        <w:t xml:space="preserve">Introduction to High Performance Liquid Chromatography </w:t>
      </w:r>
      <w:r>
        <w:rPr>
          <w:rFonts w:ascii="Times New Roman" w:hAnsi="Times New Roman" w:cs="Times New Roman"/>
          <w:b/>
          <w:bCs/>
          <w:color w:val="auto"/>
          <w:sz w:val="24"/>
          <w:szCs w:val="24"/>
          <w:vertAlign w:val="superscript"/>
        </w:rPr>
        <w:t>[4-10]</w:t>
      </w:r>
    </w:p>
    <w:p w14:paraId="1F96AFF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High-performance liquid chromatography (HPLC) is one of the most widely used analytical tools in modern science. It allows researchers to separate, identify, and measure components within a liquid mixture with great precision. The technique relies on differences in how molecules interact with two phases: a stationary phase (the column packing material) and a mobile phase (a liquid solvent that flows through the column). Molecules that bond more strongly with the stationary phase move slowly, while those that interact more with the mobile phase pass quickly, resulting in effective separation. By monitoring the time taken for each compound to exit the column—known as retention time—</w:t>
      </w:r>
    </w:p>
    <w:p w14:paraId="72E9ADEF" w14:textId="77777777" w:rsidR="001D04B0" w:rsidRDefault="001D04B0">
      <w:pPr>
        <w:spacing w:line="240" w:lineRule="auto"/>
        <w:jc w:val="both"/>
        <w:rPr>
          <w:rFonts w:ascii="Times New Roman" w:hAnsi="Times New Roman" w:cs="Times New Roman"/>
          <w:sz w:val="24"/>
          <w:szCs w:val="24"/>
        </w:rPr>
      </w:pPr>
    </w:p>
    <w:p w14:paraId="09C298C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using suitable detectors, scientists obtain detailed insight into the composition of complex samples.</w:t>
      </w:r>
    </w:p>
    <w:p w14:paraId="096C7E0A" w14:textId="77777777" w:rsidR="001D04B0" w:rsidRDefault="00000000">
      <w:pPr>
        <w:pStyle w:val="Heading3"/>
        <w:spacing w:line="240" w:lineRule="auto"/>
        <w:jc w:val="both"/>
        <w:rPr>
          <w:rFonts w:ascii="Times New Roman" w:hAnsi="Times New Roman" w:cs="Times New Roman"/>
          <w:b/>
          <w:bCs/>
          <w:color w:val="auto"/>
        </w:rPr>
      </w:pPr>
      <w:r>
        <w:rPr>
          <w:rFonts w:ascii="Times New Roman" w:hAnsi="Times New Roman" w:cs="Times New Roman"/>
          <w:b/>
          <w:bCs/>
          <w:color w:val="auto"/>
        </w:rPr>
        <w:t>High Performance Liquid Chromatography</w:t>
      </w:r>
    </w:p>
    <w:p w14:paraId="222BF464" w14:textId="77777777" w:rsidR="001D04B0" w:rsidRDefault="00000000">
      <w:pPr>
        <w:spacing w:line="240" w:lineRule="auto"/>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Working Principle</w:t>
      </w:r>
    </w:p>
    <w:p w14:paraId="0B4B60FF" w14:textId="77777777" w:rsidR="001D04B0" w:rsidRDefault="00000000">
      <w:pPr>
        <w:spacing w:line="24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HPLC builds upon the fundamental concept of chromatography, which involves separating substances based on differential affinities. The stationary phase provides a solid framework inside the column that interacts with analytes, while the mobile phase acts as a carrier solvent that drives the sample forward. As the sample travels through the system, different compounds migrate at different speeds depending on their interactions with the stationary and mobile phases. Careful selection of both phases, as well as optimization of experimental conditions, allows highly efficient resolution even for compounds with very similar properties.</w:t>
      </w:r>
    </w:p>
    <w:p w14:paraId="65D4C0BF" w14:textId="77777777" w:rsidR="001D04B0" w:rsidRDefault="00000000">
      <w:pPr>
        <w:spacing w:line="240" w:lineRule="auto"/>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Detection Strategies</w:t>
      </w:r>
    </w:p>
    <w:p w14:paraId="2DF33C60" w14:textId="77777777" w:rsidR="001D04B0" w:rsidRDefault="00000000">
      <w:pPr>
        <w:spacing w:line="24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Once separated, analytes are detected at the column outlet by specialized instruments. Common detectors include UV–Visible detectors, which measure absorbance of light at specific wavelengths, and mass spectrometers, which provide structural information about the molecules. The detector output generates a chromatogram, with each peak representing a compound in the sample. Analysis of peak shape, height, and retention time makes it possible to both identify and quantify the analytes present.</w:t>
      </w:r>
    </w:p>
    <w:p w14:paraId="675FF24F" w14:textId="77777777" w:rsidR="001D04B0" w:rsidRDefault="00000000">
      <w:pPr>
        <w:spacing w:line="240" w:lineRule="auto"/>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Applications of HPLC</w:t>
      </w:r>
    </w:p>
    <w:p w14:paraId="66DFACD2" w14:textId="77777777" w:rsidR="001D04B0" w:rsidRDefault="00000000">
      <w:pPr>
        <w:pStyle w:val="Heading3"/>
        <w:spacing w:line="240" w:lineRule="auto"/>
        <w:jc w:val="both"/>
        <w:rPr>
          <w:rFonts w:ascii="Times New Roman" w:hAnsi="Times New Roman" w:cs="Times New Roman"/>
          <w:bCs/>
          <w:color w:val="auto"/>
        </w:rPr>
      </w:pPr>
      <w:r>
        <w:rPr>
          <w:rFonts w:ascii="Times New Roman" w:hAnsi="Times New Roman" w:cs="Times New Roman"/>
          <w:bCs/>
          <w:color w:val="auto"/>
        </w:rPr>
        <w:lastRenderedPageBreak/>
        <w:t>The versatility of HPLC makes it a central technique across many scientific disciplines:</w:t>
      </w:r>
    </w:p>
    <w:p w14:paraId="2DF5D240" w14:textId="77777777" w:rsidR="001D04B0" w:rsidRDefault="00000000">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Pharmaceutical Sciences: Used extensively in drug development, HPLC helps determine drug purity, quantify active ingredients, and monitor impurities or degradation products to ensure safety and efficacy.</w:t>
      </w:r>
    </w:p>
    <w:p w14:paraId="4A8FB28C" w14:textId="77777777" w:rsidR="001D04B0" w:rsidRDefault="00000000">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Environmental Testing: HPLC is employed to detect pesticides, herbicides, and industrial pollutants in water, soil, and air samples, contributing to environmental monitoring and protection.</w:t>
      </w:r>
    </w:p>
    <w:p w14:paraId="05C181C6" w14:textId="77777777" w:rsidR="001D04B0" w:rsidRDefault="00000000">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Food and Beverage Industry: It supports quality control by identifying additives, preservatives, and contaminants, as well as quantifying nutrients such as vitamins and antioxidants.</w:t>
      </w:r>
    </w:p>
    <w:p w14:paraId="6B9C4565" w14:textId="77777777" w:rsidR="001D04B0" w:rsidRDefault="00000000">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Forensic Analysis: HPLC assists in toxicology studies by detecting drugs, toxins, and other compounds in biological specimens, as well as in the examination of trace evidence like fibers, inks, and paints.</w:t>
      </w:r>
    </w:p>
    <w:p w14:paraId="651F23EF" w14:textId="77777777" w:rsidR="001D04B0" w:rsidRDefault="00000000">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Biochemical Research: The technique is crucial for studying biomolecules including proteins, peptides, and nucleic acids, supporting research into disease mechanisms and therapeutic targets.</w:t>
      </w:r>
    </w:p>
    <w:p w14:paraId="76B2658E" w14:textId="77777777" w:rsidR="001D04B0" w:rsidRDefault="00000000">
      <w:pPr>
        <w:pStyle w:val="Heading3"/>
        <w:spacing w:line="240" w:lineRule="auto"/>
        <w:jc w:val="both"/>
        <w:rPr>
          <w:rFonts w:ascii="Times New Roman" w:hAnsi="Times New Roman" w:cs="Times New Roman"/>
          <w:b/>
          <w:bCs/>
          <w:color w:val="auto"/>
        </w:rPr>
      </w:pPr>
      <w:r>
        <w:rPr>
          <w:rFonts w:ascii="Times New Roman" w:hAnsi="Times New Roman" w:cs="Times New Roman"/>
          <w:b/>
          <w:bCs/>
          <w:color w:val="auto"/>
        </w:rPr>
        <w:t>Advantages of HPLC</w:t>
      </w:r>
    </w:p>
    <w:p w14:paraId="34EF01B5" w14:textId="77777777" w:rsidR="001D04B0" w:rsidRDefault="00000000">
      <w:pPr>
        <w:pStyle w:val="Heading3"/>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HPLC offers a wide range of benefits that explain its dominant role in analytical laboratories:</w:t>
      </w:r>
    </w:p>
    <w:p w14:paraId="50213FD0"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Excellent Resolution: Capable of separating complex mixtures containing structurally similar compounds.</w:t>
      </w:r>
    </w:p>
    <w:p w14:paraId="2699FE35"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Versatility: Applicable to a wide range of analytes due to different stationary and mobile phase options.</w:t>
      </w:r>
    </w:p>
    <w:p w14:paraId="7CBA0374"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High Sensitivity: Modern detectors enable detection of trace-level compounds, critical in drug metabolism and pollutant analysis.</w:t>
      </w:r>
    </w:p>
    <w:p w14:paraId="07236EEF"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Automation: Automated injection, solvent control, and data collection enhance accuracy and reduce operator error.</w:t>
      </w:r>
    </w:p>
    <w:p w14:paraId="7563689D"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Speed and Efficiency: Faster than conventional chromatography, enabling high-throughput analysis.</w:t>
      </w:r>
    </w:p>
    <w:p w14:paraId="01B14C2B"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Quantitative Accuracy: Provides reliable quantitative data, essential in pharmaceutical quality control.</w:t>
      </w:r>
    </w:p>
    <w:p w14:paraId="09C3CE4A"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Flexible Detection: Compatible with multiple detector types, allowing both routine and advanced analyses.</w:t>
      </w:r>
    </w:p>
    <w:p w14:paraId="37CD96FF"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Minimal Sample Preparation: Often requires only simple pretreatment, making it time- and resource-efficient.</w:t>
      </w:r>
    </w:p>
    <w:p w14:paraId="65268240"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Destructive/Non-Destructive Use: Depending on the method, samples can either be collected post-analysis or destroyed during detection.</w:t>
      </w:r>
    </w:p>
    <w:p w14:paraId="115FC910" w14:textId="77777777" w:rsidR="001D04B0" w:rsidRDefault="00000000">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Wide Solvent Compatibility: Can handle a broad range of solvents, increasing applicability across diverse sample types.</w:t>
      </w:r>
    </w:p>
    <w:p w14:paraId="22B12F4D" w14:textId="77777777" w:rsidR="001D04B0" w:rsidRDefault="00000000">
      <w:pPr>
        <w:pStyle w:val="Heading3"/>
        <w:spacing w:line="240" w:lineRule="auto"/>
        <w:jc w:val="both"/>
        <w:rPr>
          <w:rFonts w:ascii="Times New Roman" w:hAnsi="Times New Roman" w:cs="Times New Roman"/>
          <w:b/>
          <w:bCs/>
          <w:color w:val="auto"/>
        </w:rPr>
      </w:pPr>
      <w:r>
        <w:rPr>
          <w:rFonts w:ascii="Times New Roman" w:hAnsi="Times New Roman" w:cs="Times New Roman"/>
          <w:b/>
          <w:bCs/>
          <w:color w:val="auto"/>
        </w:rPr>
        <w:t>Conclusion</w:t>
      </w:r>
    </w:p>
    <w:p w14:paraId="02705134" w14:textId="77777777" w:rsidR="001D04B0" w:rsidRDefault="00000000">
      <w:pPr>
        <w:pStyle w:val="Heading3"/>
        <w:spacing w:line="240" w:lineRule="auto"/>
        <w:jc w:val="both"/>
        <w:rPr>
          <w:rFonts w:ascii="Times New Roman" w:hAnsi="Times New Roman" w:cs="Times New Roman"/>
          <w:b/>
          <w:bCs/>
        </w:rPr>
      </w:pPr>
      <w:r>
        <w:rPr>
          <w:rFonts w:ascii="Times New Roman" w:hAnsi="Times New Roman" w:cs="Times New Roman"/>
          <w:bCs/>
          <w:color w:val="auto"/>
        </w:rPr>
        <w:t>High-performance liquid chromatography has established itself as a cornerstone of analytical science. Its ability to separate, identify, and quantify compounds with speed and accuracy has made it indispensable in pharmaceuticals, environmental monitoring, food analysis, forensic science, and biochemistry. With ongoing technological advancements, HPLC will continue to expand its scope, offering even greater precision and sensitivity in tackling the analytical challenges of the future.</w:t>
      </w:r>
    </w:p>
    <w:p w14:paraId="29E7DC28" w14:textId="77777777" w:rsidR="001D04B0" w:rsidRDefault="00000000">
      <w:pPr>
        <w:pStyle w:val="Heading3"/>
        <w:spacing w:line="240" w:lineRule="auto"/>
        <w:jc w:val="both"/>
        <w:rPr>
          <w:rFonts w:ascii="Times New Roman" w:hAnsi="Times New Roman" w:cs="Times New Roman"/>
        </w:rPr>
      </w:pPr>
      <w:r>
        <w:rPr>
          <w:rFonts w:ascii="Times New Roman" w:hAnsi="Times New Roman" w:cs="Times New Roman"/>
          <w:b/>
          <w:bCs/>
          <w:color w:val="auto"/>
        </w:rPr>
        <w:t>Classification of HPLC</w:t>
      </w:r>
    </w:p>
    <w:p w14:paraId="3EF5C113"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High-performance liquid chromatography (HPLC) can be grouped into different categories depending on how the separation is achieved, the type of column used, or the mobile phase strategy applied. Below is a detailed outline of the main classifications:</w:t>
      </w:r>
    </w:p>
    <w:p w14:paraId="74FCDEE0"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Based on Separation Principle</w:t>
      </w:r>
    </w:p>
    <w:p w14:paraId="23FF2393" w14:textId="77777777" w:rsidR="001D04B0" w:rsidRDefault="00000000">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Normal-Phase HPLC (NP-HPLC):</w:t>
      </w:r>
      <w:r>
        <w:rPr>
          <w:rFonts w:ascii="Times New Roman" w:hAnsi="Times New Roman" w:cs="Times New Roman"/>
          <w:sz w:val="24"/>
          <w:szCs w:val="24"/>
        </w:rPr>
        <w:t xml:space="preserve"> Uses a polar stationary phase and a non-polar mobile phase. Best suited for the analysis of less polar or moderately polar compounds.</w:t>
      </w:r>
    </w:p>
    <w:p w14:paraId="0E047CF9" w14:textId="77777777" w:rsidR="001D04B0" w:rsidRDefault="00000000">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Reversed-Phase HPLC (RP-HPLC):</w:t>
      </w:r>
      <w:r>
        <w:rPr>
          <w:rFonts w:ascii="Times New Roman" w:hAnsi="Times New Roman" w:cs="Times New Roman"/>
          <w:sz w:val="24"/>
          <w:szCs w:val="24"/>
        </w:rPr>
        <w:t xml:space="preserve"> The most commonly applied form of HPLC. Here, the stationary phase is non-polar (such as C18), while the mobile phase is a water-organic solvent mixture. It is highly effective for separating polar and semi-polar analytes, making it essential in pharmaceutical and biological testing.</w:t>
      </w:r>
    </w:p>
    <w:p w14:paraId="5D3B0345" w14:textId="77777777" w:rsidR="001D04B0" w:rsidRDefault="00000000">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Ion-Exchange Chromatography (IEC):</w:t>
      </w:r>
      <w:r>
        <w:rPr>
          <w:rFonts w:ascii="Times New Roman" w:hAnsi="Times New Roman" w:cs="Times New Roman"/>
          <w:sz w:val="24"/>
          <w:szCs w:val="24"/>
        </w:rPr>
        <w:t xml:space="preserve"> Employs a charged stationary phase to separate ionic compounds. It is particularly effective for proteins, amino acids, and peptides.</w:t>
      </w:r>
    </w:p>
    <w:p w14:paraId="3BF94B5A" w14:textId="77777777" w:rsidR="001D04B0" w:rsidRDefault="00000000">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Size-Exclusion Chromatography (SEC) / Gel Permeation Chromatography (GPC):</w:t>
      </w:r>
      <w:r>
        <w:rPr>
          <w:rFonts w:ascii="Times New Roman" w:hAnsi="Times New Roman" w:cs="Times New Roman"/>
          <w:sz w:val="24"/>
          <w:szCs w:val="24"/>
        </w:rPr>
        <w:t xml:space="preserve"> Relies on molecular size for separation. Larger molecules pass through the column more quickly, while smaller molecules are retained longer. Often used for polymers and biomacromolecules.</w:t>
      </w:r>
    </w:p>
    <w:p w14:paraId="65CC9B01" w14:textId="77777777" w:rsidR="001D04B0" w:rsidRDefault="001D04B0">
      <w:pPr>
        <w:tabs>
          <w:tab w:val="left" w:pos="567"/>
        </w:tabs>
        <w:spacing w:line="240" w:lineRule="auto"/>
        <w:jc w:val="both"/>
        <w:rPr>
          <w:rFonts w:ascii="Times New Roman" w:hAnsi="Times New Roman" w:cs="Times New Roman"/>
          <w:sz w:val="24"/>
          <w:szCs w:val="24"/>
        </w:rPr>
      </w:pPr>
    </w:p>
    <w:p w14:paraId="756350FF" w14:textId="77777777" w:rsidR="001D04B0" w:rsidRDefault="00000000">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Affinity Chromatography:</w:t>
      </w:r>
      <w:r>
        <w:rPr>
          <w:rFonts w:ascii="Times New Roman" w:hAnsi="Times New Roman" w:cs="Times New Roman"/>
          <w:sz w:val="24"/>
          <w:szCs w:val="24"/>
        </w:rPr>
        <w:t xml:space="preserve"> Highly selective separation method that utilizes a stationary phase bonded with ligands to capture specific analytes. Widely used for purifying enzymes, antibodies, and other biomolecules.</w:t>
      </w:r>
    </w:p>
    <w:p w14:paraId="7E274C75"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Based on Column Configuration</w:t>
      </w:r>
    </w:p>
    <w:p w14:paraId="44AD0E3A" w14:textId="77777777" w:rsidR="001D04B0" w:rsidRDefault="00000000">
      <w:pPr>
        <w:numPr>
          <w:ilvl w:val="0"/>
          <w:numId w:val="1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Analytical HPLC:</w:t>
      </w:r>
      <w:r>
        <w:rPr>
          <w:rFonts w:ascii="Times New Roman" w:hAnsi="Times New Roman" w:cs="Times New Roman"/>
          <w:sz w:val="24"/>
          <w:szCs w:val="24"/>
        </w:rPr>
        <w:t xml:space="preserve"> The standard choice for routine qualitative and quantitative analysis. These columns are typically narrow (around 4.6 mm internal diameter) and require only small sample volumes.</w:t>
      </w:r>
    </w:p>
    <w:p w14:paraId="3E07AC4D" w14:textId="77777777" w:rsidR="001D04B0" w:rsidRDefault="00000000">
      <w:pPr>
        <w:numPr>
          <w:ilvl w:val="0"/>
          <w:numId w:val="1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Preparative HPLC:</w:t>
      </w:r>
      <w:r>
        <w:rPr>
          <w:rFonts w:ascii="Times New Roman" w:hAnsi="Times New Roman" w:cs="Times New Roman"/>
          <w:sz w:val="24"/>
          <w:szCs w:val="24"/>
        </w:rPr>
        <w:t xml:space="preserve"> Designed for isolating larger amounts of compounds. Columns are wider (10 mm or more), allowing higher sample loading and collection of purified fractions.</w:t>
      </w:r>
    </w:p>
    <w:p w14:paraId="4769C8A9" w14:textId="77777777" w:rsidR="001D04B0" w:rsidRDefault="00000000">
      <w:pPr>
        <w:numPr>
          <w:ilvl w:val="0"/>
          <w:numId w:val="1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Micro-HPLC:</w:t>
      </w:r>
      <w:r>
        <w:rPr>
          <w:rFonts w:ascii="Times New Roman" w:hAnsi="Times New Roman" w:cs="Times New Roman"/>
          <w:sz w:val="24"/>
          <w:szCs w:val="24"/>
        </w:rPr>
        <w:t xml:space="preserve"> Utilizes columns with diameters below 2 mm. Benefits include reduced solvent use, higher resolution, and efficiency, though specialized instruments are required.</w:t>
      </w:r>
    </w:p>
    <w:p w14:paraId="4043C832"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Based on Mobile Phase Program</w:t>
      </w:r>
    </w:p>
    <w:p w14:paraId="036406FA" w14:textId="77777777" w:rsidR="001D04B0" w:rsidRDefault="00000000">
      <w:pPr>
        <w:numPr>
          <w:ilvl w:val="0"/>
          <w:numId w:val="12"/>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Isocratic Elution:</w:t>
      </w:r>
      <w:r>
        <w:rPr>
          <w:rFonts w:ascii="Times New Roman" w:hAnsi="Times New Roman" w:cs="Times New Roman"/>
          <w:sz w:val="24"/>
          <w:szCs w:val="24"/>
        </w:rPr>
        <w:t xml:space="preserve"> Maintains a constant solvent composition throughout the run. Ideal for simple mixtures where analytes differ significantly in polarity.</w:t>
      </w:r>
    </w:p>
    <w:p w14:paraId="2F6C4C02" w14:textId="77777777" w:rsidR="001D04B0" w:rsidRDefault="00000000">
      <w:pPr>
        <w:numPr>
          <w:ilvl w:val="0"/>
          <w:numId w:val="12"/>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Gradient Elution:</w:t>
      </w:r>
      <w:r>
        <w:rPr>
          <w:rFonts w:ascii="Times New Roman" w:hAnsi="Times New Roman" w:cs="Times New Roman"/>
          <w:sz w:val="24"/>
          <w:szCs w:val="24"/>
        </w:rPr>
        <w:t xml:space="preserve"> Gradually alters the mobile phase composition during analysis (e.g., increasing organic solvent content). This approach is especially useful for complex samples with a wide polarity range.</w:t>
      </w:r>
    </w:p>
    <w:p w14:paraId="68ACC27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iCs/>
          <w:sz w:val="24"/>
          <w:szCs w:val="24"/>
        </w:rPr>
        <w:t>The choice of classification depends largely on the chemical nature of the analytes and the analytical goal, ensuring the right method is used for accurate and efficient separation.</w:t>
      </w:r>
    </w:p>
    <w:p w14:paraId="46AE267A"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Instrumentation of HPLC</w:t>
      </w:r>
    </w:p>
    <w:p w14:paraId="2206F3D5" w14:textId="77777777" w:rsidR="001D04B0" w:rsidRDefault="00000000">
      <w:pPr>
        <w:pStyle w:val="ListParagraph"/>
        <w:spacing w:line="240" w:lineRule="auto"/>
        <w:ind w:left="567"/>
        <w:contextualSpacing w:val="0"/>
        <w:rPr>
          <w:rFonts w:ascii="Times New Roman" w:hAnsi="Times New Roman" w:cs="Times New Roman"/>
          <w:bCs/>
          <w:sz w:val="24"/>
          <w:szCs w:val="24"/>
        </w:rPr>
      </w:pPr>
      <w:r>
        <w:rPr>
          <w:rFonts w:ascii="Times New Roman" w:hAnsi="Times New Roman" w:cs="Times New Roman"/>
          <w:bCs/>
          <w:sz w:val="24"/>
          <w:szCs w:val="24"/>
        </w:rPr>
        <w:t>An HPLC system is composed of several interconnected components, each with a critical role in ensuring reliable separation and analysis of analytes.</w:t>
      </w:r>
    </w:p>
    <w:p w14:paraId="7FC5003A" w14:textId="77777777" w:rsidR="001D04B0" w:rsidRDefault="00000000">
      <w:pPr>
        <w:pStyle w:val="ListParagraph"/>
        <w:spacing w:line="240" w:lineRule="auto"/>
        <w:ind w:left="567"/>
        <w:contextualSpacing w:val="0"/>
        <w:rPr>
          <w:rFonts w:ascii="Times New Roman" w:hAnsi="Times New Roman" w:cs="Times New Roman"/>
          <w:b/>
          <w:bCs/>
          <w:sz w:val="24"/>
          <w:szCs w:val="24"/>
        </w:rPr>
      </w:pPr>
      <w:r>
        <w:rPr>
          <w:rFonts w:ascii="Times New Roman" w:hAnsi="Times New Roman" w:cs="Times New Roman"/>
          <w:b/>
          <w:bCs/>
          <w:sz w:val="24"/>
          <w:szCs w:val="24"/>
        </w:rPr>
        <w:t>Main Components</w:t>
      </w:r>
    </w:p>
    <w:p w14:paraId="43A6A6B5" w14:textId="77777777" w:rsidR="001D04B0" w:rsidRDefault="00000000">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Solvent Reservoirs: Containers that hold mobile phase solvents, typically water mixed with organic modifiers. Systems often include multiple reservoirs to accommodate gradient elution.</w:t>
      </w:r>
    </w:p>
    <w:p w14:paraId="6B564E7C" w14:textId="77777777" w:rsidR="001D04B0" w:rsidRDefault="00000000">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Degassing Unit: Removes dissolved gases from the mobile phase to prevent bubble formation, which could interfere with detector performance.</w:t>
      </w:r>
    </w:p>
    <w:p w14:paraId="690DD7FE" w14:textId="77777777" w:rsidR="001D04B0" w:rsidRDefault="00000000">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Pump: Provides a consistent and precisely controlled flow of mobile phase through the column. Flow stability is crucial for reproducibility and resolution.</w:t>
      </w:r>
    </w:p>
    <w:p w14:paraId="5324094F" w14:textId="77777777" w:rsidR="001D04B0" w:rsidRDefault="00000000">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Injector: Introduces a defined volume of sample into the system. This can be done manually with syringes or automatically with autosamplers.</w:t>
      </w:r>
    </w:p>
    <w:p w14:paraId="2885F3F7" w14:textId="77777777" w:rsidR="001D04B0" w:rsidRDefault="001D04B0">
      <w:pPr>
        <w:pStyle w:val="ListParagraph"/>
        <w:tabs>
          <w:tab w:val="left" w:pos="567"/>
        </w:tabs>
        <w:spacing w:line="240" w:lineRule="auto"/>
        <w:ind w:left="0"/>
        <w:contextualSpacing w:val="0"/>
        <w:jc w:val="both"/>
        <w:rPr>
          <w:rFonts w:ascii="Times New Roman" w:hAnsi="Times New Roman" w:cs="Times New Roman"/>
          <w:bCs/>
          <w:sz w:val="24"/>
          <w:szCs w:val="24"/>
        </w:rPr>
      </w:pPr>
    </w:p>
    <w:p w14:paraId="35ED2385" w14:textId="77777777" w:rsidR="001D04B0" w:rsidRDefault="00000000">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Column: The heart of the system where actual separation occurs. Packed with stationary phase material, the column’s chemistry and dimensions dictate separation efficiency.</w:t>
      </w:r>
    </w:p>
    <w:p w14:paraId="65788885" w14:textId="77777777" w:rsidR="001D04B0" w:rsidRDefault="00000000">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Detector: Monitors analytes as they elute from the column and converts their signal into measurable data. Common options include UV detectors for absorbance measurement and mass spectrometers for structural identification.</w:t>
      </w:r>
    </w:p>
    <w:p w14:paraId="5C1A4309" w14:textId="77777777" w:rsidR="001D04B0" w:rsidRDefault="00000000">
      <w:pPr>
        <w:pStyle w:val="ListParagraph"/>
        <w:tabs>
          <w:tab w:val="left" w:pos="567"/>
        </w:tabs>
        <w:spacing w:line="240" w:lineRule="auto"/>
        <w:ind w:left="0"/>
        <w:contextualSpacing w:val="0"/>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0FEF657B" wp14:editId="6E14E0A5">
            <wp:simplePos x="0" y="0"/>
            <wp:positionH relativeFrom="margin">
              <wp:posOffset>775335</wp:posOffset>
            </wp:positionH>
            <wp:positionV relativeFrom="margin">
              <wp:posOffset>1102360</wp:posOffset>
            </wp:positionV>
            <wp:extent cx="5683250" cy="1953895"/>
            <wp:effectExtent l="0" t="0" r="12700" b="8255"/>
            <wp:wrapSquare wrapText="bothSides"/>
            <wp:docPr id="6" name="Picture 6" descr="High Performance Liquid Chromatography - HPLC -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gh Performance Liquid Chromatography - HPLC - Principle"/>
                    <pic:cNvPicPr>
                      <a:picLocks noChangeAspect="1" noChangeArrowheads="1"/>
                    </pic:cNvPicPr>
                  </pic:nvPicPr>
                  <pic:blipFill>
                    <a:blip r:embed="rId12">
                      <a:extLst>
                        <a:ext uri="{28A0092B-C50C-407E-A947-70E740481C1C}">
                          <a14:useLocalDpi xmlns:a14="http://schemas.microsoft.com/office/drawing/2010/main" val="0"/>
                        </a:ext>
                      </a:extLst>
                    </a:blip>
                    <a:srcRect b="3236"/>
                    <a:stretch>
                      <a:fillRect/>
                    </a:stretch>
                  </pic:blipFill>
                  <pic:spPr>
                    <a:xfrm>
                      <a:off x="0" y="0"/>
                      <a:ext cx="5683250" cy="1953895"/>
                    </a:xfrm>
                    <a:prstGeom prst="rect">
                      <a:avLst/>
                    </a:prstGeom>
                    <a:noFill/>
                    <a:ln>
                      <a:noFill/>
                    </a:ln>
                  </pic:spPr>
                </pic:pic>
              </a:graphicData>
            </a:graphic>
          </wp:anchor>
        </w:drawing>
      </w:r>
    </w:p>
    <w:p w14:paraId="768A9F9C" w14:textId="77777777" w:rsidR="001D04B0" w:rsidRDefault="001D04B0">
      <w:pPr>
        <w:pStyle w:val="ListParagraph"/>
        <w:tabs>
          <w:tab w:val="left" w:pos="567"/>
        </w:tabs>
        <w:spacing w:line="240" w:lineRule="auto"/>
        <w:ind w:left="0"/>
        <w:contextualSpacing w:val="0"/>
        <w:jc w:val="both"/>
        <w:rPr>
          <w:rFonts w:ascii="Times New Roman" w:hAnsi="Times New Roman" w:cs="Times New Roman"/>
          <w:sz w:val="24"/>
          <w:szCs w:val="24"/>
          <w:lang w:eastAsia="en-IN"/>
        </w:rPr>
      </w:pPr>
    </w:p>
    <w:p w14:paraId="3F1A20BA"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68665F8D"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3A6C9836"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73183059"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0203B348"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630188D3"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4CEB0548"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6F368AF2"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1A7D666B" w14:textId="77777777" w:rsidR="001D04B0" w:rsidRDefault="001D04B0">
      <w:pPr>
        <w:pStyle w:val="ListParagraph"/>
        <w:spacing w:line="240" w:lineRule="auto"/>
        <w:ind w:left="567"/>
        <w:jc w:val="center"/>
        <w:rPr>
          <w:rFonts w:ascii="Times New Roman" w:hAnsi="Times New Roman" w:cs="Times New Roman"/>
          <w:b/>
          <w:bCs/>
          <w:sz w:val="24"/>
          <w:szCs w:val="24"/>
        </w:rPr>
      </w:pPr>
    </w:p>
    <w:p w14:paraId="57CEDE20" w14:textId="77777777" w:rsidR="001D04B0" w:rsidRDefault="001D04B0">
      <w:pPr>
        <w:pStyle w:val="ListParagraph"/>
        <w:spacing w:line="240" w:lineRule="auto"/>
        <w:ind w:left="567"/>
        <w:jc w:val="both"/>
        <w:rPr>
          <w:rFonts w:ascii="Times New Roman" w:hAnsi="Times New Roman" w:cs="Times New Roman"/>
          <w:b/>
          <w:bCs/>
          <w:sz w:val="24"/>
          <w:szCs w:val="24"/>
        </w:rPr>
      </w:pPr>
    </w:p>
    <w:p w14:paraId="362C67DD" w14:textId="77777777" w:rsidR="001D04B0" w:rsidRDefault="001D04B0">
      <w:pPr>
        <w:pStyle w:val="ListParagraph"/>
        <w:spacing w:line="240" w:lineRule="auto"/>
        <w:ind w:left="567"/>
        <w:jc w:val="both"/>
        <w:rPr>
          <w:rFonts w:ascii="Times New Roman" w:hAnsi="Times New Roman" w:cs="Times New Roman"/>
          <w:b/>
          <w:bCs/>
          <w:sz w:val="24"/>
          <w:szCs w:val="24"/>
        </w:rPr>
      </w:pPr>
    </w:p>
    <w:p w14:paraId="609954E3" w14:textId="77777777" w:rsidR="001D04B0" w:rsidRDefault="001D04B0">
      <w:pPr>
        <w:pStyle w:val="ListParagraph"/>
        <w:spacing w:line="240" w:lineRule="auto"/>
        <w:ind w:left="567"/>
        <w:jc w:val="both"/>
        <w:rPr>
          <w:rFonts w:ascii="Times New Roman" w:hAnsi="Times New Roman" w:cs="Times New Roman"/>
          <w:b/>
          <w:bCs/>
          <w:sz w:val="24"/>
          <w:szCs w:val="24"/>
        </w:rPr>
      </w:pPr>
    </w:p>
    <w:p w14:paraId="755A6CDE" w14:textId="77777777" w:rsidR="001D04B0" w:rsidRDefault="001D04B0">
      <w:pPr>
        <w:pStyle w:val="ListParagraph"/>
        <w:spacing w:line="240" w:lineRule="auto"/>
        <w:ind w:left="567"/>
        <w:jc w:val="both"/>
        <w:rPr>
          <w:rFonts w:ascii="Times New Roman" w:hAnsi="Times New Roman" w:cs="Times New Roman"/>
          <w:b/>
          <w:bCs/>
          <w:sz w:val="24"/>
          <w:szCs w:val="24"/>
        </w:rPr>
      </w:pPr>
    </w:p>
    <w:p w14:paraId="290F69C6" w14:textId="77777777" w:rsidR="001D04B0" w:rsidRDefault="001D04B0">
      <w:pPr>
        <w:pStyle w:val="ListParagraph"/>
        <w:spacing w:line="240" w:lineRule="auto"/>
        <w:ind w:left="567"/>
        <w:jc w:val="both"/>
        <w:rPr>
          <w:rFonts w:ascii="Times New Roman" w:hAnsi="Times New Roman" w:cs="Times New Roman"/>
          <w:b/>
          <w:bCs/>
          <w:sz w:val="24"/>
          <w:szCs w:val="24"/>
        </w:rPr>
      </w:pPr>
    </w:p>
    <w:p w14:paraId="4F59A4C6" w14:textId="77777777" w:rsidR="001D04B0" w:rsidRDefault="001D04B0">
      <w:pPr>
        <w:pStyle w:val="ListParagraph"/>
        <w:spacing w:line="240" w:lineRule="auto"/>
        <w:ind w:left="567"/>
        <w:jc w:val="both"/>
        <w:rPr>
          <w:rFonts w:ascii="Times New Roman" w:hAnsi="Times New Roman" w:cs="Times New Roman"/>
          <w:b/>
          <w:bCs/>
          <w:sz w:val="24"/>
          <w:szCs w:val="24"/>
        </w:rPr>
      </w:pPr>
    </w:p>
    <w:p w14:paraId="3D132396" w14:textId="77777777" w:rsidR="001D04B0" w:rsidRDefault="00000000">
      <w:pPr>
        <w:pStyle w:val="ListParagraph"/>
        <w:spacing w:line="240" w:lineRule="auto"/>
        <w:ind w:left="567"/>
        <w:jc w:val="both"/>
        <w:rPr>
          <w:rFonts w:ascii="Times New Roman" w:hAnsi="Times New Roman" w:cs="Times New Roman"/>
          <w:bCs/>
          <w:sz w:val="24"/>
          <w:szCs w:val="24"/>
        </w:rPr>
      </w:pPr>
      <w:r>
        <w:rPr>
          <w:rFonts w:ascii="Times New Roman" w:hAnsi="Times New Roman" w:cs="Times New Roman"/>
          <w:b/>
          <w:bCs/>
          <w:sz w:val="24"/>
          <w:szCs w:val="24"/>
        </w:rPr>
        <w:t>Figure 2- HPLC equipment</w:t>
      </w:r>
    </w:p>
    <w:p w14:paraId="2248FB4C" w14:textId="77777777" w:rsidR="001D04B0" w:rsidRDefault="00000000">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Data Acquisition System (DAS): A computer-based system that manages instrument operation, records signals, and generates chromatograms. It also supports further data processing, analysis, and reporting.</w:t>
      </w:r>
    </w:p>
    <w:p w14:paraId="64DD6939" w14:textId="77777777" w:rsidR="001D04B0" w:rsidRDefault="00000000">
      <w:pPr>
        <w:pStyle w:val="ListParagraph"/>
        <w:spacing w:line="240" w:lineRule="auto"/>
        <w:ind w:left="567"/>
        <w:contextualSpacing w:val="0"/>
        <w:rPr>
          <w:rFonts w:ascii="Times New Roman" w:hAnsi="Times New Roman" w:cs="Times New Roman"/>
          <w:b/>
          <w:bCs/>
          <w:sz w:val="24"/>
          <w:szCs w:val="24"/>
        </w:rPr>
      </w:pPr>
      <w:r>
        <w:rPr>
          <w:rFonts w:ascii="Times New Roman" w:hAnsi="Times New Roman" w:cs="Times New Roman"/>
          <w:b/>
          <w:bCs/>
          <w:sz w:val="24"/>
          <w:szCs w:val="24"/>
        </w:rPr>
        <w:t>Analytical Workflow</w:t>
      </w:r>
    </w:p>
    <w:p w14:paraId="1D1AAF03" w14:textId="77777777" w:rsidR="001D04B0" w:rsidRDefault="00000000">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Preparation of Mobile Phase: Appropriate solvents are prepared and degassed to remove air bubbles.</w:t>
      </w:r>
    </w:p>
    <w:p w14:paraId="23B8D0DF" w14:textId="77777777" w:rsidR="001D04B0" w:rsidRDefault="00000000">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Sample Processing: Samples are dissolved in a compatible solvent and filtered to eliminate particulates.</w:t>
      </w:r>
    </w:p>
    <w:p w14:paraId="0431B922" w14:textId="77777777" w:rsidR="001D04B0" w:rsidRDefault="00000000">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Injection: The prepared sample is introduced into the column using the injector.</w:t>
      </w:r>
    </w:p>
    <w:p w14:paraId="0297F0B9" w14:textId="77777777" w:rsidR="001D04B0" w:rsidRDefault="00000000">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Separation: The pump drives the mobile phase and sample through the column, where compounds separate according to their interactions with the stationary phase.</w:t>
      </w:r>
    </w:p>
    <w:p w14:paraId="19FA927F" w14:textId="77777777" w:rsidR="001D04B0" w:rsidRDefault="00000000">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Detection: Eluted compounds are identified by the detector, which generates a measurable signal.</w:t>
      </w:r>
    </w:p>
    <w:p w14:paraId="3CD2C8D6" w14:textId="77777777" w:rsidR="001D04B0" w:rsidRDefault="00000000">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Data Recording and Analysis: The DAS produces a chromatogram showing peaks corresponding to analytes, enabling both qualitative and quantitative interpretation.</w:t>
      </w:r>
    </w:p>
    <w:p w14:paraId="7D6F9B25" w14:textId="77777777" w:rsidR="001D04B0" w:rsidRDefault="00000000">
      <w:pPr>
        <w:pStyle w:val="ListParagraph"/>
        <w:spacing w:line="240" w:lineRule="auto"/>
        <w:ind w:left="567"/>
        <w:contextualSpacing w:val="0"/>
        <w:rPr>
          <w:rFonts w:ascii="Times New Roman" w:hAnsi="Times New Roman" w:cs="Times New Roman"/>
          <w:b/>
          <w:bCs/>
          <w:sz w:val="24"/>
          <w:szCs w:val="24"/>
        </w:rPr>
      </w:pPr>
      <w:r>
        <w:rPr>
          <w:rFonts w:ascii="Times New Roman" w:hAnsi="Times New Roman" w:cs="Times New Roman"/>
          <w:b/>
          <w:bCs/>
          <w:sz w:val="24"/>
          <w:szCs w:val="24"/>
        </w:rPr>
        <w:t>Additional Features</w:t>
      </w:r>
    </w:p>
    <w:p w14:paraId="3D9FDFBD" w14:textId="77777777" w:rsidR="001D04B0" w:rsidRDefault="00000000">
      <w:pPr>
        <w:pStyle w:val="ListParagraph"/>
        <w:numPr>
          <w:ilvl w:val="0"/>
          <w:numId w:val="15"/>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Column Oven: Temperature control is often applied to improve reproducibility and stabilize retention times.</w:t>
      </w:r>
    </w:p>
    <w:p w14:paraId="395734E5" w14:textId="77777777" w:rsidR="001D04B0" w:rsidRDefault="00000000">
      <w:pPr>
        <w:pStyle w:val="ListParagraph"/>
        <w:numPr>
          <w:ilvl w:val="0"/>
          <w:numId w:val="15"/>
        </w:numPr>
        <w:tabs>
          <w:tab w:val="clear" w:pos="720"/>
          <w:tab w:val="left" w:pos="567"/>
        </w:tabs>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bCs/>
          <w:sz w:val="24"/>
          <w:szCs w:val="24"/>
        </w:rPr>
        <w:t>Automation Options: Modern HPLC systems incorporate auto-samplers for high-throughput operation and fraction collectors for isolating separated compounds.</w:t>
      </w:r>
    </w:p>
    <w:p w14:paraId="619509DC"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Introduction to Analytical Method Validation </w:t>
      </w:r>
      <w:r>
        <w:rPr>
          <w:rFonts w:ascii="Times New Roman" w:hAnsi="Times New Roman" w:cs="Times New Roman"/>
          <w:b/>
          <w:bCs/>
          <w:sz w:val="24"/>
          <w:szCs w:val="24"/>
          <w:vertAlign w:val="superscript"/>
        </w:rPr>
        <w:t>[4-10]</w:t>
      </w:r>
    </w:p>
    <w:p w14:paraId="2DA8208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method validation is a critical process that assesses the performance characteristics of an analytical method to ensure it consistently delivers reliable and accurate results. It establishes the method's suitability for its intended purpose, which is to generate data that meets predetermined specifications. This process plays a vital role in various pharmacopoeias, including the United States Pharmacopeia (USP), the British Pharmacopoeia (BP), and guidelines established by the International Conference on Harmonization (ICH).</w:t>
      </w:r>
    </w:p>
    <w:p w14:paraId="25F3B7B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World Health Organization (WHO) published a foundational document titled "Validation of analytical procedures used in the examination of pharmaceutical materials" in 1992. This guideline highlighted the importance of method validation as a cornerstone for proper method development and ultimately guaranteeing the quality of pharmaceutical products.</w:t>
      </w:r>
    </w:p>
    <w:p w14:paraId="11DB28C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ICH, an organization that brings together regulatory authorities from Europe, the United States, and Japan, has </w:t>
      </w:r>
    </w:p>
    <w:p w14:paraId="1FB7BFC5" w14:textId="77777777" w:rsidR="001D04B0" w:rsidRDefault="001D04B0">
      <w:pPr>
        <w:spacing w:line="240" w:lineRule="auto"/>
        <w:jc w:val="both"/>
        <w:rPr>
          <w:rFonts w:ascii="Times New Roman" w:hAnsi="Times New Roman" w:cs="Times New Roman"/>
          <w:sz w:val="24"/>
          <w:szCs w:val="24"/>
        </w:rPr>
      </w:pPr>
    </w:p>
    <w:p w14:paraId="6744B6D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issued two key guidelines on analytical method validation:</w:t>
      </w:r>
    </w:p>
    <w:p w14:paraId="5228355E" w14:textId="77777777" w:rsidR="001D04B0" w:rsidRDefault="001D04B0">
      <w:pPr>
        <w:spacing w:line="240" w:lineRule="auto"/>
        <w:ind w:left="360"/>
        <w:jc w:val="both"/>
        <w:rPr>
          <w:rFonts w:ascii="Times New Roman" w:hAnsi="Times New Roman" w:cs="Times New Roman"/>
          <w:sz w:val="24"/>
          <w:szCs w:val="24"/>
        </w:rPr>
      </w:pPr>
    </w:p>
    <w:p w14:paraId="6B94455E" w14:textId="77777777" w:rsidR="001D04B0" w:rsidRDefault="00000000">
      <w:pPr>
        <w:numPr>
          <w:ilvl w:val="0"/>
          <w:numId w:val="1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Q2A: Text on Validation of Analytical Procedures:</w:t>
      </w:r>
      <w:r>
        <w:rPr>
          <w:rFonts w:ascii="Times New Roman" w:hAnsi="Times New Roman" w:cs="Times New Roman"/>
          <w:sz w:val="24"/>
          <w:szCs w:val="24"/>
        </w:rPr>
        <w:t> This guideline outlines the theoretical aspects and principles of analytical method validation.</w:t>
      </w:r>
    </w:p>
    <w:p w14:paraId="32360868" w14:textId="77777777" w:rsidR="001D04B0" w:rsidRDefault="00000000">
      <w:pPr>
        <w:numPr>
          <w:ilvl w:val="0"/>
          <w:numId w:val="1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Q2B: Validation of Analytical Procedures Methodology:</w:t>
      </w:r>
      <w:r>
        <w:rPr>
          <w:rFonts w:ascii="Times New Roman" w:hAnsi="Times New Roman" w:cs="Times New Roman"/>
          <w:sz w:val="24"/>
          <w:szCs w:val="24"/>
        </w:rPr>
        <w:t> This guideline provides practical details and recommendations for conducting method validation studies.</w:t>
      </w:r>
    </w:p>
    <w:p w14:paraId="5DED4EE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While the USP (2004) has a dedicated section outlining analytical method validation requirements, this specific guideline is not yet incorporated into the Indian Pharmacopoeia.</w:t>
      </w:r>
    </w:p>
    <w:p w14:paraId="73F9CF6F"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Range and Linearity</w:t>
      </w:r>
    </w:p>
    <w:p w14:paraId="5197C06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key parameters evaluated during method validation is </w:t>
      </w:r>
      <w:r>
        <w:rPr>
          <w:rFonts w:ascii="Times New Roman" w:hAnsi="Times New Roman" w:cs="Times New Roman"/>
          <w:b/>
          <w:bCs/>
          <w:sz w:val="24"/>
          <w:szCs w:val="24"/>
        </w:rPr>
        <w:t>range and linearity</w:t>
      </w:r>
      <w:r>
        <w:rPr>
          <w:rFonts w:ascii="Times New Roman" w:hAnsi="Times New Roman" w:cs="Times New Roman"/>
          <w:sz w:val="24"/>
          <w:szCs w:val="24"/>
        </w:rPr>
        <w:t>. This parameter establishes the concentration interval within which the analytical method can produce results that are directly proportional to the concentration of the analyte in the sample. Linearity can be demonstrated through various mathematical transformations:</w:t>
      </w:r>
    </w:p>
    <w:p w14:paraId="45BCD242" w14:textId="77777777" w:rsidR="001D04B0" w:rsidRDefault="00000000">
      <w:pPr>
        <w:numPr>
          <w:ilvl w:val="0"/>
          <w:numId w:val="17"/>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Calibration Curve:</w:t>
      </w:r>
      <w:r>
        <w:rPr>
          <w:rFonts w:ascii="Times New Roman" w:hAnsi="Times New Roman" w:cs="Times New Roman"/>
          <w:sz w:val="24"/>
          <w:szCs w:val="24"/>
        </w:rPr>
        <w:t> This approach involves analyzing a series of standards with known concentrations, typically at least five, spanning a range of 80-120% of the expected sample concentration. The analytical response (e.g., peak area) is plotted against the corresponding standard concentration. A linear regression analysis is performed on this data set. The method is considered linear if a statistically significant correlation coefficient (R-squared) is obtained and there is a minimal zero intercept. A non-significant zero intercept indicates that the response is directly proportional to the concentration within the investigated range.</w:t>
      </w:r>
    </w:p>
    <w:p w14:paraId="77DB1992" w14:textId="77777777" w:rsidR="001D04B0" w:rsidRDefault="00000000">
      <w:pPr>
        <w:numPr>
          <w:ilvl w:val="0"/>
          <w:numId w:val="17"/>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Response Factor Approach:</w:t>
      </w:r>
      <w:r>
        <w:rPr>
          <w:rFonts w:ascii="Times New Roman" w:hAnsi="Times New Roman" w:cs="Times New Roman"/>
          <w:sz w:val="24"/>
          <w:szCs w:val="24"/>
        </w:rPr>
        <w:t> This method utilizes a response factor, calculated by dividing the analytical response by the corresponding standard concentration. A graph of relative response (response factor) versus concentration is plotted on a logarithmic scale. Linearity is established if a horizontal line can be drawn across the entire concentration range encompassing at least 95% of the plotted data points. Deviations from linearity often occur at higher concentrations, and the upper limit of linearity is defined as the concentration where the response deviates significantly from the horizontal line.</w:t>
      </w:r>
    </w:p>
    <w:p w14:paraId="2B70EFF3"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range</w:t>
      </w:r>
      <w:r>
        <w:rPr>
          <w:rFonts w:ascii="Times New Roman" w:hAnsi="Times New Roman" w:cs="Times New Roman"/>
          <w:sz w:val="24"/>
          <w:szCs w:val="24"/>
        </w:rPr>
        <w:t xml:space="preserve"> of the analytical method is the concentration interval between the lower limit of quantification (LLOQ) and the upper limit of linearity (ULOQ). Within this range, the method can produce accurate and precise quantitative results. The range is typically expressed in the same units as the concentration (e.g., ppm or %).</w:t>
      </w:r>
    </w:p>
    <w:p w14:paraId="26B20523" w14:textId="77777777" w:rsidR="001D04B0" w:rsidRDefault="001D04B0">
      <w:pPr>
        <w:spacing w:line="240" w:lineRule="auto"/>
        <w:jc w:val="both"/>
        <w:rPr>
          <w:rFonts w:ascii="Times New Roman" w:hAnsi="Times New Roman" w:cs="Times New Roman"/>
          <w:sz w:val="24"/>
          <w:szCs w:val="24"/>
        </w:rPr>
      </w:pPr>
    </w:p>
    <w:p w14:paraId="167BCA9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31FB064A" wp14:editId="062D118A">
            <wp:extent cx="6316980" cy="1941830"/>
            <wp:effectExtent l="0" t="0" r="7620" b="127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6316980" cy="1941830"/>
                    </a:xfrm>
                    <a:prstGeom prst="rect">
                      <a:avLst/>
                    </a:prstGeom>
                  </pic:spPr>
                </pic:pic>
              </a:graphicData>
            </a:graphic>
          </wp:inline>
        </w:drawing>
      </w:r>
    </w:p>
    <w:p w14:paraId="261893AC" w14:textId="77777777" w:rsidR="001D04B0" w:rsidRDefault="00000000">
      <w:pPr>
        <w:spacing w:line="240" w:lineRule="auto"/>
        <w:jc w:val="both"/>
        <w:rPr>
          <w:rFonts w:ascii="Times New Roman" w:eastAsia="Cambria Math"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 </w:t>
      </w:r>
      <w:r>
        <w:rPr>
          <w:rFonts w:ascii="Times New Roman" w:hAnsi="Times New Roman" w:cs="Times New Roman"/>
          <w:b/>
          <w:bCs/>
          <w:iCs/>
          <w:color w:val="000000" w:themeColor="text1"/>
          <w:sz w:val="24"/>
          <w:szCs w:val="24"/>
        </w:rPr>
        <w:t>3</w:t>
      </w:r>
      <w:r>
        <w:rPr>
          <w:rFonts w:ascii="Times New Roman" w:hAnsi="Times New Roman" w:cs="Times New Roman"/>
          <w:b/>
          <w:bCs/>
          <w:i/>
          <w:iCs/>
          <w:color w:val="000000" w:themeColor="text1"/>
          <w:sz w:val="24"/>
          <w:szCs w:val="24"/>
        </w:rPr>
        <w:t xml:space="preserve"> </w:t>
      </w:r>
      <w:r>
        <w:rPr>
          <w:rFonts w:ascii="Times New Roman" w:eastAsia="Cambria Math" w:hAnsi="Times New Roman" w:cs="Times New Roman"/>
          <w:b/>
          <w:bCs/>
          <w:color w:val="000000" w:themeColor="text1"/>
          <w:sz w:val="24"/>
          <w:szCs w:val="24"/>
        </w:rPr>
        <w:t>Diagrammatical Representative of Linearity</w:t>
      </w:r>
    </w:p>
    <w:p w14:paraId="17E5EE8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i/>
          <w:iCs/>
          <w:noProof/>
          <w:color w:val="000000" w:themeColor="text1"/>
          <w:sz w:val="24"/>
          <w:szCs w:val="24"/>
          <w:lang w:eastAsia="en-IN"/>
        </w:rPr>
        <w:lastRenderedPageBreak/>
        <w:drawing>
          <wp:anchor distT="0" distB="0" distL="0" distR="0" simplePos="0" relativeHeight="251656192" behindDoc="1" locked="0" layoutInCell="1" allowOverlap="1" wp14:anchorId="0A0687A5" wp14:editId="378E745F">
            <wp:simplePos x="0" y="0"/>
            <wp:positionH relativeFrom="page">
              <wp:posOffset>76200</wp:posOffset>
            </wp:positionH>
            <wp:positionV relativeFrom="paragraph">
              <wp:posOffset>294640</wp:posOffset>
            </wp:positionV>
            <wp:extent cx="6570980" cy="2133600"/>
            <wp:effectExtent l="0" t="0" r="127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6570980" cy="2133600"/>
                    </a:xfrm>
                    <a:prstGeom prst="rect">
                      <a:avLst/>
                    </a:prstGeom>
                  </pic:spPr>
                </pic:pic>
              </a:graphicData>
            </a:graphic>
          </wp:anchor>
        </w:drawing>
      </w:r>
    </w:p>
    <w:p w14:paraId="6AFC57A1" w14:textId="77777777" w:rsidR="001D04B0" w:rsidRDefault="001D04B0">
      <w:pPr>
        <w:pStyle w:val="Caption"/>
        <w:jc w:val="center"/>
        <w:rPr>
          <w:rFonts w:ascii="Times New Roman" w:eastAsia="Cambria Math" w:hAnsi="Times New Roman" w:cs="Times New Roman"/>
          <w:b/>
          <w:bCs/>
          <w:i w:val="0"/>
          <w:iCs w:val="0"/>
          <w:color w:val="auto"/>
          <w:sz w:val="24"/>
          <w:szCs w:val="24"/>
        </w:rPr>
      </w:pPr>
    </w:p>
    <w:p w14:paraId="6DBAAA3B" w14:textId="77777777" w:rsidR="001D04B0" w:rsidRDefault="00000000">
      <w:pPr>
        <w:pStyle w:val="Caption"/>
        <w:jc w:val="both"/>
        <w:rPr>
          <w:rFonts w:ascii="Times New Roman" w:eastAsia="Cambria Math" w:hAnsi="Times New Roman" w:cs="Times New Roman"/>
          <w:b/>
          <w:bCs/>
          <w:i w:val="0"/>
          <w:iCs w:val="0"/>
          <w:color w:val="auto"/>
          <w:sz w:val="24"/>
          <w:szCs w:val="24"/>
        </w:rPr>
      </w:pPr>
      <w:r>
        <w:rPr>
          <w:rFonts w:ascii="Times New Roman" w:eastAsia="Cambria Math" w:hAnsi="Times New Roman" w:cs="Times New Roman"/>
          <w:b/>
          <w:bCs/>
          <w:i w:val="0"/>
          <w:iCs w:val="0"/>
          <w:color w:val="auto"/>
          <w:sz w:val="24"/>
          <w:szCs w:val="24"/>
        </w:rPr>
        <w:t>Figure 4 -Diagrammatical Representation of Range</w:t>
      </w:r>
    </w:p>
    <w:p w14:paraId="2D218542"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Reproducibility and Precision</w:t>
      </w:r>
    </w:p>
    <w:p w14:paraId="7A01F723"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Reproducibility and precision</w:t>
      </w:r>
      <w:r>
        <w:rPr>
          <w:rFonts w:ascii="Times New Roman" w:hAnsi="Times New Roman" w:cs="Times New Roman"/>
          <w:sz w:val="24"/>
          <w:szCs w:val="24"/>
        </w:rPr>
        <w:t xml:space="preserve"> are critical parameters evaluated during analytical method validation. They assess the method's ability to generate consistent and reliable test results.</w:t>
      </w:r>
    </w:p>
    <w:p w14:paraId="3872E277" w14:textId="77777777" w:rsidR="001D04B0" w:rsidRDefault="00000000">
      <w:pPr>
        <w:numPr>
          <w:ilvl w:val="0"/>
          <w:numId w:val="18"/>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Reproducibility:</w:t>
      </w:r>
      <w:r>
        <w:rPr>
          <w:rFonts w:ascii="Times New Roman" w:hAnsi="Times New Roman" w:cs="Times New Roman"/>
          <w:sz w:val="24"/>
          <w:szCs w:val="24"/>
        </w:rPr>
        <w:t xml:space="preserve"> This term refers to the method's ability to produce similar results when the analysis is performed under </w:t>
      </w:r>
      <w:r>
        <w:rPr>
          <w:rFonts w:ascii="Times New Roman" w:hAnsi="Times New Roman" w:cs="Times New Roman"/>
          <w:b/>
          <w:bCs/>
          <w:sz w:val="24"/>
          <w:szCs w:val="24"/>
        </w:rPr>
        <w:t>varying conditions</w:t>
      </w:r>
      <w:r>
        <w:rPr>
          <w:rFonts w:ascii="Times New Roman" w:hAnsi="Times New Roman" w:cs="Times New Roman"/>
          <w:sz w:val="24"/>
          <w:szCs w:val="24"/>
        </w:rPr>
        <w:t>. These variations could include different laboratories, analysts, instruments, or even days. A method exhibiting good reproducibility is suitable for implementation across different analytical settings.</w:t>
      </w:r>
    </w:p>
    <w:p w14:paraId="2A66C6AC" w14:textId="77777777" w:rsidR="001D04B0" w:rsidRDefault="00000000">
      <w:pPr>
        <w:numPr>
          <w:ilvl w:val="0"/>
          <w:numId w:val="18"/>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Repeatability:</w:t>
      </w:r>
      <w:r>
        <w:rPr>
          <w:rFonts w:ascii="Times New Roman" w:hAnsi="Times New Roman" w:cs="Times New Roman"/>
          <w:sz w:val="24"/>
          <w:szCs w:val="24"/>
        </w:rPr>
        <w:t xml:space="preserve"> This concept focuses on the method's consistency when the analysis is conducted under </w:t>
      </w:r>
      <w:r>
        <w:rPr>
          <w:rFonts w:ascii="Times New Roman" w:hAnsi="Times New Roman" w:cs="Times New Roman"/>
          <w:b/>
          <w:bCs/>
          <w:sz w:val="24"/>
          <w:szCs w:val="24"/>
        </w:rPr>
        <w:t>identical conditions</w:t>
      </w:r>
      <w:r>
        <w:rPr>
          <w:rFonts w:ascii="Times New Roman" w:hAnsi="Times New Roman" w:cs="Times New Roman"/>
          <w:sz w:val="24"/>
          <w:szCs w:val="24"/>
        </w:rPr>
        <w:t>. Ideally, the same analyst uses the same instrument and reagents within a short time frame to analyze replicate samples. High repeatability indicates that the method produces consistent results within a single laboratory.</w:t>
      </w:r>
    </w:p>
    <w:p w14:paraId="43E08D5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Expressing Reproducibility and Precision:</w:t>
      </w:r>
      <w:r>
        <w:rPr>
          <w:rFonts w:ascii="Times New Roman" w:hAnsi="Times New Roman" w:cs="Times New Roman"/>
          <w:sz w:val="24"/>
          <w:szCs w:val="24"/>
        </w:rPr>
        <w:t xml:space="preserve"> Relative </w:t>
      </w:r>
      <w:r>
        <w:rPr>
          <w:rFonts w:ascii="Times New Roman" w:hAnsi="Times New Roman" w:cs="Times New Roman"/>
          <w:b/>
          <w:bCs/>
          <w:sz w:val="24"/>
          <w:szCs w:val="24"/>
        </w:rPr>
        <w:t>Validation Procedures for Reproducibility and Repeatability:</w:t>
      </w:r>
    </w:p>
    <w:p w14:paraId="189B7982" w14:textId="77777777" w:rsidR="001D04B0" w:rsidRDefault="00000000">
      <w:pPr>
        <w:numPr>
          <w:ilvl w:val="0"/>
          <w:numId w:val="19"/>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Repeatability:</w:t>
      </w:r>
      <w:r>
        <w:rPr>
          <w:rFonts w:ascii="Times New Roman" w:hAnsi="Times New Roman" w:cs="Times New Roman"/>
          <w:sz w:val="24"/>
          <w:szCs w:val="24"/>
        </w:rPr>
        <w:t> At least three concentration levels within the analytical range are chosen. For each level, a minimum of six replicate analyses are performed. The RSD is calculated for each concentration level to assess repeatability.</w:t>
      </w:r>
    </w:p>
    <w:p w14:paraId="1F913277" w14:textId="77777777" w:rsidR="001D04B0" w:rsidRDefault="00000000">
      <w:pPr>
        <w:numPr>
          <w:ilvl w:val="0"/>
          <w:numId w:val="19"/>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Reproducibility:</w:t>
      </w:r>
      <w:r>
        <w:rPr>
          <w:rFonts w:ascii="Times New Roman" w:hAnsi="Times New Roman" w:cs="Times New Roman"/>
          <w:sz w:val="24"/>
          <w:szCs w:val="24"/>
        </w:rPr>
        <w:t> This evaluation may involve inter-laboratory studies where the same sample is analyzed by different laboratories. Alternatively, studies can be designed within a single laboratory using different analysts, instruments, or days. The RSD is calculated to evaluate the method's reproducibility across varying conditions.</w:t>
      </w:r>
    </w:p>
    <w:p w14:paraId="2049C896"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 and Recovery</w:t>
      </w:r>
    </w:p>
    <w:p w14:paraId="49A0F5A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Accuracy</w:t>
      </w:r>
      <w:r>
        <w:rPr>
          <w:rFonts w:ascii="Times New Roman" w:hAnsi="Times New Roman" w:cs="Times New Roman"/>
          <w:sz w:val="24"/>
          <w:szCs w:val="24"/>
        </w:rPr>
        <w:t xml:space="preserve"> refers to the closeness of the analytical results to the true value of the analyte in the sample. Ideally, the method should produce results that are statistically indistinguishable from the actual concentration present.</w:t>
      </w:r>
    </w:p>
    <w:p w14:paraId="3EFD461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Recovery Studies:</w:t>
      </w:r>
      <w:r>
        <w:rPr>
          <w:rFonts w:ascii="Times New Roman" w:hAnsi="Times New Roman" w:cs="Times New Roman"/>
          <w:sz w:val="24"/>
          <w:szCs w:val="24"/>
        </w:rPr>
        <w:t xml:space="preserve"> Recovery studies are performed to assess the accuracy of the analytical method. This typically involves spiking a known amount of the analyte (standard) into a sample matrix (e.g., placebo or blank sample). The spiked sample is then analyzed using the validated method. The percent recovery is calculated by comparing the measured concentration of the analyte in the spiked sample to the amount of standard added.</w:t>
      </w:r>
    </w:p>
    <w:p w14:paraId="15759C5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Recovery studies are often performed at different concentration levels within the analytical range to ensure consistent accuracy across the entire working range of the method. Spiking can be done in two ways:</w:t>
      </w:r>
    </w:p>
    <w:p w14:paraId="5BFBAF36" w14:textId="77777777" w:rsidR="001D04B0" w:rsidRDefault="00000000">
      <w:pPr>
        <w:numPr>
          <w:ilvl w:val="0"/>
          <w:numId w:val="20"/>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Spiking the Sample with Standard:</w:t>
      </w:r>
      <w:r>
        <w:rPr>
          <w:rFonts w:ascii="Times New Roman" w:hAnsi="Times New Roman" w:cs="Times New Roman"/>
          <w:sz w:val="24"/>
          <w:szCs w:val="24"/>
        </w:rPr>
        <w:t> This approach is used when a placebo matrix is not readily available.</w:t>
      </w:r>
    </w:p>
    <w:p w14:paraId="617DA340" w14:textId="77777777" w:rsidR="001D04B0" w:rsidRDefault="00000000">
      <w:pPr>
        <w:numPr>
          <w:ilvl w:val="0"/>
          <w:numId w:val="20"/>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Spiking the Placebo with Standard:</w:t>
      </w:r>
      <w:r>
        <w:rPr>
          <w:rFonts w:ascii="Times New Roman" w:hAnsi="Times New Roman" w:cs="Times New Roman"/>
          <w:sz w:val="24"/>
          <w:szCs w:val="24"/>
        </w:rPr>
        <w:t xml:space="preserve"> This is the preferred method as it better reflects the performance of the </w:t>
      </w:r>
    </w:p>
    <w:p w14:paraId="2BECB906" w14:textId="77777777" w:rsidR="001D04B0" w:rsidRDefault="001D04B0">
      <w:pPr>
        <w:numPr>
          <w:ilvl w:val="0"/>
          <w:numId w:val="20"/>
        </w:numPr>
        <w:spacing w:line="240" w:lineRule="auto"/>
        <w:jc w:val="both"/>
        <w:rPr>
          <w:rFonts w:ascii="Times New Roman" w:hAnsi="Times New Roman" w:cs="Times New Roman"/>
          <w:sz w:val="24"/>
          <w:szCs w:val="24"/>
        </w:rPr>
      </w:pPr>
    </w:p>
    <w:p w14:paraId="3382EECD" w14:textId="77777777" w:rsidR="001D04B0" w:rsidRDefault="00000000">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analytical procedure in the actual sample matrix.</w:t>
      </w:r>
    </w:p>
    <w:p w14:paraId="410FFD3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Common spiking levels used in recovery studies include 50%, 100%, and 150% of the target concentration or 80%, 100%, and 120% of the target concentration.</w:t>
      </w:r>
    </w:p>
    <w:p w14:paraId="1D7249E1"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Limit of Detection (LOD) and Limit of Quantification (LOQ)</w:t>
      </w:r>
    </w:p>
    <w:p w14:paraId="4488EBDE"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LOD and LOQ</w:t>
      </w:r>
      <w:r>
        <w:rPr>
          <w:rFonts w:ascii="Times New Roman" w:hAnsi="Times New Roman" w:cs="Times New Roman"/>
          <w:sz w:val="24"/>
          <w:szCs w:val="24"/>
        </w:rPr>
        <w:t xml:space="preserve"> are crucial parameters that define the analytical method's sensitivity. They establish the lowest concentration levels at which the analyte can be reliably detected and quantified, respectively.</w:t>
      </w:r>
    </w:p>
    <w:p w14:paraId="53CD8727" w14:textId="77777777" w:rsidR="001D04B0" w:rsidRDefault="00000000">
      <w:pPr>
        <w:numPr>
          <w:ilvl w:val="0"/>
          <w:numId w:val="21"/>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Limit of Detection (LOD):</w:t>
      </w:r>
      <w:r>
        <w:rPr>
          <w:rFonts w:ascii="Times New Roman" w:hAnsi="Times New Roman" w:cs="Times New Roman"/>
          <w:sz w:val="24"/>
          <w:szCs w:val="24"/>
        </w:rPr>
        <w:t xml:space="preserve"> This is the lowest concentration of the analyte that can be </w:t>
      </w:r>
      <w:r>
        <w:rPr>
          <w:rFonts w:ascii="Times New Roman" w:hAnsi="Times New Roman" w:cs="Times New Roman"/>
          <w:b/>
          <w:bCs/>
          <w:sz w:val="24"/>
          <w:szCs w:val="24"/>
        </w:rPr>
        <w:t>identified</w:t>
      </w:r>
      <w:r>
        <w:rPr>
          <w:rFonts w:ascii="Times New Roman" w:hAnsi="Times New Roman" w:cs="Times New Roman"/>
          <w:sz w:val="24"/>
          <w:szCs w:val="24"/>
        </w:rPr>
        <w:t xml:space="preserve"> with a certain degree of confidence in the presence of background noise. While the analyte may be detected at the LOD, quantification might not be reliable due to low signal-to-noise ratio.</w:t>
      </w:r>
    </w:p>
    <w:p w14:paraId="0EC6C567" w14:textId="77777777" w:rsidR="001D04B0" w:rsidRDefault="00000000">
      <w:pPr>
        <w:numPr>
          <w:ilvl w:val="0"/>
          <w:numId w:val="21"/>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Limit of Quantification (LOQ):</w:t>
      </w:r>
      <w:r>
        <w:rPr>
          <w:rFonts w:ascii="Times New Roman" w:hAnsi="Times New Roman" w:cs="Times New Roman"/>
          <w:sz w:val="24"/>
          <w:szCs w:val="24"/>
        </w:rPr>
        <w:t xml:space="preserve"> This is the lowest concentration of the analyte that can be </w:t>
      </w:r>
      <w:r>
        <w:rPr>
          <w:rFonts w:ascii="Times New Roman" w:hAnsi="Times New Roman" w:cs="Times New Roman"/>
          <w:b/>
          <w:bCs/>
          <w:sz w:val="24"/>
          <w:szCs w:val="24"/>
        </w:rPr>
        <w:t>quantified</w:t>
      </w:r>
      <w:r>
        <w:rPr>
          <w:rFonts w:ascii="Times New Roman" w:hAnsi="Times New Roman" w:cs="Times New Roman"/>
          <w:sz w:val="24"/>
          <w:szCs w:val="24"/>
        </w:rPr>
        <w:t xml:space="preserve"> with acceptable accuracy and precision. At the LOQ, the signal-to-noise ratio is sufficient to ensure reliable quantification of the analyte.</w:t>
      </w:r>
    </w:p>
    <w:p w14:paraId="7A8FB8E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Sensitivity Distinction:</w:t>
      </w:r>
      <w:r>
        <w:rPr>
          <w:rFonts w:ascii="Times New Roman" w:hAnsi="Times New Roman" w:cs="Times New Roman"/>
          <w:sz w:val="24"/>
          <w:szCs w:val="24"/>
        </w:rPr>
        <w:t xml:space="preserve"> It's important to differentiate between LOD and sensitivity. Sensitivity refers to the method's ability to distinguish between small differences in concentration. A steeper slope of the calibration curve generally indicates higher sensitivity. However, a highly sensitive method may not necessarily have a low LOD or LOQ.</w:t>
      </w:r>
    </w:p>
    <w:p w14:paraId="76B5C132" w14:textId="77777777" w:rsidR="001D04B0" w:rsidRDefault="001D04B0">
      <w:pPr>
        <w:tabs>
          <w:tab w:val="left" w:pos="993"/>
        </w:tabs>
        <w:spacing w:before="130" w:line="240" w:lineRule="auto"/>
        <w:ind w:right="-51"/>
        <w:jc w:val="both"/>
        <w:rPr>
          <w:rFonts w:ascii="Times New Roman" w:eastAsia="Cambria Math" w:hAnsi="Times New Roman" w:cs="Times New Roman"/>
          <w:sz w:val="24"/>
          <w:szCs w:val="24"/>
        </w:rPr>
      </w:pPr>
    </w:p>
    <w:p w14:paraId="35C1936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F133986" wp14:editId="4F92C1CA">
            <wp:extent cx="6374130" cy="1824990"/>
            <wp:effectExtent l="0" t="0" r="7620" b="381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5" cstate="print"/>
                    <a:stretch>
                      <a:fillRect/>
                    </a:stretch>
                  </pic:blipFill>
                  <pic:spPr>
                    <a:xfrm>
                      <a:off x="0" y="0"/>
                      <a:ext cx="6374130" cy="1824990"/>
                    </a:xfrm>
                    <a:prstGeom prst="rect">
                      <a:avLst/>
                    </a:prstGeom>
                  </pic:spPr>
                </pic:pic>
              </a:graphicData>
            </a:graphic>
          </wp:inline>
        </w:drawing>
      </w:r>
    </w:p>
    <w:p w14:paraId="5E41849A" w14:textId="77777777" w:rsidR="001D04B0" w:rsidRDefault="00000000">
      <w:pPr>
        <w:tabs>
          <w:tab w:val="left" w:pos="993"/>
        </w:tabs>
        <w:spacing w:before="130" w:line="240" w:lineRule="auto"/>
        <w:ind w:right="-51"/>
        <w:jc w:val="both"/>
        <w:rPr>
          <w:rFonts w:ascii="Times New Roman" w:eastAsia="Cambria Math" w:hAnsi="Times New Roman" w:cs="Times New Roman"/>
          <w:b/>
          <w:bCs/>
          <w:sz w:val="24"/>
          <w:szCs w:val="24"/>
        </w:rPr>
      </w:pPr>
      <w:r>
        <w:rPr>
          <w:rFonts w:ascii="Times New Roman" w:eastAsia="Cambria Math" w:hAnsi="Times New Roman" w:cs="Times New Roman"/>
          <w:b/>
          <w:bCs/>
          <w:sz w:val="24"/>
          <w:szCs w:val="24"/>
        </w:rPr>
        <w:t>Figure 5-General representation of LOD and LOQ</w:t>
      </w:r>
    </w:p>
    <w:p w14:paraId="1288F72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Alternative Methods for Determining Limit of Detection (LOD) Besides Signal-to-Noise Ratio</w:t>
      </w:r>
    </w:p>
    <w:p w14:paraId="2B7DE8D6"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While signal-to-noise ratio (S/N) is a common method for estimating LOD, other approaches can be valuable in specific scenarios. Here's a breakdown of some alternative methods:</w:t>
      </w:r>
    </w:p>
    <w:p w14:paraId="185A1B8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 Visual Determination:</w:t>
      </w:r>
    </w:p>
    <w:p w14:paraId="53DEF65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This method involves manually injecting progressively lower concentrations of the analyte until a peak can just be distinguished from the background noise. The lowest concentration visually detectable, but not quantifiable, is considered the LOD. While subjective and potentially less precise than other methods, visual determination can be a useful starting point for LOD estimation.</w:t>
      </w:r>
    </w:p>
    <w:p w14:paraId="2B9C46F6"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2. Standard Deviation of the Blank (Sdb):</w:t>
      </w:r>
    </w:p>
    <w:p w14:paraId="255B146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This approach statistically defines the LOD. A series of blank samples (samples with no analyte) are analysed, and the standard deviation (Sdb) of the blank response is calculated. The LOD is then determined by multiplying a factor (typically 3 or 3.3) by Sdb. This factor accounts for the inherent variability in the blank response. This method provides an objective measure of LOD based on the method's inherent noise level.</w:t>
      </w:r>
    </w:p>
    <w:p w14:paraId="322B50E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3. Calibration Curve-Based Methods:</w:t>
      </w:r>
    </w:p>
    <w:p w14:paraId="42CB3CF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Mathematical equations can be employed to estimate LOD using data from the calibration curve. These equations often rely on the standard deviation of the response (Sy) and the slope (S) of the calibration curve. The specific formula used may vary depending on the chosen approach. This method offers a more statistically robust estimation of LOD compared to visual determination.</w:t>
      </w:r>
    </w:p>
    <w:p w14:paraId="09EF303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4C2142D1" wp14:editId="330D1D00">
            <wp:extent cx="6908800" cy="1590675"/>
            <wp:effectExtent l="0" t="0" r="6350" b="9525"/>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6908800" cy="1590675"/>
                    </a:xfrm>
                    <a:prstGeom prst="rect">
                      <a:avLst/>
                    </a:prstGeom>
                  </pic:spPr>
                </pic:pic>
              </a:graphicData>
            </a:graphic>
          </wp:inline>
        </w:drawing>
      </w:r>
    </w:p>
    <w:p w14:paraId="38198F50" w14:textId="77777777" w:rsidR="001D04B0" w:rsidRDefault="00000000">
      <w:pPr>
        <w:tabs>
          <w:tab w:val="left" w:pos="993"/>
        </w:tabs>
        <w:spacing w:before="130" w:line="240" w:lineRule="auto"/>
        <w:ind w:right="-51"/>
        <w:jc w:val="both"/>
        <w:rPr>
          <w:rFonts w:ascii="Times New Roman" w:eastAsia="Cambria Math" w:hAnsi="Times New Roman" w:cs="Times New Roman"/>
          <w:b/>
          <w:bCs/>
          <w:sz w:val="24"/>
          <w:szCs w:val="24"/>
        </w:rPr>
      </w:pPr>
      <w:r>
        <w:rPr>
          <w:rFonts w:ascii="Times New Roman" w:eastAsia="Cambria Math" w:hAnsi="Times New Roman" w:cs="Times New Roman"/>
          <w:b/>
          <w:bCs/>
          <w:sz w:val="24"/>
          <w:szCs w:val="24"/>
        </w:rPr>
        <w:t>Figure 6-Regression line method for determination of LOD and LOQ</w:t>
      </w:r>
    </w:p>
    <w:p w14:paraId="479BC807"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Ruggedness</w:t>
      </w:r>
    </w:p>
    <w:p w14:paraId="3E5597D3"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Ruggedness</w:t>
      </w:r>
      <w:r>
        <w:rPr>
          <w:rFonts w:ascii="Times New Roman" w:hAnsi="Times New Roman" w:cs="Times New Roman"/>
          <w:sz w:val="24"/>
          <w:szCs w:val="24"/>
        </w:rPr>
        <w:t xml:space="preserve">, although not explicitly defined in regulatory guidelines, is conceptually similar to reproducibility. It refers to the method's ability to produce consistent and reliable results under </w:t>
      </w:r>
      <w:r>
        <w:rPr>
          <w:rFonts w:ascii="Times New Roman" w:hAnsi="Times New Roman" w:cs="Times New Roman"/>
          <w:b/>
          <w:bCs/>
          <w:sz w:val="24"/>
          <w:szCs w:val="24"/>
        </w:rPr>
        <w:t>normal variations</w:t>
      </w:r>
      <w:r>
        <w:rPr>
          <w:rFonts w:ascii="Times New Roman" w:hAnsi="Times New Roman" w:cs="Times New Roman"/>
          <w:sz w:val="24"/>
          <w:szCs w:val="24"/>
        </w:rPr>
        <w:t xml:space="preserve"> in operating conditions. These variations might encompass different analysts, laboratories, instruments, or even environmental conditions. A rugged method demonstrates consistent performance within the expected range of operational variability encountered in routine analysis.</w:t>
      </w:r>
    </w:p>
    <w:p w14:paraId="74AE46F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Evaluation of Ruggedness:</w:t>
      </w:r>
    </w:p>
    <w:p w14:paraId="5CE5D00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Ruggedness studies assess the method's reproducibility when used by different analysts within a single laboratory or across different laboratories. Homogeneous sample aliquots are analyzed under varying conditions, and the degree of response variation is statistically evaluated using tests like t-tests.</w:t>
      </w:r>
    </w:p>
    <w:p w14:paraId="776B0D22"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Robustness</w:t>
      </w:r>
    </w:p>
    <w:p w14:paraId="60E3DB1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Robustness</w:t>
      </w:r>
      <w:r>
        <w:rPr>
          <w:rFonts w:ascii="Times New Roman" w:hAnsi="Times New Roman" w:cs="Times New Roman"/>
          <w:sz w:val="24"/>
          <w:szCs w:val="24"/>
        </w:rPr>
        <w:t xml:space="preserve"> reflects the method's ability to withstand minor, deliberate changes in the analytical procedure without significantly affecting the results. These changes should remain within a defined and realistic range encountered during routine analysis. The impact of these variations on the analytical response is measured to assess robustness.</w:t>
      </w:r>
    </w:p>
    <w:p w14:paraId="205815F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Performing Robustness Studies:</w:t>
      </w:r>
    </w:p>
    <w:p w14:paraId="6E50333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Robustness studies are conducted to determine if minor changes in operational parameters necessitate method revalidation. Examples of parameters that can be investigated include:</w:t>
      </w:r>
    </w:p>
    <w:p w14:paraId="15C9E0E9" w14:textId="77777777" w:rsidR="001D04B0" w:rsidRDefault="00000000">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Flow rate of the mobile phase</w:t>
      </w:r>
    </w:p>
    <w:p w14:paraId="7CC5FDF8" w14:textId="77777777" w:rsidR="001D04B0" w:rsidRDefault="00000000">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Mobile phase composition</w:t>
      </w:r>
    </w:p>
    <w:p w14:paraId="52ACFD31" w14:textId="77777777" w:rsidR="001D04B0" w:rsidRDefault="00000000">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pH of the mobile phase</w:t>
      </w:r>
    </w:p>
    <w:p w14:paraId="517A226E" w14:textId="77777777" w:rsidR="001D04B0" w:rsidRDefault="00000000">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Detection wavelength</w:t>
      </w:r>
    </w:p>
    <w:p w14:paraId="5587C9C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magnitude of these changes should be within a defined range, such as 2-5% of the original value.</w:t>
      </w:r>
    </w:p>
    <w:p w14:paraId="5555904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Through robustness studies, critical method parameters that significantly influence the analytical response can be identified. These critical parameters should be documented and controlled to ensure consistent performance. It's important to note that robustness studies are not mandatory for regulatory submissions, but they provide valuable information for optimizing and maintaining method performance.</w:t>
      </w:r>
    </w:p>
    <w:p w14:paraId="4E8C75E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Solvent Stability</w:t>
      </w:r>
    </w:p>
    <w:p w14:paraId="7D9388F6"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Solvent stability</w:t>
      </w:r>
      <w:r>
        <w:rPr>
          <w:rFonts w:ascii="Times New Roman" w:hAnsi="Times New Roman" w:cs="Times New Roman"/>
          <w:sz w:val="24"/>
          <w:szCs w:val="24"/>
        </w:rPr>
        <w:t xml:space="preserve"> is crucial for ensuring the integrity of analytes during sample preparation, storage, and analysis. Certain molecules are susceptible to degradation in solution, leading to inaccurate analytical results. It's essential to evaluate the stability of both the analyte standard and the sample matrix under various conditions, such as:</w:t>
      </w:r>
    </w:p>
    <w:p w14:paraId="1FFA3D1B" w14:textId="77777777" w:rsidR="001D04B0" w:rsidRDefault="00000000">
      <w:pPr>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Sample preparation procedures</w:t>
      </w:r>
    </w:p>
    <w:p w14:paraId="5E06F279" w14:textId="77777777" w:rsidR="001D04B0" w:rsidRDefault="00000000">
      <w:pPr>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Solvent extraction methods</w:t>
      </w:r>
    </w:p>
    <w:p w14:paraId="4B90F89A" w14:textId="77777777" w:rsidR="001D04B0" w:rsidRDefault="001D04B0">
      <w:pPr>
        <w:spacing w:line="240" w:lineRule="auto"/>
        <w:ind w:left="360"/>
        <w:jc w:val="both"/>
        <w:rPr>
          <w:rFonts w:ascii="Times New Roman" w:hAnsi="Times New Roman" w:cs="Times New Roman"/>
          <w:sz w:val="24"/>
          <w:szCs w:val="24"/>
        </w:rPr>
      </w:pPr>
    </w:p>
    <w:p w14:paraId="139E1453" w14:textId="77777777" w:rsidR="001D04B0" w:rsidRDefault="001D04B0">
      <w:pPr>
        <w:spacing w:line="240" w:lineRule="auto"/>
        <w:ind w:left="360"/>
        <w:jc w:val="both"/>
        <w:rPr>
          <w:rFonts w:ascii="Times New Roman" w:hAnsi="Times New Roman" w:cs="Times New Roman"/>
          <w:sz w:val="24"/>
          <w:szCs w:val="24"/>
        </w:rPr>
      </w:pPr>
    </w:p>
    <w:p w14:paraId="327E689A" w14:textId="77777777" w:rsidR="001D04B0" w:rsidRDefault="00000000">
      <w:pPr>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Sample storage conditions (e.g., automatic samplers, refrigerators)</w:t>
      </w:r>
    </w:p>
    <w:p w14:paraId="367FBB7B" w14:textId="77777777" w:rsidR="001D04B0" w:rsidRDefault="001D04B0">
      <w:pPr>
        <w:spacing w:line="240" w:lineRule="auto"/>
        <w:jc w:val="both"/>
        <w:rPr>
          <w:rFonts w:ascii="Times New Roman" w:hAnsi="Times New Roman" w:cs="Times New Roman"/>
          <w:b/>
          <w:bCs/>
          <w:sz w:val="24"/>
          <w:szCs w:val="24"/>
        </w:rPr>
      </w:pPr>
    </w:p>
    <w:p w14:paraId="5D4827D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Evaluating Solvent Stability:</w:t>
      </w:r>
    </w:p>
    <w:p w14:paraId="342E1C62"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Stability studies involve analyzing replicate aliquots of the standard and sample at defined time intervals, typically over 48 hours. The relative standard deviation (RSD) of the analytical response obtained at different time points is calculated. The RSD should not exceed a predefined threshold (e.g., 20%), indicating acceptable stability within the specified timeframe.</w:t>
      </w:r>
    </w:p>
    <w:p w14:paraId="68039FEF"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Data Elements for Analytical Method Validation</w:t>
      </w:r>
    </w:p>
    <w:p w14:paraId="6E1B86D6"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selection of validation parameters for an analytical method used in pharmaceutical analysis depends on the intended purpose of the method. The following classification system can guide the selection of appropriate validation parameters:</w:t>
      </w:r>
    </w:p>
    <w:p w14:paraId="3110B8F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 1:</w:t>
      </w:r>
    </w:p>
    <w:p w14:paraId="699524C3" w14:textId="77777777" w:rsidR="001D04B0" w:rsidRDefault="00000000">
      <w:pPr>
        <w:numPr>
          <w:ilvl w:val="0"/>
          <w:numId w:val="24"/>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Compendial Methods:</w:t>
      </w:r>
      <w:r>
        <w:rPr>
          <w:rFonts w:ascii="Times New Roman" w:hAnsi="Times New Roman" w:cs="Times New Roman"/>
          <w:sz w:val="24"/>
          <w:szCs w:val="24"/>
        </w:rPr>
        <w:t> These methods are typically included in official pharmacopoeias and are used for the quantitative determination of the active pharmaceutical ingredient (API) in a finished dosage form, along with major excipients or preservatives.</w:t>
      </w:r>
    </w:p>
    <w:p w14:paraId="19B033C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 2:</w:t>
      </w:r>
    </w:p>
    <w:p w14:paraId="17BFBC41" w14:textId="77777777" w:rsidR="001D04B0" w:rsidRDefault="00000000">
      <w:pPr>
        <w:numPr>
          <w:ilvl w:val="0"/>
          <w:numId w:val="25"/>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Impurity Profiling and Degradation Products:</w:t>
      </w:r>
      <w:r>
        <w:rPr>
          <w:rFonts w:ascii="Times New Roman" w:hAnsi="Times New Roman" w:cs="Times New Roman"/>
          <w:sz w:val="24"/>
          <w:szCs w:val="24"/>
        </w:rPr>
        <w:t> Methods in this category quantify impurities present in the API or finished product matrix, or they assess the formation of degradation products over time.</w:t>
      </w:r>
    </w:p>
    <w:p w14:paraId="31A5C45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 3:</w:t>
      </w:r>
    </w:p>
    <w:p w14:paraId="3F6AC07C" w14:textId="77777777" w:rsidR="001D04B0" w:rsidRDefault="00000000">
      <w:pPr>
        <w:numPr>
          <w:ilvl w:val="0"/>
          <w:numId w:val="2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Performance Testing Methods:</w:t>
      </w:r>
      <w:r>
        <w:rPr>
          <w:rFonts w:ascii="Times New Roman" w:hAnsi="Times New Roman" w:cs="Times New Roman"/>
          <w:sz w:val="24"/>
          <w:szCs w:val="24"/>
        </w:rPr>
        <w:t> These methods evaluate the performance of drug delivery systems, such as dissolution testing to assess drug release from a dosage form.</w:t>
      </w:r>
    </w:p>
    <w:p w14:paraId="7D671E53"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 4:</w:t>
      </w:r>
    </w:p>
    <w:p w14:paraId="780348B7" w14:textId="77777777" w:rsidR="001D04B0" w:rsidRDefault="00000000">
      <w:pPr>
        <w:numPr>
          <w:ilvl w:val="0"/>
          <w:numId w:val="27"/>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Identification Tests:</w:t>
      </w:r>
      <w:r>
        <w:rPr>
          <w:rFonts w:ascii="Times New Roman" w:hAnsi="Times New Roman" w:cs="Times New Roman"/>
          <w:sz w:val="24"/>
          <w:szCs w:val="24"/>
        </w:rPr>
        <w:t> These qualitative methods confirm the presence of the API and distinguish it from potential impurities or excipients.</w:t>
      </w:r>
    </w:p>
    <w:p w14:paraId="31098A5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selection of validation parameters for a specific method should be based on this classification system, ensuring a targeted and efficient validaton process.</w:t>
      </w:r>
    </w:p>
    <w:p w14:paraId="560D212B" w14:textId="77777777" w:rsidR="001D04B0" w:rsidRDefault="001D04B0">
      <w:pPr>
        <w:spacing w:line="240" w:lineRule="auto"/>
        <w:jc w:val="both"/>
        <w:rPr>
          <w:rFonts w:ascii="Times New Roman" w:hAnsi="Times New Roman" w:cs="Times New Roman"/>
          <w:sz w:val="24"/>
          <w:szCs w:val="24"/>
        </w:rPr>
      </w:pPr>
    </w:p>
    <w:p w14:paraId="50BE483C"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8"/>
          <w:szCs w:val="28"/>
        </w:rPr>
        <w:t>INTRODUCTION TO DRUG PROFILE</w:t>
      </w:r>
    </w:p>
    <w:p w14:paraId="2EE608EE"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Drug Profile for Dapagliflozin Propanediol Monohydrate </w:t>
      </w:r>
      <w:r>
        <w:rPr>
          <w:rFonts w:ascii="Times New Roman" w:hAnsi="Times New Roman" w:cs="Times New Roman"/>
          <w:b/>
          <w:bCs/>
          <w:sz w:val="24"/>
          <w:szCs w:val="24"/>
          <w:vertAlign w:val="superscript"/>
        </w:rPr>
        <w:t>[11]</w:t>
      </w:r>
    </w:p>
    <w:p w14:paraId="49F151DA" w14:textId="77777777" w:rsidR="001D04B0" w:rsidRDefault="00000000">
      <w:pPr>
        <w:spacing w:line="240" w:lineRule="auto"/>
        <w:jc w:val="both"/>
        <w:rPr>
          <w:rFonts w:ascii="Times New Roman" w:eastAsia="Cambria Math" w:hAnsi="Times New Roman" w:cs="Times New Roman"/>
          <w:b/>
          <w:bCs/>
          <w:sz w:val="24"/>
          <w:szCs w:val="24"/>
        </w:rPr>
      </w:pPr>
      <w:r>
        <w:rPr>
          <w:rFonts w:ascii="Times New Roman" w:hAnsi="Times New Roman" w:cs="Times New Roman"/>
          <w:b/>
          <w:bCs/>
          <w:sz w:val="24"/>
          <w:szCs w:val="24"/>
        </w:rPr>
        <w:t xml:space="preserve">Table 3- </w:t>
      </w:r>
      <w:r>
        <w:rPr>
          <w:rFonts w:ascii="Times New Roman" w:eastAsia="Cambria Math" w:hAnsi="Times New Roman" w:cs="Times New Roman"/>
          <w:b/>
          <w:bCs/>
          <w:sz w:val="24"/>
          <w:szCs w:val="24"/>
        </w:rPr>
        <w:t>Drug Profile of Dapagliflozin Propanediol Monohydrate</w:t>
      </w:r>
    </w:p>
    <w:tbl>
      <w:tblPr>
        <w:tblpPr w:leftFromText="180" w:rightFromText="180" w:vertAnchor="text" w:tblpY="1"/>
        <w:tblOverlap w:val="never"/>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9"/>
        <w:gridCol w:w="28"/>
        <w:gridCol w:w="8460"/>
      </w:tblGrid>
      <w:tr w:rsidR="001D04B0" w14:paraId="60B26AED" w14:textId="77777777">
        <w:trPr>
          <w:trHeight w:val="412"/>
        </w:trPr>
        <w:tc>
          <w:tcPr>
            <w:tcW w:w="10877" w:type="dxa"/>
            <w:gridSpan w:val="3"/>
          </w:tcPr>
          <w:p w14:paraId="49DDE54C" w14:textId="77777777" w:rsidR="001D04B0" w:rsidRDefault="00000000">
            <w:pPr>
              <w:pStyle w:val="TableParagraph"/>
              <w:tabs>
                <w:tab w:val="left" w:pos="993"/>
              </w:tabs>
              <w:spacing w:line="240" w:lineRule="auto"/>
              <w:ind w:left="993" w:hanging="709"/>
              <w:rPr>
                <w:b/>
                <w:sz w:val="24"/>
                <w:szCs w:val="24"/>
              </w:rPr>
            </w:pPr>
            <w:r>
              <w:rPr>
                <w:b/>
                <w:sz w:val="24"/>
                <w:szCs w:val="24"/>
              </w:rPr>
              <w:t>Drug</w:t>
            </w:r>
            <w:r>
              <w:rPr>
                <w:b/>
                <w:spacing w:val="-2"/>
                <w:sz w:val="24"/>
                <w:szCs w:val="24"/>
              </w:rPr>
              <w:t xml:space="preserve"> Information</w:t>
            </w:r>
          </w:p>
        </w:tc>
      </w:tr>
      <w:tr w:rsidR="001D04B0" w14:paraId="71B98250" w14:textId="77777777">
        <w:trPr>
          <w:trHeight w:val="414"/>
        </w:trPr>
        <w:tc>
          <w:tcPr>
            <w:tcW w:w="2417" w:type="dxa"/>
            <w:gridSpan w:val="2"/>
          </w:tcPr>
          <w:p w14:paraId="37BCE987" w14:textId="77777777" w:rsidR="001D04B0" w:rsidRDefault="00000000">
            <w:pPr>
              <w:pStyle w:val="TableParagraph"/>
              <w:tabs>
                <w:tab w:val="left" w:pos="567"/>
              </w:tabs>
              <w:spacing w:line="240" w:lineRule="auto"/>
              <w:ind w:left="284"/>
              <w:rPr>
                <w:b/>
                <w:sz w:val="24"/>
                <w:szCs w:val="24"/>
              </w:rPr>
            </w:pPr>
            <w:r>
              <w:rPr>
                <w:b/>
                <w:sz w:val="24"/>
                <w:szCs w:val="24"/>
              </w:rPr>
              <w:t>Therapeutic</w:t>
            </w:r>
            <w:r>
              <w:rPr>
                <w:b/>
                <w:spacing w:val="-5"/>
                <w:sz w:val="24"/>
                <w:szCs w:val="24"/>
              </w:rPr>
              <w:t xml:space="preserve"> </w:t>
            </w:r>
            <w:r>
              <w:rPr>
                <w:b/>
                <w:spacing w:val="-2"/>
                <w:sz w:val="24"/>
                <w:szCs w:val="24"/>
              </w:rPr>
              <w:t>category</w:t>
            </w:r>
          </w:p>
        </w:tc>
        <w:tc>
          <w:tcPr>
            <w:tcW w:w="8460" w:type="dxa"/>
          </w:tcPr>
          <w:p w14:paraId="6557BB4E" w14:textId="77777777" w:rsidR="001D04B0" w:rsidRDefault="00000000">
            <w:pPr>
              <w:pStyle w:val="TableParagraph"/>
              <w:tabs>
                <w:tab w:val="left" w:pos="993"/>
              </w:tabs>
              <w:spacing w:line="240" w:lineRule="auto"/>
              <w:ind w:left="993" w:right="170" w:hanging="709"/>
              <w:jc w:val="both"/>
              <w:rPr>
                <w:sz w:val="24"/>
                <w:szCs w:val="24"/>
              </w:rPr>
            </w:pPr>
            <w:r>
              <w:rPr>
                <w:sz w:val="24"/>
                <w:szCs w:val="24"/>
              </w:rPr>
              <w:t>Antidiabetic (SGLT-2 inhibitors)</w:t>
            </w:r>
          </w:p>
        </w:tc>
      </w:tr>
      <w:tr w:rsidR="001D04B0" w14:paraId="354ADA53" w14:textId="77777777">
        <w:trPr>
          <w:trHeight w:val="827"/>
        </w:trPr>
        <w:tc>
          <w:tcPr>
            <w:tcW w:w="2417" w:type="dxa"/>
            <w:gridSpan w:val="2"/>
          </w:tcPr>
          <w:p w14:paraId="74C9353D" w14:textId="77777777" w:rsidR="001D04B0" w:rsidRDefault="00000000">
            <w:pPr>
              <w:pStyle w:val="TableParagraph"/>
              <w:tabs>
                <w:tab w:val="left" w:pos="993"/>
              </w:tabs>
              <w:spacing w:line="240" w:lineRule="auto"/>
              <w:ind w:left="993" w:hanging="709"/>
              <w:rPr>
                <w:b/>
                <w:sz w:val="24"/>
                <w:szCs w:val="24"/>
              </w:rPr>
            </w:pPr>
            <w:r>
              <w:rPr>
                <w:b/>
                <w:spacing w:val="-2"/>
                <w:sz w:val="24"/>
                <w:szCs w:val="24"/>
              </w:rPr>
              <w:t>Therapeutic</w:t>
            </w:r>
          </w:p>
          <w:p w14:paraId="660C60DD" w14:textId="77777777" w:rsidR="001D04B0" w:rsidRDefault="00000000">
            <w:pPr>
              <w:pStyle w:val="TableParagraph"/>
              <w:tabs>
                <w:tab w:val="left" w:pos="993"/>
              </w:tabs>
              <w:spacing w:before="139" w:line="240" w:lineRule="auto"/>
              <w:ind w:left="993" w:hanging="709"/>
              <w:rPr>
                <w:b/>
                <w:sz w:val="24"/>
                <w:szCs w:val="24"/>
              </w:rPr>
            </w:pPr>
            <w:r>
              <w:rPr>
                <w:b/>
                <w:spacing w:val="-2"/>
                <w:sz w:val="24"/>
                <w:szCs w:val="24"/>
              </w:rPr>
              <w:t>Indication</w:t>
            </w:r>
          </w:p>
        </w:tc>
        <w:tc>
          <w:tcPr>
            <w:tcW w:w="8460" w:type="dxa"/>
          </w:tcPr>
          <w:p w14:paraId="03ECFA4C" w14:textId="77777777" w:rsidR="001D04B0" w:rsidRDefault="00000000">
            <w:pPr>
              <w:tabs>
                <w:tab w:val="left" w:pos="704"/>
              </w:tabs>
              <w:spacing w:line="240" w:lineRule="auto"/>
              <w:ind w:left="279" w:firstLine="5"/>
              <w:jc w:val="both"/>
              <w:rPr>
                <w:rFonts w:ascii="Times New Roman" w:hAnsi="Times New Roman" w:cs="Times New Roman"/>
                <w:sz w:val="24"/>
                <w:szCs w:val="24"/>
              </w:rPr>
            </w:pPr>
            <w:r>
              <w:rPr>
                <w:rFonts w:ascii="Times New Roman" w:hAnsi="Times New Roman" w:cs="Times New Roman"/>
                <w:sz w:val="24"/>
                <w:szCs w:val="24"/>
              </w:rPr>
              <w:t>It helps to improve blood sugar (glucose) control in adults with type 2 diabetes, often used alongside diet and exercise. By working as a sodium-glucose cotransporter 2 (SGLT2) inhibitor, it increases the amount of glucose removed from the body when you urinate. This helps to lower blood sugar levels.</w:t>
            </w:r>
          </w:p>
        </w:tc>
      </w:tr>
      <w:tr w:rsidR="001D04B0" w14:paraId="02254117" w14:textId="77777777">
        <w:trPr>
          <w:trHeight w:val="416"/>
        </w:trPr>
        <w:tc>
          <w:tcPr>
            <w:tcW w:w="2417" w:type="dxa"/>
            <w:gridSpan w:val="2"/>
          </w:tcPr>
          <w:p w14:paraId="13A67C25" w14:textId="77777777" w:rsidR="001D04B0" w:rsidRDefault="00000000">
            <w:pPr>
              <w:pStyle w:val="TableParagraph"/>
              <w:tabs>
                <w:tab w:val="left" w:pos="709"/>
              </w:tabs>
              <w:spacing w:line="240" w:lineRule="auto"/>
              <w:ind w:left="284" w:right="147"/>
              <w:rPr>
                <w:b/>
                <w:sz w:val="24"/>
                <w:szCs w:val="24"/>
              </w:rPr>
            </w:pPr>
            <w:r>
              <w:rPr>
                <w:b/>
                <w:sz w:val="24"/>
                <w:szCs w:val="24"/>
              </w:rPr>
              <w:t>Mechanism</w:t>
            </w:r>
            <w:r>
              <w:rPr>
                <w:b/>
                <w:spacing w:val="-2"/>
                <w:sz w:val="24"/>
                <w:szCs w:val="24"/>
              </w:rPr>
              <w:t xml:space="preserve"> </w:t>
            </w:r>
            <w:r>
              <w:rPr>
                <w:b/>
                <w:sz w:val="24"/>
                <w:szCs w:val="24"/>
              </w:rPr>
              <w:t>of</w:t>
            </w:r>
            <w:r>
              <w:rPr>
                <w:b/>
                <w:spacing w:val="-1"/>
                <w:sz w:val="24"/>
                <w:szCs w:val="24"/>
              </w:rPr>
              <w:t xml:space="preserve"> </w:t>
            </w:r>
            <w:r>
              <w:rPr>
                <w:b/>
                <w:spacing w:val="-2"/>
                <w:sz w:val="24"/>
                <w:szCs w:val="24"/>
              </w:rPr>
              <w:t>action</w:t>
            </w:r>
          </w:p>
        </w:tc>
        <w:tc>
          <w:tcPr>
            <w:tcW w:w="8460" w:type="dxa"/>
          </w:tcPr>
          <w:p w14:paraId="74F550AF" w14:textId="77777777" w:rsidR="001D04B0" w:rsidRDefault="00000000">
            <w:pPr>
              <w:pStyle w:val="TableParagraph"/>
              <w:tabs>
                <w:tab w:val="left" w:pos="562"/>
              </w:tabs>
              <w:spacing w:before="1" w:line="240" w:lineRule="auto"/>
              <w:ind w:left="279" w:right="170" w:firstLine="5"/>
              <w:jc w:val="both"/>
              <w:rPr>
                <w:sz w:val="24"/>
                <w:szCs w:val="24"/>
              </w:rPr>
            </w:pPr>
            <w:r>
              <w:rPr>
                <w:sz w:val="24"/>
                <w:szCs w:val="24"/>
              </w:rPr>
              <w:t>Dapagliflozin is a sodium-glucose cotransporter 2 inhibitor used to treat type 2 diabetes mellitus. Dapagliflozin, when used alongside diet and exercise in adults, enhances glycemic management by blocking glucose reabsorption in the proximal tubule of the nephron and inducing glycosuria.</w:t>
            </w:r>
          </w:p>
        </w:tc>
      </w:tr>
      <w:tr w:rsidR="001D04B0" w14:paraId="2BB1CCDD" w14:textId="77777777">
        <w:trPr>
          <w:trHeight w:val="1266"/>
        </w:trPr>
        <w:tc>
          <w:tcPr>
            <w:tcW w:w="2417" w:type="dxa"/>
            <w:gridSpan w:val="2"/>
          </w:tcPr>
          <w:p w14:paraId="6A3EB80A" w14:textId="77777777" w:rsidR="001D04B0" w:rsidRDefault="00000000">
            <w:pPr>
              <w:pStyle w:val="TableParagraph"/>
              <w:tabs>
                <w:tab w:val="left" w:pos="993"/>
              </w:tabs>
              <w:spacing w:line="240" w:lineRule="auto"/>
              <w:ind w:left="993" w:hanging="709"/>
              <w:rPr>
                <w:b/>
                <w:sz w:val="24"/>
                <w:szCs w:val="24"/>
              </w:rPr>
            </w:pPr>
            <w:r>
              <w:rPr>
                <w:b/>
                <w:sz w:val="24"/>
                <w:szCs w:val="24"/>
              </w:rPr>
              <w:lastRenderedPageBreak/>
              <w:t xml:space="preserve">Chemical </w:t>
            </w:r>
            <w:r>
              <w:rPr>
                <w:b/>
                <w:spacing w:val="-2"/>
                <w:sz w:val="24"/>
                <w:szCs w:val="24"/>
              </w:rPr>
              <w:t>Structure</w:t>
            </w:r>
          </w:p>
        </w:tc>
        <w:tc>
          <w:tcPr>
            <w:tcW w:w="8460" w:type="dxa"/>
          </w:tcPr>
          <w:p w14:paraId="032749AE" w14:textId="77777777" w:rsidR="001D04B0" w:rsidRDefault="001D04B0">
            <w:pPr>
              <w:pStyle w:val="TableParagraph"/>
              <w:tabs>
                <w:tab w:val="left" w:pos="993"/>
              </w:tabs>
              <w:spacing w:before="10" w:after="1" w:line="240" w:lineRule="auto"/>
              <w:ind w:left="993" w:right="170" w:hanging="709"/>
              <w:rPr>
                <w:b/>
                <w:sz w:val="24"/>
                <w:szCs w:val="24"/>
              </w:rPr>
            </w:pPr>
          </w:p>
          <w:p w14:paraId="15424DDD" w14:textId="77777777" w:rsidR="001D04B0" w:rsidRDefault="00000000">
            <w:pPr>
              <w:pStyle w:val="TableParagraph"/>
              <w:tabs>
                <w:tab w:val="left" w:pos="993"/>
              </w:tabs>
              <w:spacing w:line="240" w:lineRule="auto"/>
              <w:ind w:left="993" w:right="170" w:hanging="709"/>
              <w:rPr>
                <w:sz w:val="24"/>
                <w:szCs w:val="24"/>
              </w:rPr>
            </w:pPr>
            <w:r>
              <w:rPr>
                <w:noProof/>
                <w:sz w:val="24"/>
                <w:szCs w:val="24"/>
                <w:lang w:val="en-IN" w:eastAsia="en-IN"/>
              </w:rPr>
              <w:drawing>
                <wp:inline distT="0" distB="0" distL="0" distR="0" wp14:anchorId="191E5102" wp14:editId="3B16828F">
                  <wp:extent cx="3362325" cy="2082165"/>
                  <wp:effectExtent l="0" t="0" r="952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361661" cy="2081754"/>
                          </a:xfrm>
                          <a:prstGeom prst="rect">
                            <a:avLst/>
                          </a:prstGeom>
                        </pic:spPr>
                      </pic:pic>
                    </a:graphicData>
                  </a:graphic>
                </wp:inline>
              </w:drawing>
            </w:r>
          </w:p>
        </w:tc>
      </w:tr>
      <w:tr w:rsidR="001D04B0" w14:paraId="10C1C438" w14:textId="77777777">
        <w:trPr>
          <w:trHeight w:val="412"/>
        </w:trPr>
        <w:tc>
          <w:tcPr>
            <w:tcW w:w="10877" w:type="dxa"/>
            <w:gridSpan w:val="3"/>
          </w:tcPr>
          <w:p w14:paraId="5F0CFFE4" w14:textId="77777777" w:rsidR="001D04B0" w:rsidRDefault="00000000">
            <w:pPr>
              <w:pStyle w:val="TableParagraph"/>
              <w:tabs>
                <w:tab w:val="left" w:pos="993"/>
              </w:tabs>
              <w:spacing w:line="240" w:lineRule="auto"/>
              <w:ind w:left="993" w:right="170" w:hanging="709"/>
              <w:rPr>
                <w:b/>
                <w:sz w:val="24"/>
                <w:szCs w:val="24"/>
              </w:rPr>
            </w:pPr>
            <w:r>
              <w:rPr>
                <w:b/>
                <w:spacing w:val="-2"/>
                <w:sz w:val="24"/>
                <w:szCs w:val="24"/>
              </w:rPr>
              <w:t>Nomenclature</w:t>
            </w:r>
          </w:p>
        </w:tc>
      </w:tr>
      <w:tr w:rsidR="001D04B0" w14:paraId="13777759" w14:textId="77777777">
        <w:trPr>
          <w:trHeight w:val="1655"/>
        </w:trPr>
        <w:tc>
          <w:tcPr>
            <w:tcW w:w="2417" w:type="dxa"/>
            <w:gridSpan w:val="2"/>
          </w:tcPr>
          <w:p w14:paraId="74914B84" w14:textId="77777777" w:rsidR="001D04B0" w:rsidRDefault="00000000">
            <w:pPr>
              <w:pStyle w:val="TableParagraph"/>
              <w:tabs>
                <w:tab w:val="left" w:pos="709"/>
              </w:tabs>
              <w:spacing w:line="240" w:lineRule="auto"/>
              <w:ind w:left="284" w:right="223"/>
              <w:jc w:val="both"/>
              <w:rPr>
                <w:b/>
                <w:sz w:val="24"/>
                <w:szCs w:val="24"/>
              </w:rPr>
            </w:pPr>
            <w:r>
              <w:rPr>
                <w:b/>
                <w:sz w:val="24"/>
                <w:szCs w:val="24"/>
              </w:rPr>
              <w:t>International</w:t>
            </w:r>
            <w:r>
              <w:rPr>
                <w:b/>
                <w:spacing w:val="-11"/>
                <w:sz w:val="24"/>
                <w:szCs w:val="24"/>
              </w:rPr>
              <w:t xml:space="preserve"> </w:t>
            </w:r>
            <w:r>
              <w:rPr>
                <w:b/>
                <w:sz w:val="24"/>
                <w:szCs w:val="24"/>
              </w:rPr>
              <w:t>Union of</w:t>
            </w:r>
            <w:r>
              <w:rPr>
                <w:b/>
                <w:spacing w:val="-13"/>
                <w:sz w:val="24"/>
                <w:szCs w:val="24"/>
              </w:rPr>
              <w:t xml:space="preserve"> </w:t>
            </w:r>
            <w:r>
              <w:rPr>
                <w:b/>
                <w:sz w:val="24"/>
                <w:szCs w:val="24"/>
              </w:rPr>
              <w:t>Pure</w:t>
            </w:r>
            <w:r>
              <w:rPr>
                <w:b/>
                <w:spacing w:val="-13"/>
                <w:sz w:val="24"/>
                <w:szCs w:val="24"/>
              </w:rPr>
              <w:t xml:space="preserve"> </w:t>
            </w:r>
            <w:r>
              <w:rPr>
                <w:b/>
                <w:sz w:val="24"/>
                <w:szCs w:val="24"/>
              </w:rPr>
              <w:t>and</w:t>
            </w:r>
            <w:r>
              <w:rPr>
                <w:b/>
                <w:spacing w:val="-13"/>
                <w:sz w:val="24"/>
                <w:szCs w:val="24"/>
              </w:rPr>
              <w:t xml:space="preserve"> </w:t>
            </w:r>
            <w:r>
              <w:rPr>
                <w:b/>
                <w:sz w:val="24"/>
                <w:szCs w:val="24"/>
              </w:rPr>
              <w:t>AppliedChemistry</w:t>
            </w:r>
            <w:r>
              <w:rPr>
                <w:b/>
                <w:spacing w:val="-1"/>
                <w:sz w:val="24"/>
                <w:szCs w:val="24"/>
              </w:rPr>
              <w:t xml:space="preserve"> </w:t>
            </w:r>
            <w:r>
              <w:rPr>
                <w:b/>
                <w:spacing w:val="-2"/>
                <w:sz w:val="24"/>
                <w:szCs w:val="24"/>
              </w:rPr>
              <w:t>(IUPAC)</w:t>
            </w:r>
            <w:r>
              <w:rPr>
                <w:b/>
                <w:sz w:val="24"/>
                <w:szCs w:val="24"/>
              </w:rPr>
              <w:t xml:space="preserve"> </w:t>
            </w:r>
            <w:r>
              <w:rPr>
                <w:b/>
                <w:spacing w:val="-4"/>
                <w:sz w:val="24"/>
                <w:szCs w:val="24"/>
              </w:rPr>
              <w:t>Name</w:t>
            </w:r>
          </w:p>
        </w:tc>
        <w:tc>
          <w:tcPr>
            <w:tcW w:w="8460" w:type="dxa"/>
          </w:tcPr>
          <w:p w14:paraId="050B097B" w14:textId="77777777" w:rsidR="001D04B0" w:rsidRDefault="00000000">
            <w:pPr>
              <w:pStyle w:val="TableParagraph"/>
              <w:tabs>
                <w:tab w:val="left" w:pos="704"/>
              </w:tabs>
              <w:spacing w:line="240" w:lineRule="auto"/>
              <w:ind w:left="279" w:right="170" w:firstLine="5"/>
              <w:jc w:val="both"/>
              <w:rPr>
                <w:sz w:val="24"/>
                <w:szCs w:val="24"/>
              </w:rPr>
            </w:pPr>
            <w:r>
              <w:rPr>
                <w:sz w:val="24"/>
                <w:szCs w:val="24"/>
              </w:rPr>
              <w:t>(2S)-propane-1,2 diol (2S, 3R, 4R, 5S, 6R)-2-{4-chloro-3-[(4-ethoxyphenyl) methyl] phenyl}-6-(hydroxymethyl) oxane-3,4,5- triol hydrate</w:t>
            </w:r>
          </w:p>
        </w:tc>
      </w:tr>
      <w:tr w:rsidR="001D04B0" w14:paraId="3B48F333" w14:textId="77777777">
        <w:trPr>
          <w:trHeight w:val="414"/>
        </w:trPr>
        <w:tc>
          <w:tcPr>
            <w:tcW w:w="2417" w:type="dxa"/>
            <w:gridSpan w:val="2"/>
          </w:tcPr>
          <w:p w14:paraId="692A45A1" w14:textId="77777777" w:rsidR="001D04B0" w:rsidRDefault="00000000">
            <w:pPr>
              <w:pStyle w:val="TableParagraph"/>
              <w:tabs>
                <w:tab w:val="left" w:pos="993"/>
              </w:tabs>
              <w:spacing w:line="240" w:lineRule="auto"/>
              <w:ind w:left="993" w:hanging="709"/>
              <w:rPr>
                <w:b/>
                <w:sz w:val="24"/>
                <w:szCs w:val="24"/>
              </w:rPr>
            </w:pPr>
            <w:r>
              <w:rPr>
                <w:b/>
                <w:sz w:val="24"/>
                <w:szCs w:val="24"/>
              </w:rPr>
              <w:t>Empirical</w:t>
            </w:r>
            <w:r>
              <w:rPr>
                <w:b/>
                <w:spacing w:val="-2"/>
                <w:sz w:val="24"/>
                <w:szCs w:val="24"/>
              </w:rPr>
              <w:t xml:space="preserve"> formula</w:t>
            </w:r>
          </w:p>
        </w:tc>
        <w:tc>
          <w:tcPr>
            <w:tcW w:w="8460" w:type="dxa"/>
          </w:tcPr>
          <w:p w14:paraId="15BE2974" w14:textId="77777777" w:rsidR="001D04B0" w:rsidRDefault="00000000">
            <w:pPr>
              <w:pStyle w:val="TableParagraph"/>
              <w:tabs>
                <w:tab w:val="left" w:pos="993"/>
              </w:tabs>
              <w:spacing w:line="240" w:lineRule="auto"/>
              <w:ind w:left="993" w:right="170" w:hanging="709"/>
              <w:rPr>
                <w:sz w:val="24"/>
                <w:szCs w:val="24"/>
              </w:rPr>
            </w:pPr>
            <w:r>
              <w:rPr>
                <w:sz w:val="24"/>
                <w:szCs w:val="24"/>
                <w:lang w:val="en-IN"/>
              </w:rPr>
              <w:t>C</w:t>
            </w:r>
            <w:r>
              <w:rPr>
                <w:sz w:val="24"/>
                <w:szCs w:val="24"/>
                <w:vertAlign w:val="subscript"/>
                <w:lang w:val="en-IN"/>
              </w:rPr>
              <w:t>24</w:t>
            </w:r>
            <w:r>
              <w:rPr>
                <w:sz w:val="24"/>
                <w:szCs w:val="24"/>
                <w:lang w:val="en-IN"/>
              </w:rPr>
              <w:t>H</w:t>
            </w:r>
            <w:r>
              <w:rPr>
                <w:sz w:val="24"/>
                <w:szCs w:val="24"/>
                <w:vertAlign w:val="subscript"/>
                <w:lang w:val="en-IN"/>
              </w:rPr>
              <w:t>35</w:t>
            </w:r>
            <w:r>
              <w:rPr>
                <w:sz w:val="24"/>
                <w:szCs w:val="24"/>
                <w:lang w:val="en-IN"/>
              </w:rPr>
              <w:t>ClO</w:t>
            </w:r>
            <w:r>
              <w:rPr>
                <w:sz w:val="24"/>
                <w:szCs w:val="24"/>
                <w:vertAlign w:val="subscript"/>
                <w:lang w:val="en-IN"/>
              </w:rPr>
              <w:t>9</w:t>
            </w:r>
          </w:p>
        </w:tc>
      </w:tr>
      <w:tr w:rsidR="001D04B0" w14:paraId="341C8CC3" w14:textId="77777777">
        <w:trPr>
          <w:trHeight w:val="415"/>
        </w:trPr>
        <w:tc>
          <w:tcPr>
            <w:tcW w:w="2417" w:type="dxa"/>
            <w:gridSpan w:val="2"/>
          </w:tcPr>
          <w:p w14:paraId="78A6BDDF" w14:textId="77777777" w:rsidR="001D04B0" w:rsidRDefault="00000000">
            <w:pPr>
              <w:pStyle w:val="TableParagraph"/>
              <w:tabs>
                <w:tab w:val="left" w:pos="993"/>
              </w:tabs>
              <w:spacing w:line="240" w:lineRule="auto"/>
              <w:ind w:left="993" w:hanging="709"/>
              <w:rPr>
                <w:b/>
                <w:sz w:val="24"/>
                <w:szCs w:val="24"/>
              </w:rPr>
            </w:pPr>
            <w:r>
              <w:rPr>
                <w:b/>
                <w:sz w:val="24"/>
                <w:szCs w:val="24"/>
              </w:rPr>
              <w:t>Molecular</w:t>
            </w:r>
            <w:r>
              <w:rPr>
                <w:b/>
                <w:spacing w:val="-3"/>
                <w:sz w:val="24"/>
                <w:szCs w:val="24"/>
              </w:rPr>
              <w:t xml:space="preserve"> </w:t>
            </w:r>
            <w:r>
              <w:rPr>
                <w:b/>
                <w:spacing w:val="-2"/>
                <w:sz w:val="24"/>
                <w:szCs w:val="24"/>
              </w:rPr>
              <w:t>weight</w:t>
            </w:r>
          </w:p>
        </w:tc>
        <w:tc>
          <w:tcPr>
            <w:tcW w:w="8460" w:type="dxa"/>
          </w:tcPr>
          <w:p w14:paraId="2FCF05C1" w14:textId="77777777" w:rsidR="001D04B0" w:rsidRDefault="00000000">
            <w:pPr>
              <w:pStyle w:val="TableParagraph"/>
              <w:tabs>
                <w:tab w:val="left" w:pos="993"/>
              </w:tabs>
              <w:spacing w:line="240" w:lineRule="auto"/>
              <w:ind w:left="993" w:right="170" w:hanging="709"/>
              <w:rPr>
                <w:sz w:val="24"/>
                <w:szCs w:val="24"/>
              </w:rPr>
            </w:pPr>
            <w:r>
              <w:rPr>
                <w:sz w:val="24"/>
                <w:szCs w:val="24"/>
                <w:lang w:val="en-IN"/>
              </w:rPr>
              <w:t>502.99 g/mol</w:t>
            </w:r>
          </w:p>
        </w:tc>
      </w:tr>
      <w:tr w:rsidR="001D04B0" w14:paraId="3233599F" w14:textId="77777777">
        <w:trPr>
          <w:trHeight w:val="1240"/>
        </w:trPr>
        <w:tc>
          <w:tcPr>
            <w:tcW w:w="2417" w:type="dxa"/>
            <w:gridSpan w:val="2"/>
          </w:tcPr>
          <w:p w14:paraId="4650F1E7" w14:textId="77777777" w:rsidR="001D04B0" w:rsidRDefault="00000000">
            <w:pPr>
              <w:pStyle w:val="TableParagraph"/>
              <w:tabs>
                <w:tab w:val="left" w:pos="426"/>
              </w:tabs>
              <w:spacing w:line="240" w:lineRule="auto"/>
              <w:ind w:left="284" w:right="275"/>
              <w:rPr>
                <w:b/>
                <w:sz w:val="24"/>
                <w:szCs w:val="24"/>
              </w:rPr>
            </w:pPr>
            <w:r>
              <w:rPr>
                <w:b/>
                <w:sz w:val="24"/>
                <w:szCs w:val="24"/>
              </w:rPr>
              <w:t>Chemical</w:t>
            </w:r>
            <w:r>
              <w:rPr>
                <w:b/>
                <w:spacing w:val="-15"/>
                <w:sz w:val="24"/>
                <w:szCs w:val="24"/>
              </w:rPr>
              <w:t xml:space="preserve"> </w:t>
            </w:r>
            <w:r>
              <w:rPr>
                <w:b/>
                <w:sz w:val="24"/>
                <w:szCs w:val="24"/>
              </w:rPr>
              <w:t xml:space="preserve">Abstracts Service (CAS) </w:t>
            </w:r>
            <w:r>
              <w:rPr>
                <w:b/>
                <w:spacing w:val="-2"/>
                <w:sz w:val="24"/>
                <w:szCs w:val="24"/>
              </w:rPr>
              <w:t>Number</w:t>
            </w:r>
          </w:p>
        </w:tc>
        <w:tc>
          <w:tcPr>
            <w:tcW w:w="8460" w:type="dxa"/>
          </w:tcPr>
          <w:p w14:paraId="2A5CF553" w14:textId="77777777" w:rsidR="001D04B0" w:rsidRDefault="00000000">
            <w:pPr>
              <w:pStyle w:val="TableParagraph"/>
              <w:tabs>
                <w:tab w:val="left" w:pos="993"/>
              </w:tabs>
              <w:spacing w:line="240" w:lineRule="auto"/>
              <w:ind w:left="993" w:right="170" w:hanging="709"/>
              <w:rPr>
                <w:sz w:val="24"/>
                <w:szCs w:val="24"/>
              </w:rPr>
            </w:pPr>
            <w:r>
              <w:rPr>
                <w:sz w:val="24"/>
                <w:szCs w:val="24"/>
              </w:rPr>
              <w:tab/>
            </w:r>
          </w:p>
          <w:p w14:paraId="4B3C32CA" w14:textId="77777777" w:rsidR="001D04B0" w:rsidRDefault="00000000">
            <w:pPr>
              <w:pStyle w:val="TableParagraph"/>
              <w:tabs>
                <w:tab w:val="left" w:pos="993"/>
              </w:tabs>
              <w:spacing w:line="240" w:lineRule="auto"/>
              <w:ind w:left="993" w:right="170" w:hanging="709"/>
              <w:rPr>
                <w:sz w:val="24"/>
                <w:szCs w:val="24"/>
              </w:rPr>
            </w:pPr>
            <w:r>
              <w:rPr>
                <w:sz w:val="24"/>
                <w:szCs w:val="24"/>
                <w:lang w:val="en-IN"/>
              </w:rPr>
              <w:t>960404-48-2</w:t>
            </w:r>
            <w:r>
              <w:rPr>
                <w:sz w:val="24"/>
                <w:szCs w:val="24"/>
              </w:rPr>
              <w:tab/>
            </w:r>
          </w:p>
          <w:p w14:paraId="5F754DB7" w14:textId="77777777" w:rsidR="001D04B0" w:rsidRDefault="001D04B0">
            <w:pPr>
              <w:pStyle w:val="TableParagraph"/>
              <w:tabs>
                <w:tab w:val="left" w:pos="993"/>
              </w:tabs>
              <w:spacing w:line="240" w:lineRule="auto"/>
              <w:ind w:left="993" w:right="170" w:hanging="709"/>
              <w:rPr>
                <w:sz w:val="24"/>
                <w:szCs w:val="24"/>
              </w:rPr>
            </w:pPr>
          </w:p>
        </w:tc>
      </w:tr>
      <w:tr w:rsidR="001D04B0" w14:paraId="68DD7F5F" w14:textId="77777777">
        <w:trPr>
          <w:trHeight w:val="371"/>
        </w:trPr>
        <w:tc>
          <w:tcPr>
            <w:tcW w:w="2417" w:type="dxa"/>
            <w:gridSpan w:val="2"/>
          </w:tcPr>
          <w:p w14:paraId="7701F111" w14:textId="77777777" w:rsidR="001D04B0" w:rsidRDefault="00000000">
            <w:pPr>
              <w:pStyle w:val="TableParagraph"/>
              <w:tabs>
                <w:tab w:val="left" w:pos="993"/>
              </w:tabs>
              <w:spacing w:line="240" w:lineRule="auto"/>
              <w:ind w:left="993" w:hanging="709"/>
              <w:rPr>
                <w:b/>
                <w:sz w:val="24"/>
                <w:szCs w:val="24"/>
              </w:rPr>
            </w:pPr>
            <w:r>
              <w:rPr>
                <w:b/>
                <w:sz w:val="24"/>
                <w:szCs w:val="24"/>
              </w:rPr>
              <w:t xml:space="preserve">Approval </w:t>
            </w:r>
            <w:r>
              <w:rPr>
                <w:b/>
                <w:spacing w:val="-2"/>
                <w:sz w:val="24"/>
                <w:szCs w:val="24"/>
              </w:rPr>
              <w:t>Status</w:t>
            </w:r>
          </w:p>
        </w:tc>
        <w:tc>
          <w:tcPr>
            <w:tcW w:w="8460" w:type="dxa"/>
          </w:tcPr>
          <w:p w14:paraId="2089FDE2" w14:textId="77777777" w:rsidR="001D04B0" w:rsidRDefault="00000000">
            <w:pPr>
              <w:pStyle w:val="TableParagraph"/>
              <w:tabs>
                <w:tab w:val="left" w:pos="993"/>
              </w:tabs>
              <w:spacing w:line="240" w:lineRule="auto"/>
              <w:ind w:left="993" w:right="170" w:hanging="709"/>
              <w:rPr>
                <w:sz w:val="24"/>
                <w:szCs w:val="24"/>
              </w:rPr>
            </w:pPr>
            <w:r>
              <w:rPr>
                <w:sz w:val="24"/>
                <w:szCs w:val="24"/>
              </w:rPr>
              <w:t>Approved</w:t>
            </w:r>
            <w:r>
              <w:rPr>
                <w:spacing w:val="-11"/>
                <w:sz w:val="24"/>
                <w:szCs w:val="24"/>
              </w:rPr>
              <w:t xml:space="preserve"> </w:t>
            </w:r>
            <w:r>
              <w:rPr>
                <w:sz w:val="24"/>
                <w:szCs w:val="24"/>
              </w:rPr>
              <w:t>by</w:t>
            </w:r>
            <w:r>
              <w:rPr>
                <w:spacing w:val="-6"/>
                <w:sz w:val="24"/>
                <w:szCs w:val="24"/>
              </w:rPr>
              <w:t xml:space="preserve"> </w:t>
            </w:r>
            <w:r>
              <w:rPr>
                <w:sz w:val="24"/>
                <w:szCs w:val="24"/>
              </w:rPr>
              <w:t>FDA,</w:t>
            </w:r>
            <w:r>
              <w:rPr>
                <w:spacing w:val="-9"/>
                <w:sz w:val="24"/>
                <w:szCs w:val="24"/>
              </w:rPr>
              <w:t xml:space="preserve"> </w:t>
            </w:r>
            <w:r>
              <w:rPr>
                <w:sz w:val="24"/>
                <w:szCs w:val="24"/>
              </w:rPr>
              <w:t>CDSCO</w:t>
            </w:r>
            <w:r>
              <w:rPr>
                <w:spacing w:val="-8"/>
                <w:sz w:val="24"/>
                <w:szCs w:val="24"/>
              </w:rPr>
              <w:t xml:space="preserve"> </w:t>
            </w:r>
            <w:r>
              <w:rPr>
                <w:sz w:val="24"/>
                <w:szCs w:val="24"/>
              </w:rPr>
              <w:t>and</w:t>
            </w:r>
            <w:r>
              <w:rPr>
                <w:spacing w:val="-9"/>
                <w:sz w:val="24"/>
                <w:szCs w:val="24"/>
              </w:rPr>
              <w:t xml:space="preserve"> </w:t>
            </w:r>
            <w:r>
              <w:rPr>
                <w:sz w:val="24"/>
                <w:szCs w:val="24"/>
              </w:rPr>
              <w:t>European</w:t>
            </w:r>
            <w:r>
              <w:rPr>
                <w:spacing w:val="-8"/>
                <w:sz w:val="24"/>
                <w:szCs w:val="24"/>
              </w:rPr>
              <w:t xml:space="preserve"> </w:t>
            </w:r>
            <w:r>
              <w:rPr>
                <w:sz w:val="24"/>
                <w:szCs w:val="24"/>
              </w:rPr>
              <w:t>union.</w:t>
            </w:r>
          </w:p>
        </w:tc>
      </w:tr>
      <w:tr w:rsidR="001D04B0" w14:paraId="193F8815" w14:textId="77777777">
        <w:trPr>
          <w:trHeight w:val="414"/>
        </w:trPr>
        <w:tc>
          <w:tcPr>
            <w:tcW w:w="10877" w:type="dxa"/>
            <w:gridSpan w:val="3"/>
          </w:tcPr>
          <w:p w14:paraId="146C492A" w14:textId="77777777" w:rsidR="001D04B0" w:rsidRDefault="00000000">
            <w:pPr>
              <w:pStyle w:val="TableParagraph"/>
              <w:tabs>
                <w:tab w:val="left" w:pos="993"/>
              </w:tabs>
              <w:spacing w:before="1" w:line="240" w:lineRule="auto"/>
              <w:ind w:left="993" w:right="170" w:hanging="709"/>
              <w:rPr>
                <w:b/>
                <w:sz w:val="24"/>
                <w:szCs w:val="24"/>
              </w:rPr>
            </w:pPr>
            <w:r>
              <w:rPr>
                <w:b/>
                <w:sz w:val="24"/>
                <w:szCs w:val="24"/>
              </w:rPr>
              <w:t>Physicochemical</w:t>
            </w:r>
            <w:r>
              <w:rPr>
                <w:b/>
                <w:spacing w:val="-2"/>
                <w:sz w:val="24"/>
                <w:szCs w:val="24"/>
              </w:rPr>
              <w:t xml:space="preserve"> Properties</w:t>
            </w:r>
          </w:p>
        </w:tc>
      </w:tr>
      <w:tr w:rsidR="001D04B0" w14:paraId="1693DA09" w14:textId="77777777">
        <w:trPr>
          <w:trHeight w:val="414"/>
        </w:trPr>
        <w:tc>
          <w:tcPr>
            <w:tcW w:w="2389" w:type="dxa"/>
          </w:tcPr>
          <w:p w14:paraId="35544D78" w14:textId="77777777" w:rsidR="001D04B0" w:rsidRDefault="00000000">
            <w:pPr>
              <w:pStyle w:val="TableParagraph"/>
              <w:tabs>
                <w:tab w:val="left" w:pos="993"/>
              </w:tabs>
              <w:spacing w:before="1" w:line="240" w:lineRule="auto"/>
              <w:ind w:left="993" w:hanging="709"/>
              <w:rPr>
                <w:b/>
                <w:sz w:val="24"/>
                <w:szCs w:val="24"/>
              </w:rPr>
            </w:pPr>
            <w:r>
              <w:rPr>
                <w:b/>
                <w:spacing w:val="-2"/>
                <w:sz w:val="24"/>
                <w:szCs w:val="24"/>
              </w:rPr>
              <w:t>Appearance</w:t>
            </w:r>
          </w:p>
        </w:tc>
        <w:tc>
          <w:tcPr>
            <w:tcW w:w="8488" w:type="dxa"/>
            <w:gridSpan w:val="2"/>
          </w:tcPr>
          <w:p w14:paraId="7E2CC523" w14:textId="77777777" w:rsidR="001D04B0" w:rsidRDefault="00000000">
            <w:pPr>
              <w:pStyle w:val="TableParagraph"/>
              <w:tabs>
                <w:tab w:val="left" w:pos="993"/>
              </w:tabs>
              <w:spacing w:before="1" w:line="240" w:lineRule="auto"/>
              <w:ind w:left="993" w:right="170" w:hanging="709"/>
              <w:rPr>
                <w:b/>
                <w:sz w:val="24"/>
                <w:szCs w:val="24"/>
              </w:rPr>
            </w:pPr>
            <w:r>
              <w:rPr>
                <w:sz w:val="24"/>
                <w:szCs w:val="24"/>
              </w:rPr>
              <w:t>White powder</w:t>
            </w:r>
          </w:p>
        </w:tc>
      </w:tr>
      <w:tr w:rsidR="001D04B0" w14:paraId="3DFC0258" w14:textId="77777777">
        <w:trPr>
          <w:trHeight w:val="414"/>
        </w:trPr>
        <w:tc>
          <w:tcPr>
            <w:tcW w:w="2389" w:type="dxa"/>
          </w:tcPr>
          <w:p w14:paraId="41204ABC" w14:textId="77777777" w:rsidR="001D04B0" w:rsidRDefault="00000000">
            <w:pPr>
              <w:pStyle w:val="TableParagraph"/>
              <w:tabs>
                <w:tab w:val="left" w:pos="993"/>
              </w:tabs>
              <w:spacing w:before="1" w:line="240" w:lineRule="auto"/>
              <w:ind w:left="993" w:hanging="709"/>
              <w:rPr>
                <w:b/>
                <w:sz w:val="24"/>
                <w:szCs w:val="24"/>
              </w:rPr>
            </w:pPr>
            <w:r>
              <w:rPr>
                <w:b/>
                <w:spacing w:val="-2"/>
                <w:sz w:val="24"/>
                <w:szCs w:val="24"/>
              </w:rPr>
              <w:t>Solubility</w:t>
            </w:r>
          </w:p>
        </w:tc>
        <w:tc>
          <w:tcPr>
            <w:tcW w:w="8488" w:type="dxa"/>
            <w:gridSpan w:val="2"/>
          </w:tcPr>
          <w:p w14:paraId="0EDFE25F" w14:textId="77777777" w:rsidR="001D04B0" w:rsidRDefault="00000000">
            <w:pPr>
              <w:pStyle w:val="TableParagraph"/>
              <w:tabs>
                <w:tab w:val="left" w:pos="578"/>
              </w:tabs>
              <w:spacing w:before="1" w:line="240" w:lineRule="auto"/>
              <w:ind w:left="295" w:right="170" w:hanging="11"/>
              <w:jc w:val="both"/>
              <w:rPr>
                <w:bCs/>
                <w:sz w:val="24"/>
                <w:szCs w:val="24"/>
              </w:rPr>
            </w:pPr>
            <w:r>
              <w:rPr>
                <w:bCs/>
                <w:sz w:val="24"/>
                <w:szCs w:val="24"/>
              </w:rPr>
              <w:t>Soluble in ethanol, DMSO, and dimethyl formamide. Sparingly soluble in aqueous buffers and water.</w:t>
            </w:r>
          </w:p>
        </w:tc>
      </w:tr>
      <w:tr w:rsidR="001D04B0" w14:paraId="3B0620DC" w14:textId="77777777">
        <w:trPr>
          <w:trHeight w:val="414"/>
        </w:trPr>
        <w:tc>
          <w:tcPr>
            <w:tcW w:w="2389" w:type="dxa"/>
          </w:tcPr>
          <w:p w14:paraId="07F2CDC7" w14:textId="77777777" w:rsidR="001D04B0" w:rsidRDefault="00000000">
            <w:pPr>
              <w:pStyle w:val="TableParagraph"/>
              <w:tabs>
                <w:tab w:val="left" w:pos="993"/>
              </w:tabs>
              <w:spacing w:before="1" w:line="240" w:lineRule="auto"/>
              <w:ind w:left="993" w:hanging="709"/>
              <w:rPr>
                <w:b/>
                <w:sz w:val="24"/>
                <w:szCs w:val="24"/>
              </w:rPr>
            </w:pPr>
            <w:r>
              <w:rPr>
                <w:b/>
                <w:sz w:val="24"/>
                <w:szCs w:val="24"/>
              </w:rPr>
              <w:t>Melting</w:t>
            </w:r>
            <w:r>
              <w:rPr>
                <w:b/>
                <w:spacing w:val="-2"/>
                <w:sz w:val="24"/>
                <w:szCs w:val="24"/>
              </w:rPr>
              <w:t xml:space="preserve"> point</w:t>
            </w:r>
          </w:p>
        </w:tc>
        <w:tc>
          <w:tcPr>
            <w:tcW w:w="8488" w:type="dxa"/>
            <w:gridSpan w:val="2"/>
          </w:tcPr>
          <w:p w14:paraId="08CCFCAD" w14:textId="77777777" w:rsidR="001D04B0" w:rsidRDefault="00000000">
            <w:pPr>
              <w:pStyle w:val="TableParagraph"/>
              <w:tabs>
                <w:tab w:val="left" w:pos="993"/>
              </w:tabs>
              <w:spacing w:before="1" w:line="240" w:lineRule="auto"/>
              <w:ind w:left="993" w:right="170" w:hanging="709"/>
              <w:rPr>
                <w:bCs/>
                <w:sz w:val="24"/>
                <w:szCs w:val="24"/>
              </w:rPr>
            </w:pPr>
            <w:r>
              <w:rPr>
                <w:bCs/>
                <w:sz w:val="24"/>
                <w:szCs w:val="24"/>
              </w:rPr>
              <w:t>65 °C</w:t>
            </w:r>
          </w:p>
        </w:tc>
      </w:tr>
      <w:tr w:rsidR="001D04B0" w14:paraId="43BA0233" w14:textId="77777777">
        <w:trPr>
          <w:trHeight w:val="414"/>
        </w:trPr>
        <w:tc>
          <w:tcPr>
            <w:tcW w:w="2389" w:type="dxa"/>
          </w:tcPr>
          <w:p w14:paraId="7527719C" w14:textId="77777777" w:rsidR="001D04B0" w:rsidRDefault="00000000">
            <w:pPr>
              <w:pStyle w:val="TableParagraph"/>
              <w:tabs>
                <w:tab w:val="left" w:pos="993"/>
              </w:tabs>
              <w:spacing w:before="1" w:line="240" w:lineRule="auto"/>
              <w:ind w:left="993" w:hanging="709"/>
              <w:rPr>
                <w:b/>
                <w:sz w:val="24"/>
                <w:szCs w:val="24"/>
              </w:rPr>
            </w:pPr>
            <w:r>
              <w:rPr>
                <w:b/>
                <w:sz w:val="24"/>
                <w:szCs w:val="24"/>
              </w:rPr>
              <w:t xml:space="preserve">Log </w:t>
            </w:r>
            <w:r>
              <w:rPr>
                <w:b/>
                <w:spacing w:val="-10"/>
                <w:sz w:val="24"/>
                <w:szCs w:val="24"/>
              </w:rPr>
              <w:t>p</w:t>
            </w:r>
          </w:p>
        </w:tc>
        <w:tc>
          <w:tcPr>
            <w:tcW w:w="8488" w:type="dxa"/>
            <w:gridSpan w:val="2"/>
          </w:tcPr>
          <w:p w14:paraId="053E57C6" w14:textId="77777777" w:rsidR="001D04B0" w:rsidRDefault="00000000">
            <w:pPr>
              <w:pStyle w:val="TableParagraph"/>
              <w:tabs>
                <w:tab w:val="left" w:pos="993"/>
              </w:tabs>
              <w:spacing w:before="1" w:line="240" w:lineRule="auto"/>
              <w:ind w:left="993" w:right="170" w:hanging="709"/>
              <w:rPr>
                <w:b/>
                <w:sz w:val="24"/>
                <w:szCs w:val="24"/>
              </w:rPr>
            </w:pPr>
            <w:r>
              <w:rPr>
                <w:spacing w:val="-4"/>
                <w:sz w:val="24"/>
                <w:szCs w:val="24"/>
              </w:rPr>
              <w:t>2.7</w:t>
            </w:r>
          </w:p>
        </w:tc>
      </w:tr>
      <w:tr w:rsidR="001D04B0" w14:paraId="0F28F4B9" w14:textId="77777777">
        <w:trPr>
          <w:trHeight w:val="414"/>
        </w:trPr>
        <w:tc>
          <w:tcPr>
            <w:tcW w:w="2389" w:type="dxa"/>
          </w:tcPr>
          <w:p w14:paraId="51F32C01" w14:textId="77777777" w:rsidR="001D04B0" w:rsidRDefault="00000000">
            <w:pPr>
              <w:pStyle w:val="TableParagraph"/>
              <w:tabs>
                <w:tab w:val="left" w:pos="993"/>
              </w:tabs>
              <w:spacing w:before="1" w:line="240" w:lineRule="auto"/>
              <w:ind w:left="993" w:hanging="709"/>
              <w:rPr>
                <w:b/>
                <w:sz w:val="24"/>
                <w:szCs w:val="24"/>
              </w:rPr>
            </w:pPr>
            <w:r>
              <w:rPr>
                <w:b/>
                <w:sz w:val="24"/>
                <w:szCs w:val="24"/>
              </w:rPr>
              <w:t xml:space="preserve">pKa </w:t>
            </w:r>
            <w:r>
              <w:rPr>
                <w:b/>
                <w:spacing w:val="-2"/>
                <w:sz w:val="24"/>
                <w:szCs w:val="24"/>
              </w:rPr>
              <w:t>value</w:t>
            </w:r>
          </w:p>
        </w:tc>
        <w:tc>
          <w:tcPr>
            <w:tcW w:w="8488" w:type="dxa"/>
            <w:gridSpan w:val="2"/>
          </w:tcPr>
          <w:p w14:paraId="78EBF528" w14:textId="77777777" w:rsidR="001D04B0" w:rsidRDefault="00000000">
            <w:pPr>
              <w:pStyle w:val="TableParagraph"/>
              <w:tabs>
                <w:tab w:val="left" w:pos="993"/>
              </w:tabs>
              <w:spacing w:before="1" w:line="240" w:lineRule="auto"/>
              <w:ind w:left="993" w:right="170" w:hanging="709"/>
              <w:rPr>
                <w:b/>
                <w:sz w:val="24"/>
                <w:szCs w:val="24"/>
              </w:rPr>
            </w:pPr>
            <w:r>
              <w:rPr>
                <w:sz w:val="24"/>
                <w:szCs w:val="24"/>
              </w:rPr>
              <w:t>12.57</w:t>
            </w:r>
          </w:p>
        </w:tc>
      </w:tr>
    </w:tbl>
    <w:p w14:paraId="314113FB" w14:textId="77777777" w:rsidR="001D04B0" w:rsidRDefault="001D04B0">
      <w:pPr>
        <w:spacing w:line="240" w:lineRule="auto"/>
        <w:jc w:val="both"/>
        <w:rPr>
          <w:rFonts w:ascii="Times New Roman" w:hAnsi="Times New Roman" w:cs="Times New Roman"/>
          <w:sz w:val="24"/>
          <w:szCs w:val="24"/>
        </w:rPr>
        <w:sectPr w:rsidR="001D04B0">
          <w:type w:val="continuous"/>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tbl>
      <w:tblPr>
        <w:tblpPr w:leftFromText="180" w:rightFromText="180" w:vertAnchor="text" w:tblpY="1"/>
        <w:tblOverlap w:val="neve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9"/>
        <w:gridCol w:w="5970"/>
      </w:tblGrid>
      <w:tr w:rsidR="001D04B0" w14:paraId="7D2E5ACD" w14:textId="77777777">
        <w:trPr>
          <w:trHeight w:val="414"/>
        </w:trPr>
        <w:tc>
          <w:tcPr>
            <w:tcW w:w="2389" w:type="dxa"/>
          </w:tcPr>
          <w:p w14:paraId="28A8558F" w14:textId="77777777" w:rsidR="001D04B0" w:rsidRDefault="001D04B0">
            <w:pPr>
              <w:pStyle w:val="TableParagraph"/>
              <w:tabs>
                <w:tab w:val="left" w:pos="993"/>
              </w:tabs>
              <w:spacing w:before="1" w:line="240" w:lineRule="auto"/>
              <w:ind w:left="993" w:hanging="709"/>
              <w:rPr>
                <w:b/>
                <w:sz w:val="24"/>
                <w:szCs w:val="24"/>
              </w:rPr>
            </w:pPr>
          </w:p>
        </w:tc>
        <w:tc>
          <w:tcPr>
            <w:tcW w:w="5970" w:type="dxa"/>
          </w:tcPr>
          <w:p w14:paraId="5CE70C77" w14:textId="77777777" w:rsidR="001D04B0" w:rsidRDefault="00000000">
            <w:pPr>
              <w:spacing w:line="240" w:lineRule="auto"/>
              <w:ind w:firstLineChars="450" w:firstLine="1084"/>
              <w:jc w:val="both"/>
              <w:rPr>
                <w:rFonts w:ascii="Times New Roman" w:hAnsi="Times New Roman" w:cs="Times New Roman"/>
                <w:b/>
                <w:bCs/>
                <w:sz w:val="24"/>
                <w:szCs w:val="24"/>
                <w:vertAlign w:val="superscript"/>
              </w:rPr>
            </w:pPr>
            <w:r>
              <w:rPr>
                <w:rFonts w:ascii="Times New Roman" w:hAnsi="Times New Roman" w:cs="Times New Roman"/>
                <w:b/>
                <w:bCs/>
                <w:sz w:val="24"/>
                <w:szCs w:val="24"/>
              </w:rPr>
              <w:t xml:space="preserve">Drug Profile of Eplerenone </w:t>
            </w:r>
            <w:r>
              <w:rPr>
                <w:rFonts w:ascii="Times New Roman" w:hAnsi="Times New Roman" w:cs="Times New Roman"/>
                <w:b/>
                <w:bCs/>
                <w:sz w:val="24"/>
                <w:szCs w:val="24"/>
                <w:vertAlign w:val="superscript"/>
              </w:rPr>
              <w:t>[12-13]</w:t>
            </w:r>
          </w:p>
          <w:p w14:paraId="26D60FF1"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Table 4- Drug Profile of Eplerenone</w:t>
            </w:r>
          </w:p>
        </w:tc>
      </w:tr>
    </w:tbl>
    <w:p w14:paraId="765E6AE6" w14:textId="77777777" w:rsidR="001D04B0" w:rsidRDefault="001D04B0">
      <w:pPr>
        <w:spacing w:line="240" w:lineRule="auto"/>
        <w:rPr>
          <w:rFonts w:ascii="Times New Roman" w:hAnsi="Times New Roman" w:cs="Times New Roman"/>
          <w:b/>
          <w:bCs/>
          <w:sz w:val="24"/>
          <w:szCs w:val="24"/>
        </w:rPr>
      </w:pPr>
    </w:p>
    <w:tbl>
      <w:tblPr>
        <w:tblpPr w:leftFromText="180" w:rightFromText="180" w:vertAnchor="text" w:tblpY="1"/>
        <w:tblOverlap w:val="never"/>
        <w:tblW w:w="1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9"/>
        <w:gridCol w:w="28"/>
        <w:gridCol w:w="8842"/>
      </w:tblGrid>
      <w:tr w:rsidR="001D04B0" w14:paraId="3DA40532" w14:textId="77777777">
        <w:trPr>
          <w:trHeight w:val="412"/>
        </w:trPr>
        <w:tc>
          <w:tcPr>
            <w:tcW w:w="11259" w:type="dxa"/>
            <w:gridSpan w:val="3"/>
          </w:tcPr>
          <w:p w14:paraId="1F37E049" w14:textId="77777777" w:rsidR="001D04B0" w:rsidRDefault="00000000">
            <w:pPr>
              <w:pStyle w:val="TableParagraph"/>
              <w:tabs>
                <w:tab w:val="left" w:pos="993"/>
              </w:tabs>
              <w:spacing w:line="240" w:lineRule="auto"/>
              <w:ind w:left="993" w:hanging="709"/>
              <w:rPr>
                <w:b/>
                <w:sz w:val="24"/>
                <w:szCs w:val="24"/>
              </w:rPr>
            </w:pPr>
            <w:r>
              <w:rPr>
                <w:b/>
                <w:sz w:val="24"/>
                <w:szCs w:val="24"/>
              </w:rPr>
              <w:t>Drug</w:t>
            </w:r>
            <w:r>
              <w:rPr>
                <w:b/>
                <w:spacing w:val="-2"/>
                <w:sz w:val="24"/>
                <w:szCs w:val="24"/>
              </w:rPr>
              <w:t xml:space="preserve"> Information</w:t>
            </w:r>
          </w:p>
        </w:tc>
      </w:tr>
      <w:tr w:rsidR="001D04B0" w14:paraId="4244A0C9" w14:textId="77777777">
        <w:trPr>
          <w:trHeight w:val="414"/>
        </w:trPr>
        <w:tc>
          <w:tcPr>
            <w:tcW w:w="2417" w:type="dxa"/>
            <w:gridSpan w:val="2"/>
          </w:tcPr>
          <w:p w14:paraId="58681D3D" w14:textId="77777777" w:rsidR="001D04B0" w:rsidRDefault="00000000">
            <w:pPr>
              <w:pStyle w:val="TableParagraph"/>
              <w:tabs>
                <w:tab w:val="left" w:pos="567"/>
              </w:tabs>
              <w:spacing w:line="240" w:lineRule="auto"/>
              <w:ind w:left="284"/>
              <w:rPr>
                <w:b/>
                <w:sz w:val="24"/>
                <w:szCs w:val="24"/>
              </w:rPr>
            </w:pPr>
            <w:r>
              <w:rPr>
                <w:b/>
                <w:sz w:val="24"/>
                <w:szCs w:val="24"/>
              </w:rPr>
              <w:t>Therapeutic</w:t>
            </w:r>
            <w:r>
              <w:rPr>
                <w:b/>
                <w:spacing w:val="-5"/>
                <w:sz w:val="24"/>
                <w:szCs w:val="24"/>
              </w:rPr>
              <w:t xml:space="preserve"> </w:t>
            </w:r>
            <w:r>
              <w:rPr>
                <w:b/>
                <w:spacing w:val="-2"/>
                <w:sz w:val="24"/>
                <w:szCs w:val="24"/>
              </w:rPr>
              <w:t>category</w:t>
            </w:r>
          </w:p>
        </w:tc>
        <w:tc>
          <w:tcPr>
            <w:tcW w:w="8842" w:type="dxa"/>
          </w:tcPr>
          <w:p w14:paraId="2D369157" w14:textId="77777777" w:rsidR="001D04B0" w:rsidRDefault="00000000">
            <w:pPr>
              <w:pStyle w:val="TableParagraph"/>
              <w:tabs>
                <w:tab w:val="left" w:pos="993"/>
              </w:tabs>
              <w:spacing w:line="240" w:lineRule="auto"/>
              <w:ind w:left="993" w:right="170" w:hanging="709"/>
              <w:jc w:val="both"/>
              <w:rPr>
                <w:sz w:val="24"/>
                <w:szCs w:val="24"/>
                <w:lang w:val="en-IN"/>
              </w:rPr>
            </w:pPr>
            <w:r>
              <w:rPr>
                <w:sz w:val="24"/>
                <w:szCs w:val="24"/>
              </w:rPr>
              <w:t>Anti-hypertensive Agent</w:t>
            </w:r>
          </w:p>
          <w:p w14:paraId="21728AD4" w14:textId="77777777" w:rsidR="001D04B0" w:rsidRDefault="001D04B0">
            <w:pPr>
              <w:pStyle w:val="TableParagraph"/>
              <w:tabs>
                <w:tab w:val="left" w:pos="993"/>
              </w:tabs>
              <w:spacing w:line="240" w:lineRule="auto"/>
              <w:ind w:left="993" w:right="170" w:hanging="709"/>
              <w:jc w:val="both"/>
              <w:rPr>
                <w:sz w:val="24"/>
                <w:szCs w:val="24"/>
              </w:rPr>
            </w:pPr>
          </w:p>
        </w:tc>
      </w:tr>
      <w:tr w:rsidR="001D04B0" w14:paraId="6005CC8F" w14:textId="77777777">
        <w:trPr>
          <w:trHeight w:val="827"/>
        </w:trPr>
        <w:tc>
          <w:tcPr>
            <w:tcW w:w="2417" w:type="dxa"/>
            <w:gridSpan w:val="2"/>
          </w:tcPr>
          <w:p w14:paraId="5DD91A95" w14:textId="77777777" w:rsidR="001D04B0" w:rsidRDefault="00000000">
            <w:pPr>
              <w:pStyle w:val="TableParagraph"/>
              <w:tabs>
                <w:tab w:val="left" w:pos="993"/>
              </w:tabs>
              <w:spacing w:line="240" w:lineRule="auto"/>
              <w:ind w:left="993" w:hanging="709"/>
              <w:rPr>
                <w:b/>
                <w:sz w:val="24"/>
                <w:szCs w:val="24"/>
              </w:rPr>
            </w:pPr>
            <w:r>
              <w:rPr>
                <w:b/>
                <w:spacing w:val="-2"/>
                <w:sz w:val="24"/>
                <w:szCs w:val="24"/>
              </w:rPr>
              <w:t>Therapeutic</w:t>
            </w:r>
          </w:p>
          <w:p w14:paraId="6CDD9E9E" w14:textId="77777777" w:rsidR="001D04B0" w:rsidRDefault="00000000">
            <w:pPr>
              <w:pStyle w:val="TableParagraph"/>
              <w:tabs>
                <w:tab w:val="left" w:pos="993"/>
              </w:tabs>
              <w:spacing w:before="139" w:line="240" w:lineRule="auto"/>
              <w:ind w:left="993" w:hanging="709"/>
              <w:rPr>
                <w:b/>
                <w:sz w:val="24"/>
                <w:szCs w:val="24"/>
              </w:rPr>
            </w:pPr>
            <w:r>
              <w:rPr>
                <w:b/>
                <w:spacing w:val="-2"/>
                <w:sz w:val="24"/>
                <w:szCs w:val="24"/>
              </w:rPr>
              <w:t>Indication</w:t>
            </w:r>
          </w:p>
        </w:tc>
        <w:tc>
          <w:tcPr>
            <w:tcW w:w="8842" w:type="dxa"/>
          </w:tcPr>
          <w:p w14:paraId="0D1B0119" w14:textId="77777777" w:rsidR="001D04B0" w:rsidRDefault="00000000">
            <w:pPr>
              <w:tabs>
                <w:tab w:val="left" w:pos="704"/>
              </w:tabs>
              <w:spacing w:line="240" w:lineRule="auto"/>
              <w:ind w:left="279" w:firstLine="5"/>
              <w:jc w:val="both"/>
              <w:rPr>
                <w:rFonts w:ascii="Times New Roman" w:hAnsi="Times New Roman" w:cs="Times New Roman"/>
                <w:sz w:val="24"/>
                <w:szCs w:val="24"/>
              </w:rPr>
            </w:pPr>
            <w:r>
              <w:rPr>
                <w:rFonts w:ascii="Times New Roman" w:hAnsi="Times New Roman" w:cs="Times New Roman"/>
                <w:sz w:val="24"/>
                <w:szCs w:val="24"/>
                <w:lang w:val="en-US"/>
              </w:rPr>
              <w:t>Used to treat high blood pressure and to improve survival in patients with heart failure</w:t>
            </w:r>
          </w:p>
        </w:tc>
      </w:tr>
      <w:tr w:rsidR="001D04B0" w14:paraId="03627949" w14:textId="77777777">
        <w:trPr>
          <w:trHeight w:val="416"/>
        </w:trPr>
        <w:tc>
          <w:tcPr>
            <w:tcW w:w="2417" w:type="dxa"/>
            <w:gridSpan w:val="2"/>
          </w:tcPr>
          <w:p w14:paraId="598577CB" w14:textId="77777777" w:rsidR="001D04B0" w:rsidRDefault="00000000">
            <w:pPr>
              <w:pStyle w:val="TableParagraph"/>
              <w:tabs>
                <w:tab w:val="left" w:pos="709"/>
              </w:tabs>
              <w:spacing w:line="240" w:lineRule="auto"/>
              <w:ind w:left="284" w:right="147"/>
              <w:rPr>
                <w:b/>
                <w:sz w:val="24"/>
                <w:szCs w:val="24"/>
              </w:rPr>
            </w:pPr>
            <w:r>
              <w:rPr>
                <w:b/>
                <w:sz w:val="24"/>
                <w:szCs w:val="24"/>
              </w:rPr>
              <w:t>Mechanism</w:t>
            </w:r>
            <w:r>
              <w:rPr>
                <w:b/>
                <w:spacing w:val="-2"/>
                <w:sz w:val="24"/>
                <w:szCs w:val="24"/>
              </w:rPr>
              <w:t xml:space="preserve"> </w:t>
            </w:r>
            <w:r>
              <w:rPr>
                <w:b/>
                <w:sz w:val="24"/>
                <w:szCs w:val="24"/>
              </w:rPr>
              <w:t>of</w:t>
            </w:r>
            <w:r>
              <w:rPr>
                <w:b/>
                <w:spacing w:val="-1"/>
                <w:sz w:val="24"/>
                <w:szCs w:val="24"/>
              </w:rPr>
              <w:t xml:space="preserve"> </w:t>
            </w:r>
            <w:r>
              <w:rPr>
                <w:b/>
                <w:spacing w:val="-2"/>
                <w:sz w:val="24"/>
                <w:szCs w:val="24"/>
              </w:rPr>
              <w:t>action</w:t>
            </w:r>
          </w:p>
        </w:tc>
        <w:tc>
          <w:tcPr>
            <w:tcW w:w="8842" w:type="dxa"/>
          </w:tcPr>
          <w:p w14:paraId="70518B86" w14:textId="77777777" w:rsidR="001D04B0" w:rsidRDefault="00000000">
            <w:pPr>
              <w:pStyle w:val="TableParagraph"/>
              <w:tabs>
                <w:tab w:val="left" w:pos="562"/>
              </w:tabs>
              <w:spacing w:before="1" w:line="240" w:lineRule="auto"/>
              <w:ind w:left="279" w:right="170" w:firstLine="5"/>
              <w:jc w:val="both"/>
              <w:rPr>
                <w:sz w:val="24"/>
                <w:szCs w:val="24"/>
              </w:rPr>
            </w:pPr>
            <w:r>
              <w:rPr>
                <w:sz w:val="24"/>
                <w:szCs w:val="24"/>
              </w:rPr>
              <w:t>Eplerenone is a mineralocorticoid receptor antagonist. It binds to the receptor and locks the binding of aldosterone, a component of the renin-angiotensin-aldosterone-system (RAAS). Aldosterone binds to mineralocorticoid receptors in tissues, and increases blood pressure through induction of sodium reabsorption and possibly other mechanisms. Eplerenone works by blocking the actions of aldosterone, and resulting in decreasing blood pressure.</w:t>
            </w:r>
          </w:p>
        </w:tc>
      </w:tr>
      <w:tr w:rsidR="001D04B0" w14:paraId="798A0FF3" w14:textId="77777777">
        <w:trPr>
          <w:trHeight w:val="1266"/>
        </w:trPr>
        <w:tc>
          <w:tcPr>
            <w:tcW w:w="2417" w:type="dxa"/>
            <w:gridSpan w:val="2"/>
          </w:tcPr>
          <w:p w14:paraId="73D3A4AE" w14:textId="77777777" w:rsidR="001D04B0" w:rsidRDefault="00000000">
            <w:pPr>
              <w:pStyle w:val="TableParagraph"/>
              <w:tabs>
                <w:tab w:val="left" w:pos="993"/>
              </w:tabs>
              <w:spacing w:line="240" w:lineRule="auto"/>
              <w:ind w:left="993" w:hanging="709"/>
              <w:rPr>
                <w:b/>
                <w:sz w:val="24"/>
                <w:szCs w:val="24"/>
              </w:rPr>
            </w:pPr>
            <w:r>
              <w:rPr>
                <w:b/>
                <w:sz w:val="24"/>
                <w:szCs w:val="24"/>
              </w:rPr>
              <w:t xml:space="preserve">Chemical </w:t>
            </w:r>
            <w:r>
              <w:rPr>
                <w:b/>
                <w:spacing w:val="-2"/>
                <w:sz w:val="24"/>
                <w:szCs w:val="24"/>
              </w:rPr>
              <w:t>Structure</w:t>
            </w:r>
          </w:p>
        </w:tc>
        <w:tc>
          <w:tcPr>
            <w:tcW w:w="8842" w:type="dxa"/>
          </w:tcPr>
          <w:p w14:paraId="1961AC23" w14:textId="77777777" w:rsidR="001D04B0" w:rsidRDefault="001D04B0">
            <w:pPr>
              <w:pStyle w:val="TableParagraph"/>
              <w:tabs>
                <w:tab w:val="left" w:pos="993"/>
              </w:tabs>
              <w:spacing w:before="10" w:after="1" w:line="240" w:lineRule="auto"/>
              <w:ind w:left="993" w:right="170" w:hanging="709"/>
              <w:rPr>
                <w:b/>
                <w:sz w:val="24"/>
                <w:szCs w:val="24"/>
              </w:rPr>
            </w:pPr>
          </w:p>
          <w:p w14:paraId="5315772E" w14:textId="77777777" w:rsidR="001D04B0" w:rsidRDefault="00000000">
            <w:pPr>
              <w:pStyle w:val="TableParagraph"/>
              <w:tabs>
                <w:tab w:val="left" w:pos="993"/>
              </w:tabs>
              <w:spacing w:line="240" w:lineRule="auto"/>
              <w:ind w:left="993" w:right="170" w:hanging="709"/>
              <w:rPr>
                <w:sz w:val="24"/>
                <w:szCs w:val="24"/>
              </w:rPr>
            </w:pPr>
            <w:r>
              <w:rPr>
                <w:noProof/>
                <w:sz w:val="24"/>
                <w:szCs w:val="24"/>
                <w:lang w:val="en-IN"/>
              </w:rPr>
              <w:drawing>
                <wp:inline distT="0" distB="0" distL="0" distR="0" wp14:anchorId="699B70B4" wp14:editId="0B3F918B">
                  <wp:extent cx="3476625" cy="850265"/>
                  <wp:effectExtent l="0" t="0" r="9525"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3476625" cy="850265"/>
                          </a:xfrm>
                          <a:prstGeom prst="rect">
                            <a:avLst/>
                          </a:prstGeom>
                        </pic:spPr>
                      </pic:pic>
                    </a:graphicData>
                  </a:graphic>
                </wp:inline>
              </w:drawing>
            </w:r>
          </w:p>
        </w:tc>
      </w:tr>
      <w:tr w:rsidR="001D04B0" w14:paraId="5DD742F6" w14:textId="77777777">
        <w:trPr>
          <w:trHeight w:val="412"/>
        </w:trPr>
        <w:tc>
          <w:tcPr>
            <w:tcW w:w="11259" w:type="dxa"/>
            <w:gridSpan w:val="3"/>
          </w:tcPr>
          <w:p w14:paraId="4092E13A" w14:textId="77777777" w:rsidR="001D04B0" w:rsidRDefault="00000000">
            <w:pPr>
              <w:pStyle w:val="TableParagraph"/>
              <w:tabs>
                <w:tab w:val="left" w:pos="993"/>
              </w:tabs>
              <w:spacing w:line="240" w:lineRule="auto"/>
              <w:ind w:left="993" w:right="170" w:hanging="709"/>
              <w:rPr>
                <w:b/>
                <w:sz w:val="24"/>
                <w:szCs w:val="24"/>
              </w:rPr>
            </w:pPr>
            <w:r>
              <w:rPr>
                <w:b/>
                <w:spacing w:val="-2"/>
                <w:sz w:val="24"/>
                <w:szCs w:val="24"/>
              </w:rPr>
              <w:t>Nomenclature</w:t>
            </w:r>
          </w:p>
        </w:tc>
      </w:tr>
      <w:tr w:rsidR="001D04B0" w14:paraId="32EDFDC5" w14:textId="77777777">
        <w:trPr>
          <w:trHeight w:val="1655"/>
        </w:trPr>
        <w:tc>
          <w:tcPr>
            <w:tcW w:w="2417" w:type="dxa"/>
            <w:gridSpan w:val="2"/>
          </w:tcPr>
          <w:p w14:paraId="2630CFDB" w14:textId="77777777" w:rsidR="001D04B0" w:rsidRDefault="00000000">
            <w:pPr>
              <w:pStyle w:val="TableParagraph"/>
              <w:tabs>
                <w:tab w:val="left" w:pos="709"/>
              </w:tabs>
              <w:spacing w:line="240" w:lineRule="auto"/>
              <w:ind w:left="284" w:right="223"/>
              <w:jc w:val="both"/>
              <w:rPr>
                <w:b/>
                <w:sz w:val="24"/>
                <w:szCs w:val="24"/>
              </w:rPr>
            </w:pPr>
            <w:r>
              <w:rPr>
                <w:b/>
                <w:sz w:val="24"/>
                <w:szCs w:val="24"/>
              </w:rPr>
              <w:t>International</w:t>
            </w:r>
            <w:r>
              <w:rPr>
                <w:b/>
                <w:spacing w:val="-11"/>
                <w:sz w:val="24"/>
                <w:szCs w:val="24"/>
              </w:rPr>
              <w:t xml:space="preserve"> </w:t>
            </w:r>
            <w:r>
              <w:rPr>
                <w:b/>
                <w:sz w:val="24"/>
                <w:szCs w:val="24"/>
              </w:rPr>
              <w:t>Union of</w:t>
            </w:r>
            <w:r>
              <w:rPr>
                <w:b/>
                <w:spacing w:val="-13"/>
                <w:sz w:val="24"/>
                <w:szCs w:val="24"/>
              </w:rPr>
              <w:t xml:space="preserve"> </w:t>
            </w:r>
            <w:r>
              <w:rPr>
                <w:b/>
                <w:sz w:val="24"/>
                <w:szCs w:val="24"/>
              </w:rPr>
              <w:t>Pure</w:t>
            </w:r>
            <w:r>
              <w:rPr>
                <w:b/>
                <w:spacing w:val="-13"/>
                <w:sz w:val="24"/>
                <w:szCs w:val="24"/>
              </w:rPr>
              <w:t xml:space="preserve"> </w:t>
            </w:r>
            <w:r>
              <w:rPr>
                <w:b/>
                <w:sz w:val="24"/>
                <w:szCs w:val="24"/>
              </w:rPr>
              <w:t>and</w:t>
            </w:r>
            <w:r>
              <w:rPr>
                <w:b/>
                <w:spacing w:val="-13"/>
                <w:sz w:val="24"/>
                <w:szCs w:val="24"/>
              </w:rPr>
              <w:t xml:space="preserve"> </w:t>
            </w:r>
            <w:r>
              <w:rPr>
                <w:b/>
                <w:sz w:val="24"/>
                <w:szCs w:val="24"/>
              </w:rPr>
              <w:t>Applied Chemistry</w:t>
            </w:r>
            <w:r>
              <w:rPr>
                <w:b/>
                <w:spacing w:val="-1"/>
                <w:sz w:val="24"/>
                <w:szCs w:val="24"/>
              </w:rPr>
              <w:t xml:space="preserve"> </w:t>
            </w:r>
            <w:r>
              <w:rPr>
                <w:b/>
                <w:spacing w:val="-2"/>
                <w:sz w:val="24"/>
                <w:szCs w:val="24"/>
              </w:rPr>
              <w:t>(IUPAC)</w:t>
            </w:r>
            <w:r>
              <w:rPr>
                <w:b/>
                <w:sz w:val="24"/>
                <w:szCs w:val="24"/>
              </w:rPr>
              <w:t xml:space="preserve"> </w:t>
            </w:r>
            <w:r>
              <w:rPr>
                <w:b/>
                <w:spacing w:val="-4"/>
                <w:sz w:val="24"/>
                <w:szCs w:val="24"/>
              </w:rPr>
              <w:t>Name</w:t>
            </w:r>
          </w:p>
        </w:tc>
        <w:tc>
          <w:tcPr>
            <w:tcW w:w="8842" w:type="dxa"/>
          </w:tcPr>
          <w:p w14:paraId="39A2BB08" w14:textId="77777777" w:rsidR="001D04B0" w:rsidRDefault="00000000">
            <w:pPr>
              <w:pStyle w:val="TableParagraph"/>
              <w:tabs>
                <w:tab w:val="left" w:pos="704"/>
              </w:tabs>
              <w:spacing w:line="240" w:lineRule="auto"/>
              <w:ind w:left="279" w:right="170" w:firstLine="5"/>
              <w:jc w:val="both"/>
              <w:rPr>
                <w:sz w:val="24"/>
                <w:szCs w:val="24"/>
              </w:rPr>
            </w:pPr>
            <w:r>
              <w:rPr>
                <w:sz w:val="24"/>
                <w:szCs w:val="24"/>
              </w:rPr>
              <w:t>methyl (1R,2S,9R,10R,11S,14R,15S,17R)-2,15-dimethyl-5,5'-dioxospiro[18-oxapentacyclo[8.8.0.01,17.02,7.011,15]octadec-6-ene-14,2'-oxolane]-9-carboxylate</w:t>
            </w:r>
          </w:p>
        </w:tc>
      </w:tr>
      <w:tr w:rsidR="001D04B0" w14:paraId="0CF9D3CF" w14:textId="77777777">
        <w:trPr>
          <w:trHeight w:val="414"/>
        </w:trPr>
        <w:tc>
          <w:tcPr>
            <w:tcW w:w="2417" w:type="dxa"/>
            <w:gridSpan w:val="2"/>
          </w:tcPr>
          <w:p w14:paraId="6F2D3C90" w14:textId="77777777" w:rsidR="001D04B0" w:rsidRDefault="00000000">
            <w:pPr>
              <w:pStyle w:val="TableParagraph"/>
              <w:tabs>
                <w:tab w:val="left" w:pos="993"/>
              </w:tabs>
              <w:spacing w:line="240" w:lineRule="auto"/>
              <w:ind w:left="993" w:hanging="709"/>
              <w:rPr>
                <w:b/>
                <w:sz w:val="24"/>
                <w:szCs w:val="24"/>
              </w:rPr>
            </w:pPr>
            <w:r>
              <w:rPr>
                <w:b/>
                <w:sz w:val="24"/>
                <w:szCs w:val="24"/>
              </w:rPr>
              <w:t>Empirical</w:t>
            </w:r>
            <w:r>
              <w:rPr>
                <w:b/>
                <w:spacing w:val="-2"/>
                <w:sz w:val="24"/>
                <w:szCs w:val="24"/>
              </w:rPr>
              <w:t xml:space="preserve"> formula</w:t>
            </w:r>
          </w:p>
        </w:tc>
        <w:tc>
          <w:tcPr>
            <w:tcW w:w="8842" w:type="dxa"/>
          </w:tcPr>
          <w:p w14:paraId="357963E3" w14:textId="77777777" w:rsidR="001D04B0" w:rsidRDefault="00000000">
            <w:pPr>
              <w:pStyle w:val="TableParagraph"/>
              <w:tabs>
                <w:tab w:val="left" w:pos="993"/>
              </w:tabs>
              <w:spacing w:line="240" w:lineRule="auto"/>
              <w:ind w:left="993" w:right="170" w:hanging="709"/>
              <w:rPr>
                <w:sz w:val="24"/>
                <w:szCs w:val="24"/>
                <w:lang w:val="en-IN"/>
              </w:rPr>
            </w:pPr>
            <w:r>
              <w:rPr>
                <w:sz w:val="24"/>
                <w:szCs w:val="24"/>
                <w:lang w:val="en-IN"/>
              </w:rPr>
              <w:t>C</w:t>
            </w:r>
            <w:r>
              <w:rPr>
                <w:sz w:val="24"/>
                <w:szCs w:val="24"/>
                <w:vertAlign w:val="subscript"/>
                <w:lang w:val="en-IN"/>
              </w:rPr>
              <w:t>24</w:t>
            </w:r>
            <w:r>
              <w:rPr>
                <w:sz w:val="24"/>
                <w:szCs w:val="24"/>
                <w:lang w:val="en-IN"/>
              </w:rPr>
              <w:t>H</w:t>
            </w:r>
            <w:r>
              <w:rPr>
                <w:sz w:val="24"/>
                <w:szCs w:val="24"/>
                <w:vertAlign w:val="subscript"/>
                <w:lang w:val="en-IN"/>
              </w:rPr>
              <w:t>30</w:t>
            </w:r>
            <w:r>
              <w:rPr>
                <w:sz w:val="24"/>
                <w:szCs w:val="24"/>
                <w:lang w:val="en-IN"/>
              </w:rPr>
              <w:t>O</w:t>
            </w:r>
            <w:r>
              <w:rPr>
                <w:sz w:val="24"/>
                <w:szCs w:val="24"/>
                <w:vertAlign w:val="subscript"/>
                <w:lang w:val="en-IN"/>
              </w:rPr>
              <w:t>6</w:t>
            </w:r>
          </w:p>
        </w:tc>
      </w:tr>
      <w:tr w:rsidR="001D04B0" w14:paraId="7B071211" w14:textId="77777777">
        <w:trPr>
          <w:trHeight w:val="415"/>
        </w:trPr>
        <w:tc>
          <w:tcPr>
            <w:tcW w:w="2417" w:type="dxa"/>
            <w:gridSpan w:val="2"/>
          </w:tcPr>
          <w:p w14:paraId="673F6598" w14:textId="77777777" w:rsidR="001D04B0" w:rsidRDefault="00000000">
            <w:pPr>
              <w:pStyle w:val="TableParagraph"/>
              <w:tabs>
                <w:tab w:val="left" w:pos="993"/>
              </w:tabs>
              <w:spacing w:line="240" w:lineRule="auto"/>
              <w:ind w:left="993" w:hanging="709"/>
              <w:rPr>
                <w:b/>
                <w:sz w:val="24"/>
                <w:szCs w:val="24"/>
              </w:rPr>
            </w:pPr>
            <w:r>
              <w:rPr>
                <w:b/>
                <w:sz w:val="24"/>
                <w:szCs w:val="24"/>
              </w:rPr>
              <w:t>Molecular</w:t>
            </w:r>
            <w:r>
              <w:rPr>
                <w:b/>
                <w:spacing w:val="-3"/>
                <w:sz w:val="24"/>
                <w:szCs w:val="24"/>
              </w:rPr>
              <w:t xml:space="preserve"> </w:t>
            </w:r>
            <w:r>
              <w:rPr>
                <w:b/>
                <w:spacing w:val="-2"/>
                <w:sz w:val="24"/>
                <w:szCs w:val="24"/>
              </w:rPr>
              <w:t>weight</w:t>
            </w:r>
          </w:p>
        </w:tc>
        <w:tc>
          <w:tcPr>
            <w:tcW w:w="8842" w:type="dxa"/>
          </w:tcPr>
          <w:p w14:paraId="0629574E" w14:textId="77777777" w:rsidR="001D04B0" w:rsidRDefault="00000000">
            <w:pPr>
              <w:pStyle w:val="TableParagraph"/>
              <w:tabs>
                <w:tab w:val="left" w:pos="993"/>
              </w:tabs>
              <w:spacing w:line="240" w:lineRule="auto"/>
              <w:ind w:left="993" w:right="170" w:hanging="709"/>
              <w:rPr>
                <w:sz w:val="24"/>
                <w:szCs w:val="24"/>
                <w:lang w:val="en-IN"/>
              </w:rPr>
            </w:pPr>
            <w:r>
              <w:rPr>
                <w:sz w:val="24"/>
                <w:szCs w:val="24"/>
              </w:rPr>
              <w:t>1275.7g/mol</w:t>
            </w:r>
          </w:p>
        </w:tc>
      </w:tr>
      <w:tr w:rsidR="001D04B0" w14:paraId="1951D678" w14:textId="77777777">
        <w:trPr>
          <w:trHeight w:val="1240"/>
        </w:trPr>
        <w:tc>
          <w:tcPr>
            <w:tcW w:w="2417" w:type="dxa"/>
            <w:gridSpan w:val="2"/>
          </w:tcPr>
          <w:p w14:paraId="594D01FF" w14:textId="77777777" w:rsidR="001D04B0" w:rsidRDefault="00000000">
            <w:pPr>
              <w:pStyle w:val="TableParagraph"/>
              <w:tabs>
                <w:tab w:val="left" w:pos="426"/>
              </w:tabs>
              <w:spacing w:line="240" w:lineRule="auto"/>
              <w:ind w:left="284" w:right="275"/>
              <w:rPr>
                <w:b/>
                <w:sz w:val="24"/>
                <w:szCs w:val="24"/>
              </w:rPr>
            </w:pPr>
            <w:r>
              <w:rPr>
                <w:b/>
                <w:sz w:val="24"/>
                <w:szCs w:val="24"/>
              </w:rPr>
              <w:t>Chemical</w:t>
            </w:r>
            <w:r>
              <w:rPr>
                <w:b/>
                <w:spacing w:val="-15"/>
                <w:sz w:val="24"/>
                <w:szCs w:val="24"/>
              </w:rPr>
              <w:t xml:space="preserve"> </w:t>
            </w:r>
            <w:r>
              <w:rPr>
                <w:b/>
                <w:sz w:val="24"/>
                <w:szCs w:val="24"/>
              </w:rPr>
              <w:t xml:space="preserve">Abstracts Service (CAS) </w:t>
            </w:r>
            <w:r>
              <w:rPr>
                <w:b/>
                <w:spacing w:val="-2"/>
                <w:sz w:val="24"/>
                <w:szCs w:val="24"/>
              </w:rPr>
              <w:t>Number</w:t>
            </w:r>
          </w:p>
        </w:tc>
        <w:tc>
          <w:tcPr>
            <w:tcW w:w="8842" w:type="dxa"/>
          </w:tcPr>
          <w:p w14:paraId="7A527C29" w14:textId="77777777" w:rsidR="001D04B0" w:rsidRDefault="00000000">
            <w:pPr>
              <w:pStyle w:val="TableParagraph"/>
              <w:tabs>
                <w:tab w:val="left" w:pos="993"/>
              </w:tabs>
              <w:spacing w:line="240" w:lineRule="auto"/>
              <w:ind w:left="993" w:right="170" w:hanging="709"/>
              <w:rPr>
                <w:sz w:val="24"/>
                <w:szCs w:val="24"/>
              </w:rPr>
            </w:pPr>
            <w:r>
              <w:rPr>
                <w:sz w:val="24"/>
                <w:szCs w:val="24"/>
              </w:rPr>
              <w:tab/>
            </w:r>
          </w:p>
          <w:p w14:paraId="497219A5" w14:textId="77777777" w:rsidR="001D04B0" w:rsidRDefault="00000000">
            <w:pPr>
              <w:pStyle w:val="TableParagraph"/>
              <w:tabs>
                <w:tab w:val="left" w:pos="993"/>
              </w:tabs>
              <w:spacing w:line="240" w:lineRule="auto"/>
              <w:ind w:left="993" w:right="170" w:hanging="709"/>
              <w:rPr>
                <w:sz w:val="24"/>
                <w:szCs w:val="24"/>
                <w:lang w:val="en-IN"/>
              </w:rPr>
            </w:pPr>
            <w:r>
              <w:rPr>
                <w:sz w:val="24"/>
                <w:szCs w:val="24"/>
              </w:rPr>
              <w:t>107724-20-9</w:t>
            </w:r>
            <w:r>
              <w:rPr>
                <w:sz w:val="24"/>
                <w:szCs w:val="24"/>
              </w:rPr>
              <w:tab/>
            </w:r>
          </w:p>
          <w:p w14:paraId="394EA662" w14:textId="77777777" w:rsidR="001D04B0" w:rsidRDefault="001D04B0">
            <w:pPr>
              <w:pStyle w:val="TableParagraph"/>
              <w:tabs>
                <w:tab w:val="left" w:pos="993"/>
              </w:tabs>
              <w:spacing w:line="240" w:lineRule="auto"/>
              <w:ind w:left="993" w:right="170" w:hanging="709"/>
              <w:rPr>
                <w:sz w:val="24"/>
                <w:szCs w:val="24"/>
              </w:rPr>
            </w:pPr>
          </w:p>
        </w:tc>
      </w:tr>
      <w:tr w:rsidR="001D04B0" w14:paraId="7859A62B" w14:textId="77777777">
        <w:trPr>
          <w:trHeight w:val="371"/>
        </w:trPr>
        <w:tc>
          <w:tcPr>
            <w:tcW w:w="2417" w:type="dxa"/>
            <w:gridSpan w:val="2"/>
          </w:tcPr>
          <w:p w14:paraId="739D7D67" w14:textId="77777777" w:rsidR="001D04B0" w:rsidRDefault="00000000">
            <w:pPr>
              <w:pStyle w:val="TableParagraph"/>
              <w:tabs>
                <w:tab w:val="left" w:pos="993"/>
              </w:tabs>
              <w:spacing w:line="240" w:lineRule="auto"/>
              <w:ind w:left="993" w:hanging="709"/>
              <w:rPr>
                <w:b/>
                <w:sz w:val="24"/>
                <w:szCs w:val="24"/>
              </w:rPr>
            </w:pPr>
            <w:r>
              <w:rPr>
                <w:b/>
                <w:sz w:val="24"/>
                <w:szCs w:val="24"/>
              </w:rPr>
              <w:t xml:space="preserve">Approval </w:t>
            </w:r>
            <w:r>
              <w:rPr>
                <w:b/>
                <w:spacing w:val="-2"/>
                <w:sz w:val="24"/>
                <w:szCs w:val="24"/>
              </w:rPr>
              <w:t>Status</w:t>
            </w:r>
          </w:p>
        </w:tc>
        <w:tc>
          <w:tcPr>
            <w:tcW w:w="8842" w:type="dxa"/>
          </w:tcPr>
          <w:p w14:paraId="7BE0C104" w14:textId="77777777" w:rsidR="001D04B0" w:rsidRDefault="00000000">
            <w:pPr>
              <w:pStyle w:val="TableParagraph"/>
              <w:tabs>
                <w:tab w:val="left" w:pos="993"/>
              </w:tabs>
              <w:spacing w:line="240" w:lineRule="auto"/>
              <w:ind w:left="993" w:right="170" w:hanging="709"/>
              <w:rPr>
                <w:sz w:val="24"/>
                <w:szCs w:val="24"/>
                <w:lang w:val="en-IN"/>
              </w:rPr>
            </w:pPr>
            <w:r>
              <w:rPr>
                <w:sz w:val="24"/>
                <w:szCs w:val="24"/>
                <w:lang w:val="en-IN"/>
              </w:rPr>
              <w:t>Official in IP, BP</w:t>
            </w:r>
          </w:p>
        </w:tc>
      </w:tr>
      <w:tr w:rsidR="001D04B0" w14:paraId="5AF6DEC7" w14:textId="77777777">
        <w:trPr>
          <w:trHeight w:val="414"/>
        </w:trPr>
        <w:tc>
          <w:tcPr>
            <w:tcW w:w="11259" w:type="dxa"/>
            <w:gridSpan w:val="3"/>
          </w:tcPr>
          <w:p w14:paraId="2248B93B" w14:textId="77777777" w:rsidR="001D04B0" w:rsidRDefault="00000000">
            <w:pPr>
              <w:pStyle w:val="TableParagraph"/>
              <w:tabs>
                <w:tab w:val="left" w:pos="993"/>
              </w:tabs>
              <w:spacing w:before="1" w:line="240" w:lineRule="auto"/>
              <w:ind w:left="993" w:right="170" w:hanging="709"/>
              <w:rPr>
                <w:b/>
                <w:sz w:val="24"/>
                <w:szCs w:val="24"/>
              </w:rPr>
            </w:pPr>
            <w:r>
              <w:rPr>
                <w:b/>
                <w:sz w:val="24"/>
                <w:szCs w:val="24"/>
              </w:rPr>
              <w:t>Physicochemical</w:t>
            </w:r>
            <w:r>
              <w:rPr>
                <w:b/>
                <w:spacing w:val="-2"/>
                <w:sz w:val="24"/>
                <w:szCs w:val="24"/>
              </w:rPr>
              <w:t xml:space="preserve"> Properties</w:t>
            </w:r>
          </w:p>
        </w:tc>
      </w:tr>
      <w:tr w:rsidR="001D04B0" w14:paraId="4AC916B1" w14:textId="77777777">
        <w:trPr>
          <w:trHeight w:val="414"/>
        </w:trPr>
        <w:tc>
          <w:tcPr>
            <w:tcW w:w="2389" w:type="dxa"/>
          </w:tcPr>
          <w:p w14:paraId="4BCD6A09" w14:textId="77777777" w:rsidR="001D04B0" w:rsidRDefault="00000000">
            <w:pPr>
              <w:pStyle w:val="TableParagraph"/>
              <w:tabs>
                <w:tab w:val="left" w:pos="993"/>
              </w:tabs>
              <w:spacing w:before="1" w:line="240" w:lineRule="auto"/>
              <w:ind w:left="993" w:hanging="709"/>
              <w:rPr>
                <w:b/>
                <w:sz w:val="24"/>
                <w:szCs w:val="24"/>
              </w:rPr>
            </w:pPr>
            <w:r>
              <w:rPr>
                <w:b/>
                <w:spacing w:val="-2"/>
                <w:sz w:val="24"/>
                <w:szCs w:val="24"/>
              </w:rPr>
              <w:t>Appearance</w:t>
            </w:r>
          </w:p>
        </w:tc>
        <w:tc>
          <w:tcPr>
            <w:tcW w:w="8870" w:type="dxa"/>
            <w:gridSpan w:val="2"/>
          </w:tcPr>
          <w:p w14:paraId="2269AAC5" w14:textId="77777777" w:rsidR="001D04B0" w:rsidRDefault="00000000">
            <w:pPr>
              <w:pStyle w:val="TableParagraph"/>
              <w:tabs>
                <w:tab w:val="left" w:pos="993"/>
              </w:tabs>
              <w:spacing w:before="1" w:line="240" w:lineRule="auto"/>
              <w:ind w:left="993" w:right="170" w:hanging="709"/>
              <w:rPr>
                <w:sz w:val="24"/>
                <w:szCs w:val="24"/>
                <w:lang w:val="en-IN"/>
              </w:rPr>
            </w:pPr>
            <w:r>
              <w:rPr>
                <w:sz w:val="24"/>
                <w:szCs w:val="24"/>
              </w:rPr>
              <w:t>White colored powder</w:t>
            </w:r>
          </w:p>
        </w:tc>
      </w:tr>
      <w:tr w:rsidR="001D04B0" w14:paraId="7F4B55A2" w14:textId="77777777">
        <w:trPr>
          <w:trHeight w:val="414"/>
        </w:trPr>
        <w:tc>
          <w:tcPr>
            <w:tcW w:w="2389" w:type="dxa"/>
          </w:tcPr>
          <w:p w14:paraId="1F7856F3" w14:textId="77777777" w:rsidR="001D04B0" w:rsidRDefault="00000000">
            <w:pPr>
              <w:pStyle w:val="TableParagraph"/>
              <w:tabs>
                <w:tab w:val="left" w:pos="993"/>
              </w:tabs>
              <w:spacing w:before="1" w:line="240" w:lineRule="auto"/>
              <w:ind w:left="993" w:hanging="709"/>
              <w:rPr>
                <w:b/>
                <w:sz w:val="24"/>
                <w:szCs w:val="24"/>
              </w:rPr>
            </w:pPr>
            <w:r>
              <w:rPr>
                <w:b/>
                <w:spacing w:val="-2"/>
                <w:sz w:val="24"/>
                <w:szCs w:val="24"/>
              </w:rPr>
              <w:t>Solubility</w:t>
            </w:r>
          </w:p>
        </w:tc>
        <w:tc>
          <w:tcPr>
            <w:tcW w:w="8870" w:type="dxa"/>
            <w:gridSpan w:val="2"/>
          </w:tcPr>
          <w:p w14:paraId="66AC692A" w14:textId="77777777" w:rsidR="001D04B0" w:rsidRDefault="00000000">
            <w:pPr>
              <w:pStyle w:val="TableParagraph"/>
              <w:tabs>
                <w:tab w:val="left" w:pos="578"/>
              </w:tabs>
              <w:spacing w:before="1" w:line="240" w:lineRule="auto"/>
              <w:ind w:left="295" w:right="170" w:hanging="11"/>
              <w:jc w:val="both"/>
              <w:rPr>
                <w:bCs/>
                <w:sz w:val="24"/>
                <w:szCs w:val="24"/>
                <w:lang w:val="en-IN"/>
              </w:rPr>
            </w:pPr>
            <w:r>
              <w:rPr>
                <w:bCs/>
                <w:sz w:val="24"/>
                <w:szCs w:val="24"/>
              </w:rPr>
              <w:t>Soluble in organic solvent (Ethanol, Chloroform)</w:t>
            </w:r>
          </w:p>
        </w:tc>
      </w:tr>
      <w:tr w:rsidR="001D04B0" w14:paraId="5F0C7550" w14:textId="77777777">
        <w:trPr>
          <w:trHeight w:val="414"/>
        </w:trPr>
        <w:tc>
          <w:tcPr>
            <w:tcW w:w="2389" w:type="dxa"/>
          </w:tcPr>
          <w:p w14:paraId="08211ED7" w14:textId="77777777" w:rsidR="001D04B0" w:rsidRDefault="00000000">
            <w:pPr>
              <w:pStyle w:val="TableParagraph"/>
              <w:tabs>
                <w:tab w:val="left" w:pos="993"/>
              </w:tabs>
              <w:spacing w:before="1" w:line="240" w:lineRule="auto"/>
              <w:ind w:left="993" w:hanging="709"/>
              <w:rPr>
                <w:b/>
                <w:sz w:val="24"/>
                <w:szCs w:val="24"/>
              </w:rPr>
            </w:pPr>
            <w:r>
              <w:rPr>
                <w:b/>
                <w:sz w:val="24"/>
                <w:szCs w:val="24"/>
              </w:rPr>
              <w:t>Melting</w:t>
            </w:r>
            <w:r>
              <w:rPr>
                <w:b/>
                <w:spacing w:val="-2"/>
                <w:sz w:val="24"/>
                <w:szCs w:val="24"/>
              </w:rPr>
              <w:t xml:space="preserve"> point</w:t>
            </w:r>
          </w:p>
        </w:tc>
        <w:tc>
          <w:tcPr>
            <w:tcW w:w="8870" w:type="dxa"/>
            <w:gridSpan w:val="2"/>
          </w:tcPr>
          <w:p w14:paraId="79A8E2A9" w14:textId="77777777" w:rsidR="001D04B0" w:rsidRDefault="00000000">
            <w:pPr>
              <w:pStyle w:val="TableParagraph"/>
              <w:tabs>
                <w:tab w:val="left" w:pos="993"/>
              </w:tabs>
              <w:spacing w:before="1" w:line="240" w:lineRule="auto"/>
              <w:ind w:left="993" w:right="170" w:hanging="709"/>
              <w:rPr>
                <w:bCs/>
                <w:sz w:val="24"/>
                <w:szCs w:val="24"/>
              </w:rPr>
            </w:pPr>
            <w:r>
              <w:rPr>
                <w:bCs/>
                <w:sz w:val="24"/>
                <w:szCs w:val="24"/>
              </w:rPr>
              <w:t>242 ºC</w:t>
            </w:r>
          </w:p>
        </w:tc>
      </w:tr>
      <w:tr w:rsidR="001D04B0" w14:paraId="18670068" w14:textId="77777777">
        <w:trPr>
          <w:trHeight w:val="414"/>
        </w:trPr>
        <w:tc>
          <w:tcPr>
            <w:tcW w:w="2389" w:type="dxa"/>
          </w:tcPr>
          <w:p w14:paraId="7BFD6B14" w14:textId="77777777" w:rsidR="001D04B0" w:rsidRDefault="00000000">
            <w:pPr>
              <w:pStyle w:val="TableParagraph"/>
              <w:tabs>
                <w:tab w:val="left" w:pos="993"/>
              </w:tabs>
              <w:spacing w:before="1" w:line="240" w:lineRule="auto"/>
              <w:ind w:left="993" w:hanging="709"/>
              <w:rPr>
                <w:b/>
                <w:sz w:val="24"/>
                <w:szCs w:val="24"/>
              </w:rPr>
            </w:pPr>
            <w:r>
              <w:rPr>
                <w:b/>
                <w:sz w:val="24"/>
                <w:szCs w:val="24"/>
              </w:rPr>
              <w:t xml:space="preserve">Log </w:t>
            </w:r>
            <w:r>
              <w:rPr>
                <w:b/>
                <w:spacing w:val="-10"/>
                <w:sz w:val="24"/>
                <w:szCs w:val="24"/>
              </w:rPr>
              <w:t>p</w:t>
            </w:r>
          </w:p>
        </w:tc>
        <w:tc>
          <w:tcPr>
            <w:tcW w:w="8870" w:type="dxa"/>
            <w:gridSpan w:val="2"/>
          </w:tcPr>
          <w:p w14:paraId="4401E97C" w14:textId="77777777" w:rsidR="001D04B0" w:rsidRDefault="00000000">
            <w:pPr>
              <w:pStyle w:val="TableParagraph"/>
              <w:tabs>
                <w:tab w:val="left" w:pos="993"/>
              </w:tabs>
              <w:spacing w:before="1" w:line="240" w:lineRule="auto"/>
              <w:ind w:left="993" w:right="170" w:hanging="709"/>
              <w:rPr>
                <w:spacing w:val="-4"/>
                <w:sz w:val="24"/>
                <w:szCs w:val="24"/>
                <w:lang w:val="en-IN"/>
              </w:rPr>
            </w:pPr>
            <w:r>
              <w:rPr>
                <w:spacing w:val="-4"/>
                <w:sz w:val="24"/>
                <w:szCs w:val="24"/>
              </w:rPr>
              <w:t>1.34</w:t>
            </w:r>
          </w:p>
        </w:tc>
      </w:tr>
      <w:tr w:rsidR="001D04B0" w14:paraId="00012416" w14:textId="77777777">
        <w:trPr>
          <w:trHeight w:val="414"/>
        </w:trPr>
        <w:tc>
          <w:tcPr>
            <w:tcW w:w="2389" w:type="dxa"/>
          </w:tcPr>
          <w:p w14:paraId="42875EC3" w14:textId="77777777" w:rsidR="001D04B0" w:rsidRDefault="00000000">
            <w:pPr>
              <w:pStyle w:val="TableParagraph"/>
              <w:tabs>
                <w:tab w:val="left" w:pos="993"/>
              </w:tabs>
              <w:spacing w:before="1" w:line="240" w:lineRule="auto"/>
              <w:ind w:left="993" w:hanging="709"/>
              <w:rPr>
                <w:b/>
                <w:sz w:val="24"/>
                <w:szCs w:val="24"/>
              </w:rPr>
            </w:pPr>
            <w:r>
              <w:rPr>
                <w:b/>
                <w:sz w:val="24"/>
                <w:szCs w:val="24"/>
              </w:rPr>
              <w:t xml:space="preserve">pKa </w:t>
            </w:r>
            <w:r>
              <w:rPr>
                <w:b/>
                <w:spacing w:val="-2"/>
                <w:sz w:val="24"/>
                <w:szCs w:val="24"/>
              </w:rPr>
              <w:t>value</w:t>
            </w:r>
          </w:p>
        </w:tc>
        <w:tc>
          <w:tcPr>
            <w:tcW w:w="8870" w:type="dxa"/>
            <w:gridSpan w:val="2"/>
          </w:tcPr>
          <w:p w14:paraId="5E4B3588" w14:textId="77777777" w:rsidR="001D04B0" w:rsidRDefault="00000000">
            <w:pPr>
              <w:pStyle w:val="TableParagraph"/>
              <w:tabs>
                <w:tab w:val="left" w:pos="993"/>
              </w:tabs>
              <w:spacing w:before="1" w:line="240" w:lineRule="auto"/>
              <w:ind w:left="993" w:right="170" w:hanging="709"/>
              <w:rPr>
                <w:sz w:val="24"/>
                <w:szCs w:val="24"/>
              </w:rPr>
            </w:pPr>
            <w:r>
              <w:rPr>
                <w:sz w:val="24"/>
                <w:szCs w:val="24"/>
              </w:rPr>
              <w:t>Strongest Acidic- 16.44</w:t>
            </w:r>
          </w:p>
          <w:p w14:paraId="06518251" w14:textId="77777777" w:rsidR="001D04B0" w:rsidRDefault="00000000">
            <w:pPr>
              <w:pStyle w:val="TableParagraph"/>
              <w:tabs>
                <w:tab w:val="left" w:pos="993"/>
              </w:tabs>
              <w:spacing w:before="1" w:line="240" w:lineRule="auto"/>
              <w:ind w:left="993" w:right="170" w:hanging="709"/>
              <w:rPr>
                <w:sz w:val="24"/>
                <w:szCs w:val="24"/>
              </w:rPr>
            </w:pPr>
            <w:r>
              <w:rPr>
                <w:sz w:val="24"/>
                <w:szCs w:val="24"/>
              </w:rPr>
              <w:t xml:space="preserve"> Strongest Basic- -4.2</w:t>
            </w:r>
          </w:p>
        </w:tc>
      </w:tr>
    </w:tbl>
    <w:p w14:paraId="46D21E7B" w14:textId="77777777" w:rsidR="001D04B0" w:rsidRDefault="001D04B0">
      <w:pPr>
        <w:spacing w:line="240" w:lineRule="auto"/>
        <w:rPr>
          <w:rFonts w:ascii="Times New Roman" w:hAnsi="Times New Roman" w:cs="Times New Roman"/>
          <w:b/>
          <w:bCs/>
          <w:sz w:val="24"/>
          <w:szCs w:val="24"/>
        </w:rPr>
      </w:pPr>
    </w:p>
    <w:p w14:paraId="05E84143" w14:textId="77777777" w:rsidR="001D04B0" w:rsidRDefault="001D04B0">
      <w:pPr>
        <w:spacing w:line="240" w:lineRule="auto"/>
        <w:jc w:val="both"/>
        <w:rPr>
          <w:rFonts w:ascii="Times New Roman" w:hAnsi="Times New Roman" w:cs="Times New Roman"/>
          <w:sz w:val="24"/>
          <w:szCs w:val="24"/>
        </w:rPr>
        <w:sectPr w:rsidR="001D04B0">
          <w:headerReference w:type="default" r:id="rId20"/>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p>
    <w:p w14:paraId="3A1C49E2" w14:textId="77777777" w:rsidR="001D04B0" w:rsidRDefault="00000000">
      <w:pPr>
        <w:spacing w:line="240" w:lineRule="auto"/>
        <w:ind w:left="567" w:hanging="567"/>
        <w:jc w:val="both"/>
        <w:rPr>
          <w:rFonts w:ascii="Times New Roman" w:hAnsi="Times New Roman" w:cs="Times New Roman"/>
          <w:b/>
          <w:bCs/>
          <w:sz w:val="28"/>
          <w:szCs w:val="28"/>
        </w:rPr>
      </w:pPr>
      <w:bookmarkStart w:id="0" w:name="_Toc153532721"/>
      <w:r>
        <w:rPr>
          <w:rFonts w:ascii="Times New Roman" w:hAnsi="Times New Roman" w:cs="Times New Roman"/>
          <w:b/>
          <w:bCs/>
          <w:sz w:val="28"/>
          <w:szCs w:val="28"/>
        </w:rPr>
        <w:lastRenderedPageBreak/>
        <w:t>REVIEW OF LITERATURE</w:t>
      </w:r>
      <w:bookmarkEnd w:id="0"/>
    </w:p>
    <w:p w14:paraId="6A4B32D3" w14:textId="77777777" w:rsidR="001D04B0" w:rsidRDefault="00000000">
      <w:pPr>
        <w:spacing w:line="240" w:lineRule="auto"/>
        <w:jc w:val="both"/>
        <w:rPr>
          <w:rFonts w:ascii="Times New Roman" w:hAnsi="Times New Roman" w:cs="Times New Roman"/>
          <w:b/>
          <w:bCs/>
          <w:sz w:val="24"/>
          <w:szCs w:val="24"/>
          <w:vertAlign w:val="superscript"/>
        </w:rPr>
      </w:pPr>
      <w:r>
        <w:rPr>
          <w:rFonts w:ascii="Times New Roman" w:hAnsi="Times New Roman" w:cs="Times New Roman"/>
          <w:b/>
          <w:bCs/>
          <w:sz w:val="24"/>
          <w:szCs w:val="24"/>
        </w:rPr>
        <w:t xml:space="preserve">Review of Literature for Dapagliflozin Propanediol Monohydrate and Eplerenone </w:t>
      </w:r>
      <w:r>
        <w:rPr>
          <w:rFonts w:ascii="Times New Roman" w:hAnsi="Times New Roman" w:cs="Times New Roman"/>
          <w:b/>
          <w:bCs/>
          <w:sz w:val="24"/>
          <w:szCs w:val="24"/>
          <w:vertAlign w:val="superscript"/>
        </w:rPr>
        <w:t>[14-40]</w:t>
      </w:r>
    </w:p>
    <w:p w14:paraId="61E9ACAE"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5- Review of official and reported methods for Dapagliflozin Propanediol Monohydrate and Eplerenone (DAPA and EPLE)</w:t>
      </w:r>
    </w:p>
    <w:tbl>
      <w:tblPr>
        <w:tblStyle w:val="TableGrid"/>
        <w:tblW w:w="11026" w:type="dxa"/>
        <w:tblLayout w:type="fixed"/>
        <w:tblLook w:val="04A0" w:firstRow="1" w:lastRow="0" w:firstColumn="1" w:lastColumn="0" w:noHBand="0" w:noVBand="1"/>
      </w:tblPr>
      <w:tblGrid>
        <w:gridCol w:w="704"/>
        <w:gridCol w:w="1559"/>
        <w:gridCol w:w="1134"/>
        <w:gridCol w:w="1276"/>
        <w:gridCol w:w="3587"/>
        <w:gridCol w:w="2766"/>
      </w:tblGrid>
      <w:tr w:rsidR="001D04B0" w14:paraId="7AA668EE" w14:textId="77777777">
        <w:tc>
          <w:tcPr>
            <w:tcW w:w="11026" w:type="dxa"/>
            <w:gridSpan w:val="6"/>
          </w:tcPr>
          <w:p w14:paraId="5C927BDB" w14:textId="77777777" w:rsidR="001D04B0" w:rsidRDefault="00000000">
            <w:pPr>
              <w:tabs>
                <w:tab w:val="left" w:pos="993"/>
              </w:tabs>
              <w:spacing w:after="0" w:line="240" w:lineRule="auto"/>
              <w:ind w:left="993" w:hanging="709"/>
              <w:jc w:val="center"/>
              <w:rPr>
                <w:rFonts w:ascii="Times New Roman" w:hAnsi="Times New Roman" w:cs="Times New Roman"/>
                <w:b/>
                <w:sz w:val="24"/>
                <w:szCs w:val="24"/>
              </w:rPr>
            </w:pPr>
            <w:r>
              <w:rPr>
                <w:rFonts w:ascii="Times New Roman" w:hAnsi="Times New Roman" w:cs="Times New Roman"/>
                <w:b/>
                <w:bCs/>
                <w:sz w:val="24"/>
                <w:szCs w:val="24"/>
              </w:rPr>
              <w:t>Official methods for Dapagliflozin</w:t>
            </w:r>
          </w:p>
        </w:tc>
      </w:tr>
      <w:tr w:rsidR="001D04B0" w14:paraId="1F3B2727" w14:textId="77777777">
        <w:tc>
          <w:tcPr>
            <w:tcW w:w="704" w:type="dxa"/>
          </w:tcPr>
          <w:p w14:paraId="5D1473A3" w14:textId="77777777" w:rsidR="001D04B0" w:rsidRDefault="00000000">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Sr. no.</w:t>
            </w:r>
          </w:p>
        </w:tc>
        <w:tc>
          <w:tcPr>
            <w:tcW w:w="1559" w:type="dxa"/>
          </w:tcPr>
          <w:p w14:paraId="74A513BF" w14:textId="77777777" w:rsidR="001D04B0" w:rsidRDefault="00000000">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Drugs</w:t>
            </w:r>
          </w:p>
        </w:tc>
        <w:tc>
          <w:tcPr>
            <w:tcW w:w="1134" w:type="dxa"/>
          </w:tcPr>
          <w:p w14:paraId="7BF376ED" w14:textId="77777777" w:rsidR="001D04B0" w:rsidRDefault="00000000">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Matrix</w:t>
            </w:r>
          </w:p>
        </w:tc>
        <w:tc>
          <w:tcPr>
            <w:tcW w:w="1276" w:type="dxa"/>
          </w:tcPr>
          <w:p w14:paraId="46265BB5" w14:textId="77777777" w:rsidR="001D04B0" w:rsidRDefault="00000000">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Method</w:t>
            </w:r>
          </w:p>
        </w:tc>
        <w:tc>
          <w:tcPr>
            <w:tcW w:w="3587" w:type="dxa"/>
          </w:tcPr>
          <w:p w14:paraId="4899011A" w14:textId="77777777" w:rsidR="001D04B0" w:rsidRDefault="00000000">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Brief Introduction</w:t>
            </w:r>
          </w:p>
        </w:tc>
        <w:tc>
          <w:tcPr>
            <w:tcW w:w="2766" w:type="dxa"/>
          </w:tcPr>
          <w:p w14:paraId="30CC0DD3" w14:textId="77777777" w:rsidR="001D04B0" w:rsidRDefault="00000000">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Reference</w:t>
            </w:r>
          </w:p>
        </w:tc>
      </w:tr>
      <w:tr w:rsidR="001D04B0" w14:paraId="6603034D" w14:textId="77777777">
        <w:tc>
          <w:tcPr>
            <w:tcW w:w="704" w:type="dxa"/>
          </w:tcPr>
          <w:p w14:paraId="3B59D24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FE559E3"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14:paraId="1CB66715"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Bulk drug</w:t>
            </w:r>
          </w:p>
        </w:tc>
        <w:tc>
          <w:tcPr>
            <w:tcW w:w="1276" w:type="dxa"/>
          </w:tcPr>
          <w:p w14:paraId="1C9D4FCC"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14:paraId="5A0AFD4E" w14:textId="77777777" w:rsidR="001D04B0" w:rsidRDefault="00000000">
            <w:pPr>
              <w:tabs>
                <w:tab w:val="left" w:pos="750"/>
              </w:tabs>
              <w:spacing w:after="0" w:line="240" w:lineRule="auto"/>
              <w:ind w:left="41"/>
              <w:jc w:val="both"/>
              <w:rPr>
                <w:rFonts w:ascii="Times New Roman" w:hAnsi="Times New Roman" w:cs="Times New Roman"/>
                <w:sz w:val="24"/>
                <w:szCs w:val="24"/>
                <w:lang w:val="es-ES"/>
              </w:rPr>
            </w:pPr>
            <w:r>
              <w:rPr>
                <w:rFonts w:ascii="Times New Roman" w:hAnsi="Times New Roman" w:cs="Times New Roman"/>
                <w:sz w:val="24"/>
                <w:szCs w:val="24"/>
                <w:lang w:val="es-ES"/>
              </w:rPr>
              <w:t>Column:C18 (150mm×4.6mm,3.5µm)</w:t>
            </w:r>
          </w:p>
          <w:p w14:paraId="72A47C04" w14:textId="77777777" w:rsidR="001D04B0" w:rsidRDefault="00000000">
            <w:pPr>
              <w:tabs>
                <w:tab w:val="left" w:pos="993"/>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lang w:val="en-US"/>
              </w:rPr>
              <w:t xml:space="preserve">Mobile Phase: Trifluoroacetic acid: ACN (85:15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220 nm</w:t>
            </w:r>
          </w:p>
        </w:tc>
        <w:tc>
          <w:tcPr>
            <w:tcW w:w="2766" w:type="dxa"/>
          </w:tcPr>
          <w:p w14:paraId="2B3687C3"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14</w:t>
            </w:r>
          </w:p>
        </w:tc>
      </w:tr>
      <w:tr w:rsidR="001D04B0" w14:paraId="2530B6FB" w14:textId="77777777">
        <w:tc>
          <w:tcPr>
            <w:tcW w:w="11026" w:type="dxa"/>
            <w:gridSpan w:val="6"/>
          </w:tcPr>
          <w:p w14:paraId="1CA29B68" w14:textId="77777777" w:rsidR="001D04B0" w:rsidRDefault="00000000">
            <w:pPr>
              <w:tabs>
                <w:tab w:val="left" w:pos="993"/>
              </w:tabs>
              <w:spacing w:after="0" w:line="240" w:lineRule="auto"/>
              <w:ind w:left="993" w:hanging="709"/>
              <w:jc w:val="center"/>
              <w:rPr>
                <w:rFonts w:ascii="Times New Roman" w:hAnsi="Times New Roman" w:cs="Times New Roman"/>
                <w:sz w:val="24"/>
                <w:szCs w:val="24"/>
              </w:rPr>
            </w:pPr>
            <w:r>
              <w:rPr>
                <w:rFonts w:ascii="Times New Roman" w:hAnsi="Times New Roman" w:cs="Times New Roman"/>
                <w:b/>
                <w:bCs/>
                <w:sz w:val="24"/>
                <w:szCs w:val="24"/>
              </w:rPr>
              <w:t>Reported methods for Dapagliflozin</w:t>
            </w:r>
          </w:p>
        </w:tc>
      </w:tr>
      <w:tr w:rsidR="001D04B0" w14:paraId="45857B31" w14:textId="77777777">
        <w:tc>
          <w:tcPr>
            <w:tcW w:w="704" w:type="dxa"/>
          </w:tcPr>
          <w:p w14:paraId="58E878A0"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96869DD" w14:textId="77777777" w:rsidR="001D04B0" w:rsidRDefault="00000000">
            <w:pPr>
              <w:tabs>
                <w:tab w:val="left" w:pos="601"/>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Dapagliflozin</w:t>
            </w:r>
          </w:p>
        </w:tc>
        <w:tc>
          <w:tcPr>
            <w:tcW w:w="1134" w:type="dxa"/>
          </w:tcPr>
          <w:p w14:paraId="65B23805"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p w14:paraId="011C17DF" w14:textId="77777777" w:rsidR="001D04B0" w:rsidRDefault="001D04B0">
            <w:pPr>
              <w:tabs>
                <w:tab w:val="left" w:pos="748"/>
              </w:tabs>
              <w:spacing w:after="0" w:line="240" w:lineRule="auto"/>
              <w:ind w:left="40"/>
              <w:rPr>
                <w:rFonts w:ascii="Times New Roman" w:hAnsi="Times New Roman" w:cs="Times New Roman"/>
                <w:sz w:val="24"/>
                <w:szCs w:val="24"/>
              </w:rPr>
            </w:pPr>
          </w:p>
        </w:tc>
        <w:tc>
          <w:tcPr>
            <w:tcW w:w="1276" w:type="dxa"/>
          </w:tcPr>
          <w:p w14:paraId="2DCC89C0" w14:textId="77777777" w:rsidR="001D04B0" w:rsidRDefault="00000000">
            <w:pPr>
              <w:tabs>
                <w:tab w:val="left" w:pos="466"/>
              </w:tabs>
              <w:spacing w:after="0" w:line="240" w:lineRule="auto"/>
              <w:ind w:left="40" w:hanging="40"/>
              <w:rPr>
                <w:rFonts w:ascii="Times New Roman" w:hAnsi="Times New Roman" w:cs="Times New Roman"/>
                <w:sz w:val="24"/>
                <w:szCs w:val="24"/>
              </w:rPr>
            </w:pPr>
            <w:r>
              <w:rPr>
                <w:rFonts w:ascii="Times New Roman" w:hAnsi="Times New Roman" w:cs="Times New Roman"/>
                <w:sz w:val="24"/>
                <w:szCs w:val="24"/>
              </w:rPr>
              <w:t>UV</w:t>
            </w:r>
          </w:p>
        </w:tc>
        <w:tc>
          <w:tcPr>
            <w:tcW w:w="3587" w:type="dxa"/>
          </w:tcPr>
          <w:p w14:paraId="1ACD4606" w14:textId="77777777" w:rsidR="001D04B0" w:rsidRDefault="00000000">
            <w:pPr>
              <w:tabs>
                <w:tab w:val="left" w:pos="993"/>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rPr>
              <w:t xml:space="preserve">Solvent: Methanol, </w:t>
            </w:r>
            <w:r>
              <w:rPr>
                <w:rFonts w:ascii="Times New Roman" w:hAnsi="Times New Roman" w:cs="Times New Roman"/>
                <w:sz w:val="24"/>
                <w:szCs w:val="24"/>
                <w:lang w:val="el-GR"/>
              </w:rPr>
              <w:t>λ</w:t>
            </w:r>
            <w:r>
              <w:rPr>
                <w:rFonts w:ascii="Times New Roman" w:hAnsi="Times New Roman" w:cs="Times New Roman"/>
                <w:sz w:val="24"/>
                <w:szCs w:val="24"/>
                <w:lang w:val="en-US"/>
              </w:rPr>
              <w:t>max: 224 nm-UV</w:t>
            </w:r>
          </w:p>
        </w:tc>
        <w:tc>
          <w:tcPr>
            <w:tcW w:w="2766" w:type="dxa"/>
          </w:tcPr>
          <w:p w14:paraId="500406C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1D04B0" w14:paraId="4DCF627B" w14:textId="77777777">
        <w:tc>
          <w:tcPr>
            <w:tcW w:w="704" w:type="dxa"/>
          </w:tcPr>
          <w:p w14:paraId="2CD3D614"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55C8777C"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14:paraId="069CAF0F" w14:textId="77777777" w:rsidR="001D04B0" w:rsidRDefault="00000000">
            <w:pPr>
              <w:tabs>
                <w:tab w:val="left" w:pos="748"/>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14:paraId="43F49237" w14:textId="77777777" w:rsidR="001D04B0" w:rsidRDefault="00000000">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UV</w:t>
            </w:r>
          </w:p>
        </w:tc>
        <w:tc>
          <w:tcPr>
            <w:tcW w:w="3587" w:type="dxa"/>
          </w:tcPr>
          <w:p w14:paraId="189A1190" w14:textId="77777777" w:rsidR="001D04B0" w:rsidRDefault="00000000">
            <w:pPr>
              <w:tabs>
                <w:tab w:val="left" w:pos="325"/>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rPr>
              <w:t xml:space="preserve">Solvent: Methanol: water </w:t>
            </w:r>
            <w:r>
              <w:rPr>
                <w:rFonts w:ascii="Times New Roman" w:hAnsi="Times New Roman" w:cs="Times New Roman"/>
                <w:sz w:val="24"/>
                <w:szCs w:val="24"/>
                <w:lang w:val="en-US"/>
              </w:rPr>
              <w:t>(15:85 v/v)</w:t>
            </w:r>
            <w:r>
              <w:rPr>
                <w:rFonts w:ascii="Times New Roman" w:hAnsi="Times New Roman" w:cs="Times New Roman"/>
                <w:sz w:val="24"/>
                <w:szCs w:val="24"/>
              </w:rPr>
              <w:t xml:space="preserve">, </w:t>
            </w:r>
            <w:r>
              <w:rPr>
                <w:rFonts w:ascii="Times New Roman" w:hAnsi="Times New Roman" w:cs="Times New Roman"/>
                <w:sz w:val="24"/>
                <w:szCs w:val="24"/>
                <w:lang w:val="el-GR"/>
              </w:rPr>
              <w:t>λ</w:t>
            </w:r>
            <w:r>
              <w:rPr>
                <w:rFonts w:ascii="Times New Roman" w:hAnsi="Times New Roman" w:cs="Times New Roman"/>
                <w:sz w:val="24"/>
                <w:szCs w:val="24"/>
                <w:lang w:val="en-US"/>
              </w:rPr>
              <w:t>max: 220 nm</w:t>
            </w:r>
          </w:p>
        </w:tc>
        <w:tc>
          <w:tcPr>
            <w:tcW w:w="2766" w:type="dxa"/>
          </w:tcPr>
          <w:p w14:paraId="69A08306"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16</w:t>
            </w:r>
          </w:p>
        </w:tc>
      </w:tr>
      <w:tr w:rsidR="001D04B0" w14:paraId="40BFE528" w14:textId="77777777">
        <w:tc>
          <w:tcPr>
            <w:tcW w:w="704" w:type="dxa"/>
          </w:tcPr>
          <w:p w14:paraId="2801F8B4"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6EAEDA12"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14:paraId="44F0C5B9" w14:textId="77777777" w:rsidR="001D04B0" w:rsidRDefault="00000000">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14:paraId="63DE144F" w14:textId="77777777" w:rsidR="001D04B0" w:rsidRDefault="00000000">
            <w:pPr>
              <w:tabs>
                <w:tab w:val="left" w:pos="993"/>
              </w:tabs>
              <w:spacing w:after="0" w:line="240" w:lineRule="auto"/>
              <w:ind w:left="993" w:hanging="953"/>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14:paraId="59BE0D30" w14:textId="77777777" w:rsidR="001D04B0" w:rsidRDefault="00000000">
            <w:pPr>
              <w:tabs>
                <w:tab w:val="left" w:pos="41"/>
              </w:tabs>
              <w:spacing w:after="0" w:line="240" w:lineRule="auto"/>
              <w:ind w:left="34" w:firstLine="7"/>
              <w:jc w:val="both"/>
              <w:rPr>
                <w:rFonts w:ascii="Times New Roman" w:hAnsi="Times New Roman" w:cs="Times New Roman"/>
                <w:sz w:val="24"/>
                <w:szCs w:val="24"/>
              </w:rPr>
            </w:pPr>
            <w:r>
              <w:rPr>
                <w:rFonts w:ascii="Times New Roman" w:hAnsi="Times New Roman" w:cs="Times New Roman"/>
                <w:sz w:val="24"/>
                <w:szCs w:val="24"/>
                <w:lang w:val="en-US"/>
              </w:rPr>
              <w:t>Column: Waters C18 (250mm×4.6mm, 5µm)</w:t>
            </w:r>
          </w:p>
          <w:p w14:paraId="6B0CD941"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Mobile Phase: Phosphate buffer : ACN (60:40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237 nm</w:t>
            </w:r>
          </w:p>
        </w:tc>
        <w:tc>
          <w:tcPr>
            <w:tcW w:w="2766" w:type="dxa"/>
          </w:tcPr>
          <w:p w14:paraId="66F78540"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17</w:t>
            </w:r>
          </w:p>
        </w:tc>
      </w:tr>
      <w:tr w:rsidR="001D04B0" w14:paraId="4286A68D" w14:textId="77777777">
        <w:tc>
          <w:tcPr>
            <w:tcW w:w="704" w:type="dxa"/>
          </w:tcPr>
          <w:p w14:paraId="1CC70181"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199180C4"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14:paraId="7E059CF1"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w:t>
            </w:r>
          </w:p>
          <w:p w14:paraId="3862BD2A" w14:textId="77777777" w:rsidR="001D04B0" w:rsidRDefault="001D04B0">
            <w:pPr>
              <w:tabs>
                <w:tab w:val="left" w:pos="607"/>
              </w:tabs>
              <w:spacing w:after="0" w:line="240" w:lineRule="auto"/>
              <w:ind w:left="40"/>
              <w:rPr>
                <w:rFonts w:ascii="Times New Roman" w:hAnsi="Times New Roman" w:cs="Times New Roman"/>
                <w:sz w:val="24"/>
                <w:szCs w:val="24"/>
              </w:rPr>
            </w:pPr>
          </w:p>
        </w:tc>
        <w:tc>
          <w:tcPr>
            <w:tcW w:w="1276" w:type="dxa"/>
          </w:tcPr>
          <w:p w14:paraId="3EFFD896" w14:textId="77777777" w:rsidR="001D04B0" w:rsidRDefault="00000000">
            <w:pPr>
              <w:tabs>
                <w:tab w:val="left" w:pos="993"/>
              </w:tabs>
              <w:spacing w:after="0" w:line="240" w:lineRule="auto"/>
              <w:ind w:left="993" w:hanging="953"/>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14:paraId="7824D4A5"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4.6mm,10µm), Mobile Phase: 0.1% Triethylamine (pH-5.0): ACN (50:50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224 nm</w:t>
            </w:r>
          </w:p>
        </w:tc>
        <w:tc>
          <w:tcPr>
            <w:tcW w:w="2766" w:type="dxa"/>
          </w:tcPr>
          <w:p w14:paraId="37FEBC32"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r w:rsidR="001D04B0" w14:paraId="4F56451F" w14:textId="77777777">
        <w:tc>
          <w:tcPr>
            <w:tcW w:w="704" w:type="dxa"/>
          </w:tcPr>
          <w:p w14:paraId="42B047A3"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559" w:type="dxa"/>
          </w:tcPr>
          <w:p w14:paraId="7FB91EF0"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14:paraId="7BE4DE83" w14:textId="77777777" w:rsidR="001D04B0" w:rsidRDefault="00000000">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14:paraId="16393536"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14:paraId="2BBB2891" w14:textId="77777777" w:rsidR="001D04B0" w:rsidRDefault="001D04B0">
            <w:pPr>
              <w:tabs>
                <w:tab w:val="left" w:pos="993"/>
              </w:tabs>
              <w:spacing w:after="0" w:line="240" w:lineRule="auto"/>
              <w:ind w:left="993" w:hanging="953"/>
              <w:rPr>
                <w:rFonts w:ascii="Times New Roman" w:hAnsi="Times New Roman" w:cs="Times New Roman"/>
                <w:sz w:val="24"/>
                <w:szCs w:val="24"/>
              </w:rPr>
            </w:pPr>
          </w:p>
        </w:tc>
        <w:tc>
          <w:tcPr>
            <w:tcW w:w="3587" w:type="dxa"/>
          </w:tcPr>
          <w:p w14:paraId="4610153F"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 5µm), Mobile Phase: Methanol: Water (75:25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230 nm</w:t>
            </w:r>
          </w:p>
        </w:tc>
        <w:tc>
          <w:tcPr>
            <w:tcW w:w="2766" w:type="dxa"/>
          </w:tcPr>
          <w:p w14:paraId="720BF22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1D04B0" w14:paraId="545EB18F" w14:textId="77777777">
        <w:tc>
          <w:tcPr>
            <w:tcW w:w="704" w:type="dxa"/>
          </w:tcPr>
          <w:p w14:paraId="3BA68683"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559" w:type="dxa"/>
          </w:tcPr>
          <w:p w14:paraId="7E8317A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14:paraId="062FF149" w14:textId="77777777" w:rsidR="001D04B0" w:rsidRDefault="00000000">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14:paraId="7848423A"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14:paraId="07219A91" w14:textId="77777777" w:rsidR="001D04B0" w:rsidRDefault="001D04B0">
            <w:pPr>
              <w:tabs>
                <w:tab w:val="left" w:pos="993"/>
              </w:tabs>
              <w:spacing w:after="0" w:line="240" w:lineRule="auto"/>
              <w:ind w:left="993" w:hanging="953"/>
              <w:rPr>
                <w:rFonts w:ascii="Times New Roman" w:hAnsi="Times New Roman" w:cs="Times New Roman"/>
                <w:sz w:val="24"/>
                <w:szCs w:val="24"/>
              </w:rPr>
            </w:pPr>
          </w:p>
        </w:tc>
        <w:tc>
          <w:tcPr>
            <w:tcW w:w="3587" w:type="dxa"/>
          </w:tcPr>
          <w:p w14:paraId="2F336AF1" w14:textId="77777777" w:rsidR="001D04B0" w:rsidRDefault="00000000">
            <w:pPr>
              <w:tabs>
                <w:tab w:val="left" w:pos="750"/>
              </w:tabs>
              <w:spacing w:after="0" w:line="240" w:lineRule="auto"/>
              <w:ind w:left="41"/>
              <w:jc w:val="both"/>
              <w:rPr>
                <w:rFonts w:ascii="Times New Roman" w:hAnsi="Times New Roman" w:cs="Times New Roman"/>
                <w:sz w:val="24"/>
                <w:szCs w:val="24"/>
                <w:lang w:val="fr-FR"/>
              </w:rPr>
            </w:pPr>
            <w:r>
              <w:rPr>
                <w:rFonts w:ascii="Times New Roman" w:hAnsi="Times New Roman" w:cs="Times New Roman"/>
                <w:sz w:val="24"/>
                <w:szCs w:val="24"/>
                <w:lang w:val="fr-FR"/>
              </w:rPr>
              <w:t>Column:  Agilent C18 (250mm × 4.6mm, 10µm), Mobile Phase: ACN: di-potassium</w:t>
            </w:r>
          </w:p>
          <w:p w14:paraId="629A7737"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hydrogen phosphate with pH-6.5 adjusted with OPA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222 nm</w:t>
            </w:r>
          </w:p>
        </w:tc>
        <w:tc>
          <w:tcPr>
            <w:tcW w:w="2766" w:type="dxa"/>
          </w:tcPr>
          <w:p w14:paraId="5ADC66C0"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1D04B0" w14:paraId="0204D0B9" w14:textId="77777777">
        <w:tc>
          <w:tcPr>
            <w:tcW w:w="704" w:type="dxa"/>
          </w:tcPr>
          <w:p w14:paraId="4FCEA4AC"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559" w:type="dxa"/>
          </w:tcPr>
          <w:p w14:paraId="45903FA3"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and Saxagliptin </w:t>
            </w:r>
          </w:p>
        </w:tc>
        <w:tc>
          <w:tcPr>
            <w:tcW w:w="1134" w:type="dxa"/>
          </w:tcPr>
          <w:p w14:paraId="49E6324C" w14:textId="77777777" w:rsidR="001D04B0" w:rsidRDefault="00000000">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tc>
        <w:tc>
          <w:tcPr>
            <w:tcW w:w="1276" w:type="dxa"/>
          </w:tcPr>
          <w:p w14:paraId="1F245E89"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14:paraId="514B67D7"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Phenomenex Luna C18  (250mm × 4.6mm,10µm), Mobile Phase:  10mM phosphate buffer (pH 6.8): ACN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260 nm</w:t>
            </w:r>
          </w:p>
        </w:tc>
        <w:tc>
          <w:tcPr>
            <w:tcW w:w="2766" w:type="dxa"/>
          </w:tcPr>
          <w:p w14:paraId="54DB742D"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21</w:t>
            </w:r>
          </w:p>
        </w:tc>
      </w:tr>
      <w:tr w:rsidR="001D04B0" w14:paraId="548DCF91" w14:textId="77777777">
        <w:tc>
          <w:tcPr>
            <w:tcW w:w="704" w:type="dxa"/>
          </w:tcPr>
          <w:p w14:paraId="0DC7EBAD"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59" w:type="dxa"/>
          </w:tcPr>
          <w:p w14:paraId="49A9149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Dapagliflozin and Saxagliptin </w:t>
            </w:r>
          </w:p>
        </w:tc>
        <w:tc>
          <w:tcPr>
            <w:tcW w:w="1134" w:type="dxa"/>
          </w:tcPr>
          <w:p w14:paraId="76885718"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14:paraId="67823D49"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14:paraId="0A76063E"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6CDA4180"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Xterra RP18 (150mm × 4.6mm, 5µm), Mobile Phase: ACN: Water (60:40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248 nm</w:t>
            </w:r>
          </w:p>
        </w:tc>
        <w:tc>
          <w:tcPr>
            <w:tcW w:w="2766" w:type="dxa"/>
          </w:tcPr>
          <w:p w14:paraId="0C0FC88F"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22</w:t>
            </w:r>
          </w:p>
        </w:tc>
      </w:tr>
      <w:tr w:rsidR="001D04B0" w14:paraId="3663BF7E" w14:textId="77777777">
        <w:tc>
          <w:tcPr>
            <w:tcW w:w="704" w:type="dxa"/>
          </w:tcPr>
          <w:p w14:paraId="5F60E1AA"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559" w:type="dxa"/>
          </w:tcPr>
          <w:p w14:paraId="22BE177E" w14:textId="77777777" w:rsidR="001D04B0" w:rsidRDefault="00000000">
            <w:pPr>
              <w:tabs>
                <w:tab w:val="left" w:pos="993"/>
              </w:tabs>
              <w:spacing w:after="0" w:line="240" w:lineRule="auto"/>
              <w:ind w:left="34"/>
              <w:rPr>
                <w:rFonts w:ascii="Times New Roman" w:hAnsi="Times New Roman" w:cs="Times New Roman"/>
                <w:spacing w:val="-2"/>
                <w:sz w:val="24"/>
                <w:szCs w:val="24"/>
              </w:rPr>
            </w:pPr>
            <w:r>
              <w:rPr>
                <w:rFonts w:ascii="Times New Roman" w:hAnsi="Times New Roman" w:cs="Times New Roman"/>
                <w:spacing w:val="-2"/>
                <w:sz w:val="24"/>
                <w:szCs w:val="24"/>
              </w:rPr>
              <w:t>Dapagliflozin, Empagliflozin and Canagliflozin</w:t>
            </w:r>
          </w:p>
          <w:p w14:paraId="7198035A" w14:textId="77777777" w:rsidR="001D04B0" w:rsidRDefault="001D04B0">
            <w:pPr>
              <w:tabs>
                <w:tab w:val="left" w:pos="993"/>
              </w:tabs>
              <w:spacing w:after="0" w:line="240" w:lineRule="auto"/>
              <w:rPr>
                <w:rFonts w:ascii="Times New Roman" w:hAnsi="Times New Roman" w:cs="Times New Roman"/>
                <w:sz w:val="24"/>
                <w:szCs w:val="24"/>
              </w:rPr>
            </w:pPr>
          </w:p>
        </w:tc>
        <w:tc>
          <w:tcPr>
            <w:tcW w:w="1134" w:type="dxa"/>
          </w:tcPr>
          <w:p w14:paraId="6FC597F1"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14:paraId="0A62E952"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tc>
        <w:tc>
          <w:tcPr>
            <w:tcW w:w="3587" w:type="dxa"/>
          </w:tcPr>
          <w:p w14:paraId="0F9DB081"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Hypercil C18 (250mm × 4.6mm, 10µm), Mobile Phase: acetonitrile and 0.1% formic acid buffer, pH 3.7 (60:40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230, 290 nm</w:t>
            </w:r>
          </w:p>
        </w:tc>
        <w:tc>
          <w:tcPr>
            <w:tcW w:w="2766" w:type="dxa"/>
          </w:tcPr>
          <w:p w14:paraId="2F8903CE"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23</w:t>
            </w:r>
          </w:p>
        </w:tc>
      </w:tr>
      <w:tr w:rsidR="001D04B0" w14:paraId="612CCF2D" w14:textId="77777777">
        <w:tc>
          <w:tcPr>
            <w:tcW w:w="704" w:type="dxa"/>
          </w:tcPr>
          <w:p w14:paraId="2BB60D75"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559" w:type="dxa"/>
          </w:tcPr>
          <w:p w14:paraId="022EFC54"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Dapagliflozin and Linagliptin</w:t>
            </w:r>
          </w:p>
          <w:p w14:paraId="5F92C62E"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1CC9BE3D"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tablets</w:t>
            </w:r>
          </w:p>
          <w:p w14:paraId="0293E761"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7F203712"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14:paraId="11EDAEA5"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6651B925"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Eclipse Plus C18 (150mm × 4.6mm, 5µm), Mobile Phase:  0.1 % v/v Formic acid and ACN (40:60 v/v), Flow rate: 0.7 ml/min </w:t>
            </w:r>
            <w:r>
              <w:rPr>
                <w:rFonts w:ascii="Times New Roman" w:hAnsi="Times New Roman" w:cs="Times New Roman"/>
                <w:sz w:val="24"/>
                <w:szCs w:val="24"/>
                <w:lang w:val="el-GR"/>
              </w:rPr>
              <w:t>λ</w:t>
            </w:r>
            <w:r>
              <w:rPr>
                <w:rFonts w:ascii="Times New Roman" w:hAnsi="Times New Roman" w:cs="Times New Roman"/>
                <w:sz w:val="24"/>
                <w:szCs w:val="24"/>
                <w:lang w:val="en-US"/>
              </w:rPr>
              <w:t>max: 260 nm</w:t>
            </w:r>
          </w:p>
        </w:tc>
        <w:tc>
          <w:tcPr>
            <w:tcW w:w="2766" w:type="dxa"/>
          </w:tcPr>
          <w:p w14:paraId="6838AC09"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24</w:t>
            </w:r>
          </w:p>
        </w:tc>
      </w:tr>
      <w:tr w:rsidR="001D04B0" w14:paraId="3EF0B681" w14:textId="77777777">
        <w:tc>
          <w:tcPr>
            <w:tcW w:w="704" w:type="dxa"/>
          </w:tcPr>
          <w:p w14:paraId="0F14DF7F"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559" w:type="dxa"/>
          </w:tcPr>
          <w:p w14:paraId="2ECEBF10"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lang w:val="en-US"/>
              </w:rPr>
              <w:t xml:space="preserve">Dapagliflozin and Saxagliptin </w:t>
            </w:r>
          </w:p>
        </w:tc>
        <w:tc>
          <w:tcPr>
            <w:tcW w:w="1134" w:type="dxa"/>
          </w:tcPr>
          <w:p w14:paraId="4C849DEE"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tablets</w:t>
            </w:r>
          </w:p>
          <w:p w14:paraId="16AB9A7D"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50527DE2"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lang w:val="en-US"/>
              </w:rPr>
              <w:t>RP-HPLC</w:t>
            </w:r>
          </w:p>
        </w:tc>
        <w:tc>
          <w:tcPr>
            <w:tcW w:w="3587" w:type="dxa"/>
          </w:tcPr>
          <w:p w14:paraId="07B42417"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 5µm), Mobile Phase: ACN: Water (30:70 v/v), Flow rate: 1.2 ml/min </w:t>
            </w:r>
            <w:r>
              <w:rPr>
                <w:rFonts w:ascii="Times New Roman" w:hAnsi="Times New Roman" w:cs="Times New Roman"/>
                <w:sz w:val="24"/>
                <w:szCs w:val="24"/>
                <w:lang w:val="el-GR"/>
              </w:rPr>
              <w:t>λ</w:t>
            </w:r>
            <w:r>
              <w:rPr>
                <w:rFonts w:ascii="Times New Roman" w:hAnsi="Times New Roman" w:cs="Times New Roman"/>
                <w:sz w:val="24"/>
                <w:szCs w:val="24"/>
                <w:lang w:val="en-US"/>
              </w:rPr>
              <w:t>max: 230, 250 nm</w:t>
            </w:r>
          </w:p>
        </w:tc>
        <w:tc>
          <w:tcPr>
            <w:tcW w:w="2766" w:type="dxa"/>
          </w:tcPr>
          <w:p w14:paraId="24D949C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25</w:t>
            </w:r>
          </w:p>
        </w:tc>
      </w:tr>
      <w:tr w:rsidR="001D04B0" w14:paraId="5118AA66" w14:textId="77777777">
        <w:tc>
          <w:tcPr>
            <w:tcW w:w="704" w:type="dxa"/>
          </w:tcPr>
          <w:p w14:paraId="339650D3"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559" w:type="dxa"/>
          </w:tcPr>
          <w:p w14:paraId="28A77FF4"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lang w:val="en-US"/>
              </w:rPr>
              <w:t>Metformin and Dapagliflozin</w:t>
            </w:r>
          </w:p>
        </w:tc>
        <w:tc>
          <w:tcPr>
            <w:tcW w:w="1134" w:type="dxa"/>
          </w:tcPr>
          <w:p w14:paraId="3CE46A30"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tablets</w:t>
            </w:r>
          </w:p>
          <w:p w14:paraId="21CA9645"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73F39EF1"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QbD based RP-HPLC</w:t>
            </w:r>
          </w:p>
          <w:p w14:paraId="6425877F"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0ECC0E66"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Column:  Hypercil C18 (250mm × 4.6mm, 10µm), Mobile Phase: Ethanol: Water (70:30 v/v) Flow rate: 1 ml/min λmax: 250 nm</w:t>
            </w:r>
          </w:p>
        </w:tc>
        <w:tc>
          <w:tcPr>
            <w:tcW w:w="2766" w:type="dxa"/>
          </w:tcPr>
          <w:p w14:paraId="45510AD0"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26</w:t>
            </w:r>
          </w:p>
        </w:tc>
      </w:tr>
      <w:tr w:rsidR="001D04B0" w14:paraId="59A0935F" w14:textId="77777777">
        <w:tc>
          <w:tcPr>
            <w:tcW w:w="11026" w:type="dxa"/>
            <w:gridSpan w:val="6"/>
          </w:tcPr>
          <w:p w14:paraId="3A4DE6EB" w14:textId="77777777" w:rsidR="001D04B0" w:rsidRDefault="00000000">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Official methods for Eplerenone</w:t>
            </w:r>
          </w:p>
        </w:tc>
      </w:tr>
      <w:tr w:rsidR="001D04B0" w14:paraId="268CDA57" w14:textId="77777777">
        <w:tc>
          <w:tcPr>
            <w:tcW w:w="704" w:type="dxa"/>
          </w:tcPr>
          <w:p w14:paraId="004280BA"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Sr. no.</w:t>
            </w:r>
          </w:p>
        </w:tc>
        <w:tc>
          <w:tcPr>
            <w:tcW w:w="1559" w:type="dxa"/>
          </w:tcPr>
          <w:p w14:paraId="1251118D"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b/>
                <w:bCs/>
                <w:sz w:val="24"/>
                <w:szCs w:val="24"/>
              </w:rPr>
              <w:t>Drugs</w:t>
            </w:r>
          </w:p>
        </w:tc>
        <w:tc>
          <w:tcPr>
            <w:tcW w:w="1134" w:type="dxa"/>
          </w:tcPr>
          <w:p w14:paraId="4B1B079E"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Matrix</w:t>
            </w:r>
          </w:p>
        </w:tc>
        <w:tc>
          <w:tcPr>
            <w:tcW w:w="1276" w:type="dxa"/>
          </w:tcPr>
          <w:p w14:paraId="670025D9"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Method</w:t>
            </w:r>
          </w:p>
        </w:tc>
        <w:tc>
          <w:tcPr>
            <w:tcW w:w="3587" w:type="dxa"/>
          </w:tcPr>
          <w:p w14:paraId="0BB8E601" w14:textId="77777777" w:rsidR="001D04B0" w:rsidRDefault="00000000">
            <w:pPr>
              <w:tabs>
                <w:tab w:val="left" w:pos="750"/>
              </w:tabs>
              <w:spacing w:after="0" w:line="240" w:lineRule="auto"/>
              <w:ind w:left="41"/>
              <w:jc w:val="both"/>
              <w:rPr>
                <w:rFonts w:ascii="Times New Roman" w:hAnsi="Times New Roman" w:cs="Times New Roman"/>
                <w:sz w:val="24"/>
                <w:szCs w:val="24"/>
                <w:lang w:val="en-US"/>
              </w:rPr>
            </w:pPr>
            <w:r>
              <w:rPr>
                <w:rFonts w:ascii="Times New Roman" w:hAnsi="Times New Roman" w:cs="Times New Roman"/>
                <w:b/>
                <w:bCs/>
                <w:sz w:val="24"/>
                <w:szCs w:val="24"/>
              </w:rPr>
              <w:t>Brief Introduction</w:t>
            </w:r>
          </w:p>
        </w:tc>
        <w:tc>
          <w:tcPr>
            <w:tcW w:w="2766" w:type="dxa"/>
          </w:tcPr>
          <w:p w14:paraId="4F5C649E"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Reference</w:t>
            </w:r>
          </w:p>
        </w:tc>
      </w:tr>
      <w:tr w:rsidR="001D04B0" w14:paraId="55DCFDD6" w14:textId="77777777">
        <w:tc>
          <w:tcPr>
            <w:tcW w:w="704" w:type="dxa"/>
          </w:tcPr>
          <w:p w14:paraId="04A10663"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07EC215"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09E8695D"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341EBE12"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p w14:paraId="1A6E959A"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1F6DFF5A"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HPLC</w:t>
            </w:r>
          </w:p>
          <w:p w14:paraId="59E9E155"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7C765836"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Column: Inertsil Ph-3 (250mm×4.6mm,10µm)</w:t>
            </w:r>
          </w:p>
          <w:p w14:paraId="632303C1"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Mobile Phase: Phosphate buffer pH 3 with OPA : ACN (60:40 v/v)</w:t>
            </w:r>
          </w:p>
          <w:p w14:paraId="5153F1EE"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Flow rate: 1.5 ml/min </w:t>
            </w:r>
            <w:r>
              <w:rPr>
                <w:rFonts w:ascii="Times New Roman" w:hAnsi="Times New Roman" w:cs="Times New Roman"/>
                <w:sz w:val="24"/>
                <w:szCs w:val="24"/>
                <w:lang w:val="el-GR"/>
              </w:rPr>
              <w:t>λ</w:t>
            </w:r>
            <w:r>
              <w:rPr>
                <w:rFonts w:ascii="Times New Roman" w:hAnsi="Times New Roman" w:cs="Times New Roman"/>
                <w:sz w:val="24"/>
                <w:szCs w:val="24"/>
                <w:lang w:val="en-US"/>
              </w:rPr>
              <w:t>max: 215 nm</w:t>
            </w:r>
          </w:p>
        </w:tc>
        <w:tc>
          <w:tcPr>
            <w:tcW w:w="2766" w:type="dxa"/>
          </w:tcPr>
          <w:p w14:paraId="1C752A1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27</w:t>
            </w:r>
          </w:p>
        </w:tc>
      </w:tr>
      <w:tr w:rsidR="001D04B0" w14:paraId="39CB7EAD" w14:textId="77777777">
        <w:tc>
          <w:tcPr>
            <w:tcW w:w="704" w:type="dxa"/>
          </w:tcPr>
          <w:p w14:paraId="1A02E525"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7C1D6D37"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0FF3E0B4"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1A000779"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p w14:paraId="0E2B7BA3"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3532C50D"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HPLC</w:t>
            </w:r>
          </w:p>
          <w:p w14:paraId="77BE5D55"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5D0F8F5F"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ODS (150mm × 4.6mm, 5 µm), Mobile Phase: 0.1 % Phosphoric acid-A and Phosphoric acid : ACN : Methanol-B (0.1: 40:60 v/v) (A:B 54 : 46 %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14:paraId="38FC1557"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28</w:t>
            </w:r>
          </w:p>
        </w:tc>
      </w:tr>
      <w:tr w:rsidR="001D04B0" w14:paraId="5747DACD" w14:textId="77777777">
        <w:tc>
          <w:tcPr>
            <w:tcW w:w="11026" w:type="dxa"/>
            <w:gridSpan w:val="6"/>
          </w:tcPr>
          <w:p w14:paraId="4EC7850B" w14:textId="77777777" w:rsidR="001D04B0" w:rsidRDefault="00000000">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Reported methods for Eplerenone</w:t>
            </w:r>
          </w:p>
        </w:tc>
      </w:tr>
      <w:tr w:rsidR="001D04B0" w14:paraId="69ACDE78" w14:textId="77777777">
        <w:tc>
          <w:tcPr>
            <w:tcW w:w="704" w:type="dxa"/>
          </w:tcPr>
          <w:p w14:paraId="7AA1C236"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Sr. no.</w:t>
            </w:r>
          </w:p>
        </w:tc>
        <w:tc>
          <w:tcPr>
            <w:tcW w:w="1559" w:type="dxa"/>
          </w:tcPr>
          <w:p w14:paraId="2AA4865B"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b/>
                <w:bCs/>
                <w:sz w:val="24"/>
                <w:szCs w:val="24"/>
              </w:rPr>
              <w:t>Drugs</w:t>
            </w:r>
          </w:p>
        </w:tc>
        <w:tc>
          <w:tcPr>
            <w:tcW w:w="1134" w:type="dxa"/>
          </w:tcPr>
          <w:p w14:paraId="04C32AE7"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Matrix</w:t>
            </w:r>
          </w:p>
        </w:tc>
        <w:tc>
          <w:tcPr>
            <w:tcW w:w="1276" w:type="dxa"/>
          </w:tcPr>
          <w:p w14:paraId="4E518B3A"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Method</w:t>
            </w:r>
          </w:p>
        </w:tc>
        <w:tc>
          <w:tcPr>
            <w:tcW w:w="3587" w:type="dxa"/>
          </w:tcPr>
          <w:p w14:paraId="29570976"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b/>
                <w:bCs/>
                <w:sz w:val="24"/>
                <w:szCs w:val="24"/>
              </w:rPr>
              <w:t>Brief Introduction</w:t>
            </w:r>
          </w:p>
        </w:tc>
        <w:tc>
          <w:tcPr>
            <w:tcW w:w="2766" w:type="dxa"/>
          </w:tcPr>
          <w:p w14:paraId="0B12C219"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Reference</w:t>
            </w:r>
          </w:p>
        </w:tc>
      </w:tr>
      <w:tr w:rsidR="001D04B0" w14:paraId="0AFD9534" w14:textId="77777777">
        <w:tc>
          <w:tcPr>
            <w:tcW w:w="704" w:type="dxa"/>
          </w:tcPr>
          <w:p w14:paraId="27DF93F0"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73B18B5"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412FAC46"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5CF0CF12"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p w14:paraId="1D44D6FC"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74F8352B"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UV</w:t>
            </w:r>
          </w:p>
        </w:tc>
        <w:tc>
          <w:tcPr>
            <w:tcW w:w="3587" w:type="dxa"/>
          </w:tcPr>
          <w:p w14:paraId="711CB897"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rPr>
              <w:t xml:space="preserve">Solvent: 0.05 N HCl,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14:paraId="75E2705D"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29</w:t>
            </w:r>
          </w:p>
        </w:tc>
      </w:tr>
      <w:tr w:rsidR="001D04B0" w14:paraId="1153A6D4" w14:textId="77777777">
        <w:tc>
          <w:tcPr>
            <w:tcW w:w="704" w:type="dxa"/>
          </w:tcPr>
          <w:p w14:paraId="3D519148"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7D3F4321"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7EFF503B"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23B5E265"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p w14:paraId="13BAF304"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0609AE62"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UV</w:t>
            </w:r>
          </w:p>
        </w:tc>
        <w:tc>
          <w:tcPr>
            <w:tcW w:w="3587" w:type="dxa"/>
          </w:tcPr>
          <w:p w14:paraId="3C73957B"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Solvent: Potassium dihydrogen orthophosphate, pH 2.0,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14:paraId="393A6C25"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1D04B0" w14:paraId="69A263B1" w14:textId="77777777">
        <w:tc>
          <w:tcPr>
            <w:tcW w:w="704" w:type="dxa"/>
          </w:tcPr>
          <w:p w14:paraId="5133CF42"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4BA2F250"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4536D103"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62FD33C8"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w:t>
            </w:r>
          </w:p>
          <w:p w14:paraId="26B87BBD"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0E6FD3B6"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14:paraId="73199C9E"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389A5FBF"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Column:  C</w:t>
            </w:r>
            <w:r>
              <w:rPr>
                <w:rFonts w:ascii="Times New Roman" w:hAnsi="Times New Roman" w:cs="Times New Roman"/>
                <w:sz w:val="24"/>
                <w:szCs w:val="24"/>
                <w:vertAlign w:val="subscript"/>
                <w:lang w:val="en-US"/>
              </w:rPr>
              <w:t>18</w:t>
            </w:r>
            <w:r>
              <w:rPr>
                <w:rFonts w:ascii="Times New Roman" w:hAnsi="Times New Roman" w:cs="Times New Roman"/>
                <w:sz w:val="24"/>
                <w:szCs w:val="24"/>
                <w:lang w:val="en-US"/>
              </w:rPr>
              <w:t xml:space="preserve"> (250mm × 4.6mm, 5 µm), Mobile Phase:  50 mM ammonium acetate buffer (pH 7) and ACN (55:45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14:paraId="1557F017"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31</w:t>
            </w:r>
          </w:p>
        </w:tc>
      </w:tr>
      <w:tr w:rsidR="001D04B0" w14:paraId="55450056" w14:textId="77777777">
        <w:tc>
          <w:tcPr>
            <w:tcW w:w="704" w:type="dxa"/>
          </w:tcPr>
          <w:p w14:paraId="15D76621"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0375B7E4"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561C4645"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15C0B7DC"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Spiked human plasma</w:t>
            </w:r>
          </w:p>
          <w:p w14:paraId="1D5A30E4"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2812569F"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p w14:paraId="6291E9A7"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12BD87FC"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HiQSil C-18HS (250mm × 4.6mm, 5 µm), Mobile Phase: ACN and Water (50:50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241 nm</w:t>
            </w:r>
          </w:p>
        </w:tc>
        <w:tc>
          <w:tcPr>
            <w:tcW w:w="2766" w:type="dxa"/>
          </w:tcPr>
          <w:p w14:paraId="0C1679A2"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32</w:t>
            </w:r>
          </w:p>
        </w:tc>
      </w:tr>
      <w:tr w:rsidR="001D04B0" w14:paraId="2C910C64" w14:textId="77777777">
        <w:tc>
          <w:tcPr>
            <w:tcW w:w="704" w:type="dxa"/>
          </w:tcPr>
          <w:p w14:paraId="532ABDD4"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559" w:type="dxa"/>
          </w:tcPr>
          <w:p w14:paraId="29C15F02"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7A66A644"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4F05770A"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Human Plasma</w:t>
            </w:r>
          </w:p>
          <w:p w14:paraId="1FB489AF"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6C12CA40"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LC-MS</w:t>
            </w:r>
          </w:p>
          <w:p w14:paraId="27E5E4A0"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39808CD7"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Zorbax XDB-C8 (250mm × 4.6mm,10µm), Mobile Phase: ACN: Water 10 mM ammonium acetate (pH 7.4)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246 nm</w:t>
            </w:r>
          </w:p>
        </w:tc>
        <w:tc>
          <w:tcPr>
            <w:tcW w:w="2766" w:type="dxa"/>
          </w:tcPr>
          <w:p w14:paraId="13A7EF39"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rsidR="001D04B0" w14:paraId="59AC9B0A" w14:textId="77777777">
        <w:tc>
          <w:tcPr>
            <w:tcW w:w="704" w:type="dxa"/>
          </w:tcPr>
          <w:p w14:paraId="53951206"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559" w:type="dxa"/>
          </w:tcPr>
          <w:p w14:paraId="18E144C7"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15183C8B"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5DD76774"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p w14:paraId="2BA8A781"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002EDBF4"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UPLC</w:t>
            </w:r>
          </w:p>
          <w:p w14:paraId="20B8DC2F"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6EE3C7EC"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Waters UPLC BEH C18 (50mm ×2.1 mm, 1.7 µm), Mobile Phase:  10 mmol/L ammonium acetate adjusted to pH 4.5: </w:t>
            </w:r>
            <w:r>
              <w:rPr>
                <w:rFonts w:ascii="Times New Roman" w:hAnsi="Times New Roman" w:cs="Times New Roman"/>
                <w:sz w:val="24"/>
                <w:szCs w:val="24"/>
                <w:lang w:val="en-US"/>
              </w:rPr>
              <w:lastRenderedPageBreak/>
              <w:t xml:space="preserve">methanol: ACN , Flow rate: 0.3 ml/min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14:paraId="33799096"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34</w:t>
            </w:r>
          </w:p>
        </w:tc>
      </w:tr>
      <w:tr w:rsidR="001D04B0" w14:paraId="5D0843F0" w14:textId="77777777">
        <w:tc>
          <w:tcPr>
            <w:tcW w:w="704" w:type="dxa"/>
          </w:tcPr>
          <w:p w14:paraId="4DC4B296"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559" w:type="dxa"/>
          </w:tcPr>
          <w:p w14:paraId="0E040A2C"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4C07001E"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439C5956"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Human Urine</w:t>
            </w:r>
          </w:p>
          <w:p w14:paraId="601C1B4C"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31501165"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LC-MS/MS</w:t>
            </w:r>
          </w:p>
          <w:p w14:paraId="67B820E9"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1DD386F4"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Zorbax XDB-C8 (50mm × 2.1mm, 5µm), Mobile Phase: ACN: Water (40:60, v/v) containing 10 mM ammonium acetate (pH 7.4).Flow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14:paraId="56ECFF3A"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r w:rsidR="001D04B0" w14:paraId="71016383" w14:textId="77777777">
        <w:tc>
          <w:tcPr>
            <w:tcW w:w="704" w:type="dxa"/>
          </w:tcPr>
          <w:p w14:paraId="21232F4C"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59" w:type="dxa"/>
          </w:tcPr>
          <w:p w14:paraId="5DDA39AB"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17E344C4"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04D1DF69"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tc>
        <w:tc>
          <w:tcPr>
            <w:tcW w:w="1276" w:type="dxa"/>
          </w:tcPr>
          <w:p w14:paraId="02746836"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p w14:paraId="46CE8169"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7B476FE9"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Waters Symmetry C18 (250mm × 4.6mm,5µm), Mobile Phase: Triethyl ammonium phosphate buffer (pH 2.3) : ACN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14:paraId="7E9D3B85"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36</w:t>
            </w:r>
          </w:p>
        </w:tc>
      </w:tr>
      <w:tr w:rsidR="001D04B0" w14:paraId="7729D942" w14:textId="77777777">
        <w:tc>
          <w:tcPr>
            <w:tcW w:w="704" w:type="dxa"/>
          </w:tcPr>
          <w:p w14:paraId="5D537EB7"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559" w:type="dxa"/>
          </w:tcPr>
          <w:p w14:paraId="6731227F"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6305512E"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5E0832E4"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tc>
        <w:tc>
          <w:tcPr>
            <w:tcW w:w="1276" w:type="dxa"/>
          </w:tcPr>
          <w:p w14:paraId="7B954538"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14:paraId="288D60DE"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52C9F14D"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 5µm), Mobile Phase:   50 mM ammonium acetate buffer (pH 7): ACN (55:45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14:paraId="283AE9D8"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1D04B0" w14:paraId="3D3E2A94" w14:textId="77777777">
        <w:tc>
          <w:tcPr>
            <w:tcW w:w="704" w:type="dxa"/>
          </w:tcPr>
          <w:p w14:paraId="1B80B85B"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559" w:type="dxa"/>
          </w:tcPr>
          <w:p w14:paraId="342D4CCE"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14:paraId="48E85B32"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14FF5745"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tc>
        <w:tc>
          <w:tcPr>
            <w:tcW w:w="1276" w:type="dxa"/>
          </w:tcPr>
          <w:p w14:paraId="22C3BE32"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14:paraId="4A644C9F"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04DC3C0B"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HiQ sil C-18HS (250mm × 4.6mm, 5 µm), Mobile Phase: Methanol and water (70:30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241 nm</w:t>
            </w:r>
          </w:p>
        </w:tc>
        <w:tc>
          <w:tcPr>
            <w:tcW w:w="2766" w:type="dxa"/>
          </w:tcPr>
          <w:p w14:paraId="0FF82207"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38</w:t>
            </w:r>
          </w:p>
        </w:tc>
      </w:tr>
      <w:tr w:rsidR="001D04B0" w14:paraId="462F4C66" w14:textId="77777777">
        <w:tc>
          <w:tcPr>
            <w:tcW w:w="704" w:type="dxa"/>
          </w:tcPr>
          <w:p w14:paraId="14F446E9"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559" w:type="dxa"/>
          </w:tcPr>
          <w:p w14:paraId="7A5115A2"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 and Torsemide</w:t>
            </w:r>
          </w:p>
          <w:p w14:paraId="13B7E283"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10797C68"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Tablets</w:t>
            </w:r>
          </w:p>
          <w:p w14:paraId="1FA659D4"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4BD0EEC2"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p w14:paraId="29647307"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0D9D9243"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Sheisedo C18 (250mm × 4.6mm, 5µm), Mobile Phase: ACN: Methanol: water (30:50:20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268 nm</w:t>
            </w:r>
          </w:p>
        </w:tc>
        <w:tc>
          <w:tcPr>
            <w:tcW w:w="2766" w:type="dxa"/>
          </w:tcPr>
          <w:p w14:paraId="7100C916"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39</w:t>
            </w:r>
          </w:p>
        </w:tc>
      </w:tr>
      <w:tr w:rsidR="001D04B0" w14:paraId="5E45B6DC" w14:textId="77777777">
        <w:tc>
          <w:tcPr>
            <w:tcW w:w="704" w:type="dxa"/>
          </w:tcPr>
          <w:p w14:paraId="1F92C531"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559" w:type="dxa"/>
          </w:tcPr>
          <w:p w14:paraId="5CA39E00" w14:textId="77777777" w:rsidR="001D04B0" w:rsidRDefault="00000000">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 and Torsemide</w:t>
            </w:r>
          </w:p>
          <w:p w14:paraId="0BF13E7E" w14:textId="77777777" w:rsidR="001D04B0" w:rsidRDefault="001D04B0">
            <w:pPr>
              <w:tabs>
                <w:tab w:val="left" w:pos="993"/>
              </w:tabs>
              <w:spacing w:after="0" w:line="240" w:lineRule="auto"/>
              <w:ind w:left="34"/>
              <w:rPr>
                <w:rFonts w:ascii="Times New Roman" w:hAnsi="Times New Roman" w:cs="Times New Roman"/>
                <w:sz w:val="24"/>
                <w:szCs w:val="24"/>
              </w:rPr>
            </w:pPr>
          </w:p>
        </w:tc>
        <w:tc>
          <w:tcPr>
            <w:tcW w:w="1134" w:type="dxa"/>
          </w:tcPr>
          <w:p w14:paraId="40F72F1B" w14:textId="77777777" w:rsidR="001D04B0" w:rsidRDefault="00000000">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Tablets</w:t>
            </w:r>
          </w:p>
          <w:p w14:paraId="65D6F5A6" w14:textId="77777777" w:rsidR="001D04B0" w:rsidRDefault="001D04B0">
            <w:pPr>
              <w:tabs>
                <w:tab w:val="left" w:pos="465"/>
              </w:tabs>
              <w:spacing w:after="0" w:line="240" w:lineRule="auto"/>
              <w:ind w:left="40"/>
              <w:rPr>
                <w:rFonts w:ascii="Times New Roman" w:hAnsi="Times New Roman" w:cs="Times New Roman"/>
                <w:sz w:val="24"/>
                <w:szCs w:val="24"/>
              </w:rPr>
            </w:pPr>
          </w:p>
        </w:tc>
        <w:tc>
          <w:tcPr>
            <w:tcW w:w="1276" w:type="dxa"/>
          </w:tcPr>
          <w:p w14:paraId="029ACF27" w14:textId="77777777" w:rsidR="001D04B0" w:rsidRDefault="00000000">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QbD based RP-HPLC</w:t>
            </w:r>
          </w:p>
          <w:p w14:paraId="0809C996" w14:textId="77777777" w:rsidR="001D04B0" w:rsidRDefault="001D04B0">
            <w:pPr>
              <w:tabs>
                <w:tab w:val="left" w:pos="466"/>
              </w:tabs>
              <w:spacing w:after="0" w:line="240" w:lineRule="auto"/>
              <w:ind w:left="40"/>
              <w:rPr>
                <w:rFonts w:ascii="Times New Roman" w:hAnsi="Times New Roman" w:cs="Times New Roman"/>
                <w:sz w:val="24"/>
                <w:szCs w:val="24"/>
              </w:rPr>
            </w:pPr>
          </w:p>
        </w:tc>
        <w:tc>
          <w:tcPr>
            <w:tcW w:w="3587" w:type="dxa"/>
          </w:tcPr>
          <w:p w14:paraId="7A873EBB" w14:textId="77777777" w:rsidR="001D04B0" w:rsidRDefault="00000000">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Column: C18 (250mm × 4.6mm, 5µm), Mobile Phase:   ACN : water: methanol (50:30:20 v/v), Flow rate: 1 ml/min</w:t>
            </w:r>
          </w:p>
        </w:tc>
        <w:tc>
          <w:tcPr>
            <w:tcW w:w="2766" w:type="dxa"/>
          </w:tcPr>
          <w:p w14:paraId="317E8875" w14:textId="77777777" w:rsidR="001D04B0" w:rsidRDefault="00000000">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40</w:t>
            </w:r>
          </w:p>
        </w:tc>
      </w:tr>
    </w:tbl>
    <w:p w14:paraId="33850544" w14:textId="77777777" w:rsidR="001D04B0" w:rsidRDefault="001D04B0">
      <w:pPr>
        <w:spacing w:line="240" w:lineRule="auto"/>
        <w:jc w:val="both"/>
        <w:rPr>
          <w:rFonts w:ascii="Times New Roman" w:hAnsi="Times New Roman" w:cs="Times New Roman"/>
          <w:sz w:val="24"/>
          <w:szCs w:val="24"/>
        </w:rPr>
        <w:sectPr w:rsidR="001D04B0">
          <w:headerReference w:type="default" r:id="rId21"/>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p>
    <w:p w14:paraId="1127D866"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Summary of PSAR </w:t>
      </w:r>
      <w:r>
        <w:rPr>
          <w:rFonts w:ascii="Times New Roman" w:hAnsi="Times New Roman" w:cs="Times New Roman"/>
          <w:b/>
          <w:bCs/>
          <w:sz w:val="24"/>
          <w:szCs w:val="24"/>
          <w:vertAlign w:val="superscript"/>
        </w:rPr>
        <w:t>[41-45]</w:t>
      </w:r>
    </w:p>
    <w:p w14:paraId="40A57A9A"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6-Summary of PSAR</w:t>
      </w:r>
    </w:p>
    <w:tbl>
      <w:tblPr>
        <w:tblStyle w:val="TableGrid"/>
        <w:tblW w:w="8301" w:type="dxa"/>
        <w:tblLook w:val="04A0" w:firstRow="1" w:lastRow="0" w:firstColumn="1" w:lastColumn="0" w:noHBand="0" w:noVBand="1"/>
      </w:tblPr>
      <w:tblGrid>
        <w:gridCol w:w="570"/>
        <w:gridCol w:w="2300"/>
        <w:gridCol w:w="1441"/>
        <w:gridCol w:w="2752"/>
        <w:gridCol w:w="1238"/>
      </w:tblGrid>
      <w:tr w:rsidR="001D04B0" w14:paraId="46E2B60A" w14:textId="77777777">
        <w:trPr>
          <w:trHeight w:val="847"/>
        </w:trPr>
        <w:tc>
          <w:tcPr>
            <w:tcW w:w="570" w:type="dxa"/>
          </w:tcPr>
          <w:p w14:paraId="275D2C9B"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Sr. No.</w:t>
            </w:r>
          </w:p>
        </w:tc>
        <w:tc>
          <w:tcPr>
            <w:tcW w:w="2300" w:type="dxa"/>
          </w:tcPr>
          <w:p w14:paraId="3C84F4CD"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Patent Application Number</w:t>
            </w:r>
          </w:p>
        </w:tc>
        <w:tc>
          <w:tcPr>
            <w:tcW w:w="1441" w:type="dxa"/>
          </w:tcPr>
          <w:p w14:paraId="53B022AE" w14:textId="77777777" w:rsidR="001D04B0"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Publish Date</w:t>
            </w:r>
          </w:p>
        </w:tc>
        <w:tc>
          <w:tcPr>
            <w:tcW w:w="2752" w:type="dxa"/>
          </w:tcPr>
          <w:p w14:paraId="272F4E9F"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Title of patent</w:t>
            </w:r>
          </w:p>
        </w:tc>
        <w:tc>
          <w:tcPr>
            <w:tcW w:w="1238" w:type="dxa"/>
          </w:tcPr>
          <w:p w14:paraId="5CE7E255" w14:textId="77777777" w:rsidR="001D04B0"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 No.</w:t>
            </w:r>
          </w:p>
        </w:tc>
      </w:tr>
      <w:tr w:rsidR="001D04B0" w14:paraId="34552A12" w14:textId="77777777">
        <w:trPr>
          <w:trHeight w:val="387"/>
        </w:trPr>
        <w:tc>
          <w:tcPr>
            <w:tcW w:w="570" w:type="dxa"/>
          </w:tcPr>
          <w:p w14:paraId="026E6B56"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1</w:t>
            </w:r>
          </w:p>
        </w:tc>
        <w:tc>
          <w:tcPr>
            <w:tcW w:w="2300" w:type="dxa"/>
          </w:tcPr>
          <w:p w14:paraId="61188394"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US6558707B1</w:t>
            </w:r>
          </w:p>
          <w:p w14:paraId="047CAD99" w14:textId="77777777" w:rsidR="001D04B0" w:rsidRDefault="001D04B0">
            <w:pPr>
              <w:spacing w:after="0" w:line="240" w:lineRule="auto"/>
              <w:rPr>
                <w:rFonts w:ascii="Times New Roman" w:hAnsi="Times New Roman" w:cs="Times New Roman"/>
                <w:sz w:val="24"/>
                <w:szCs w:val="24"/>
              </w:rPr>
            </w:pPr>
          </w:p>
        </w:tc>
        <w:tc>
          <w:tcPr>
            <w:tcW w:w="1441" w:type="dxa"/>
          </w:tcPr>
          <w:p w14:paraId="3E1C6F1E"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2003-05-06</w:t>
            </w:r>
          </w:p>
          <w:p w14:paraId="63DFB600" w14:textId="77777777" w:rsidR="001D04B0" w:rsidRDefault="001D04B0">
            <w:pPr>
              <w:spacing w:after="0" w:line="240" w:lineRule="auto"/>
              <w:jc w:val="both"/>
              <w:rPr>
                <w:rFonts w:ascii="Times New Roman" w:hAnsi="Times New Roman" w:cs="Times New Roman"/>
                <w:sz w:val="24"/>
                <w:szCs w:val="24"/>
              </w:rPr>
            </w:pPr>
          </w:p>
        </w:tc>
        <w:tc>
          <w:tcPr>
            <w:tcW w:w="2752" w:type="dxa"/>
          </w:tcPr>
          <w:p w14:paraId="1856119E"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Immediate release eplerenone compositions</w:t>
            </w:r>
          </w:p>
        </w:tc>
        <w:tc>
          <w:tcPr>
            <w:tcW w:w="1238" w:type="dxa"/>
          </w:tcPr>
          <w:p w14:paraId="38EE984A" w14:textId="77777777" w:rsidR="001D04B0" w:rsidRDefault="0000000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1D04B0" w14:paraId="77CEA121" w14:textId="77777777">
        <w:trPr>
          <w:trHeight w:val="820"/>
        </w:trPr>
        <w:tc>
          <w:tcPr>
            <w:tcW w:w="570" w:type="dxa"/>
          </w:tcPr>
          <w:p w14:paraId="423BD08D"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2</w:t>
            </w:r>
          </w:p>
        </w:tc>
        <w:tc>
          <w:tcPr>
            <w:tcW w:w="2300" w:type="dxa"/>
          </w:tcPr>
          <w:p w14:paraId="0BBC8D2A"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CN101152187A</w:t>
            </w:r>
          </w:p>
          <w:p w14:paraId="5B8032DD" w14:textId="77777777" w:rsidR="001D04B0" w:rsidRDefault="001D04B0">
            <w:pPr>
              <w:spacing w:after="0" w:line="240" w:lineRule="auto"/>
              <w:rPr>
                <w:rFonts w:ascii="Times New Roman" w:hAnsi="Times New Roman" w:cs="Times New Roman"/>
                <w:sz w:val="24"/>
                <w:szCs w:val="24"/>
              </w:rPr>
            </w:pPr>
          </w:p>
        </w:tc>
        <w:tc>
          <w:tcPr>
            <w:tcW w:w="1441" w:type="dxa"/>
          </w:tcPr>
          <w:p w14:paraId="602C2160"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2008-04-02</w:t>
            </w:r>
          </w:p>
          <w:p w14:paraId="18093898" w14:textId="77777777" w:rsidR="001D04B0" w:rsidRDefault="001D04B0">
            <w:pPr>
              <w:spacing w:after="0" w:line="240" w:lineRule="auto"/>
              <w:jc w:val="both"/>
              <w:rPr>
                <w:rFonts w:ascii="Times New Roman" w:hAnsi="Times New Roman" w:cs="Times New Roman"/>
                <w:sz w:val="24"/>
                <w:szCs w:val="24"/>
                <w:lang w:val="en-US"/>
              </w:rPr>
            </w:pPr>
          </w:p>
        </w:tc>
        <w:tc>
          <w:tcPr>
            <w:tcW w:w="2752" w:type="dxa"/>
          </w:tcPr>
          <w:p w14:paraId="34CCD518"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Eplerenone pharmaceutical composition</w:t>
            </w:r>
          </w:p>
        </w:tc>
        <w:tc>
          <w:tcPr>
            <w:tcW w:w="1238" w:type="dxa"/>
          </w:tcPr>
          <w:p w14:paraId="3117C433" w14:textId="77777777" w:rsidR="001D04B0" w:rsidRDefault="0000000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42</w:t>
            </w:r>
          </w:p>
        </w:tc>
      </w:tr>
      <w:tr w:rsidR="001D04B0" w14:paraId="2EBFCC0B" w14:textId="77777777">
        <w:trPr>
          <w:trHeight w:val="412"/>
        </w:trPr>
        <w:tc>
          <w:tcPr>
            <w:tcW w:w="570" w:type="dxa"/>
          </w:tcPr>
          <w:p w14:paraId="4D086F91"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3</w:t>
            </w:r>
          </w:p>
        </w:tc>
        <w:tc>
          <w:tcPr>
            <w:tcW w:w="2300" w:type="dxa"/>
          </w:tcPr>
          <w:p w14:paraId="57ACDBD3"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US11660308B2</w:t>
            </w:r>
          </w:p>
          <w:p w14:paraId="1D7A18CD" w14:textId="77777777" w:rsidR="001D04B0" w:rsidRDefault="001D04B0">
            <w:pPr>
              <w:spacing w:after="0" w:line="240" w:lineRule="auto"/>
              <w:rPr>
                <w:rFonts w:ascii="Times New Roman" w:hAnsi="Times New Roman" w:cs="Times New Roman"/>
                <w:sz w:val="24"/>
                <w:szCs w:val="24"/>
              </w:rPr>
            </w:pPr>
          </w:p>
        </w:tc>
        <w:tc>
          <w:tcPr>
            <w:tcW w:w="1441" w:type="dxa"/>
          </w:tcPr>
          <w:p w14:paraId="70164092"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2023-05-30</w:t>
            </w:r>
          </w:p>
          <w:p w14:paraId="20B8018D" w14:textId="77777777" w:rsidR="001D04B0" w:rsidRDefault="001D04B0">
            <w:pPr>
              <w:spacing w:after="0" w:line="240" w:lineRule="auto"/>
              <w:jc w:val="both"/>
              <w:rPr>
                <w:rFonts w:ascii="Times New Roman" w:hAnsi="Times New Roman" w:cs="Times New Roman"/>
                <w:sz w:val="24"/>
                <w:szCs w:val="24"/>
                <w:lang w:val="en-US"/>
              </w:rPr>
            </w:pPr>
          </w:p>
        </w:tc>
        <w:tc>
          <w:tcPr>
            <w:tcW w:w="2752" w:type="dxa"/>
          </w:tcPr>
          <w:p w14:paraId="4E202FE6"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Pharmaceutical composition comprising dapagliflozin</w:t>
            </w:r>
          </w:p>
        </w:tc>
        <w:tc>
          <w:tcPr>
            <w:tcW w:w="1238" w:type="dxa"/>
          </w:tcPr>
          <w:p w14:paraId="43DA74CE" w14:textId="77777777" w:rsidR="001D04B0" w:rsidRDefault="0000000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43</w:t>
            </w:r>
          </w:p>
        </w:tc>
      </w:tr>
      <w:tr w:rsidR="001D04B0" w14:paraId="417C3E1B" w14:textId="77777777">
        <w:trPr>
          <w:trHeight w:val="835"/>
        </w:trPr>
        <w:tc>
          <w:tcPr>
            <w:tcW w:w="570" w:type="dxa"/>
          </w:tcPr>
          <w:p w14:paraId="0F03873C"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4</w:t>
            </w:r>
          </w:p>
        </w:tc>
        <w:tc>
          <w:tcPr>
            <w:tcW w:w="2300" w:type="dxa"/>
          </w:tcPr>
          <w:p w14:paraId="1567B5FB"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US20190175543A1</w:t>
            </w:r>
          </w:p>
          <w:p w14:paraId="46BD25F7" w14:textId="77777777" w:rsidR="001D04B0" w:rsidRDefault="001D04B0">
            <w:pPr>
              <w:spacing w:after="0" w:line="240" w:lineRule="auto"/>
              <w:rPr>
                <w:rFonts w:ascii="Times New Roman" w:hAnsi="Times New Roman" w:cs="Times New Roman"/>
                <w:sz w:val="24"/>
                <w:szCs w:val="24"/>
              </w:rPr>
            </w:pPr>
          </w:p>
        </w:tc>
        <w:tc>
          <w:tcPr>
            <w:tcW w:w="1441" w:type="dxa"/>
          </w:tcPr>
          <w:p w14:paraId="61664F04"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2019-06-13</w:t>
            </w:r>
          </w:p>
          <w:p w14:paraId="2CF247F0" w14:textId="77777777" w:rsidR="001D04B0" w:rsidRDefault="001D04B0">
            <w:pPr>
              <w:spacing w:after="0" w:line="240" w:lineRule="auto"/>
              <w:jc w:val="both"/>
              <w:rPr>
                <w:rFonts w:ascii="Times New Roman" w:hAnsi="Times New Roman" w:cs="Times New Roman"/>
                <w:sz w:val="24"/>
                <w:szCs w:val="24"/>
                <w:lang w:val="en-US"/>
              </w:rPr>
            </w:pPr>
          </w:p>
        </w:tc>
        <w:tc>
          <w:tcPr>
            <w:tcW w:w="2752" w:type="dxa"/>
          </w:tcPr>
          <w:p w14:paraId="65BE82D9"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Formulations Containing Amorphous Dapagliflozin</w:t>
            </w:r>
          </w:p>
        </w:tc>
        <w:tc>
          <w:tcPr>
            <w:tcW w:w="1238" w:type="dxa"/>
          </w:tcPr>
          <w:p w14:paraId="58AEB5AB" w14:textId="77777777" w:rsidR="001D04B0" w:rsidRDefault="0000000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44</w:t>
            </w:r>
          </w:p>
        </w:tc>
      </w:tr>
      <w:tr w:rsidR="001D04B0" w14:paraId="37AF1CA5" w14:textId="77777777">
        <w:trPr>
          <w:trHeight w:val="835"/>
        </w:trPr>
        <w:tc>
          <w:tcPr>
            <w:tcW w:w="570" w:type="dxa"/>
          </w:tcPr>
          <w:p w14:paraId="56677B9B" w14:textId="77777777" w:rsidR="001D04B0"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2300" w:type="dxa"/>
          </w:tcPr>
          <w:p w14:paraId="5AFDD56E" w14:textId="77777777" w:rsidR="001D04B0"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US10738038B2</w:t>
            </w:r>
          </w:p>
          <w:p w14:paraId="56F1BAEC" w14:textId="77777777" w:rsidR="001D04B0" w:rsidRDefault="001D04B0">
            <w:pPr>
              <w:spacing w:after="0" w:line="240" w:lineRule="auto"/>
              <w:rPr>
                <w:rFonts w:ascii="Times New Roman" w:hAnsi="Times New Roman" w:cs="Times New Roman"/>
                <w:sz w:val="24"/>
                <w:szCs w:val="24"/>
                <w:lang w:val="en-US"/>
              </w:rPr>
            </w:pPr>
          </w:p>
        </w:tc>
        <w:tc>
          <w:tcPr>
            <w:tcW w:w="1441" w:type="dxa"/>
          </w:tcPr>
          <w:p w14:paraId="129CC109"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2020-08-11</w:t>
            </w:r>
          </w:p>
          <w:p w14:paraId="22A62CD2" w14:textId="77777777" w:rsidR="001D04B0" w:rsidRDefault="001D04B0">
            <w:pPr>
              <w:spacing w:after="0" w:line="240" w:lineRule="auto"/>
              <w:jc w:val="both"/>
              <w:rPr>
                <w:rFonts w:ascii="Times New Roman" w:hAnsi="Times New Roman" w:cs="Times New Roman"/>
                <w:sz w:val="24"/>
                <w:szCs w:val="24"/>
                <w:lang w:val="en-US"/>
              </w:rPr>
            </w:pPr>
          </w:p>
        </w:tc>
        <w:tc>
          <w:tcPr>
            <w:tcW w:w="2752" w:type="dxa"/>
          </w:tcPr>
          <w:p w14:paraId="5C1230C1"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Co-crystals of SGLT2 inhibitors, process for their preparation and pharmaceutical compositions thereof</w:t>
            </w:r>
          </w:p>
        </w:tc>
        <w:tc>
          <w:tcPr>
            <w:tcW w:w="1238" w:type="dxa"/>
          </w:tcPr>
          <w:p w14:paraId="40E54C5B" w14:textId="77777777" w:rsidR="001D04B0" w:rsidRDefault="0000000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45</w:t>
            </w:r>
          </w:p>
        </w:tc>
      </w:tr>
    </w:tbl>
    <w:p w14:paraId="53EABAC2" w14:textId="77777777" w:rsidR="001D04B0" w:rsidRDefault="001D04B0">
      <w:pPr>
        <w:spacing w:line="240" w:lineRule="auto"/>
        <w:rPr>
          <w:rFonts w:ascii="Times New Roman" w:hAnsi="Times New Roman" w:cs="Times New Roman"/>
          <w:sz w:val="24"/>
          <w:szCs w:val="24"/>
        </w:rPr>
      </w:pPr>
    </w:p>
    <w:p w14:paraId="6F0B95FE" w14:textId="77777777" w:rsidR="001D04B0" w:rsidRDefault="00000000">
      <w:pPr>
        <w:spacing w:line="240" w:lineRule="auto"/>
        <w:rPr>
          <w:rFonts w:ascii="Times New Roman" w:hAnsi="Times New Roman" w:cs="Times New Roman"/>
          <w:sz w:val="24"/>
          <w:szCs w:val="24"/>
        </w:rPr>
      </w:pPr>
      <w:r>
        <w:rPr>
          <w:rFonts w:ascii="Times New Roman" w:hAnsi="Times New Roman" w:cs="Times New Roman"/>
          <w:b/>
          <w:bCs/>
          <w:sz w:val="24"/>
          <w:szCs w:val="24"/>
          <w:lang w:val="en-US"/>
        </w:rPr>
        <w:t>Novelty grade to your selected Dissertation project</w:t>
      </w:r>
    </w:p>
    <w:p w14:paraId="2A86123B" w14:textId="77777777" w:rsidR="001D04B0" w:rsidRDefault="00000000">
      <w:pPr>
        <w:spacing w:line="240" w:lineRule="auto"/>
        <w:rPr>
          <w:rFonts w:ascii="Times New Roman" w:hAnsi="Times New Roman" w:cs="Times New Roman"/>
          <w:sz w:val="24"/>
          <w:szCs w:val="24"/>
        </w:rPr>
      </w:pPr>
      <w:r>
        <w:rPr>
          <w:rFonts w:ascii="Times New Roman" w:hAnsi="Times New Roman" w:cs="Times New Roman"/>
          <w:sz w:val="24"/>
          <w:szCs w:val="24"/>
        </w:rPr>
        <w:t>&gt;90%</w:t>
      </w:r>
    </w:p>
    <w:p w14:paraId="74763D11" w14:textId="77777777" w:rsidR="001D04B0" w:rsidRDefault="001D04B0">
      <w:pPr>
        <w:numPr>
          <w:ilvl w:val="0"/>
          <w:numId w:val="28"/>
        </w:numPr>
        <w:tabs>
          <w:tab w:val="clear" w:pos="720"/>
          <w:tab w:val="left" w:pos="284"/>
        </w:tabs>
        <w:spacing w:line="240" w:lineRule="auto"/>
        <w:ind w:left="0" w:firstLine="0"/>
        <w:jc w:val="both"/>
        <w:rPr>
          <w:rFonts w:ascii="Times New Roman" w:hAnsi="Times New Roman" w:cs="Times New Roman"/>
          <w:sz w:val="24"/>
          <w:szCs w:val="24"/>
        </w:rPr>
        <w:sectPr w:rsidR="001D04B0">
          <w:headerReference w:type="default" r:id="rId22"/>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p>
    <w:p w14:paraId="7711BAFF" w14:textId="77777777" w:rsidR="001D04B0" w:rsidRDefault="00000000">
      <w:pPr>
        <w:numPr>
          <w:ilvl w:val="0"/>
          <w:numId w:val="28"/>
        </w:numPr>
        <w:tabs>
          <w:tab w:val="clear" w:pos="720"/>
          <w:tab w:val="left" w:pos="284"/>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US11660308B2 - The present invention relates to solid oral pharmaceutical compositions comprising amorphous dapagliflozin. The invention further relates to a process for the preparation of the said pharmaceutical compositions. The said compositions are administered orally for the treatment of diabetes mellitus. The said compositions provide the desired immediate release of dapagliflozin and were found to be stable under accelerated conditions.</w:t>
      </w:r>
    </w:p>
    <w:p w14:paraId="7E3FB25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4. US20190175543A1</w:t>
      </w:r>
      <w:r>
        <w:rPr>
          <w:rFonts w:ascii="Times New Roman" w:hAnsi="Times New Roman" w:cs="Times New Roman"/>
          <w:sz w:val="24"/>
          <w:szCs w:val="24"/>
        </w:rPr>
        <w:t xml:space="preserve">- </w:t>
      </w:r>
      <w:r>
        <w:rPr>
          <w:rFonts w:ascii="Times New Roman" w:hAnsi="Times New Roman" w:cs="Times New Roman"/>
          <w:sz w:val="24"/>
          <w:szCs w:val="24"/>
          <w:lang w:val="en-US"/>
        </w:rPr>
        <w:t>The present invention belongs to the field of pharmaceutical industry and relates to an amorphous solid dispersion comprising at least one polymer and dapagliflozin, to a pharmaceutical composition comprising said solid dispersion, to a process for the preparation thereof, and to the solid dispersion and pharmaceutical composition respectively obtainable by said process.</w:t>
      </w:r>
    </w:p>
    <w:p w14:paraId="6CAA58A6" w14:textId="77777777" w:rsidR="001D04B0" w:rsidRDefault="001D04B0">
      <w:pPr>
        <w:spacing w:line="240" w:lineRule="auto"/>
        <w:jc w:val="both"/>
        <w:rPr>
          <w:rFonts w:ascii="Times New Roman" w:hAnsi="Times New Roman" w:cs="Times New Roman"/>
          <w:sz w:val="24"/>
          <w:szCs w:val="24"/>
        </w:rPr>
        <w:sectPr w:rsidR="001D04B0">
          <w:type w:val="continuous"/>
          <w:pgSz w:w="11906" w:h="16838"/>
          <w:pgMar w:top="431" w:right="238" w:bottom="238" w:left="238" w:header="1134" w:footer="1134" w:gutter="0"/>
          <w:pgBorders>
            <w:top w:val="thinThickSmallGap" w:sz="24" w:space="1" w:color="C00000"/>
            <w:bottom w:val="thickThinSmallGap" w:sz="24" w:space="1" w:color="C00000"/>
          </w:pgBorders>
          <w:cols w:space="425"/>
          <w:docGrid w:linePitch="360"/>
        </w:sectPr>
      </w:pPr>
    </w:p>
    <w:p w14:paraId="5E17C16D" w14:textId="77777777" w:rsidR="001D04B0" w:rsidRDefault="000000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5. US10738038B2- </w:t>
      </w:r>
      <w:r>
        <w:rPr>
          <w:rFonts w:ascii="Times New Roman" w:hAnsi="Times New Roman" w:cs="Times New Roman"/>
          <w:sz w:val="24"/>
          <w:szCs w:val="24"/>
          <w:lang w:val="en-US"/>
        </w:rPr>
        <w:t>The present invention provides solid forms of SGLT2 inhibitors, to processes for their preparation and their use in the purification of SGLT2 inhibitors and also provided pharmaceutical compositions comprising them and their use in therapy.</w:t>
      </w:r>
    </w:p>
    <w:p w14:paraId="50646CCE" w14:textId="77777777" w:rsidR="001D04B0" w:rsidRDefault="00000000">
      <w:pPr>
        <w:numPr>
          <w:ilvl w:val="0"/>
          <w:numId w:val="29"/>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lang w:val="en-US"/>
        </w:rPr>
        <w:t>Novelty grade to your selected Dissertation project</w:t>
      </w:r>
      <w:r>
        <w:rPr>
          <w:rFonts w:ascii="Times New Roman" w:hAnsi="Times New Roman" w:cs="Times New Roman"/>
          <w:sz w:val="24"/>
          <w:szCs w:val="24"/>
          <w:lang w:val="en-US"/>
        </w:rPr>
        <w:t xml:space="preserve">-      </w:t>
      </w:r>
      <w:r>
        <w:rPr>
          <w:rFonts w:ascii="Times New Roman" w:hAnsi="Times New Roman" w:cs="Times New Roman"/>
          <w:b/>
          <w:bCs/>
          <w:sz w:val="24"/>
          <w:szCs w:val="24"/>
        </w:rPr>
        <w:t>&gt;90%</w:t>
      </w:r>
    </w:p>
    <w:p w14:paraId="37AEFE7E" w14:textId="77777777" w:rsidR="001D04B0" w:rsidRDefault="000000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all the patents, not a single patent described the analytical method to determine Eplerenone and Dapagliflozin in the synthetic mixture or tablet dosage form.</w:t>
      </w:r>
    </w:p>
    <w:p w14:paraId="4F65F194" w14:textId="77777777" w:rsidR="001D04B0" w:rsidRDefault="00000000">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RATIONALE</w:t>
      </w:r>
    </w:p>
    <w:p w14:paraId="14F1916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Pharmacological Rationale</w:t>
      </w:r>
    </w:p>
    <w:p w14:paraId="1263358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combination of Eplerenone and Dapagliflozin Propanediol Monohydrate is pharmacologically justified for managing heart failure with reduced ejection fraction (HFrEF) or chronic kidney disease (CKD), with or without type 2 diabetes mellitus.</w:t>
      </w:r>
    </w:p>
    <w:p w14:paraId="0309E04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Eplerenone, a selective mineralocorticoid receptor antagonist, blocks the effects of aldosterone, reducing sodium and water retention, myocardial fibrosis, and adverse cardiac remodelling. </w:t>
      </w:r>
    </w:p>
    <w:p w14:paraId="2CEDC1E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Dapagliflozin, a sodium-glucose co-transporter 2 (SGLT2) inhibitor, induces glucosuria and natriuresis, leading to osmotic diuresis, reduced plasma volume, and improved cardiac preload and afterload. It also provides cardio renal protection by lowering intraglomerular pressure and oxidative stress.</w:t>
      </w:r>
    </w:p>
    <w:p w14:paraId="3834D16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Together, these agents act through complementary mechanisms to reduce fluid overload, enhance cardiac and renal function, and improve clinical outcomes in patients with heart failure or CKD.</w:t>
      </w:r>
    </w:p>
    <w:p w14:paraId="5D513686"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Analytical Rationale</w:t>
      </w:r>
    </w:p>
    <w:p w14:paraId="0FA5AD0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 review of the available literature indicates that a few analytical methods have been reported for the estimation of Eplerenone and Dapagliflozin Propanediol Monohydrate individually; however, no work has been carried out for their simultaneous estimation in synthetic mixture as the combination is still in Phase-III clinical trial. Moreover, no specific RP-HPLC method has been reported for their concurrent quantification in a single formulation.</w:t>
      </w:r>
    </w:p>
    <w:p w14:paraId="61EC23D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Considering the increasing therapeutic use of this combination in the management of cardiovascular and renal disorders, the development of a suitable analytical method is warranted. Hence, it is necessary to develop and validate a simple, rapid, precise, accurate, and reproducible RP-HPLC method for the simultaneous estimation of Eplerenone and Dapagliflozin in its synthetic mixture. Such a method will facilitate reliable quantification during formulation development and routine quality control analysis.</w:t>
      </w:r>
    </w:p>
    <w:p w14:paraId="3B2896D9" w14:textId="77777777" w:rsidR="001D04B0" w:rsidRDefault="00000000">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w:t>
      </w:r>
    </w:p>
    <w:p w14:paraId="1F2FDA3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AIM</w:t>
      </w:r>
    </w:p>
    <w:p w14:paraId="09D2A86D" w14:textId="77777777" w:rsidR="001D04B0" w:rsidRDefault="00000000">
      <w:pPr>
        <w:numPr>
          <w:ilvl w:val="0"/>
          <w:numId w:val="3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From the detailed review of literature and patent, it’s been found that no </w:t>
      </w:r>
      <w:r>
        <w:rPr>
          <w:rFonts w:ascii="Times New Roman" w:hAnsi="Times New Roman" w:cs="Times New Roman"/>
          <w:b/>
          <w:bCs/>
          <w:sz w:val="24"/>
          <w:szCs w:val="24"/>
          <w:lang w:val="en-US"/>
        </w:rPr>
        <w:t xml:space="preserve">RP-HPLC method is available for this combination, </w:t>
      </w:r>
      <w:r>
        <w:rPr>
          <w:rFonts w:ascii="Times New Roman" w:hAnsi="Times New Roman" w:cs="Times New Roman"/>
          <w:sz w:val="24"/>
          <w:szCs w:val="24"/>
          <w:lang w:val="en-US"/>
        </w:rPr>
        <w:t xml:space="preserve">Therefore, it is worthwhile to develop and validate an RP-HPLC method for determination of </w:t>
      </w:r>
      <w:r>
        <w:rPr>
          <w:rFonts w:ascii="Times New Roman" w:hAnsi="Times New Roman" w:cs="Times New Roman"/>
          <w:sz w:val="24"/>
          <w:szCs w:val="24"/>
        </w:rPr>
        <w:t xml:space="preserve">Eplerenone and Dapagliflozin Propanediol Monohydrate in </w:t>
      </w:r>
      <w:r>
        <w:rPr>
          <w:rFonts w:ascii="Times New Roman" w:hAnsi="Times New Roman" w:cs="Times New Roman"/>
          <w:sz w:val="24"/>
          <w:szCs w:val="24"/>
          <w:lang w:val="en-US"/>
        </w:rPr>
        <w:t>synthetic mixture.</w:t>
      </w:r>
      <w:r>
        <w:rPr>
          <w:rFonts w:ascii="Times New Roman" w:hAnsi="Times New Roman" w:cs="Times New Roman"/>
          <w:sz w:val="24"/>
          <w:szCs w:val="24"/>
        </w:rPr>
        <w:t xml:space="preserve"> The aim of the present work is to develop and validate a RP-HPLC method for estimation of Eplerenone and Dapagliflozin Propanediol Monohydrate in its synthetic mixture.</w:t>
      </w:r>
    </w:p>
    <w:p w14:paraId="71942587"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OBJECTIVES</w:t>
      </w:r>
    </w:p>
    <w:p w14:paraId="5B709444" w14:textId="77777777" w:rsidR="001D04B0" w:rsidRDefault="00000000">
      <w:pPr>
        <w:numPr>
          <w:ilvl w:val="0"/>
          <w:numId w:val="3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To optimize separation conditions for </w:t>
      </w:r>
      <w:r>
        <w:rPr>
          <w:rFonts w:ascii="Times New Roman" w:hAnsi="Times New Roman" w:cs="Times New Roman"/>
          <w:sz w:val="24"/>
          <w:szCs w:val="24"/>
        </w:rPr>
        <w:t>Eplerenone and Dapagliflozin Propanediol Monohydrate.</w:t>
      </w:r>
    </w:p>
    <w:p w14:paraId="08F4E805" w14:textId="77777777" w:rsidR="001D04B0" w:rsidRDefault="00000000">
      <w:pPr>
        <w:numPr>
          <w:ilvl w:val="0"/>
          <w:numId w:val="3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To validate the developed and optimized RP-HPLC method according to ICH Q2 R2 guidelines.</w:t>
      </w:r>
    </w:p>
    <w:p w14:paraId="3675D033" w14:textId="77777777" w:rsidR="001D04B0" w:rsidRDefault="00000000">
      <w:pPr>
        <w:numPr>
          <w:ilvl w:val="0"/>
          <w:numId w:val="3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To apply the validated method for estimation of Eplerenone </w:t>
      </w:r>
      <w:r>
        <w:rPr>
          <w:rFonts w:ascii="Times New Roman" w:hAnsi="Times New Roman" w:cs="Times New Roman"/>
          <w:sz w:val="24"/>
          <w:szCs w:val="24"/>
        </w:rPr>
        <w:t xml:space="preserve">and Dapagliflozin Propanediol Monohydrate </w:t>
      </w:r>
      <w:r>
        <w:rPr>
          <w:rFonts w:ascii="Times New Roman" w:hAnsi="Times New Roman" w:cs="Times New Roman"/>
          <w:sz w:val="24"/>
          <w:szCs w:val="24"/>
          <w:lang w:val="en-US"/>
        </w:rPr>
        <w:t>from its synthetic mixture.</w:t>
      </w:r>
    </w:p>
    <w:p w14:paraId="60C0F9D6" w14:textId="77777777" w:rsidR="001D04B0" w:rsidRDefault="001D04B0">
      <w:pPr>
        <w:tabs>
          <w:tab w:val="left" w:pos="567"/>
        </w:tabs>
        <w:spacing w:line="240" w:lineRule="auto"/>
        <w:jc w:val="both"/>
        <w:rPr>
          <w:rFonts w:ascii="Times New Roman" w:hAnsi="Times New Roman" w:cs="Times New Roman"/>
          <w:sz w:val="24"/>
          <w:szCs w:val="24"/>
          <w:lang w:val="en-US"/>
        </w:rPr>
      </w:pPr>
    </w:p>
    <w:p w14:paraId="663D6141" w14:textId="77777777" w:rsidR="001D04B0" w:rsidRDefault="00000000">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CHEMICALS AND INSTRUMENTAL SPECIFICATIONS</w:t>
      </w:r>
    </w:p>
    <w:p w14:paraId="5BC8E4A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Chemicals and Reagents</w:t>
      </w:r>
    </w:p>
    <w:p w14:paraId="44F81BE1"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Drugs used in Research Work</w:t>
      </w:r>
    </w:p>
    <w:p w14:paraId="7D525855"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7-Drug used in Research Work</w:t>
      </w:r>
    </w:p>
    <w:tbl>
      <w:tblPr>
        <w:tblStyle w:val="TableGrid"/>
        <w:tblW w:w="10985" w:type="dxa"/>
        <w:tblLayout w:type="fixed"/>
        <w:tblLook w:val="04A0" w:firstRow="1" w:lastRow="0" w:firstColumn="1" w:lastColumn="0" w:noHBand="0" w:noVBand="1"/>
      </w:tblPr>
      <w:tblGrid>
        <w:gridCol w:w="5342"/>
        <w:gridCol w:w="5643"/>
      </w:tblGrid>
      <w:tr w:rsidR="001D04B0" w14:paraId="436E4830" w14:textId="77777777">
        <w:trPr>
          <w:trHeight w:val="903"/>
        </w:trPr>
        <w:tc>
          <w:tcPr>
            <w:tcW w:w="5342" w:type="dxa"/>
          </w:tcPr>
          <w:p w14:paraId="5B13ADA9" w14:textId="77777777" w:rsidR="001D04B0" w:rsidRDefault="00000000">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Drug </w:t>
            </w:r>
          </w:p>
        </w:tc>
        <w:tc>
          <w:tcPr>
            <w:tcW w:w="5643" w:type="dxa"/>
          </w:tcPr>
          <w:p w14:paraId="1CFA251B" w14:textId="77777777" w:rsidR="001D04B0" w:rsidRDefault="00000000">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Company</w:t>
            </w:r>
          </w:p>
        </w:tc>
      </w:tr>
      <w:tr w:rsidR="001D04B0" w14:paraId="115025B6" w14:textId="77777777">
        <w:trPr>
          <w:trHeight w:val="1768"/>
        </w:trPr>
        <w:tc>
          <w:tcPr>
            <w:tcW w:w="5342" w:type="dxa"/>
          </w:tcPr>
          <w:p w14:paraId="78D428EF" w14:textId="77777777" w:rsidR="001D04B0" w:rsidRDefault="0000000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Dapagliflozin Propanediol Monohydrate</w:t>
            </w:r>
          </w:p>
        </w:tc>
        <w:tc>
          <w:tcPr>
            <w:tcW w:w="5643" w:type="dxa"/>
          </w:tcPr>
          <w:p w14:paraId="7E334E4F" w14:textId="77777777" w:rsidR="001D04B0" w:rsidRDefault="0000000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Sunij Pharma Pvt. Ltd.</w:t>
            </w:r>
          </w:p>
        </w:tc>
      </w:tr>
      <w:tr w:rsidR="001D04B0" w14:paraId="57DFEA89" w14:textId="77777777">
        <w:trPr>
          <w:trHeight w:val="90"/>
        </w:trPr>
        <w:tc>
          <w:tcPr>
            <w:tcW w:w="5342" w:type="dxa"/>
          </w:tcPr>
          <w:p w14:paraId="4AC37814" w14:textId="77777777" w:rsidR="001D04B0" w:rsidRDefault="0000000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Eplerenone</w:t>
            </w:r>
          </w:p>
        </w:tc>
        <w:tc>
          <w:tcPr>
            <w:tcW w:w="5643" w:type="dxa"/>
          </w:tcPr>
          <w:p w14:paraId="47E2839D" w14:textId="77777777" w:rsidR="001D04B0" w:rsidRDefault="0000000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Gratis sample from MSN laboratories</w:t>
            </w:r>
          </w:p>
        </w:tc>
      </w:tr>
    </w:tbl>
    <w:p w14:paraId="44357511" w14:textId="77777777" w:rsidR="001D04B0" w:rsidRDefault="001D04B0">
      <w:pPr>
        <w:tabs>
          <w:tab w:val="left" w:pos="567"/>
        </w:tabs>
        <w:spacing w:line="240" w:lineRule="auto"/>
        <w:jc w:val="both"/>
        <w:rPr>
          <w:rFonts w:ascii="Times New Roman" w:hAnsi="Times New Roman" w:cs="Times New Roman"/>
          <w:sz w:val="24"/>
          <w:szCs w:val="24"/>
          <w:lang w:val="en-US"/>
        </w:rPr>
        <w:sectPr w:rsidR="001D04B0">
          <w:headerReference w:type="default" r:id="rId23"/>
          <w:type w:val="continuous"/>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14:paraId="51D8EB36" w14:textId="77777777" w:rsidR="001D04B0" w:rsidRDefault="001D04B0">
      <w:pPr>
        <w:spacing w:line="240" w:lineRule="auto"/>
        <w:jc w:val="both"/>
        <w:rPr>
          <w:rFonts w:ascii="Times New Roman" w:hAnsi="Times New Roman" w:cs="Times New Roman"/>
          <w:b/>
          <w:bCs/>
          <w:sz w:val="24"/>
          <w:szCs w:val="24"/>
        </w:rPr>
      </w:pPr>
    </w:p>
    <w:p w14:paraId="09C44EE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Chemicals used in Research work</w:t>
      </w:r>
    </w:p>
    <w:p w14:paraId="4B130CE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8- Chemicals used in Research work</w:t>
      </w:r>
    </w:p>
    <w:tbl>
      <w:tblPr>
        <w:tblStyle w:val="TableGrid"/>
        <w:tblW w:w="11053" w:type="dxa"/>
        <w:tblLayout w:type="fixed"/>
        <w:tblLook w:val="04A0" w:firstRow="1" w:lastRow="0" w:firstColumn="1" w:lastColumn="0" w:noHBand="0" w:noVBand="1"/>
      </w:tblPr>
      <w:tblGrid>
        <w:gridCol w:w="2104"/>
        <w:gridCol w:w="8949"/>
      </w:tblGrid>
      <w:tr w:rsidR="001D04B0" w14:paraId="4BE76678" w14:textId="77777777">
        <w:trPr>
          <w:trHeight w:val="465"/>
        </w:trPr>
        <w:tc>
          <w:tcPr>
            <w:tcW w:w="2104" w:type="dxa"/>
          </w:tcPr>
          <w:p w14:paraId="34E26A09" w14:textId="77777777" w:rsidR="001D04B0" w:rsidRDefault="00000000">
            <w:pPr>
              <w:spacing w:after="0"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 xml:space="preserve">Reagent </w:t>
            </w:r>
          </w:p>
        </w:tc>
        <w:tc>
          <w:tcPr>
            <w:tcW w:w="8949" w:type="dxa"/>
          </w:tcPr>
          <w:p w14:paraId="6D0AA1A0" w14:textId="77777777" w:rsidR="001D04B0" w:rsidRDefault="00000000">
            <w:pPr>
              <w:spacing w:after="0"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Supplier</w:t>
            </w:r>
          </w:p>
        </w:tc>
      </w:tr>
      <w:tr w:rsidR="001D04B0" w14:paraId="67A28666" w14:textId="77777777">
        <w:trPr>
          <w:trHeight w:val="465"/>
        </w:trPr>
        <w:tc>
          <w:tcPr>
            <w:tcW w:w="2104" w:type="dxa"/>
          </w:tcPr>
          <w:p w14:paraId="0752E070"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Methyl Alcohol (AR Grade) </w:t>
            </w:r>
          </w:p>
        </w:tc>
        <w:tc>
          <w:tcPr>
            <w:tcW w:w="8949" w:type="dxa"/>
          </w:tcPr>
          <w:p w14:paraId="1178F02C"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1D04B0" w14:paraId="78959281" w14:textId="77777777">
        <w:trPr>
          <w:trHeight w:val="465"/>
        </w:trPr>
        <w:tc>
          <w:tcPr>
            <w:tcW w:w="2104" w:type="dxa"/>
          </w:tcPr>
          <w:p w14:paraId="610ADCA8"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Acetonitrile (HPLC Grade) </w:t>
            </w:r>
          </w:p>
        </w:tc>
        <w:tc>
          <w:tcPr>
            <w:tcW w:w="8949" w:type="dxa"/>
          </w:tcPr>
          <w:p w14:paraId="78BFFE8E"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Astron Chemicals</w:t>
            </w:r>
          </w:p>
        </w:tc>
      </w:tr>
      <w:tr w:rsidR="001D04B0" w14:paraId="09B440FA" w14:textId="77777777">
        <w:trPr>
          <w:trHeight w:val="465"/>
        </w:trPr>
        <w:tc>
          <w:tcPr>
            <w:tcW w:w="2104" w:type="dxa"/>
          </w:tcPr>
          <w:p w14:paraId="1D22680F"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Water (HPLC Grade) </w:t>
            </w:r>
          </w:p>
        </w:tc>
        <w:tc>
          <w:tcPr>
            <w:tcW w:w="8949" w:type="dxa"/>
          </w:tcPr>
          <w:p w14:paraId="4BFED167"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Astron Chemicals</w:t>
            </w:r>
          </w:p>
        </w:tc>
      </w:tr>
      <w:tr w:rsidR="001D04B0" w14:paraId="791CA7E2" w14:textId="77777777">
        <w:trPr>
          <w:trHeight w:val="465"/>
        </w:trPr>
        <w:tc>
          <w:tcPr>
            <w:tcW w:w="2104" w:type="dxa"/>
          </w:tcPr>
          <w:p w14:paraId="632D6127"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Ortho Phosphoric Acid </w:t>
            </w:r>
          </w:p>
        </w:tc>
        <w:tc>
          <w:tcPr>
            <w:tcW w:w="8949" w:type="dxa"/>
          </w:tcPr>
          <w:p w14:paraId="5EF5070F"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1D04B0" w14:paraId="13690A86" w14:textId="77777777">
        <w:trPr>
          <w:trHeight w:val="847"/>
        </w:trPr>
        <w:tc>
          <w:tcPr>
            <w:tcW w:w="2104" w:type="dxa"/>
          </w:tcPr>
          <w:p w14:paraId="5B617658"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Hydrogen Peroxide (AR Grade) </w:t>
            </w:r>
          </w:p>
        </w:tc>
        <w:tc>
          <w:tcPr>
            <w:tcW w:w="8949" w:type="dxa"/>
          </w:tcPr>
          <w:p w14:paraId="450607E1"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1D04B0" w14:paraId="38B2E9A0" w14:textId="77777777">
        <w:trPr>
          <w:trHeight w:val="847"/>
        </w:trPr>
        <w:tc>
          <w:tcPr>
            <w:tcW w:w="2104" w:type="dxa"/>
          </w:tcPr>
          <w:p w14:paraId="3FC56A9B"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Hydrochloric Acid (AR Grade) </w:t>
            </w:r>
          </w:p>
        </w:tc>
        <w:tc>
          <w:tcPr>
            <w:tcW w:w="8949" w:type="dxa"/>
          </w:tcPr>
          <w:p w14:paraId="1397916E"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1D04B0" w14:paraId="62AA2D79" w14:textId="77777777">
        <w:trPr>
          <w:trHeight w:val="857"/>
        </w:trPr>
        <w:tc>
          <w:tcPr>
            <w:tcW w:w="2104" w:type="dxa"/>
          </w:tcPr>
          <w:p w14:paraId="42B96F99"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Sodium Hydroxide (AR Grade) </w:t>
            </w:r>
          </w:p>
        </w:tc>
        <w:tc>
          <w:tcPr>
            <w:tcW w:w="8949" w:type="dxa"/>
          </w:tcPr>
          <w:p w14:paraId="5EFB1D91" w14:textId="77777777" w:rsidR="001D04B0" w:rsidRDefault="00000000">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bl>
    <w:p w14:paraId="359F6714" w14:textId="77777777" w:rsidR="001D04B0" w:rsidRDefault="001D04B0">
      <w:pPr>
        <w:spacing w:line="240" w:lineRule="auto"/>
        <w:ind w:left="567" w:hanging="567"/>
        <w:jc w:val="both"/>
        <w:rPr>
          <w:rFonts w:ascii="Times New Roman" w:hAnsi="Times New Roman" w:cs="Times New Roman"/>
          <w:b/>
          <w:bCs/>
          <w:sz w:val="24"/>
          <w:szCs w:val="24"/>
        </w:rPr>
      </w:pPr>
    </w:p>
    <w:p w14:paraId="3F42483A"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Instrumental Specification</w:t>
      </w:r>
    </w:p>
    <w:p w14:paraId="6CD9AA5D"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9- Instrument Specification for HPLC</w:t>
      </w:r>
    </w:p>
    <w:tbl>
      <w:tblPr>
        <w:tblW w:w="10673" w:type="dxa"/>
        <w:tblInd w:w="416" w:type="dxa"/>
        <w:tblCellMar>
          <w:left w:w="0" w:type="dxa"/>
          <w:right w:w="0" w:type="dxa"/>
        </w:tblCellMar>
        <w:tblLook w:val="04A0" w:firstRow="1" w:lastRow="0" w:firstColumn="1" w:lastColumn="0" w:noHBand="0" w:noVBand="1"/>
      </w:tblPr>
      <w:tblGrid>
        <w:gridCol w:w="1187"/>
        <w:gridCol w:w="9486"/>
      </w:tblGrid>
      <w:tr w:rsidR="001D04B0" w14:paraId="74430B1C" w14:textId="77777777">
        <w:trPr>
          <w:trHeight w:val="944"/>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569B50E"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Make</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353E347"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Shimadzu</w:t>
            </w:r>
          </w:p>
        </w:tc>
      </w:tr>
      <w:tr w:rsidR="001D04B0" w14:paraId="6FD7D95A" w14:textId="77777777">
        <w:trPr>
          <w:trHeight w:val="944"/>
        </w:trPr>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B0E15CD"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Model</w:t>
            </w:r>
          </w:p>
        </w:tc>
        <w:tc>
          <w:tcPr>
            <w:tcW w:w="948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673136"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LC 2010 CHT</w:t>
            </w:r>
          </w:p>
        </w:tc>
      </w:tr>
      <w:tr w:rsidR="001D04B0" w14:paraId="05328856" w14:textId="77777777">
        <w:trPr>
          <w:trHeight w:val="944"/>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6BA51E6"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4E4B64C"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Binary Gradient</w:t>
            </w:r>
          </w:p>
        </w:tc>
      </w:tr>
      <w:tr w:rsidR="001D04B0" w14:paraId="1F805A3D" w14:textId="77777777">
        <w:trPr>
          <w:trHeight w:val="944"/>
        </w:trPr>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A4EF21"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Detector</w:t>
            </w:r>
          </w:p>
        </w:tc>
        <w:tc>
          <w:tcPr>
            <w:tcW w:w="948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876C56B"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UV Detector</w:t>
            </w:r>
          </w:p>
        </w:tc>
      </w:tr>
      <w:tr w:rsidR="001D04B0" w14:paraId="53BD2937" w14:textId="77777777">
        <w:trPr>
          <w:trHeight w:val="944"/>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A128AC3"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Software</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46221F2"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LC Solution</w:t>
            </w:r>
          </w:p>
        </w:tc>
      </w:tr>
      <w:tr w:rsidR="001D04B0" w14:paraId="4B610081" w14:textId="77777777">
        <w:trPr>
          <w:trHeight w:val="1158"/>
        </w:trPr>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AE2F6D4"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Column</w:t>
            </w:r>
          </w:p>
        </w:tc>
        <w:tc>
          <w:tcPr>
            <w:tcW w:w="948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23E04F" w14:textId="77777777" w:rsidR="001D04B0" w:rsidRDefault="00000000">
            <w:pPr>
              <w:spacing w:line="240" w:lineRule="auto"/>
              <w:ind w:left="567" w:hanging="567"/>
              <w:rPr>
                <w:rFonts w:ascii="Times New Roman" w:hAnsi="Times New Roman" w:cs="Times New Roman"/>
                <w:sz w:val="24"/>
                <w:szCs w:val="24"/>
                <w:lang w:val="es-ES"/>
              </w:rPr>
            </w:pPr>
            <w:r>
              <w:rPr>
                <w:rFonts w:ascii="Times New Roman" w:hAnsi="Times New Roman" w:cs="Times New Roman"/>
                <w:sz w:val="24"/>
                <w:szCs w:val="24"/>
                <w:lang w:val="es-ES"/>
              </w:rPr>
              <w:t>Cosmosil C18 (250 mm x 4.6 mm x 5 µ)</w:t>
            </w:r>
          </w:p>
        </w:tc>
      </w:tr>
      <w:tr w:rsidR="001D04B0" w14:paraId="7BF152E6" w14:textId="77777777">
        <w:trPr>
          <w:trHeight w:val="1178"/>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35D2B7B"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lastRenderedPageBreak/>
              <w:t>Pump</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859E6A1"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High Pressure Gradient (Reciprocating pump)</w:t>
            </w:r>
          </w:p>
        </w:tc>
      </w:tr>
    </w:tbl>
    <w:p w14:paraId="74064C65" w14:textId="77777777" w:rsidR="001D04B0" w:rsidRDefault="001D04B0">
      <w:pPr>
        <w:spacing w:line="240" w:lineRule="auto"/>
        <w:ind w:left="567" w:hanging="567"/>
        <w:rPr>
          <w:rFonts w:ascii="Times New Roman" w:hAnsi="Times New Roman" w:cs="Times New Roman"/>
          <w:b/>
          <w:bCs/>
          <w:sz w:val="24"/>
          <w:szCs w:val="24"/>
        </w:rPr>
      </w:pPr>
    </w:p>
    <w:p w14:paraId="30ADAEDC"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10- Instrument Specification for UV Spectroscopy</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7"/>
        <w:gridCol w:w="9204"/>
      </w:tblGrid>
      <w:tr w:rsidR="001D04B0" w14:paraId="45EF3C92" w14:textId="77777777">
        <w:trPr>
          <w:trHeight w:val="658"/>
        </w:trPr>
        <w:tc>
          <w:tcPr>
            <w:tcW w:w="1347" w:type="dxa"/>
          </w:tcPr>
          <w:p w14:paraId="121A049E" w14:textId="77777777" w:rsidR="001D04B0" w:rsidRDefault="00000000">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 Make</w:t>
            </w:r>
          </w:p>
        </w:tc>
        <w:tc>
          <w:tcPr>
            <w:tcW w:w="9204" w:type="dxa"/>
          </w:tcPr>
          <w:p w14:paraId="0B2FDAF2" w14:textId="77777777" w:rsidR="001D04B0" w:rsidRDefault="00000000">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 Shimadzu</w:t>
            </w:r>
          </w:p>
        </w:tc>
      </w:tr>
      <w:tr w:rsidR="001D04B0" w14:paraId="25EB5E77" w14:textId="77777777">
        <w:trPr>
          <w:trHeight w:val="658"/>
        </w:trPr>
        <w:tc>
          <w:tcPr>
            <w:tcW w:w="1347" w:type="dxa"/>
          </w:tcPr>
          <w:p w14:paraId="05F391E5"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Model</w:t>
            </w:r>
          </w:p>
        </w:tc>
        <w:tc>
          <w:tcPr>
            <w:tcW w:w="9204" w:type="dxa"/>
          </w:tcPr>
          <w:p w14:paraId="6C30C466"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UV1800</w:t>
            </w:r>
          </w:p>
        </w:tc>
      </w:tr>
      <w:tr w:rsidR="001D04B0" w14:paraId="17837A8E" w14:textId="77777777">
        <w:trPr>
          <w:trHeight w:val="658"/>
        </w:trPr>
        <w:tc>
          <w:tcPr>
            <w:tcW w:w="1347" w:type="dxa"/>
          </w:tcPr>
          <w:p w14:paraId="5193B3CD"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Type</w:t>
            </w:r>
          </w:p>
        </w:tc>
        <w:tc>
          <w:tcPr>
            <w:tcW w:w="9204" w:type="dxa"/>
          </w:tcPr>
          <w:p w14:paraId="2A659EA2"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Double beam spectrophotometer</w:t>
            </w:r>
          </w:p>
        </w:tc>
      </w:tr>
      <w:tr w:rsidR="001D04B0" w14:paraId="46916435" w14:textId="77777777">
        <w:trPr>
          <w:trHeight w:val="658"/>
        </w:trPr>
        <w:tc>
          <w:tcPr>
            <w:tcW w:w="1347" w:type="dxa"/>
          </w:tcPr>
          <w:p w14:paraId="2A015AED"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Detector</w:t>
            </w:r>
          </w:p>
        </w:tc>
        <w:tc>
          <w:tcPr>
            <w:tcW w:w="9204" w:type="dxa"/>
          </w:tcPr>
          <w:p w14:paraId="1109F890"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Photodiode</w:t>
            </w:r>
          </w:p>
        </w:tc>
      </w:tr>
      <w:tr w:rsidR="001D04B0" w14:paraId="77EE6681" w14:textId="77777777">
        <w:trPr>
          <w:trHeight w:val="658"/>
        </w:trPr>
        <w:tc>
          <w:tcPr>
            <w:tcW w:w="1347" w:type="dxa"/>
          </w:tcPr>
          <w:p w14:paraId="52BE326C"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Scanning Range</w:t>
            </w:r>
          </w:p>
        </w:tc>
        <w:tc>
          <w:tcPr>
            <w:tcW w:w="9204" w:type="dxa"/>
          </w:tcPr>
          <w:p w14:paraId="65A14C06"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190-1100</w:t>
            </w:r>
          </w:p>
        </w:tc>
      </w:tr>
      <w:tr w:rsidR="001D04B0" w14:paraId="47998BD4" w14:textId="77777777">
        <w:trPr>
          <w:trHeight w:val="658"/>
        </w:trPr>
        <w:tc>
          <w:tcPr>
            <w:tcW w:w="1347" w:type="dxa"/>
          </w:tcPr>
          <w:p w14:paraId="0FDF6B63"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Output</w:t>
            </w:r>
          </w:p>
        </w:tc>
        <w:tc>
          <w:tcPr>
            <w:tcW w:w="9204" w:type="dxa"/>
          </w:tcPr>
          <w:p w14:paraId="092766A5"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%T &amp; Absorbance</w:t>
            </w:r>
          </w:p>
        </w:tc>
      </w:tr>
      <w:tr w:rsidR="001D04B0" w14:paraId="3411D919" w14:textId="77777777">
        <w:trPr>
          <w:trHeight w:val="679"/>
        </w:trPr>
        <w:tc>
          <w:tcPr>
            <w:tcW w:w="1347" w:type="dxa"/>
          </w:tcPr>
          <w:p w14:paraId="68960D38"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Software</w:t>
            </w:r>
          </w:p>
        </w:tc>
        <w:tc>
          <w:tcPr>
            <w:tcW w:w="9204" w:type="dxa"/>
          </w:tcPr>
          <w:p w14:paraId="5F8608F0"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U.V Probe 2.42</w:t>
            </w:r>
          </w:p>
        </w:tc>
      </w:tr>
    </w:tbl>
    <w:p w14:paraId="2BC25BDD" w14:textId="77777777" w:rsidR="001D04B0" w:rsidRDefault="001D04B0">
      <w:pPr>
        <w:spacing w:line="240" w:lineRule="auto"/>
        <w:ind w:left="567" w:hanging="567"/>
        <w:rPr>
          <w:rFonts w:ascii="Times New Roman" w:hAnsi="Times New Roman" w:cs="Times New Roman"/>
          <w:b/>
          <w:bCs/>
          <w:sz w:val="24"/>
          <w:szCs w:val="24"/>
        </w:rPr>
      </w:pPr>
    </w:p>
    <w:p w14:paraId="5A4B0793"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11- Instrument Specification for Weighing Balance</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4"/>
        <w:gridCol w:w="8340"/>
      </w:tblGrid>
      <w:tr w:rsidR="001D04B0" w14:paraId="2A5F4072" w14:textId="77777777">
        <w:trPr>
          <w:trHeight w:val="593"/>
        </w:trPr>
        <w:tc>
          <w:tcPr>
            <w:tcW w:w="2184" w:type="dxa"/>
          </w:tcPr>
          <w:p w14:paraId="0B6E6786"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Make</w:t>
            </w:r>
          </w:p>
        </w:tc>
        <w:tc>
          <w:tcPr>
            <w:tcW w:w="8340" w:type="dxa"/>
          </w:tcPr>
          <w:p w14:paraId="25864058"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Mettler Toledo</w:t>
            </w:r>
          </w:p>
        </w:tc>
      </w:tr>
      <w:tr w:rsidR="001D04B0" w14:paraId="090D3B4D" w14:textId="77777777">
        <w:trPr>
          <w:trHeight w:val="593"/>
        </w:trPr>
        <w:tc>
          <w:tcPr>
            <w:tcW w:w="2184" w:type="dxa"/>
          </w:tcPr>
          <w:p w14:paraId="23380C0A"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Minimum Weighing Capacity</w:t>
            </w:r>
          </w:p>
        </w:tc>
        <w:tc>
          <w:tcPr>
            <w:tcW w:w="8340" w:type="dxa"/>
          </w:tcPr>
          <w:p w14:paraId="38329F12"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0.1 mg</w:t>
            </w:r>
          </w:p>
        </w:tc>
      </w:tr>
      <w:tr w:rsidR="001D04B0" w14:paraId="6E829A27" w14:textId="77777777">
        <w:trPr>
          <w:trHeight w:val="613"/>
        </w:trPr>
        <w:tc>
          <w:tcPr>
            <w:tcW w:w="2184" w:type="dxa"/>
          </w:tcPr>
          <w:p w14:paraId="5BA8B091"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Sensitivity</w:t>
            </w:r>
          </w:p>
        </w:tc>
        <w:tc>
          <w:tcPr>
            <w:tcW w:w="8340" w:type="dxa"/>
          </w:tcPr>
          <w:p w14:paraId="718AA255"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1 mg</w:t>
            </w:r>
          </w:p>
        </w:tc>
      </w:tr>
    </w:tbl>
    <w:p w14:paraId="2360AD00" w14:textId="77777777" w:rsidR="001D04B0" w:rsidRDefault="001D04B0">
      <w:pPr>
        <w:spacing w:line="240" w:lineRule="auto"/>
        <w:ind w:left="567" w:hanging="567"/>
        <w:rPr>
          <w:rFonts w:ascii="Times New Roman" w:hAnsi="Times New Roman" w:cs="Times New Roman"/>
          <w:b/>
          <w:bCs/>
          <w:sz w:val="24"/>
          <w:szCs w:val="24"/>
        </w:rPr>
      </w:pPr>
    </w:p>
    <w:p w14:paraId="4ED9A2F4"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12-Instrument specification for Melting Point Apparatus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6"/>
        <w:gridCol w:w="9022"/>
      </w:tblGrid>
      <w:tr w:rsidR="001D04B0" w14:paraId="342846D0" w14:textId="77777777">
        <w:trPr>
          <w:trHeight w:val="694"/>
        </w:trPr>
        <w:tc>
          <w:tcPr>
            <w:tcW w:w="1516" w:type="dxa"/>
          </w:tcPr>
          <w:p w14:paraId="0E4D4F33"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Make</w:t>
            </w:r>
          </w:p>
        </w:tc>
        <w:tc>
          <w:tcPr>
            <w:tcW w:w="9022" w:type="dxa"/>
          </w:tcPr>
          <w:p w14:paraId="46E401DD"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Sunbim</w:t>
            </w:r>
          </w:p>
        </w:tc>
      </w:tr>
      <w:tr w:rsidR="001D04B0" w14:paraId="10E80E80" w14:textId="77777777">
        <w:trPr>
          <w:trHeight w:val="706"/>
        </w:trPr>
        <w:tc>
          <w:tcPr>
            <w:tcW w:w="1516" w:type="dxa"/>
          </w:tcPr>
          <w:p w14:paraId="08317700"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Design no.</w:t>
            </w:r>
          </w:p>
        </w:tc>
        <w:tc>
          <w:tcPr>
            <w:tcW w:w="9022" w:type="dxa"/>
          </w:tcPr>
          <w:p w14:paraId="6CAF01E1"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889339</w:t>
            </w:r>
          </w:p>
        </w:tc>
      </w:tr>
    </w:tbl>
    <w:p w14:paraId="3180FE6C" w14:textId="77777777" w:rsidR="001D04B0" w:rsidRDefault="001D04B0">
      <w:pPr>
        <w:spacing w:line="240" w:lineRule="auto"/>
        <w:ind w:left="567" w:hanging="567"/>
        <w:rPr>
          <w:rFonts w:ascii="Times New Roman" w:hAnsi="Times New Roman" w:cs="Times New Roman"/>
          <w:b/>
          <w:bCs/>
          <w:sz w:val="24"/>
          <w:szCs w:val="24"/>
        </w:rPr>
      </w:pPr>
    </w:p>
    <w:p w14:paraId="3CAD385F"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13-Instrument specification for FT-IR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8"/>
        <w:gridCol w:w="9046"/>
      </w:tblGrid>
      <w:tr w:rsidR="001D04B0" w14:paraId="14ACB189" w14:textId="77777777">
        <w:trPr>
          <w:trHeight w:val="1048"/>
        </w:trPr>
        <w:tc>
          <w:tcPr>
            <w:tcW w:w="1478" w:type="dxa"/>
          </w:tcPr>
          <w:p w14:paraId="5C5864C2"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Make</w:t>
            </w:r>
          </w:p>
        </w:tc>
        <w:tc>
          <w:tcPr>
            <w:tcW w:w="9046" w:type="dxa"/>
          </w:tcPr>
          <w:p w14:paraId="461E54EC" w14:textId="77777777" w:rsidR="001D04B0" w:rsidRDefault="00000000">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IR Spirit Shimadzu IR Instrument</w:t>
            </w:r>
          </w:p>
        </w:tc>
      </w:tr>
      <w:tr w:rsidR="001D04B0" w14:paraId="744EC24C" w14:textId="77777777">
        <w:trPr>
          <w:trHeight w:val="787"/>
        </w:trPr>
        <w:tc>
          <w:tcPr>
            <w:tcW w:w="1478" w:type="dxa"/>
          </w:tcPr>
          <w:p w14:paraId="40239967"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Software</w:t>
            </w:r>
          </w:p>
        </w:tc>
        <w:tc>
          <w:tcPr>
            <w:tcW w:w="9046" w:type="dxa"/>
          </w:tcPr>
          <w:p w14:paraId="30C0ECF2" w14:textId="77777777" w:rsidR="001D04B0" w:rsidRDefault="00000000">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LabSolutions IR </w:t>
            </w:r>
          </w:p>
        </w:tc>
      </w:tr>
    </w:tbl>
    <w:p w14:paraId="0C80DB45" w14:textId="77777777" w:rsidR="001D04B0" w:rsidRDefault="001D04B0">
      <w:pPr>
        <w:spacing w:line="240" w:lineRule="auto"/>
        <w:jc w:val="both"/>
        <w:rPr>
          <w:rFonts w:ascii="Times New Roman" w:hAnsi="Times New Roman" w:cs="Times New Roman"/>
          <w:b/>
          <w:bCs/>
          <w:sz w:val="24"/>
          <w:szCs w:val="24"/>
        </w:rPr>
      </w:pPr>
    </w:p>
    <w:p w14:paraId="46688AB5" w14:textId="77777777" w:rsidR="001D04B0" w:rsidRDefault="001D04B0">
      <w:pPr>
        <w:spacing w:line="240" w:lineRule="auto"/>
        <w:jc w:val="both"/>
        <w:rPr>
          <w:rFonts w:ascii="Times New Roman" w:hAnsi="Times New Roman" w:cs="Times New Roman"/>
          <w:b/>
          <w:bCs/>
          <w:sz w:val="24"/>
          <w:szCs w:val="24"/>
        </w:rPr>
      </w:pPr>
    </w:p>
    <w:p w14:paraId="339E14C7" w14:textId="77777777" w:rsidR="001D04B0" w:rsidRDefault="00000000">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PRELIMINARY STUDIES OF DAPAGLIFLOZIN PROPANEDIOL MONOHYDRATE AND EPLERENONE</w:t>
      </w:r>
    </w:p>
    <w:p w14:paraId="528FD3A9"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Melting Point Study</w:t>
      </w:r>
    </w:p>
    <w:p w14:paraId="72B7CB2A" w14:textId="77777777" w:rsidR="001D04B0" w:rsidRDefault="00000000">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The melting point of Dapagliflozin and Eplerenone was determined using a digital melting point apparatus. </w:t>
      </w:r>
    </w:p>
    <w:p w14:paraId="0FFA031F" w14:textId="77777777" w:rsidR="001D04B0" w:rsidRDefault="00000000">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To perform this measurement, two one-sided closed capillary was filled with DAPA and EPLE.</w:t>
      </w:r>
    </w:p>
    <w:p w14:paraId="05566F4B" w14:textId="77777777" w:rsidR="001D04B0" w:rsidRDefault="00000000">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The capillary was then placed into the melting point apparatus, and the melting point of DAPA and EPLE was observed. </w:t>
      </w:r>
    </w:p>
    <w:p w14:paraId="5FF8381B" w14:textId="77777777" w:rsidR="001D04B0" w:rsidRDefault="00000000">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The measurement was taken from the start of melting until complete melting occurred.</w:t>
      </w:r>
    </w:p>
    <w:p w14:paraId="508D55EC" w14:textId="77777777" w:rsidR="001D04B0" w:rsidRDefault="00000000">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Finally, the observed melting points was compared against the reported standard melting points.</w:t>
      </w:r>
    </w:p>
    <w:p w14:paraId="5926311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14- Melting points of DAPA and EPLE</w:t>
      </w:r>
    </w:p>
    <w:tbl>
      <w:tblPr>
        <w:tblStyle w:val="TableGrid"/>
        <w:tblW w:w="11085" w:type="dxa"/>
        <w:tblInd w:w="-5" w:type="dxa"/>
        <w:tblLook w:val="04A0" w:firstRow="1" w:lastRow="0" w:firstColumn="1" w:lastColumn="0" w:noHBand="0" w:noVBand="1"/>
      </w:tblPr>
      <w:tblGrid>
        <w:gridCol w:w="726"/>
        <w:gridCol w:w="1797"/>
        <w:gridCol w:w="1321"/>
        <w:gridCol w:w="7241"/>
      </w:tblGrid>
      <w:tr w:rsidR="001D04B0" w14:paraId="61361F80" w14:textId="77777777">
        <w:trPr>
          <w:trHeight w:val="1026"/>
        </w:trPr>
        <w:tc>
          <w:tcPr>
            <w:tcW w:w="727" w:type="dxa"/>
          </w:tcPr>
          <w:p w14:paraId="293586C9"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785" w:type="dxa"/>
          </w:tcPr>
          <w:p w14:paraId="0580A18B"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Drug</w:t>
            </w:r>
          </w:p>
        </w:tc>
        <w:tc>
          <w:tcPr>
            <w:tcW w:w="1321" w:type="dxa"/>
          </w:tcPr>
          <w:p w14:paraId="32C200C7"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Reported Melting point</w:t>
            </w:r>
          </w:p>
        </w:tc>
        <w:tc>
          <w:tcPr>
            <w:tcW w:w="7252" w:type="dxa"/>
          </w:tcPr>
          <w:p w14:paraId="57A49D5F"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Observed Melting Point</w:t>
            </w:r>
          </w:p>
        </w:tc>
      </w:tr>
      <w:tr w:rsidR="001D04B0" w14:paraId="43BC0307" w14:textId="77777777">
        <w:trPr>
          <w:trHeight w:val="600"/>
        </w:trPr>
        <w:tc>
          <w:tcPr>
            <w:tcW w:w="727" w:type="dxa"/>
          </w:tcPr>
          <w:p w14:paraId="7463511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5" w:type="dxa"/>
          </w:tcPr>
          <w:p w14:paraId="212B705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Dapagliflozin</w:t>
            </w:r>
            <w:r>
              <w:rPr>
                <w:rFonts w:ascii="Times New Roman" w:hAnsi="Times New Roman" w:cs="Times New Roman"/>
                <w:sz w:val="24"/>
                <w:szCs w:val="24"/>
                <w:vertAlign w:val="superscript"/>
              </w:rPr>
              <w:t>[11]</w:t>
            </w:r>
          </w:p>
        </w:tc>
        <w:tc>
          <w:tcPr>
            <w:tcW w:w="1321" w:type="dxa"/>
          </w:tcPr>
          <w:p w14:paraId="1A80C8D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65-70 °C</w:t>
            </w:r>
          </w:p>
        </w:tc>
        <w:tc>
          <w:tcPr>
            <w:tcW w:w="7252" w:type="dxa"/>
          </w:tcPr>
          <w:p w14:paraId="59A5ABC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68-70 °C</w:t>
            </w:r>
          </w:p>
        </w:tc>
      </w:tr>
      <w:tr w:rsidR="001D04B0" w14:paraId="287EF3B0" w14:textId="77777777">
        <w:trPr>
          <w:trHeight w:val="445"/>
        </w:trPr>
        <w:tc>
          <w:tcPr>
            <w:tcW w:w="727" w:type="dxa"/>
          </w:tcPr>
          <w:p w14:paraId="1ECD088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85" w:type="dxa"/>
            <w:vAlign w:val="center"/>
          </w:tcPr>
          <w:p w14:paraId="3ACDB701" w14:textId="77777777" w:rsidR="001D04B0" w:rsidRDefault="00000000">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lang w:val="en-US"/>
              </w:rPr>
              <w:t xml:space="preserve">Eplerenone </w:t>
            </w:r>
            <w:r>
              <w:rPr>
                <w:rFonts w:ascii="Times New Roman" w:eastAsia="Calibri" w:hAnsi="Times New Roman" w:cs="Times New Roman"/>
                <w:sz w:val="24"/>
                <w:szCs w:val="24"/>
                <w:vertAlign w:val="superscript"/>
                <w:lang w:val="en-US"/>
              </w:rPr>
              <w:t>[47]</w:t>
            </w:r>
          </w:p>
        </w:tc>
        <w:tc>
          <w:tcPr>
            <w:tcW w:w="1321" w:type="dxa"/>
            <w:vAlign w:val="center"/>
          </w:tcPr>
          <w:p w14:paraId="00F27A88" w14:textId="77777777" w:rsidR="001D04B0" w:rsidRDefault="00000000">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lang w:val="en-US"/>
              </w:rPr>
              <w:t xml:space="preserve">242 </w:t>
            </w:r>
            <w:r>
              <w:rPr>
                <w:rFonts w:ascii="Times New Roman" w:hAnsi="Times New Roman" w:cs="Times New Roman"/>
                <w:sz w:val="24"/>
                <w:szCs w:val="24"/>
              </w:rPr>
              <w:t>°C</w:t>
            </w:r>
          </w:p>
        </w:tc>
        <w:tc>
          <w:tcPr>
            <w:tcW w:w="7252" w:type="dxa"/>
            <w:vAlign w:val="center"/>
          </w:tcPr>
          <w:p w14:paraId="71536CB9" w14:textId="77777777" w:rsidR="001D04B0" w:rsidRDefault="00000000">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lang w:val="en-US"/>
              </w:rPr>
              <w:t xml:space="preserve">241-244 </w:t>
            </w:r>
            <w:r>
              <w:rPr>
                <w:rFonts w:ascii="Times New Roman" w:hAnsi="Times New Roman" w:cs="Times New Roman"/>
                <w:sz w:val="24"/>
                <w:szCs w:val="24"/>
              </w:rPr>
              <w:t>°C</w:t>
            </w:r>
          </w:p>
        </w:tc>
      </w:tr>
    </w:tbl>
    <w:p w14:paraId="29577D55" w14:textId="77777777" w:rsidR="001D04B0" w:rsidRDefault="001D04B0">
      <w:pPr>
        <w:spacing w:line="240" w:lineRule="auto"/>
        <w:jc w:val="center"/>
        <w:rPr>
          <w:rFonts w:ascii="Times New Roman" w:hAnsi="Times New Roman" w:cs="Times New Roman"/>
          <w:b/>
          <w:bCs/>
          <w:sz w:val="24"/>
          <w:szCs w:val="24"/>
        </w:rPr>
      </w:pPr>
    </w:p>
    <w:p w14:paraId="1C6FE9EB"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Solubility Studies</w:t>
      </w:r>
    </w:p>
    <w:p w14:paraId="0C6D8D2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solubility of the sample was determined following the guidelines outlined in the Indian Pharmacopoeia (IP).</w:t>
      </w:r>
    </w:p>
    <w:p w14:paraId="61CCCE28"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15- Standard values for Solubility study</w:t>
      </w:r>
    </w:p>
    <w:tbl>
      <w:tblPr>
        <w:tblStyle w:val="TableGrid"/>
        <w:tblW w:w="0" w:type="auto"/>
        <w:tblLook w:val="04A0" w:firstRow="1" w:lastRow="0" w:firstColumn="1" w:lastColumn="0" w:noHBand="0" w:noVBand="1"/>
      </w:tblPr>
      <w:tblGrid>
        <w:gridCol w:w="3539"/>
        <w:gridCol w:w="7568"/>
      </w:tblGrid>
      <w:tr w:rsidR="001D04B0" w14:paraId="2BA8C493" w14:textId="77777777">
        <w:tc>
          <w:tcPr>
            <w:tcW w:w="3539" w:type="dxa"/>
          </w:tcPr>
          <w:p w14:paraId="090DCF31" w14:textId="77777777" w:rsidR="001D04B0" w:rsidRDefault="00000000">
            <w:pPr>
              <w:spacing w:line="240" w:lineRule="auto"/>
              <w:ind w:left="567" w:hanging="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Descriptive term </w:t>
            </w:r>
          </w:p>
        </w:tc>
        <w:tc>
          <w:tcPr>
            <w:tcW w:w="7568" w:type="dxa"/>
          </w:tcPr>
          <w:p w14:paraId="71D24B89" w14:textId="77777777" w:rsidR="001D04B0" w:rsidRDefault="00000000">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Parts of solvents required for part of solute</w:t>
            </w:r>
          </w:p>
        </w:tc>
      </w:tr>
      <w:tr w:rsidR="001D04B0" w14:paraId="3BE309DE" w14:textId="77777777">
        <w:tc>
          <w:tcPr>
            <w:tcW w:w="3539" w:type="dxa"/>
          </w:tcPr>
          <w:p w14:paraId="048A1459"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Very soluble </w:t>
            </w:r>
          </w:p>
        </w:tc>
        <w:tc>
          <w:tcPr>
            <w:tcW w:w="7568" w:type="dxa"/>
          </w:tcPr>
          <w:p w14:paraId="403B3EBF"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Less than 1</w:t>
            </w:r>
          </w:p>
        </w:tc>
      </w:tr>
      <w:tr w:rsidR="001D04B0" w14:paraId="42240487" w14:textId="77777777">
        <w:tc>
          <w:tcPr>
            <w:tcW w:w="3539" w:type="dxa"/>
          </w:tcPr>
          <w:p w14:paraId="0FFE5362"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Freely soluble </w:t>
            </w:r>
          </w:p>
        </w:tc>
        <w:tc>
          <w:tcPr>
            <w:tcW w:w="7568" w:type="dxa"/>
          </w:tcPr>
          <w:p w14:paraId="2AD17FE4"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From1 to10</w:t>
            </w:r>
          </w:p>
        </w:tc>
      </w:tr>
      <w:tr w:rsidR="001D04B0" w14:paraId="0B01AAD9" w14:textId="77777777">
        <w:tc>
          <w:tcPr>
            <w:tcW w:w="3539" w:type="dxa"/>
          </w:tcPr>
          <w:p w14:paraId="7ACE7972"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Soluble </w:t>
            </w:r>
          </w:p>
        </w:tc>
        <w:tc>
          <w:tcPr>
            <w:tcW w:w="7568" w:type="dxa"/>
          </w:tcPr>
          <w:p w14:paraId="5E15F26A"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 10 to 30</w:t>
            </w:r>
          </w:p>
        </w:tc>
      </w:tr>
      <w:tr w:rsidR="001D04B0" w14:paraId="6468CF81" w14:textId="77777777">
        <w:tc>
          <w:tcPr>
            <w:tcW w:w="3539" w:type="dxa"/>
          </w:tcPr>
          <w:p w14:paraId="5A03EE3E"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Sparingly soluble </w:t>
            </w:r>
          </w:p>
        </w:tc>
        <w:tc>
          <w:tcPr>
            <w:tcW w:w="7568" w:type="dxa"/>
          </w:tcPr>
          <w:p w14:paraId="63D7AF31"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From30 to100</w:t>
            </w:r>
          </w:p>
        </w:tc>
      </w:tr>
      <w:tr w:rsidR="001D04B0" w14:paraId="473EA034" w14:textId="77777777">
        <w:tc>
          <w:tcPr>
            <w:tcW w:w="3539" w:type="dxa"/>
          </w:tcPr>
          <w:p w14:paraId="23ED6680"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Slightly soluble </w:t>
            </w:r>
          </w:p>
        </w:tc>
        <w:tc>
          <w:tcPr>
            <w:tcW w:w="7568" w:type="dxa"/>
          </w:tcPr>
          <w:p w14:paraId="6581FFC9"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From100 to1000</w:t>
            </w:r>
          </w:p>
        </w:tc>
      </w:tr>
      <w:tr w:rsidR="001D04B0" w14:paraId="29C852A9" w14:textId="77777777">
        <w:tc>
          <w:tcPr>
            <w:tcW w:w="3539" w:type="dxa"/>
          </w:tcPr>
          <w:p w14:paraId="4894D118"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Very slightly soluble </w:t>
            </w:r>
          </w:p>
        </w:tc>
        <w:tc>
          <w:tcPr>
            <w:tcW w:w="7568" w:type="dxa"/>
          </w:tcPr>
          <w:p w14:paraId="10265645"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From1000 to10000</w:t>
            </w:r>
          </w:p>
        </w:tc>
      </w:tr>
      <w:tr w:rsidR="001D04B0" w14:paraId="2B9289B1" w14:textId="77777777">
        <w:tc>
          <w:tcPr>
            <w:tcW w:w="3539" w:type="dxa"/>
          </w:tcPr>
          <w:p w14:paraId="0517DCB6"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Partially insoluble or insoluble </w:t>
            </w:r>
          </w:p>
        </w:tc>
        <w:tc>
          <w:tcPr>
            <w:tcW w:w="7568" w:type="dxa"/>
          </w:tcPr>
          <w:p w14:paraId="7F7AF83F" w14:textId="77777777" w:rsidR="001D04B0" w:rsidRDefault="00000000">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10000 or more</w:t>
            </w:r>
          </w:p>
        </w:tc>
      </w:tr>
    </w:tbl>
    <w:p w14:paraId="2FB90812" w14:textId="77777777" w:rsidR="001D04B0" w:rsidRDefault="001D04B0">
      <w:pPr>
        <w:spacing w:line="240" w:lineRule="auto"/>
        <w:ind w:left="567" w:hanging="567"/>
        <w:jc w:val="both"/>
        <w:rPr>
          <w:rFonts w:ascii="Times New Roman" w:hAnsi="Times New Roman" w:cs="Times New Roman"/>
          <w:sz w:val="24"/>
          <w:szCs w:val="24"/>
        </w:rPr>
      </w:pPr>
    </w:p>
    <w:p w14:paraId="687759ED" w14:textId="77777777" w:rsidR="001D04B0" w:rsidRDefault="00000000">
      <w:pPr>
        <w:spacing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Table 16- Solubility studies for Dapagliflozin and Eplerenone</w:t>
      </w:r>
    </w:p>
    <w:tbl>
      <w:tblPr>
        <w:tblStyle w:val="TableGrid"/>
        <w:tblW w:w="0" w:type="auto"/>
        <w:tblInd w:w="567" w:type="dxa"/>
        <w:tblLook w:val="04A0" w:firstRow="1" w:lastRow="0" w:firstColumn="1" w:lastColumn="0" w:noHBand="0" w:noVBand="1"/>
      </w:tblPr>
      <w:tblGrid>
        <w:gridCol w:w="4457"/>
        <w:gridCol w:w="6111"/>
      </w:tblGrid>
      <w:tr w:rsidR="001D04B0" w14:paraId="1F26B1EC" w14:textId="77777777">
        <w:tc>
          <w:tcPr>
            <w:tcW w:w="4457" w:type="dxa"/>
          </w:tcPr>
          <w:p w14:paraId="45C1CC90" w14:textId="77777777" w:rsidR="001D04B0" w:rsidRDefault="000000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DAPAGLIFLOZIN</w:t>
            </w:r>
          </w:p>
        </w:tc>
        <w:tc>
          <w:tcPr>
            <w:tcW w:w="6111" w:type="dxa"/>
          </w:tcPr>
          <w:p w14:paraId="36D186A1" w14:textId="77777777" w:rsidR="001D04B0" w:rsidRDefault="000000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EPLERENONE</w:t>
            </w:r>
          </w:p>
        </w:tc>
      </w:tr>
      <w:tr w:rsidR="001D04B0" w14:paraId="78D43F31" w14:textId="77777777">
        <w:tc>
          <w:tcPr>
            <w:tcW w:w="4457" w:type="dxa"/>
          </w:tcPr>
          <w:p w14:paraId="2A845FA3"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Soluble: Ethanol, Methanol and Acetonitrile</w:t>
            </w:r>
          </w:p>
        </w:tc>
        <w:tc>
          <w:tcPr>
            <w:tcW w:w="6111" w:type="dxa"/>
          </w:tcPr>
          <w:p w14:paraId="3355ACD5"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Soluble in: Chloroform, Dichloromethane, Acetonitrile, Methanol</w:t>
            </w:r>
          </w:p>
        </w:tc>
      </w:tr>
      <w:tr w:rsidR="001D04B0" w14:paraId="0D64AC18" w14:textId="77777777">
        <w:tc>
          <w:tcPr>
            <w:tcW w:w="4457" w:type="dxa"/>
          </w:tcPr>
          <w:p w14:paraId="01893683"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Slightly Soluble: Water</w:t>
            </w:r>
          </w:p>
        </w:tc>
        <w:tc>
          <w:tcPr>
            <w:tcW w:w="6111" w:type="dxa"/>
          </w:tcPr>
          <w:p w14:paraId="07FCEEE0" w14:textId="77777777" w:rsidR="001D04B0"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Slightly Soluble: Water</w:t>
            </w:r>
          </w:p>
        </w:tc>
      </w:tr>
    </w:tbl>
    <w:p w14:paraId="6A2AD3D8" w14:textId="77777777" w:rsidR="001D04B0" w:rsidRDefault="001D04B0">
      <w:pPr>
        <w:spacing w:line="240" w:lineRule="auto"/>
        <w:jc w:val="both"/>
        <w:rPr>
          <w:rFonts w:ascii="Times New Roman" w:hAnsi="Times New Roman" w:cs="Times New Roman"/>
          <w:b/>
          <w:bCs/>
          <w:sz w:val="24"/>
          <w:szCs w:val="24"/>
        </w:rPr>
      </w:pPr>
    </w:p>
    <w:p w14:paraId="080DF3BB"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Identification of Dapagliflozin and Eplerenone by UV-Spectroscopy</w:t>
      </w:r>
    </w:p>
    <w:p w14:paraId="1A4BF818"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ab/>
        <w:t>Creating a Concentrated DAPA and EPLE Solution (100 µg/mL):</w:t>
      </w:r>
    </w:p>
    <w:p w14:paraId="6F797C2B" w14:textId="77777777" w:rsidR="001D04B0" w:rsidRDefault="001D04B0">
      <w:pPr>
        <w:pStyle w:val="ListParagraph"/>
        <w:spacing w:line="240" w:lineRule="auto"/>
        <w:ind w:left="0"/>
        <w:contextualSpacing w:val="0"/>
        <w:jc w:val="both"/>
        <w:rPr>
          <w:rFonts w:ascii="Times New Roman" w:hAnsi="Times New Roman" w:cs="Times New Roman"/>
          <w:sz w:val="24"/>
          <w:szCs w:val="24"/>
        </w:rPr>
      </w:pPr>
    </w:p>
    <w:p w14:paraId="229D7A74" w14:textId="77777777" w:rsidR="001D04B0" w:rsidRDefault="001D04B0">
      <w:pPr>
        <w:pStyle w:val="ListParagraph"/>
        <w:spacing w:line="240" w:lineRule="auto"/>
        <w:ind w:left="0"/>
        <w:contextualSpacing w:val="0"/>
        <w:jc w:val="both"/>
        <w:rPr>
          <w:rFonts w:ascii="Times New Roman" w:hAnsi="Times New Roman" w:cs="Times New Roman"/>
          <w:sz w:val="24"/>
          <w:szCs w:val="24"/>
        </w:rPr>
      </w:pPr>
    </w:p>
    <w:p w14:paraId="0E6F7F4C" w14:textId="77777777" w:rsidR="001D04B0" w:rsidRDefault="001D04B0">
      <w:pPr>
        <w:pStyle w:val="ListParagraph"/>
        <w:spacing w:line="240" w:lineRule="auto"/>
        <w:ind w:left="0"/>
        <w:contextualSpacing w:val="0"/>
        <w:jc w:val="both"/>
        <w:rPr>
          <w:rFonts w:ascii="Times New Roman" w:hAnsi="Times New Roman" w:cs="Times New Roman"/>
          <w:sz w:val="24"/>
          <w:szCs w:val="24"/>
        </w:rPr>
      </w:pPr>
    </w:p>
    <w:p w14:paraId="66734134" w14:textId="77777777" w:rsidR="001D04B0" w:rsidRDefault="00000000">
      <w:pPr>
        <w:pStyle w:val="ListParagraph"/>
        <w:numPr>
          <w:ilvl w:val="0"/>
          <w:numId w:val="33"/>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Begin by carefully weighing out about 10 mg of DAPA and EPLE using a precise balance.</w:t>
      </w:r>
    </w:p>
    <w:p w14:paraId="6E994360" w14:textId="77777777" w:rsidR="001D04B0" w:rsidRDefault="00000000">
      <w:pPr>
        <w:pStyle w:val="ListParagraph"/>
        <w:spacing w:line="240" w:lineRule="auto"/>
        <w:ind w:left="0" w:firstLineChars="250" w:firstLine="600"/>
        <w:contextualSpacing w:val="0"/>
        <w:jc w:val="both"/>
        <w:rPr>
          <w:rFonts w:ascii="Times New Roman" w:hAnsi="Times New Roman" w:cs="Times New Roman"/>
          <w:sz w:val="24"/>
          <w:szCs w:val="24"/>
        </w:rPr>
      </w:pPr>
      <w:r>
        <w:rPr>
          <w:rFonts w:ascii="Times New Roman" w:hAnsi="Times New Roman" w:cs="Times New Roman"/>
          <w:sz w:val="24"/>
          <w:szCs w:val="24"/>
        </w:rPr>
        <w:t>Place the measured DAPA and EPLE into a 100 mL volumetric flask.</w:t>
      </w:r>
    </w:p>
    <w:p w14:paraId="08BAB1C4" w14:textId="77777777" w:rsidR="001D04B0" w:rsidRDefault="00000000">
      <w:pPr>
        <w:pStyle w:val="ListParagraph"/>
        <w:numPr>
          <w:ilvl w:val="0"/>
          <w:numId w:val="33"/>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Add 50 mL of methanol to the flask containing the DAPA and EPLE.</w:t>
      </w:r>
    </w:p>
    <w:p w14:paraId="7D42514A" w14:textId="77777777" w:rsidR="001D04B0" w:rsidRDefault="00000000">
      <w:pPr>
        <w:pStyle w:val="ListParagraph"/>
        <w:numPr>
          <w:ilvl w:val="0"/>
          <w:numId w:val="33"/>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To ensure the DAPA and EPLE fully dissolves, use a sonicator for 10 minutes.</w:t>
      </w:r>
      <w:r>
        <w:rPr>
          <w:rFonts w:ascii="Times New Roman" w:hAnsi="Times New Roman" w:cs="Times New Roman"/>
          <w:noProof/>
          <w:sz w:val="24"/>
          <w:szCs w:val="24"/>
          <w:lang w:eastAsia="en-IN"/>
        </w:rPr>
        <w:drawing>
          <wp:anchor distT="0" distB="0" distL="114300" distR="114300" simplePos="0" relativeHeight="251657216" behindDoc="0" locked="0" layoutInCell="1" allowOverlap="1" wp14:anchorId="20BF4768" wp14:editId="65232650">
            <wp:simplePos x="0" y="0"/>
            <wp:positionH relativeFrom="margin">
              <wp:posOffset>-185420</wp:posOffset>
            </wp:positionH>
            <wp:positionV relativeFrom="margin">
              <wp:posOffset>2194560</wp:posOffset>
            </wp:positionV>
            <wp:extent cx="7658100" cy="2609850"/>
            <wp:effectExtent l="0" t="0" r="0" b="0"/>
            <wp:wrapSquare wrapText="bothSides"/>
            <wp:docPr id="2031673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3695"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658100" cy="2609850"/>
                    </a:xfrm>
                    <a:prstGeom prst="rect">
                      <a:avLst/>
                    </a:prstGeom>
                    <a:noFill/>
                    <a:ln>
                      <a:noFill/>
                    </a:ln>
                  </pic:spPr>
                </pic:pic>
              </a:graphicData>
            </a:graphic>
          </wp:anchor>
        </w:drawing>
      </w:r>
      <w:r>
        <w:rPr>
          <w:rFonts w:ascii="Times New Roman" w:hAnsi="Times New Roman" w:cs="Times New Roman"/>
          <w:sz w:val="24"/>
          <w:szCs w:val="24"/>
        </w:rPr>
        <w:t>Fill the flask with methanol up to the 100 mL mark to achieve the desired concentration. This creates a concentrated solution with a target concentration of 100 µg/mL.</w:t>
      </w:r>
    </w:p>
    <w:p w14:paraId="743580B6" w14:textId="77777777" w:rsidR="001D04B0" w:rsidRDefault="001D04B0">
      <w:pPr>
        <w:pStyle w:val="ListParagraph"/>
        <w:spacing w:line="240" w:lineRule="auto"/>
        <w:ind w:left="0"/>
        <w:contextualSpacing w:val="0"/>
        <w:jc w:val="both"/>
        <w:rPr>
          <w:rFonts w:ascii="Times New Roman" w:hAnsi="Times New Roman" w:cs="Times New Roman"/>
          <w:sz w:val="24"/>
          <w:szCs w:val="24"/>
        </w:rPr>
      </w:pPr>
    </w:p>
    <w:p w14:paraId="4397B7A2" w14:textId="77777777" w:rsidR="001D04B0" w:rsidRDefault="00000000">
      <w:pPr>
        <w:pStyle w:val="ListParagraph"/>
        <w:spacing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Briefly sonicate the final solution to guarantee uniformity.</w:t>
      </w:r>
    </w:p>
    <w:p w14:paraId="2E6CA2E3"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7- Recorded UV Spectra of Dapagliflozin Propanediol Monohydrate using Methanol</w:t>
      </w:r>
    </w:p>
    <w:p w14:paraId="18B19A8F" w14:textId="77777777" w:rsidR="001D04B0" w:rsidRDefault="001D04B0">
      <w:pPr>
        <w:spacing w:line="240" w:lineRule="auto"/>
        <w:ind w:left="567" w:hanging="567"/>
        <w:jc w:val="both"/>
        <w:rPr>
          <w:rFonts w:ascii="Times New Roman" w:hAnsi="Times New Roman" w:cs="Times New Roman"/>
          <w:b/>
          <w:bCs/>
          <w:sz w:val="24"/>
          <w:szCs w:val="24"/>
        </w:rPr>
      </w:pPr>
    </w:p>
    <w:p w14:paraId="70832D59"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ab/>
        <w:t>Preparing a Diluted Working Solution (10 µg/mL):</w:t>
      </w:r>
    </w:p>
    <w:p w14:paraId="736FA185" w14:textId="77777777" w:rsidR="001D04B0" w:rsidRDefault="00000000">
      <w:pPr>
        <w:pStyle w:val="ListParagraph"/>
        <w:numPr>
          <w:ilvl w:val="0"/>
          <w:numId w:val="34"/>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Take 1 mL of the concentrated DAPA and EPLE solution (100 µg/mL) and transfer it into a 10 mL volumetric flask.</w:t>
      </w:r>
    </w:p>
    <w:p w14:paraId="1C9464A1" w14:textId="77777777" w:rsidR="001D04B0" w:rsidRDefault="00000000">
      <w:pPr>
        <w:pStyle w:val="ListParagraph"/>
        <w:numPr>
          <w:ilvl w:val="0"/>
          <w:numId w:val="34"/>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Similar to before, fill the flask to the 10 mL mark with methanol. This will result in a working solution with a target concentration of 10 µg/mL.</w:t>
      </w:r>
    </w:p>
    <w:p w14:paraId="03E52AF7" w14:textId="77777777" w:rsidR="001D04B0" w:rsidRDefault="00000000">
      <w:pPr>
        <w:spacing w:line="240" w:lineRule="auto"/>
        <w:ind w:left="567" w:hanging="720"/>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ab/>
        <w:t>Examining the Light Absorption Properties:</w:t>
      </w:r>
    </w:p>
    <w:p w14:paraId="09ADFB3C" w14:textId="77777777" w:rsidR="001D04B0" w:rsidRDefault="00000000">
      <w:pPr>
        <w:pStyle w:val="ListParagraph"/>
        <w:numPr>
          <w:ilvl w:val="0"/>
          <w:numId w:val="35"/>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A UV spectrophotometer was used to analyze the prepared working solution (10 µg/mL) across the UV light spectrum ranging from 200 nm to 400 nm.</w:t>
      </w:r>
    </w:p>
    <w:p w14:paraId="728BD46E" w14:textId="77777777" w:rsidR="001D04B0" w:rsidRDefault="00000000">
      <w:pPr>
        <w:pStyle w:val="ListParagraph"/>
        <w:numPr>
          <w:ilvl w:val="0"/>
          <w:numId w:val="35"/>
        </w:numPr>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sz w:val="24"/>
          <w:szCs w:val="24"/>
        </w:rPr>
        <w:t>The resulting spectrum was documented for further study and interpretation.</w:t>
      </w:r>
    </w:p>
    <w:p w14:paraId="79618388"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81BA7C" wp14:editId="5BDBDE58">
            <wp:extent cx="4853305" cy="2049780"/>
            <wp:effectExtent l="0" t="0" r="4445" b="7620"/>
            <wp:docPr id="1877985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85157" name="Pictur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53305" cy="2049780"/>
                    </a:xfrm>
                    <a:prstGeom prst="rect">
                      <a:avLst/>
                    </a:prstGeom>
                  </pic:spPr>
                </pic:pic>
              </a:graphicData>
            </a:graphic>
          </wp:inline>
        </w:drawing>
      </w:r>
    </w:p>
    <w:p w14:paraId="2CFFF71D" w14:textId="77777777" w:rsidR="001D04B0" w:rsidRDefault="001D04B0">
      <w:pPr>
        <w:spacing w:line="240" w:lineRule="auto"/>
        <w:ind w:left="567" w:hanging="567"/>
        <w:jc w:val="center"/>
        <w:rPr>
          <w:rFonts w:ascii="Times New Roman" w:hAnsi="Times New Roman" w:cs="Times New Roman"/>
          <w:b/>
          <w:bCs/>
          <w:sz w:val="24"/>
          <w:szCs w:val="24"/>
        </w:rPr>
      </w:pPr>
    </w:p>
    <w:p w14:paraId="72B7CD01" w14:textId="77777777" w:rsidR="001D04B0" w:rsidRDefault="00000000">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 xml:space="preserve">Figure 8- Reference UV Spectra of Dapagliflozin Propanediol Monohydrate using Methanol </w:t>
      </w:r>
      <w:r>
        <w:rPr>
          <w:rFonts w:ascii="Times New Roman" w:hAnsi="Times New Roman" w:cs="Times New Roman"/>
          <w:b/>
          <w:bCs/>
          <w:sz w:val="24"/>
          <w:szCs w:val="24"/>
          <w:vertAlign w:val="superscript"/>
        </w:rPr>
        <w:t>[25]</w:t>
      </w:r>
    </w:p>
    <w:tbl>
      <w:tblPr>
        <w:tblStyle w:val="TableGrid"/>
        <w:tblW w:w="10616" w:type="dxa"/>
        <w:tblInd w:w="137" w:type="dxa"/>
        <w:tblLook w:val="04A0" w:firstRow="1" w:lastRow="0" w:firstColumn="1" w:lastColumn="0" w:noHBand="0" w:noVBand="1"/>
      </w:tblPr>
      <w:tblGrid>
        <w:gridCol w:w="1702"/>
        <w:gridCol w:w="1267"/>
        <w:gridCol w:w="1495"/>
        <w:gridCol w:w="6152"/>
      </w:tblGrid>
      <w:tr w:rsidR="001D04B0" w14:paraId="353CEFB4" w14:textId="77777777">
        <w:trPr>
          <w:trHeight w:val="2495"/>
        </w:trPr>
        <w:tc>
          <w:tcPr>
            <w:tcW w:w="1702" w:type="dxa"/>
            <w:vMerge w:val="restart"/>
          </w:tcPr>
          <w:p w14:paraId="1040856B" w14:textId="77777777" w:rsidR="001D04B0" w:rsidRDefault="00000000">
            <w:pPr>
              <w:tabs>
                <w:tab w:val="left" w:pos="2595"/>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Dapagliflozin Propanediol Monohydrate</w:t>
            </w:r>
          </w:p>
        </w:tc>
        <w:tc>
          <w:tcPr>
            <w:tcW w:w="1267" w:type="dxa"/>
            <w:vMerge w:val="restart"/>
          </w:tcPr>
          <w:p w14:paraId="164B1CA3" w14:textId="77777777" w:rsidR="001D04B0" w:rsidRDefault="00000000">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Methanol</w:t>
            </w:r>
          </w:p>
        </w:tc>
        <w:tc>
          <w:tcPr>
            <w:tcW w:w="1495" w:type="dxa"/>
          </w:tcPr>
          <w:p w14:paraId="5A96469F" w14:textId="77777777" w:rsidR="001D04B0" w:rsidRDefault="00000000">
            <w:pPr>
              <w:tabs>
                <w:tab w:val="left" w:pos="2595"/>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Recorded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52" w:type="dxa"/>
          </w:tcPr>
          <w:p w14:paraId="52201E72" w14:textId="77777777" w:rsidR="001D04B0" w:rsidRDefault="00000000">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223 nm</w:t>
            </w:r>
          </w:p>
        </w:tc>
      </w:tr>
      <w:tr w:rsidR="001D04B0" w14:paraId="780913CE" w14:textId="77777777">
        <w:trPr>
          <w:trHeight w:val="577"/>
        </w:trPr>
        <w:tc>
          <w:tcPr>
            <w:tcW w:w="1702" w:type="dxa"/>
            <w:vMerge/>
          </w:tcPr>
          <w:p w14:paraId="7DC4A2A1" w14:textId="77777777" w:rsidR="001D04B0" w:rsidRDefault="001D04B0">
            <w:pPr>
              <w:tabs>
                <w:tab w:val="left" w:pos="2595"/>
              </w:tabs>
              <w:spacing w:after="0" w:line="240" w:lineRule="auto"/>
              <w:rPr>
                <w:rFonts w:ascii="Times New Roman" w:hAnsi="Times New Roman" w:cs="Times New Roman"/>
                <w:b/>
                <w:bCs/>
                <w:sz w:val="24"/>
                <w:szCs w:val="24"/>
              </w:rPr>
            </w:pPr>
          </w:p>
        </w:tc>
        <w:tc>
          <w:tcPr>
            <w:tcW w:w="1267" w:type="dxa"/>
            <w:vMerge/>
          </w:tcPr>
          <w:p w14:paraId="7B9FFD4F" w14:textId="77777777" w:rsidR="001D04B0" w:rsidRDefault="001D04B0">
            <w:pPr>
              <w:tabs>
                <w:tab w:val="left" w:pos="2595"/>
              </w:tabs>
              <w:spacing w:after="0" w:line="240" w:lineRule="auto"/>
              <w:rPr>
                <w:rFonts w:ascii="Times New Roman" w:hAnsi="Times New Roman" w:cs="Times New Roman"/>
                <w:b/>
                <w:bCs/>
                <w:sz w:val="24"/>
                <w:szCs w:val="24"/>
              </w:rPr>
            </w:pPr>
          </w:p>
        </w:tc>
        <w:tc>
          <w:tcPr>
            <w:tcW w:w="1495" w:type="dxa"/>
          </w:tcPr>
          <w:p w14:paraId="43C5C599" w14:textId="77777777" w:rsidR="001D04B0" w:rsidRDefault="00000000">
            <w:pPr>
              <w:tabs>
                <w:tab w:val="left" w:pos="2595"/>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Reference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52" w:type="dxa"/>
          </w:tcPr>
          <w:p w14:paraId="153A48D7" w14:textId="77777777" w:rsidR="001D04B0" w:rsidRDefault="00000000">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224 nm</w:t>
            </w:r>
          </w:p>
        </w:tc>
      </w:tr>
    </w:tbl>
    <w:p w14:paraId="0F49AC6B" w14:textId="77777777" w:rsidR="001D04B0" w:rsidRDefault="001D04B0">
      <w:pPr>
        <w:spacing w:line="240" w:lineRule="auto"/>
        <w:ind w:left="567" w:hanging="567"/>
        <w:rPr>
          <w:rFonts w:ascii="Times New Roman" w:hAnsi="Times New Roman" w:cs="Times New Roman"/>
          <w:b/>
          <w:bCs/>
          <w:sz w:val="24"/>
          <w:szCs w:val="24"/>
        </w:rPr>
      </w:pPr>
    </w:p>
    <w:p w14:paraId="18682B9D" w14:textId="77777777" w:rsidR="001D04B0" w:rsidRDefault="00000000">
      <w:pPr>
        <w:spacing w:line="240" w:lineRule="auto"/>
        <w:ind w:left="567" w:hanging="567"/>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CEDB1C2" wp14:editId="65C92682">
            <wp:extent cx="6517005" cy="1621155"/>
            <wp:effectExtent l="9525" t="9525" r="26670" b="266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517005" cy="1621155"/>
                    </a:xfrm>
                    <a:prstGeom prst="rect">
                      <a:avLst/>
                    </a:prstGeom>
                    <a:ln>
                      <a:solidFill>
                        <a:schemeClr val="tx1"/>
                      </a:solidFill>
                    </a:ln>
                  </pic:spPr>
                </pic:pic>
              </a:graphicData>
            </a:graphic>
          </wp:inline>
        </w:drawing>
      </w:r>
    </w:p>
    <w:p w14:paraId="6F5DD5FD"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9- Recorded UV Spectra of Eplerenone using Methanol</w:t>
      </w:r>
    </w:p>
    <w:p w14:paraId="7DE72E56" w14:textId="77777777" w:rsidR="001D04B0" w:rsidRDefault="001D04B0">
      <w:pPr>
        <w:spacing w:line="240" w:lineRule="auto"/>
        <w:ind w:left="567" w:hanging="567"/>
        <w:jc w:val="center"/>
        <w:rPr>
          <w:rFonts w:ascii="Times New Roman" w:hAnsi="Times New Roman" w:cs="Times New Roman"/>
          <w:b/>
          <w:bCs/>
          <w:sz w:val="24"/>
          <w:szCs w:val="24"/>
        </w:rPr>
      </w:pPr>
    </w:p>
    <w:p w14:paraId="28E99AF2" w14:textId="77777777" w:rsidR="001D04B0" w:rsidRDefault="001D04B0">
      <w:pPr>
        <w:spacing w:line="240" w:lineRule="auto"/>
        <w:ind w:left="567" w:hanging="567"/>
        <w:jc w:val="center"/>
        <w:rPr>
          <w:rFonts w:ascii="Times New Roman" w:hAnsi="Times New Roman" w:cs="Times New Roman"/>
          <w:b/>
          <w:bCs/>
          <w:sz w:val="24"/>
          <w:szCs w:val="24"/>
        </w:rPr>
      </w:pPr>
    </w:p>
    <w:p w14:paraId="24E9F994" w14:textId="77777777" w:rsidR="001D04B0" w:rsidRDefault="001D04B0">
      <w:pPr>
        <w:spacing w:line="240" w:lineRule="auto"/>
        <w:ind w:left="567" w:hanging="567"/>
        <w:jc w:val="center"/>
        <w:rPr>
          <w:rFonts w:ascii="Times New Roman" w:hAnsi="Times New Roman" w:cs="Times New Roman"/>
          <w:b/>
          <w:bCs/>
          <w:sz w:val="24"/>
          <w:szCs w:val="24"/>
        </w:rPr>
      </w:pPr>
    </w:p>
    <w:p w14:paraId="3F185711" w14:textId="77777777" w:rsidR="001D04B0" w:rsidRDefault="001D04B0">
      <w:pPr>
        <w:spacing w:line="240" w:lineRule="auto"/>
        <w:ind w:left="567" w:hanging="567"/>
        <w:jc w:val="center"/>
        <w:rPr>
          <w:rFonts w:ascii="Times New Roman" w:hAnsi="Times New Roman" w:cs="Times New Roman"/>
          <w:b/>
          <w:bCs/>
          <w:sz w:val="24"/>
          <w:szCs w:val="24"/>
        </w:rPr>
      </w:pPr>
    </w:p>
    <w:p w14:paraId="23D0F8C6" w14:textId="77777777" w:rsidR="001D04B0" w:rsidRDefault="001D04B0">
      <w:pPr>
        <w:spacing w:line="240" w:lineRule="auto"/>
        <w:ind w:left="567" w:hanging="567"/>
        <w:jc w:val="center"/>
        <w:rPr>
          <w:rFonts w:ascii="Times New Roman" w:hAnsi="Times New Roman" w:cs="Times New Roman"/>
          <w:b/>
          <w:bCs/>
          <w:sz w:val="24"/>
          <w:szCs w:val="24"/>
        </w:rPr>
      </w:pPr>
    </w:p>
    <w:p w14:paraId="22E4965A" w14:textId="77777777" w:rsidR="001D04B0" w:rsidRDefault="001D04B0">
      <w:pPr>
        <w:spacing w:line="240" w:lineRule="auto"/>
        <w:ind w:left="567" w:hanging="567"/>
        <w:jc w:val="center"/>
        <w:rPr>
          <w:rFonts w:ascii="Times New Roman" w:hAnsi="Times New Roman" w:cs="Times New Roman"/>
          <w:b/>
          <w:bCs/>
          <w:sz w:val="24"/>
          <w:szCs w:val="24"/>
        </w:rPr>
      </w:pPr>
    </w:p>
    <w:p w14:paraId="3668CD0B" w14:textId="77777777" w:rsidR="001D04B0" w:rsidRDefault="001D04B0">
      <w:pPr>
        <w:spacing w:line="240" w:lineRule="auto"/>
        <w:ind w:left="567" w:hanging="567"/>
        <w:jc w:val="center"/>
        <w:rPr>
          <w:rFonts w:ascii="Times New Roman" w:hAnsi="Times New Roman" w:cs="Times New Roman"/>
          <w:b/>
          <w:bCs/>
          <w:sz w:val="24"/>
          <w:szCs w:val="24"/>
        </w:rPr>
      </w:pPr>
    </w:p>
    <w:p w14:paraId="6D8EEA5F" w14:textId="77777777" w:rsidR="001D04B0" w:rsidRDefault="001D04B0">
      <w:pPr>
        <w:spacing w:line="240" w:lineRule="auto"/>
        <w:ind w:left="567" w:hanging="567"/>
        <w:jc w:val="center"/>
        <w:rPr>
          <w:rFonts w:ascii="Times New Roman" w:hAnsi="Times New Roman" w:cs="Times New Roman"/>
          <w:b/>
          <w:bCs/>
          <w:sz w:val="24"/>
          <w:szCs w:val="24"/>
        </w:rPr>
      </w:pPr>
    </w:p>
    <w:p w14:paraId="1EC23460" w14:textId="77777777" w:rsidR="001D04B0" w:rsidRDefault="001D04B0">
      <w:pPr>
        <w:spacing w:line="240" w:lineRule="auto"/>
        <w:ind w:left="567" w:hanging="567"/>
        <w:jc w:val="center"/>
        <w:rPr>
          <w:rFonts w:ascii="Times New Roman" w:hAnsi="Times New Roman" w:cs="Times New Roman"/>
          <w:b/>
          <w:bCs/>
          <w:sz w:val="24"/>
          <w:szCs w:val="24"/>
        </w:rPr>
      </w:pPr>
    </w:p>
    <w:p w14:paraId="1B601614" w14:textId="77777777" w:rsidR="001D04B0" w:rsidRDefault="00000000">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0D72A8E" wp14:editId="098887EB">
            <wp:extent cx="4713605" cy="2701290"/>
            <wp:effectExtent l="9525" t="9525" r="20320" b="13335"/>
            <wp:docPr id="30124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46779" name="Picture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13605" cy="2701527"/>
                    </a:xfrm>
                    <a:prstGeom prst="rect">
                      <a:avLst/>
                    </a:prstGeom>
                    <a:ln>
                      <a:solidFill>
                        <a:schemeClr val="tx1"/>
                      </a:solidFill>
                    </a:ln>
                  </pic:spPr>
                </pic:pic>
              </a:graphicData>
            </a:graphic>
          </wp:inline>
        </w:drawing>
      </w:r>
    </w:p>
    <w:p w14:paraId="503BB084" w14:textId="77777777" w:rsidR="001D04B0" w:rsidRDefault="00000000">
      <w:pPr>
        <w:spacing w:line="240" w:lineRule="auto"/>
        <w:ind w:left="567" w:hanging="567"/>
        <w:jc w:val="center"/>
        <w:rPr>
          <w:rFonts w:ascii="Times New Roman" w:hAnsi="Times New Roman" w:cs="Times New Roman"/>
          <w:b/>
          <w:bCs/>
          <w:sz w:val="24"/>
          <w:szCs w:val="24"/>
          <w:vertAlign w:val="superscript"/>
        </w:rPr>
      </w:pPr>
      <w:r>
        <w:rPr>
          <w:rFonts w:ascii="Times New Roman" w:hAnsi="Times New Roman" w:cs="Times New Roman"/>
          <w:b/>
          <w:bCs/>
          <w:sz w:val="24"/>
          <w:szCs w:val="24"/>
        </w:rPr>
        <w:t xml:space="preserve">Figure 10- Reference UV Spectra of Eplerenone using Methanol </w:t>
      </w:r>
      <w:r>
        <w:rPr>
          <w:rFonts w:ascii="Times New Roman" w:hAnsi="Times New Roman" w:cs="Times New Roman"/>
          <w:b/>
          <w:bCs/>
          <w:sz w:val="24"/>
          <w:szCs w:val="24"/>
          <w:vertAlign w:val="superscript"/>
        </w:rPr>
        <w:t>[48]</w:t>
      </w:r>
    </w:p>
    <w:tbl>
      <w:tblPr>
        <w:tblStyle w:val="TableGrid"/>
        <w:tblW w:w="9989" w:type="dxa"/>
        <w:tblInd w:w="137" w:type="dxa"/>
        <w:tblLook w:val="04A0" w:firstRow="1" w:lastRow="0" w:firstColumn="1" w:lastColumn="0" w:noHBand="0" w:noVBand="1"/>
      </w:tblPr>
      <w:tblGrid>
        <w:gridCol w:w="1385"/>
        <w:gridCol w:w="1203"/>
        <w:gridCol w:w="1241"/>
        <w:gridCol w:w="6160"/>
      </w:tblGrid>
      <w:tr w:rsidR="001D04B0" w14:paraId="005B5430" w14:textId="77777777">
        <w:trPr>
          <w:trHeight w:val="768"/>
        </w:trPr>
        <w:tc>
          <w:tcPr>
            <w:tcW w:w="1385" w:type="dxa"/>
            <w:vMerge w:val="restart"/>
          </w:tcPr>
          <w:p w14:paraId="1CEF9B16" w14:textId="77777777" w:rsidR="001D04B0" w:rsidRDefault="00000000">
            <w:pPr>
              <w:tabs>
                <w:tab w:val="left" w:pos="2595"/>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Eplerenone</w:t>
            </w:r>
          </w:p>
        </w:tc>
        <w:tc>
          <w:tcPr>
            <w:tcW w:w="1203" w:type="dxa"/>
            <w:vMerge w:val="restart"/>
          </w:tcPr>
          <w:p w14:paraId="2F1D5A62" w14:textId="77777777" w:rsidR="001D04B0" w:rsidRDefault="00000000">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Methanol</w:t>
            </w:r>
          </w:p>
        </w:tc>
        <w:tc>
          <w:tcPr>
            <w:tcW w:w="1241" w:type="dxa"/>
          </w:tcPr>
          <w:p w14:paraId="14212EB5" w14:textId="77777777" w:rsidR="001D04B0" w:rsidRDefault="00000000">
            <w:pPr>
              <w:tabs>
                <w:tab w:val="left" w:pos="2595"/>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Recorded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60" w:type="dxa"/>
          </w:tcPr>
          <w:p w14:paraId="580985B5" w14:textId="77777777" w:rsidR="001D04B0" w:rsidRDefault="00000000">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245 nm</w:t>
            </w:r>
          </w:p>
        </w:tc>
      </w:tr>
      <w:tr w:rsidR="001D04B0" w14:paraId="6FE882D4" w14:textId="77777777">
        <w:trPr>
          <w:trHeight w:val="688"/>
        </w:trPr>
        <w:tc>
          <w:tcPr>
            <w:tcW w:w="1385" w:type="dxa"/>
            <w:vMerge/>
          </w:tcPr>
          <w:p w14:paraId="4AB96A56" w14:textId="77777777" w:rsidR="001D04B0" w:rsidRDefault="001D04B0">
            <w:pPr>
              <w:tabs>
                <w:tab w:val="left" w:pos="2595"/>
              </w:tabs>
              <w:spacing w:after="0" w:line="240" w:lineRule="auto"/>
              <w:rPr>
                <w:rFonts w:ascii="Times New Roman" w:hAnsi="Times New Roman" w:cs="Times New Roman"/>
                <w:b/>
                <w:bCs/>
                <w:sz w:val="24"/>
                <w:szCs w:val="24"/>
              </w:rPr>
            </w:pPr>
          </w:p>
        </w:tc>
        <w:tc>
          <w:tcPr>
            <w:tcW w:w="1203" w:type="dxa"/>
            <w:vMerge/>
          </w:tcPr>
          <w:p w14:paraId="46314839" w14:textId="77777777" w:rsidR="001D04B0" w:rsidRDefault="001D04B0">
            <w:pPr>
              <w:tabs>
                <w:tab w:val="left" w:pos="2595"/>
              </w:tabs>
              <w:spacing w:after="0" w:line="240" w:lineRule="auto"/>
              <w:rPr>
                <w:rFonts w:ascii="Times New Roman" w:hAnsi="Times New Roman" w:cs="Times New Roman"/>
                <w:b/>
                <w:bCs/>
                <w:sz w:val="24"/>
                <w:szCs w:val="24"/>
              </w:rPr>
            </w:pPr>
          </w:p>
        </w:tc>
        <w:tc>
          <w:tcPr>
            <w:tcW w:w="1241" w:type="dxa"/>
          </w:tcPr>
          <w:p w14:paraId="6BAC98E8" w14:textId="77777777" w:rsidR="001D04B0" w:rsidRDefault="00000000">
            <w:pPr>
              <w:tabs>
                <w:tab w:val="left" w:pos="2595"/>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Reference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60" w:type="dxa"/>
          </w:tcPr>
          <w:p w14:paraId="5772F331" w14:textId="77777777" w:rsidR="001D04B0" w:rsidRDefault="00000000">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245 nm</w:t>
            </w:r>
          </w:p>
        </w:tc>
      </w:tr>
    </w:tbl>
    <w:p w14:paraId="45EFEBA9" w14:textId="77777777" w:rsidR="001D04B0" w:rsidRDefault="001D04B0">
      <w:pPr>
        <w:spacing w:line="240" w:lineRule="auto"/>
        <w:rPr>
          <w:rFonts w:ascii="Times New Roman" w:hAnsi="Times New Roman" w:cs="Times New Roman"/>
          <w:b/>
          <w:bCs/>
          <w:sz w:val="24"/>
          <w:szCs w:val="24"/>
        </w:rPr>
      </w:pPr>
    </w:p>
    <w:p w14:paraId="20309AEC" w14:textId="77777777" w:rsidR="001D04B0" w:rsidRDefault="00000000">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Identification by IR Spectra</w:t>
      </w:r>
    </w:p>
    <w:p w14:paraId="03B41220" w14:textId="77777777" w:rsidR="001D04B0" w:rsidRDefault="001D04B0">
      <w:pPr>
        <w:spacing w:line="240" w:lineRule="auto"/>
        <w:ind w:left="567" w:hanging="567"/>
        <w:rPr>
          <w:rFonts w:ascii="Times New Roman" w:hAnsi="Times New Roman" w:cs="Times New Roman"/>
          <w:b/>
          <w:bCs/>
          <w:sz w:val="24"/>
          <w:szCs w:val="24"/>
        </w:rPr>
      </w:pPr>
    </w:p>
    <w:p w14:paraId="2E28068E" w14:textId="77777777" w:rsidR="001D04B0" w:rsidRDefault="001D04B0">
      <w:pPr>
        <w:spacing w:line="240" w:lineRule="auto"/>
        <w:ind w:left="567" w:hanging="567"/>
        <w:rPr>
          <w:rFonts w:ascii="Times New Roman" w:hAnsi="Times New Roman" w:cs="Times New Roman"/>
          <w:b/>
          <w:bCs/>
          <w:sz w:val="24"/>
          <w:szCs w:val="24"/>
        </w:rPr>
      </w:pPr>
    </w:p>
    <w:p w14:paraId="50904083" w14:textId="77777777" w:rsidR="001D04B0" w:rsidRDefault="00000000">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For Dapagliflozin Propanediol Monohydrate</w:t>
      </w:r>
    </w:p>
    <w:p w14:paraId="4907D401" w14:textId="77777777" w:rsidR="001D04B0" w:rsidRDefault="00000000">
      <w:pPr>
        <w:spacing w:line="24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55D2FF70" wp14:editId="1A9E46F4">
            <wp:extent cx="5679440" cy="3400425"/>
            <wp:effectExtent l="0" t="0" r="16510" b="9525"/>
            <wp:docPr id="2077264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4471"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79440" cy="3400425"/>
                    </a:xfrm>
                    <a:prstGeom prst="rect">
                      <a:avLst/>
                    </a:prstGeom>
                    <a:noFill/>
                    <a:ln>
                      <a:noFill/>
                    </a:ln>
                  </pic:spPr>
                </pic:pic>
              </a:graphicData>
            </a:graphic>
          </wp:inline>
        </w:drawing>
      </w:r>
    </w:p>
    <w:p w14:paraId="4C5D1237"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Figure-11- Reference IR of Dapagliflozin Propanediol Monohydrate </w:t>
      </w:r>
      <w:r>
        <w:rPr>
          <w:rFonts w:ascii="Times New Roman" w:hAnsi="Times New Roman" w:cs="Times New Roman"/>
          <w:b/>
          <w:bCs/>
          <w:sz w:val="24"/>
          <w:szCs w:val="24"/>
          <w:vertAlign w:val="superscript"/>
        </w:rPr>
        <w:t>[46]</w:t>
      </w:r>
    </w:p>
    <w:p w14:paraId="29909861" w14:textId="77777777" w:rsidR="001D04B0" w:rsidRDefault="001D04B0">
      <w:pPr>
        <w:spacing w:line="240" w:lineRule="auto"/>
        <w:ind w:left="567" w:hanging="567"/>
        <w:jc w:val="center"/>
        <w:rPr>
          <w:rFonts w:ascii="Times New Roman" w:hAnsi="Times New Roman" w:cs="Times New Roman"/>
          <w:sz w:val="24"/>
          <w:szCs w:val="24"/>
          <w:lang w:eastAsia="en-IN"/>
        </w:rPr>
      </w:pPr>
    </w:p>
    <w:p w14:paraId="2B329742" w14:textId="77777777" w:rsidR="001D04B0" w:rsidRDefault="001D04B0">
      <w:pPr>
        <w:spacing w:line="240" w:lineRule="auto"/>
        <w:ind w:left="567" w:hanging="567"/>
        <w:jc w:val="center"/>
        <w:rPr>
          <w:rFonts w:ascii="Times New Roman" w:hAnsi="Times New Roman" w:cs="Times New Roman"/>
          <w:sz w:val="24"/>
          <w:szCs w:val="24"/>
          <w:lang w:eastAsia="en-IN"/>
        </w:rPr>
      </w:pPr>
    </w:p>
    <w:p w14:paraId="4EE18688"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4514BB42" wp14:editId="4760AACB">
            <wp:extent cx="5040630" cy="3574415"/>
            <wp:effectExtent l="0" t="0" r="7620" b="6985"/>
            <wp:docPr id="5326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81"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040630" cy="3574415"/>
                    </a:xfrm>
                    <a:prstGeom prst="rect">
                      <a:avLst/>
                    </a:prstGeom>
                    <a:noFill/>
                    <a:ln>
                      <a:noFill/>
                    </a:ln>
                  </pic:spPr>
                </pic:pic>
              </a:graphicData>
            </a:graphic>
          </wp:inline>
        </w:drawing>
      </w:r>
    </w:p>
    <w:p w14:paraId="3CF2FB27" w14:textId="77777777" w:rsidR="001D04B0" w:rsidRDefault="00000000">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Figure 12- Recorded IR of Dapagliflozin Propanediol Monohydrate</w:t>
      </w:r>
    </w:p>
    <w:p w14:paraId="5099E8A6"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Table 17- Interpretation of Dapagliflozin Propanediol Monohydrate IR </w:t>
      </w:r>
    </w:p>
    <w:tbl>
      <w:tblPr>
        <w:tblStyle w:val="TableGrid"/>
        <w:tblW w:w="10398" w:type="dxa"/>
        <w:tblLook w:val="04A0" w:firstRow="1" w:lastRow="0" w:firstColumn="1" w:lastColumn="0" w:noHBand="0" w:noVBand="1"/>
      </w:tblPr>
      <w:tblGrid>
        <w:gridCol w:w="1137"/>
        <w:gridCol w:w="1775"/>
        <w:gridCol w:w="1872"/>
        <w:gridCol w:w="5614"/>
      </w:tblGrid>
      <w:tr w:rsidR="001D04B0" w14:paraId="47296463" w14:textId="77777777">
        <w:trPr>
          <w:trHeight w:val="1003"/>
        </w:trPr>
        <w:tc>
          <w:tcPr>
            <w:tcW w:w="1137" w:type="dxa"/>
          </w:tcPr>
          <w:p w14:paraId="3B7F0E35" w14:textId="77777777" w:rsidR="001D04B0" w:rsidRDefault="00000000">
            <w:pPr>
              <w:spacing w:after="0"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775" w:type="dxa"/>
          </w:tcPr>
          <w:p w14:paraId="1450E24B" w14:textId="77777777" w:rsidR="001D04B0" w:rsidRDefault="00000000">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Types of Vibration</w:t>
            </w:r>
          </w:p>
        </w:tc>
        <w:tc>
          <w:tcPr>
            <w:tcW w:w="1872" w:type="dxa"/>
          </w:tcPr>
          <w:p w14:paraId="7E062551" w14:textId="77777777" w:rsidR="001D04B0" w:rsidRDefault="00000000">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Standard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c>
          <w:tcPr>
            <w:tcW w:w="5614" w:type="dxa"/>
          </w:tcPr>
          <w:p w14:paraId="4CD29EF8" w14:textId="77777777" w:rsidR="001D04B0" w:rsidRDefault="00000000">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Observed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r>
      <w:tr w:rsidR="001D04B0" w14:paraId="6A613430" w14:textId="77777777">
        <w:trPr>
          <w:trHeight w:val="586"/>
        </w:trPr>
        <w:tc>
          <w:tcPr>
            <w:tcW w:w="1137" w:type="dxa"/>
          </w:tcPr>
          <w:p w14:paraId="19FD1112"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1</w:t>
            </w:r>
          </w:p>
        </w:tc>
        <w:tc>
          <w:tcPr>
            <w:tcW w:w="1775" w:type="dxa"/>
          </w:tcPr>
          <w:p w14:paraId="1C84909F"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C=C </w:t>
            </w:r>
          </w:p>
        </w:tc>
        <w:tc>
          <w:tcPr>
            <w:tcW w:w="1872" w:type="dxa"/>
          </w:tcPr>
          <w:p w14:paraId="24ACD644"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1630-1585 </w:t>
            </w:r>
          </w:p>
        </w:tc>
        <w:tc>
          <w:tcPr>
            <w:tcW w:w="5614" w:type="dxa"/>
          </w:tcPr>
          <w:p w14:paraId="15A4B284" w14:textId="77777777" w:rsidR="001D04B0" w:rsidRDefault="00000000">
            <w:pPr>
              <w:pStyle w:val="TableParagraph"/>
              <w:spacing w:line="240" w:lineRule="auto"/>
              <w:ind w:left="42" w:right="3"/>
              <w:jc w:val="center"/>
              <w:rPr>
                <w:sz w:val="24"/>
                <w:szCs w:val="24"/>
              </w:rPr>
            </w:pPr>
            <w:r>
              <w:rPr>
                <w:spacing w:val="-8"/>
                <w:sz w:val="24"/>
                <w:szCs w:val="24"/>
              </w:rPr>
              <w:t>1581.71-</w:t>
            </w:r>
            <w:r>
              <w:rPr>
                <w:spacing w:val="-2"/>
                <w:sz w:val="24"/>
                <w:szCs w:val="24"/>
              </w:rPr>
              <w:t>1585.71</w:t>
            </w:r>
          </w:p>
        </w:tc>
      </w:tr>
      <w:tr w:rsidR="001D04B0" w14:paraId="463DE069" w14:textId="77777777">
        <w:trPr>
          <w:trHeight w:val="664"/>
        </w:trPr>
        <w:tc>
          <w:tcPr>
            <w:tcW w:w="1137" w:type="dxa"/>
          </w:tcPr>
          <w:p w14:paraId="2E1C0528"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2</w:t>
            </w:r>
          </w:p>
        </w:tc>
        <w:tc>
          <w:tcPr>
            <w:tcW w:w="1775" w:type="dxa"/>
          </w:tcPr>
          <w:p w14:paraId="03FEA2B5"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C-Cl  </w:t>
            </w:r>
          </w:p>
        </w:tc>
        <w:tc>
          <w:tcPr>
            <w:tcW w:w="1872" w:type="dxa"/>
          </w:tcPr>
          <w:p w14:paraId="5AB49EB1"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800-600 </w:t>
            </w:r>
          </w:p>
        </w:tc>
        <w:tc>
          <w:tcPr>
            <w:tcW w:w="5614" w:type="dxa"/>
          </w:tcPr>
          <w:p w14:paraId="5E38DB31" w14:textId="77777777" w:rsidR="001D04B0" w:rsidRDefault="00000000">
            <w:pPr>
              <w:pStyle w:val="TableParagraph"/>
              <w:spacing w:line="240" w:lineRule="auto"/>
              <w:ind w:left="42"/>
              <w:jc w:val="center"/>
              <w:rPr>
                <w:sz w:val="24"/>
                <w:szCs w:val="24"/>
              </w:rPr>
            </w:pPr>
            <w:r>
              <w:rPr>
                <w:spacing w:val="-2"/>
                <w:sz w:val="24"/>
                <w:szCs w:val="24"/>
              </w:rPr>
              <w:t>580.27-584.27</w:t>
            </w:r>
          </w:p>
        </w:tc>
      </w:tr>
      <w:tr w:rsidR="001D04B0" w14:paraId="3AD68D2A" w14:textId="77777777">
        <w:trPr>
          <w:trHeight w:val="586"/>
        </w:trPr>
        <w:tc>
          <w:tcPr>
            <w:tcW w:w="1137" w:type="dxa"/>
          </w:tcPr>
          <w:p w14:paraId="4ED6EE6A"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3</w:t>
            </w:r>
          </w:p>
        </w:tc>
        <w:tc>
          <w:tcPr>
            <w:tcW w:w="1775" w:type="dxa"/>
          </w:tcPr>
          <w:p w14:paraId="26854348"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O-H  </w:t>
            </w:r>
          </w:p>
        </w:tc>
        <w:tc>
          <w:tcPr>
            <w:tcW w:w="1872" w:type="dxa"/>
          </w:tcPr>
          <w:p w14:paraId="6172F4C6"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3500-3200 </w:t>
            </w:r>
          </w:p>
        </w:tc>
        <w:tc>
          <w:tcPr>
            <w:tcW w:w="5614" w:type="dxa"/>
          </w:tcPr>
          <w:p w14:paraId="1225450C" w14:textId="77777777" w:rsidR="001D04B0" w:rsidRDefault="00000000">
            <w:pPr>
              <w:pStyle w:val="TableParagraph"/>
              <w:spacing w:line="240" w:lineRule="auto"/>
              <w:ind w:left="42" w:right="3"/>
              <w:jc w:val="center"/>
              <w:rPr>
                <w:sz w:val="24"/>
                <w:szCs w:val="24"/>
              </w:rPr>
            </w:pPr>
            <w:r>
              <w:rPr>
                <w:spacing w:val="-8"/>
                <w:sz w:val="24"/>
                <w:szCs w:val="24"/>
              </w:rPr>
              <w:t>3280.00-</w:t>
            </w:r>
            <w:r>
              <w:rPr>
                <w:spacing w:val="-2"/>
                <w:sz w:val="24"/>
                <w:szCs w:val="24"/>
              </w:rPr>
              <w:t>3284.00</w:t>
            </w:r>
          </w:p>
        </w:tc>
      </w:tr>
      <w:tr w:rsidR="001D04B0" w14:paraId="543E64B5" w14:textId="77777777">
        <w:trPr>
          <w:trHeight w:val="586"/>
        </w:trPr>
        <w:tc>
          <w:tcPr>
            <w:tcW w:w="1137" w:type="dxa"/>
          </w:tcPr>
          <w:p w14:paraId="53F259C0"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4</w:t>
            </w:r>
          </w:p>
        </w:tc>
        <w:tc>
          <w:tcPr>
            <w:tcW w:w="1775" w:type="dxa"/>
          </w:tcPr>
          <w:p w14:paraId="1369FE42"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 Ar-C-O </w:t>
            </w:r>
          </w:p>
        </w:tc>
        <w:tc>
          <w:tcPr>
            <w:tcW w:w="1872" w:type="dxa"/>
          </w:tcPr>
          <w:p w14:paraId="644BE5D8"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1120 – 1070 </w:t>
            </w:r>
          </w:p>
        </w:tc>
        <w:tc>
          <w:tcPr>
            <w:tcW w:w="5614" w:type="dxa"/>
          </w:tcPr>
          <w:p w14:paraId="4EBD6E54" w14:textId="77777777" w:rsidR="001D04B0" w:rsidRDefault="00000000">
            <w:pPr>
              <w:pStyle w:val="TableParagraph"/>
              <w:spacing w:line="240" w:lineRule="auto"/>
              <w:ind w:left="42" w:right="3"/>
              <w:jc w:val="center"/>
              <w:rPr>
                <w:sz w:val="24"/>
                <w:szCs w:val="24"/>
              </w:rPr>
            </w:pPr>
            <w:r>
              <w:rPr>
                <w:spacing w:val="-8"/>
                <w:sz w:val="24"/>
                <w:szCs w:val="24"/>
              </w:rPr>
              <w:t>1178.27-</w:t>
            </w:r>
            <w:r>
              <w:rPr>
                <w:spacing w:val="-2"/>
                <w:sz w:val="24"/>
                <w:szCs w:val="24"/>
              </w:rPr>
              <w:t>1182.27</w:t>
            </w:r>
          </w:p>
        </w:tc>
      </w:tr>
      <w:tr w:rsidR="001D04B0" w14:paraId="10A23534" w14:textId="77777777">
        <w:trPr>
          <w:trHeight w:val="586"/>
        </w:trPr>
        <w:tc>
          <w:tcPr>
            <w:tcW w:w="1137" w:type="dxa"/>
          </w:tcPr>
          <w:p w14:paraId="78AA4593"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5</w:t>
            </w:r>
          </w:p>
        </w:tc>
        <w:tc>
          <w:tcPr>
            <w:tcW w:w="1775" w:type="dxa"/>
          </w:tcPr>
          <w:p w14:paraId="373BFFBB"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C-O </w:t>
            </w:r>
          </w:p>
        </w:tc>
        <w:tc>
          <w:tcPr>
            <w:tcW w:w="1872" w:type="dxa"/>
          </w:tcPr>
          <w:p w14:paraId="13CE6EFF"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1320-1210 </w:t>
            </w:r>
          </w:p>
        </w:tc>
        <w:tc>
          <w:tcPr>
            <w:tcW w:w="5614" w:type="dxa"/>
          </w:tcPr>
          <w:p w14:paraId="7184D9BE" w14:textId="77777777" w:rsidR="001D04B0" w:rsidRDefault="00000000">
            <w:pPr>
              <w:pStyle w:val="TableParagraph"/>
              <w:spacing w:line="240" w:lineRule="auto"/>
              <w:ind w:left="42" w:right="3"/>
              <w:jc w:val="center"/>
              <w:rPr>
                <w:sz w:val="24"/>
                <w:szCs w:val="24"/>
              </w:rPr>
            </w:pPr>
            <w:r>
              <w:rPr>
                <w:spacing w:val="-8"/>
                <w:sz w:val="24"/>
                <w:szCs w:val="24"/>
              </w:rPr>
              <w:t>1268.40-</w:t>
            </w:r>
            <w:r>
              <w:rPr>
                <w:spacing w:val="-2"/>
                <w:sz w:val="24"/>
                <w:szCs w:val="24"/>
              </w:rPr>
              <w:t>1272.40</w:t>
            </w:r>
          </w:p>
        </w:tc>
      </w:tr>
      <w:tr w:rsidR="001D04B0" w14:paraId="6BB28551" w14:textId="77777777">
        <w:trPr>
          <w:trHeight w:val="596"/>
        </w:trPr>
        <w:tc>
          <w:tcPr>
            <w:tcW w:w="1137" w:type="dxa"/>
          </w:tcPr>
          <w:p w14:paraId="39DFC403"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6</w:t>
            </w:r>
          </w:p>
        </w:tc>
        <w:tc>
          <w:tcPr>
            <w:tcW w:w="1775" w:type="dxa"/>
          </w:tcPr>
          <w:p w14:paraId="586F82CD"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 C=O </w:t>
            </w:r>
          </w:p>
        </w:tc>
        <w:tc>
          <w:tcPr>
            <w:tcW w:w="1872" w:type="dxa"/>
          </w:tcPr>
          <w:p w14:paraId="48F9D8E6"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1745-1635 </w:t>
            </w:r>
          </w:p>
        </w:tc>
        <w:tc>
          <w:tcPr>
            <w:tcW w:w="5614" w:type="dxa"/>
          </w:tcPr>
          <w:p w14:paraId="3402D502" w14:textId="77777777" w:rsidR="001D04B0" w:rsidRDefault="00000000">
            <w:pPr>
              <w:pStyle w:val="TableParagraph"/>
              <w:spacing w:line="240" w:lineRule="auto"/>
              <w:ind w:left="42" w:right="3"/>
              <w:jc w:val="center"/>
              <w:rPr>
                <w:sz w:val="24"/>
                <w:szCs w:val="24"/>
              </w:rPr>
            </w:pPr>
            <w:r>
              <w:rPr>
                <w:spacing w:val="-8"/>
                <w:sz w:val="24"/>
                <w:szCs w:val="24"/>
              </w:rPr>
              <w:t>1611.75-</w:t>
            </w:r>
            <w:r>
              <w:rPr>
                <w:spacing w:val="-2"/>
                <w:sz w:val="24"/>
                <w:szCs w:val="24"/>
              </w:rPr>
              <w:t>1615.75</w:t>
            </w:r>
          </w:p>
        </w:tc>
      </w:tr>
    </w:tbl>
    <w:p w14:paraId="3AB15B3A" w14:textId="77777777" w:rsidR="001D04B0" w:rsidRDefault="001D04B0">
      <w:pPr>
        <w:spacing w:line="240" w:lineRule="auto"/>
        <w:rPr>
          <w:rFonts w:ascii="Times New Roman" w:hAnsi="Times New Roman" w:cs="Times New Roman"/>
          <w:b/>
          <w:bCs/>
          <w:sz w:val="24"/>
          <w:szCs w:val="24"/>
        </w:rPr>
      </w:pPr>
    </w:p>
    <w:p w14:paraId="4105A200" w14:textId="77777777" w:rsidR="001D04B0" w:rsidRDefault="00000000">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For Eplerenone</w:t>
      </w:r>
    </w:p>
    <w:p w14:paraId="1024C35A" w14:textId="77777777" w:rsidR="001D04B0" w:rsidRDefault="001D04B0">
      <w:pPr>
        <w:spacing w:line="240" w:lineRule="auto"/>
        <w:ind w:left="567" w:hanging="567"/>
        <w:rPr>
          <w:rFonts w:ascii="Times New Roman" w:hAnsi="Times New Roman" w:cs="Times New Roman"/>
          <w:b/>
          <w:bCs/>
          <w:sz w:val="24"/>
          <w:szCs w:val="24"/>
        </w:rPr>
      </w:pPr>
    </w:p>
    <w:p w14:paraId="6D671601" w14:textId="77777777" w:rsidR="001D04B0" w:rsidRDefault="001D04B0">
      <w:pPr>
        <w:spacing w:line="240" w:lineRule="auto"/>
        <w:ind w:left="567" w:hanging="567"/>
        <w:rPr>
          <w:rFonts w:ascii="Times New Roman" w:hAnsi="Times New Roman" w:cs="Times New Roman"/>
          <w:b/>
          <w:bCs/>
          <w:sz w:val="24"/>
          <w:szCs w:val="24"/>
        </w:rPr>
      </w:pPr>
    </w:p>
    <w:p w14:paraId="26C41B0D" w14:textId="77777777" w:rsidR="001D04B0" w:rsidRDefault="001D04B0">
      <w:pPr>
        <w:spacing w:line="240" w:lineRule="auto"/>
        <w:ind w:left="567" w:hanging="567"/>
        <w:rPr>
          <w:rFonts w:ascii="Times New Roman" w:hAnsi="Times New Roman" w:cs="Times New Roman"/>
          <w:b/>
          <w:bCs/>
          <w:sz w:val="24"/>
          <w:szCs w:val="24"/>
        </w:rPr>
      </w:pPr>
    </w:p>
    <w:p w14:paraId="4C4E90C6" w14:textId="77777777" w:rsidR="001D04B0" w:rsidRDefault="001D04B0">
      <w:pPr>
        <w:spacing w:line="240" w:lineRule="auto"/>
        <w:ind w:left="567" w:hanging="567"/>
        <w:rPr>
          <w:rFonts w:ascii="Times New Roman" w:hAnsi="Times New Roman" w:cs="Times New Roman"/>
          <w:b/>
          <w:bCs/>
          <w:sz w:val="24"/>
          <w:szCs w:val="24"/>
        </w:rPr>
      </w:pPr>
    </w:p>
    <w:p w14:paraId="7D14C79B" w14:textId="77777777" w:rsidR="001D04B0" w:rsidRDefault="001D04B0">
      <w:pPr>
        <w:spacing w:line="240" w:lineRule="auto"/>
        <w:ind w:left="567" w:hanging="567"/>
        <w:rPr>
          <w:rFonts w:ascii="Times New Roman" w:hAnsi="Times New Roman" w:cs="Times New Roman"/>
          <w:b/>
          <w:bCs/>
          <w:sz w:val="24"/>
          <w:szCs w:val="24"/>
        </w:rPr>
      </w:pPr>
    </w:p>
    <w:p w14:paraId="213A70AF" w14:textId="77777777" w:rsidR="001D04B0" w:rsidRDefault="001D04B0">
      <w:pPr>
        <w:spacing w:line="240" w:lineRule="auto"/>
        <w:ind w:left="567" w:hanging="567"/>
        <w:rPr>
          <w:rFonts w:ascii="Times New Roman" w:hAnsi="Times New Roman" w:cs="Times New Roman"/>
          <w:b/>
          <w:bCs/>
          <w:sz w:val="24"/>
          <w:szCs w:val="24"/>
        </w:rPr>
      </w:pPr>
    </w:p>
    <w:p w14:paraId="5A01A84A" w14:textId="77777777" w:rsidR="001D04B0" w:rsidRDefault="001D04B0">
      <w:pPr>
        <w:spacing w:line="240" w:lineRule="auto"/>
        <w:ind w:left="567" w:hanging="567"/>
        <w:rPr>
          <w:rFonts w:ascii="Times New Roman" w:hAnsi="Times New Roman" w:cs="Times New Roman"/>
          <w:b/>
          <w:bCs/>
          <w:sz w:val="24"/>
          <w:szCs w:val="24"/>
        </w:rPr>
      </w:pPr>
    </w:p>
    <w:p w14:paraId="0CA1FA00" w14:textId="77777777" w:rsidR="001D04B0" w:rsidRDefault="00000000">
      <w:pPr>
        <w:spacing w:line="240" w:lineRule="auto"/>
        <w:ind w:left="567" w:hanging="567"/>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2850316" wp14:editId="23D45EED">
            <wp:extent cx="6584315" cy="1968500"/>
            <wp:effectExtent l="9525" t="9525" r="16510" b="22225"/>
            <wp:docPr id="2126382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2925" name="Picture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584315" cy="1968500"/>
                    </a:xfrm>
                    <a:prstGeom prst="rect">
                      <a:avLst/>
                    </a:prstGeom>
                    <a:ln>
                      <a:solidFill>
                        <a:schemeClr val="tx1"/>
                      </a:solidFill>
                    </a:ln>
                  </pic:spPr>
                </pic:pic>
              </a:graphicData>
            </a:graphic>
          </wp:inline>
        </w:drawing>
      </w:r>
    </w:p>
    <w:p w14:paraId="3D0080AE"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Figure-13- Reference IR of Eplerenone </w:t>
      </w:r>
      <w:r>
        <w:rPr>
          <w:rFonts w:ascii="Times New Roman" w:hAnsi="Times New Roman" w:cs="Times New Roman"/>
          <w:b/>
          <w:bCs/>
          <w:sz w:val="24"/>
          <w:szCs w:val="24"/>
          <w:vertAlign w:val="superscript"/>
        </w:rPr>
        <w:t>[49]</w:t>
      </w:r>
    </w:p>
    <w:p w14:paraId="57557345" w14:textId="77777777" w:rsidR="001D04B0" w:rsidRDefault="001D04B0">
      <w:pPr>
        <w:spacing w:line="240" w:lineRule="auto"/>
        <w:rPr>
          <w:rFonts w:ascii="Times New Roman" w:hAnsi="Times New Roman" w:cs="Times New Roman"/>
          <w:b/>
          <w:bCs/>
          <w:sz w:val="24"/>
          <w:szCs w:val="24"/>
        </w:rPr>
      </w:pPr>
    </w:p>
    <w:p w14:paraId="0433F2AA" w14:textId="77777777" w:rsidR="001D04B0" w:rsidRDefault="001D04B0">
      <w:pPr>
        <w:spacing w:line="240" w:lineRule="auto"/>
        <w:rPr>
          <w:rFonts w:ascii="Times New Roman" w:hAnsi="Times New Roman" w:cs="Times New Roman"/>
          <w:b/>
          <w:bCs/>
          <w:sz w:val="24"/>
          <w:szCs w:val="24"/>
        </w:rPr>
      </w:pPr>
    </w:p>
    <w:p w14:paraId="57F11A01" w14:textId="77777777" w:rsidR="001D04B0" w:rsidRDefault="001D04B0">
      <w:pPr>
        <w:spacing w:line="240" w:lineRule="auto"/>
        <w:rPr>
          <w:rFonts w:ascii="Times New Roman" w:hAnsi="Times New Roman" w:cs="Times New Roman"/>
          <w:b/>
          <w:bCs/>
          <w:sz w:val="24"/>
          <w:szCs w:val="24"/>
        </w:rPr>
      </w:pPr>
    </w:p>
    <w:p w14:paraId="577F85AF" w14:textId="77777777" w:rsidR="001D04B0" w:rsidRDefault="00000000">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54A6E36" wp14:editId="3372C55D">
            <wp:extent cx="6823075" cy="2776855"/>
            <wp:effectExtent l="9525" t="9525" r="25400" b="13970"/>
            <wp:docPr id="1795073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73303"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823075" cy="2776855"/>
                    </a:xfrm>
                    <a:prstGeom prst="rect">
                      <a:avLst/>
                    </a:prstGeom>
                    <a:ln>
                      <a:solidFill>
                        <a:schemeClr val="tx1"/>
                      </a:solidFill>
                    </a:ln>
                  </pic:spPr>
                </pic:pic>
              </a:graphicData>
            </a:graphic>
          </wp:inline>
        </w:drawing>
      </w:r>
    </w:p>
    <w:p w14:paraId="523864F0"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14- Recorded IR of Eplerenone</w:t>
      </w:r>
    </w:p>
    <w:p w14:paraId="58852746"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Table 18- Interpretation of Eplerenone IR </w:t>
      </w:r>
    </w:p>
    <w:tbl>
      <w:tblPr>
        <w:tblStyle w:val="TableGrid"/>
        <w:tblW w:w="10780" w:type="dxa"/>
        <w:tblLook w:val="04A0" w:firstRow="1" w:lastRow="0" w:firstColumn="1" w:lastColumn="0" w:noHBand="0" w:noVBand="1"/>
      </w:tblPr>
      <w:tblGrid>
        <w:gridCol w:w="1137"/>
        <w:gridCol w:w="1252"/>
        <w:gridCol w:w="1624"/>
        <w:gridCol w:w="6767"/>
      </w:tblGrid>
      <w:tr w:rsidR="001D04B0" w14:paraId="058E37AF" w14:textId="77777777">
        <w:trPr>
          <w:trHeight w:val="1436"/>
        </w:trPr>
        <w:tc>
          <w:tcPr>
            <w:tcW w:w="1137" w:type="dxa"/>
          </w:tcPr>
          <w:p w14:paraId="07408B57" w14:textId="77777777" w:rsidR="001D04B0" w:rsidRDefault="00000000">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252" w:type="dxa"/>
          </w:tcPr>
          <w:p w14:paraId="522E3317"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Types of Vibration</w:t>
            </w:r>
          </w:p>
        </w:tc>
        <w:tc>
          <w:tcPr>
            <w:tcW w:w="1624" w:type="dxa"/>
          </w:tcPr>
          <w:p w14:paraId="516AD2D2" w14:textId="77777777" w:rsidR="001D04B0" w:rsidRDefault="00000000">
            <w:pPr>
              <w:spacing w:line="240" w:lineRule="auto"/>
              <w:ind w:left="95"/>
              <w:jc w:val="center"/>
              <w:rPr>
                <w:rFonts w:ascii="Times New Roman" w:hAnsi="Times New Roman" w:cs="Times New Roman"/>
                <w:b/>
                <w:bCs/>
                <w:sz w:val="24"/>
                <w:szCs w:val="24"/>
              </w:rPr>
            </w:pPr>
            <w:r>
              <w:rPr>
                <w:rFonts w:ascii="Times New Roman" w:hAnsi="Times New Roman" w:cs="Times New Roman"/>
                <w:b/>
                <w:bCs/>
                <w:sz w:val="24"/>
                <w:szCs w:val="24"/>
              </w:rPr>
              <w:t>Standard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c>
          <w:tcPr>
            <w:tcW w:w="6767" w:type="dxa"/>
          </w:tcPr>
          <w:p w14:paraId="0A26977C" w14:textId="77777777" w:rsidR="001D04B0" w:rsidRDefault="00000000">
            <w:pPr>
              <w:spacing w:line="240" w:lineRule="auto"/>
              <w:ind w:left="30" w:hanging="30"/>
              <w:jc w:val="center"/>
              <w:rPr>
                <w:rFonts w:ascii="Times New Roman" w:hAnsi="Times New Roman" w:cs="Times New Roman"/>
                <w:b/>
                <w:bCs/>
                <w:sz w:val="24"/>
                <w:szCs w:val="24"/>
              </w:rPr>
            </w:pPr>
            <w:r>
              <w:rPr>
                <w:rFonts w:ascii="Times New Roman" w:hAnsi="Times New Roman" w:cs="Times New Roman"/>
                <w:b/>
                <w:bCs/>
                <w:sz w:val="24"/>
                <w:szCs w:val="24"/>
              </w:rPr>
              <w:t>Observed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r>
      <w:tr w:rsidR="001D04B0" w14:paraId="22918DE5" w14:textId="77777777">
        <w:trPr>
          <w:trHeight w:val="840"/>
        </w:trPr>
        <w:tc>
          <w:tcPr>
            <w:tcW w:w="1137" w:type="dxa"/>
          </w:tcPr>
          <w:p w14:paraId="3BFADA90"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1</w:t>
            </w:r>
          </w:p>
        </w:tc>
        <w:tc>
          <w:tcPr>
            <w:tcW w:w="1252" w:type="dxa"/>
          </w:tcPr>
          <w:p w14:paraId="219FA3AD"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C=C  </w:t>
            </w:r>
          </w:p>
        </w:tc>
        <w:tc>
          <w:tcPr>
            <w:tcW w:w="1624" w:type="dxa"/>
          </w:tcPr>
          <w:p w14:paraId="0456E3C4"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1630-1585 </w:t>
            </w:r>
          </w:p>
        </w:tc>
        <w:tc>
          <w:tcPr>
            <w:tcW w:w="6767" w:type="dxa"/>
          </w:tcPr>
          <w:p w14:paraId="146C875C" w14:textId="77777777" w:rsidR="001D04B0" w:rsidRDefault="00000000">
            <w:pPr>
              <w:pStyle w:val="TableParagraph"/>
              <w:spacing w:line="240" w:lineRule="auto"/>
              <w:ind w:left="48"/>
              <w:jc w:val="center"/>
              <w:rPr>
                <w:sz w:val="24"/>
                <w:szCs w:val="24"/>
              </w:rPr>
            </w:pPr>
            <w:r>
              <w:rPr>
                <w:spacing w:val="-8"/>
                <w:sz w:val="24"/>
                <w:szCs w:val="24"/>
              </w:rPr>
              <w:t>1618.27-</w:t>
            </w:r>
            <w:r>
              <w:rPr>
                <w:spacing w:val="-2"/>
                <w:sz w:val="24"/>
                <w:szCs w:val="24"/>
              </w:rPr>
              <w:t>1622.27</w:t>
            </w:r>
          </w:p>
        </w:tc>
      </w:tr>
      <w:tr w:rsidR="001D04B0" w14:paraId="222C9574" w14:textId="77777777">
        <w:trPr>
          <w:trHeight w:val="840"/>
        </w:trPr>
        <w:tc>
          <w:tcPr>
            <w:tcW w:w="1137" w:type="dxa"/>
          </w:tcPr>
          <w:p w14:paraId="44FD49E1"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2</w:t>
            </w:r>
          </w:p>
        </w:tc>
        <w:tc>
          <w:tcPr>
            <w:tcW w:w="1252" w:type="dxa"/>
          </w:tcPr>
          <w:p w14:paraId="440825B7"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C-H </w:t>
            </w:r>
          </w:p>
        </w:tc>
        <w:tc>
          <w:tcPr>
            <w:tcW w:w="1624" w:type="dxa"/>
          </w:tcPr>
          <w:p w14:paraId="079BA351"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2850-2960</w:t>
            </w:r>
          </w:p>
        </w:tc>
        <w:tc>
          <w:tcPr>
            <w:tcW w:w="6767" w:type="dxa"/>
          </w:tcPr>
          <w:p w14:paraId="78D518FD" w14:textId="77777777" w:rsidR="001D04B0" w:rsidRDefault="00000000">
            <w:pPr>
              <w:pStyle w:val="TableParagraph"/>
              <w:spacing w:line="240" w:lineRule="auto"/>
              <w:ind w:left="48"/>
              <w:jc w:val="center"/>
              <w:rPr>
                <w:sz w:val="24"/>
                <w:szCs w:val="24"/>
              </w:rPr>
            </w:pPr>
            <w:r>
              <w:rPr>
                <w:spacing w:val="-8"/>
                <w:sz w:val="24"/>
                <w:szCs w:val="24"/>
              </w:rPr>
              <w:t>2876.25-</w:t>
            </w:r>
            <w:r>
              <w:rPr>
                <w:spacing w:val="-2"/>
                <w:sz w:val="24"/>
                <w:szCs w:val="24"/>
              </w:rPr>
              <w:t>2880.25</w:t>
            </w:r>
          </w:p>
        </w:tc>
      </w:tr>
      <w:tr w:rsidR="001D04B0" w14:paraId="1630D968" w14:textId="77777777">
        <w:trPr>
          <w:trHeight w:val="840"/>
        </w:trPr>
        <w:tc>
          <w:tcPr>
            <w:tcW w:w="1137" w:type="dxa"/>
          </w:tcPr>
          <w:p w14:paraId="236E3A37"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5</w:t>
            </w:r>
          </w:p>
        </w:tc>
        <w:tc>
          <w:tcPr>
            <w:tcW w:w="1252" w:type="dxa"/>
          </w:tcPr>
          <w:p w14:paraId="56BC16DD"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C-O  </w:t>
            </w:r>
          </w:p>
        </w:tc>
        <w:tc>
          <w:tcPr>
            <w:tcW w:w="1624" w:type="dxa"/>
          </w:tcPr>
          <w:p w14:paraId="08C5EFAF"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1300-1050 </w:t>
            </w:r>
          </w:p>
        </w:tc>
        <w:tc>
          <w:tcPr>
            <w:tcW w:w="6767" w:type="dxa"/>
          </w:tcPr>
          <w:p w14:paraId="2C88C66C" w14:textId="77777777" w:rsidR="001D04B0" w:rsidRDefault="00000000">
            <w:pPr>
              <w:pStyle w:val="TableParagraph"/>
              <w:spacing w:line="240" w:lineRule="auto"/>
              <w:ind w:left="48"/>
              <w:jc w:val="center"/>
              <w:rPr>
                <w:sz w:val="24"/>
                <w:szCs w:val="24"/>
              </w:rPr>
            </w:pPr>
            <w:r>
              <w:rPr>
                <w:spacing w:val="-8"/>
                <w:sz w:val="24"/>
                <w:szCs w:val="24"/>
              </w:rPr>
              <w:t>1230.31-</w:t>
            </w:r>
            <w:r>
              <w:rPr>
                <w:spacing w:val="-2"/>
                <w:sz w:val="24"/>
                <w:szCs w:val="24"/>
              </w:rPr>
              <w:t>1234.31</w:t>
            </w:r>
          </w:p>
        </w:tc>
      </w:tr>
      <w:tr w:rsidR="001D04B0" w14:paraId="1023908A" w14:textId="77777777">
        <w:trPr>
          <w:trHeight w:val="854"/>
        </w:trPr>
        <w:tc>
          <w:tcPr>
            <w:tcW w:w="1137" w:type="dxa"/>
          </w:tcPr>
          <w:p w14:paraId="6B1118C9"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6</w:t>
            </w:r>
          </w:p>
        </w:tc>
        <w:tc>
          <w:tcPr>
            <w:tcW w:w="1252" w:type="dxa"/>
          </w:tcPr>
          <w:p w14:paraId="09F0C518"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 C=O  </w:t>
            </w:r>
          </w:p>
        </w:tc>
        <w:tc>
          <w:tcPr>
            <w:tcW w:w="1624" w:type="dxa"/>
          </w:tcPr>
          <w:p w14:paraId="74C5D6BF" w14:textId="77777777" w:rsidR="001D04B0" w:rsidRDefault="00000000">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1745-1635 </w:t>
            </w:r>
          </w:p>
        </w:tc>
        <w:tc>
          <w:tcPr>
            <w:tcW w:w="6767" w:type="dxa"/>
          </w:tcPr>
          <w:p w14:paraId="64CC63F5" w14:textId="77777777" w:rsidR="001D04B0" w:rsidRDefault="00000000">
            <w:pPr>
              <w:pStyle w:val="TableParagraph"/>
              <w:spacing w:line="240" w:lineRule="auto"/>
              <w:ind w:left="48"/>
              <w:jc w:val="center"/>
              <w:rPr>
                <w:sz w:val="24"/>
                <w:szCs w:val="24"/>
              </w:rPr>
            </w:pPr>
            <w:r>
              <w:rPr>
                <w:spacing w:val="-8"/>
                <w:sz w:val="24"/>
                <w:szCs w:val="24"/>
              </w:rPr>
              <w:t>1723.81-</w:t>
            </w:r>
            <w:r>
              <w:rPr>
                <w:spacing w:val="-2"/>
                <w:sz w:val="24"/>
                <w:szCs w:val="24"/>
              </w:rPr>
              <w:t>1727.81</w:t>
            </w:r>
          </w:p>
        </w:tc>
      </w:tr>
    </w:tbl>
    <w:p w14:paraId="3F6CAC24" w14:textId="77777777" w:rsidR="001D04B0" w:rsidRDefault="001D04B0">
      <w:pPr>
        <w:spacing w:line="240" w:lineRule="auto"/>
        <w:jc w:val="both"/>
        <w:rPr>
          <w:rFonts w:ascii="Times New Roman" w:hAnsi="Times New Roman" w:cs="Times New Roman"/>
          <w:b/>
          <w:bCs/>
          <w:sz w:val="24"/>
          <w:szCs w:val="24"/>
        </w:rPr>
      </w:pPr>
    </w:p>
    <w:p w14:paraId="4714A8C9" w14:textId="77777777" w:rsidR="001D04B0" w:rsidRDefault="00000000">
      <w:pPr>
        <w:spacing w:line="240" w:lineRule="auto"/>
        <w:rPr>
          <w:rFonts w:ascii="Times New Roman" w:hAnsi="Times New Roman" w:cs="Times New Roman"/>
          <w:b/>
          <w:bCs/>
          <w:sz w:val="28"/>
          <w:szCs w:val="28"/>
        </w:rPr>
      </w:pPr>
      <w:r>
        <w:rPr>
          <w:rFonts w:ascii="Times New Roman" w:hAnsi="Times New Roman" w:cs="Times New Roman"/>
          <w:b/>
          <w:bCs/>
          <w:sz w:val="28"/>
          <w:szCs w:val="28"/>
        </w:rPr>
        <w:t>MATERIALS AND METHODS</w:t>
      </w:r>
    </w:p>
    <w:p w14:paraId="7E9BFA56"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Method development and validation by High Performance Liquid chromatography</w:t>
      </w:r>
    </w:p>
    <w:p w14:paraId="40DFB4D8"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Ratio of drug concentration in synthetic mixture </w:t>
      </w:r>
      <w:r>
        <w:rPr>
          <w:rFonts w:ascii="Times New Roman" w:hAnsi="Times New Roman" w:cs="Times New Roman"/>
          <w:b/>
          <w:bCs/>
          <w:sz w:val="24"/>
          <w:szCs w:val="24"/>
          <w:vertAlign w:val="superscript"/>
        </w:rPr>
        <w:t>[41,50]</w:t>
      </w:r>
    </w:p>
    <w:p w14:paraId="6129A932"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Dapagliflozin- 10 mg</w:t>
      </w:r>
    </w:p>
    <w:p w14:paraId="164CBE21"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Eplerenone- 25 mg</w:t>
      </w:r>
    </w:p>
    <w:p w14:paraId="1926BF19"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Microcrystalline Cellulose- 50 mg</w:t>
      </w:r>
    </w:p>
    <w:p w14:paraId="7E7DE404"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Mannitol- 30 mg</w:t>
      </w:r>
    </w:p>
    <w:p w14:paraId="3EA167A9"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HPMC- 3 mg</w:t>
      </w:r>
    </w:p>
    <w:p w14:paraId="5112A220"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Magnesium stearate- 3 mg</w:t>
      </w:r>
    </w:p>
    <w:p w14:paraId="52E27666"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Total- 121 mg</w:t>
      </w:r>
    </w:p>
    <w:p w14:paraId="54E4F98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Stock: Synthetic mixture powder eq. to one tablet (Dapagliflozin 10 mg, Eplerenone 25 mg) was taken into 50 mL volumetric flask. 30 mL methanol was added. Kept in sonicator for 20 minutes. Then volume was made up with methanol. Solution was filtered through Whatman 0.45 PVDF syringe filter. </w:t>
      </w:r>
    </w:p>
    <w:p w14:paraId="6F466F89" w14:textId="77777777" w:rsidR="001D04B0" w:rsidRDefault="0000000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Sample solution: Further 1 mL of clear filtrate was diluted to 10 mL with methanol.</w:t>
      </w:r>
    </w:p>
    <w:p w14:paraId="7C31C863" w14:textId="77777777" w:rsidR="001D04B0" w:rsidRDefault="00000000">
      <w:pPr>
        <w:spacing w:line="240" w:lineRule="auto"/>
        <w:ind w:left="567" w:hanging="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Preparation of stock and working solution</w:t>
      </w:r>
    </w:p>
    <w:p w14:paraId="1CE17447"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Preparation of Dapagliflozin Stock Solution (200 µg/mL)</w:t>
      </w:r>
    </w:p>
    <w:p w14:paraId="10369A7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An accurately weighed quantity of 20 mg of dapagliflozin propanediol monohydrate was transferred into a 100 mL volumetric flask. Approximately 70 mL of methanol was added to the flask, and the contents were sonicated for sufficient time to ensure complete dissolution of the drug substance. After achieving complete solubilization, the solution was allowed to attain room temperature and the volume was made up to the mark with methanol. The resulting solution had a final concentration of 200 µg/mL and was used as the primary stock solution for further dilutions.</w:t>
      </w:r>
    </w:p>
    <w:p w14:paraId="19CFA1F1"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Preparation of Eplerenone Stock Solution (500 µg/mL)</w:t>
      </w:r>
    </w:p>
    <w:p w14:paraId="4D84599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Accurately weighed 50 mg of eplerenone was transferred into a 100 mL volumetric flask. About 70 mL of methanol was added, and the mixture was sonicated to facilitate complete dissolution of the drug. After confirming that the drug was completely dissolved, the solution was diluted up to the mark with methanol and mixed thoroughly to obtain a homogeneous solution. The </w:t>
      </w:r>
    </w:p>
    <w:p w14:paraId="696CE04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final concentration of this stock solution was 500 µg/mL.</w:t>
      </w:r>
    </w:p>
    <w:p w14:paraId="10E5AE89"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Mixed Standard Solution (20 µg/mL Dapagliflozin and 50 µg/mL Eplerenone)</w:t>
      </w:r>
    </w:p>
    <w:p w14:paraId="566578F6"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To prepare the working mixed standard solution, 1 mL of dapagliflozin stock solution (200 µg/mL) and 1 mL of eplerenone stock solution (500 µg/mL) were accurately pipetted into a 10 mL volumetric flask. The volume was then adjusted to the mark with the selected diluent and mixed well to obtain a final concentration of 20 µg/mL of dapagliflozin and 50 µg/mL of eplerenone. This mixed standard solution was used for method development and validation studies.</w:t>
      </w:r>
    </w:p>
    <w:p w14:paraId="0DDE623E"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Selection of Detection Wavelength</w:t>
      </w:r>
    </w:p>
    <w:p w14:paraId="276B951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Standard Solutions for UV Analysis</w:t>
      </w:r>
    </w:p>
    <w:p w14:paraId="6542EEB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Standard solutions of dapagliflozin and eplerenone were prepared separately in methanol for wavelength selection studies. A solution containing 10 ppm of dapagliflozin and another containing 25 ppm of eplerenone were accurately prepared by appropriate dilution of their respective stock solutions with methanol. The prepared solutions were mixed thoroughly to ensure uniform concentration.</w:t>
      </w:r>
    </w:p>
    <w:p w14:paraId="53CCC32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UV Spectral Analysis</w:t>
      </w:r>
    </w:p>
    <w:p w14:paraId="7166FBB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individual standard solutions were scanned using a UV–Visible spectrophotometer over the wavelength range of 200–400 nm against methanol as a blank. The absorption spectra of both drugs were recorded to identify their respective maximum absorbance (λmax) and to determine a suitable wavelength for simultaneous analysis. Upon overlaying the spectra of dapagliflozin and eplerenone, a common intersection point was observed at 228 nm, indicating an isosbestic point. At this wavelength, both drugs exhibited equal absorptivity, making it suitable for simultaneous estimation without interference from each other. Therefore, 228 nm was selected as the analytical detection wavelength for further chromatographic analysis.</w:t>
      </w:r>
    </w:p>
    <w:p w14:paraId="16D2974F"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Selection of Diluent Medium</w:t>
      </w:r>
    </w:p>
    <w:p w14:paraId="28037BA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selection of an appropriate diluent was based on the solubility properties of both DAPA and EPLE. To identify a suitable solvent system, accurately weighed standard quantities of DAPA and EPLE were separately transferred into individual volumetric flasks. Each drug was dissolved in different solvents to evaluate their solubility behaviour and compatibility. The solutions were prepared by adding the selected solvent and mixing thoroughly to ensure complete dissolution. The clarity of the solutions, absence of precipitation, and overall stability were carefully observed to determine the most appropriate diluent for further analytical studies.</w:t>
      </w:r>
    </w:p>
    <w:p w14:paraId="28AB9A39"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Mobile phase selection</w:t>
      </w:r>
    </w:p>
    <w:p w14:paraId="5A484D6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After various trials, Phosphate Buffer: Methanol (30:70%v/v) was selected as optimized mobile phase because it gave complete separation of drugs.</w:t>
      </w:r>
    </w:p>
    <w:p w14:paraId="22CE5A50"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Trials for RP-HPLC method development</w:t>
      </w:r>
    </w:p>
    <w:p w14:paraId="616B6622" w14:textId="77777777" w:rsidR="001D04B0" w:rsidRDefault="00000000">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Initial Trial:</w:t>
      </w:r>
    </w:p>
    <w:p w14:paraId="703A1398"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A mixture of 20 µg/ml dapagliflozin + 50 µg/ml eplerenone was analysed.</w:t>
      </w:r>
    </w:p>
    <w:p w14:paraId="7F0EA7F9"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14:paraId="704F021A"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Mobile phase: Water: Methanol (50:50 %v/v)</w:t>
      </w:r>
    </w:p>
    <w:p w14:paraId="22108905"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14:paraId="6F655C1B"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 wavelength: 228 nm</w:t>
      </w:r>
    </w:p>
    <w:p w14:paraId="1E8B691A"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Both compounds eluted but peak shape is irregular.</w:t>
      </w:r>
    </w:p>
    <w:p w14:paraId="654BD67F" w14:textId="77777777" w:rsidR="001D04B0" w:rsidRDefault="00000000">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b/>
          <w:bCs/>
          <w:sz w:val="24"/>
          <w:szCs w:val="24"/>
        </w:rPr>
        <w:t>Second Trial:</w:t>
      </w:r>
    </w:p>
    <w:p w14:paraId="2970ADFD" w14:textId="77777777" w:rsidR="001D04B0" w:rsidRDefault="00000000">
      <w:pPr>
        <w:tabs>
          <w:tab w:val="left" w:pos="2595"/>
        </w:tabs>
        <w:spacing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14:paraId="62CF934E"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Mobile phase: Water: Methanol (40:60 %v/v)</w:t>
      </w:r>
    </w:p>
    <w:p w14:paraId="505313B7"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Flow rate: 1 mL/min</w:t>
      </w:r>
    </w:p>
    <w:p w14:paraId="1E284167"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Detection wavelength: 228 nm</w:t>
      </w:r>
    </w:p>
    <w:p w14:paraId="0961D1CE"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Result: Ratio modified. Retention times of both compounds decreased but peak shape of last compound did not improve.</w:t>
      </w:r>
    </w:p>
    <w:p w14:paraId="08BA86F5" w14:textId="77777777" w:rsidR="001D04B0" w:rsidRDefault="00000000">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Third Trial:</w:t>
      </w:r>
    </w:p>
    <w:p w14:paraId="76D8248A"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14:paraId="5CFEC388"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Mobile phase: Acetonitrile: Water (50:50 v/v)</w:t>
      </w:r>
    </w:p>
    <w:p w14:paraId="34A02CEC" w14:textId="77777777" w:rsidR="001D04B0" w:rsidRDefault="001D04B0">
      <w:pPr>
        <w:pStyle w:val="ListParagraph"/>
        <w:tabs>
          <w:tab w:val="left" w:pos="2595"/>
        </w:tabs>
        <w:spacing w:line="240" w:lineRule="auto"/>
        <w:ind w:left="567"/>
        <w:contextualSpacing w:val="0"/>
        <w:jc w:val="both"/>
        <w:rPr>
          <w:rFonts w:ascii="Times New Roman" w:hAnsi="Times New Roman" w:cs="Times New Roman"/>
          <w:sz w:val="24"/>
          <w:szCs w:val="24"/>
        </w:rPr>
      </w:pPr>
    </w:p>
    <w:p w14:paraId="7FE81E84"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14:paraId="06E7A46B"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 wavelength: 228 nm</w:t>
      </w:r>
    </w:p>
    <w:p w14:paraId="7F9B5716"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ACN used instead of methanol. Merged peaks seen.</w:t>
      </w:r>
    </w:p>
    <w:p w14:paraId="0568EC5E" w14:textId="77777777" w:rsidR="001D04B0" w:rsidRDefault="00000000">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Fourth Trial:</w:t>
      </w:r>
    </w:p>
    <w:p w14:paraId="254091EA"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Column: Cosmosil C18 (250 cm×4.6 mm, 5µm)</w:t>
      </w:r>
    </w:p>
    <w:p w14:paraId="392A8797"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Mobile phase: Acetonitrile: Water (40:60 v/v)</w:t>
      </w:r>
    </w:p>
    <w:p w14:paraId="2FA06D92"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14:paraId="389838FB"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 wavelength: 228 nm</w:t>
      </w:r>
    </w:p>
    <w:p w14:paraId="42CEBED7"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Ratio modified. Both analytes separated but Last peak broad.</w:t>
      </w:r>
    </w:p>
    <w:p w14:paraId="107C06CA" w14:textId="77777777" w:rsidR="001D04B0" w:rsidRDefault="00000000">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Fifth Trial:</w:t>
      </w:r>
    </w:p>
    <w:p w14:paraId="011D2E35"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14:paraId="57824AEB"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Mobile phase: Phosphate buffer: Methanol (50:50 v/v)</w:t>
      </w:r>
    </w:p>
    <w:p w14:paraId="3C8104E5"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14:paraId="3CA59D3C"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 wavelength: 228 nm</w:t>
      </w:r>
    </w:p>
    <w:p w14:paraId="388DCAAF"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Phosphate buffer used. pH kept at 3.5. Only one analyte eluted.</w:t>
      </w:r>
    </w:p>
    <w:p w14:paraId="32A564C8" w14:textId="77777777" w:rsidR="001D04B0" w:rsidRDefault="00000000">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Final Trial (Optimized):</w:t>
      </w:r>
    </w:p>
    <w:p w14:paraId="0E1811E5" w14:textId="77777777" w:rsidR="001D04B0" w:rsidRDefault="00000000">
      <w:pPr>
        <w:tabs>
          <w:tab w:val="left" w:pos="2595"/>
        </w:tabs>
        <w:spacing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14:paraId="4C732B5F"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Mobile phase: Phosphate buffer: Methanol (30:70 v/v)</w:t>
      </w:r>
    </w:p>
    <w:p w14:paraId="7953C9A7"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Flow rate: 1 mL/min</w:t>
      </w:r>
    </w:p>
    <w:p w14:paraId="1E6C0C52"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Detection wavelength: 228 nm</w:t>
      </w:r>
    </w:p>
    <w:p w14:paraId="32217AFC"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Result: Organic modifier volume adjusted. Two sharp peaks seen. Theoretical plates more than 2000, tailing factor less than 2, resolution more than 2. Retention time were found to be 2.6 and 6.2 for Eplerenone and dapagliflozin respectively.</w:t>
      </w:r>
    </w:p>
    <w:p w14:paraId="4977DD2E" w14:textId="77777777" w:rsidR="001D04B0" w:rsidRDefault="00000000">
      <w:pPr>
        <w:tabs>
          <w:tab w:val="left" w:pos="2595"/>
        </w:tabs>
        <w:spacing w:line="240" w:lineRule="auto"/>
        <w:ind w:left="567"/>
        <w:jc w:val="both"/>
        <w:rPr>
          <w:rFonts w:ascii="Times New Roman" w:hAnsi="Times New Roman" w:cs="Times New Roman"/>
          <w:b/>
          <w:bCs/>
          <w:sz w:val="24"/>
          <w:szCs w:val="24"/>
        </w:rPr>
      </w:pPr>
      <w:r>
        <w:rPr>
          <w:rFonts w:ascii="Times New Roman" w:hAnsi="Times New Roman" w:cs="Times New Roman"/>
          <w:b/>
          <w:bCs/>
          <w:sz w:val="24"/>
          <w:szCs w:val="24"/>
        </w:rPr>
        <w:t>SST parameters</w:t>
      </w:r>
    </w:p>
    <w:p w14:paraId="166CFA11"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 combined solution of DAPA and EPLE at concentrations of 20 and 50 µg/mL was injected five times to evaluate system suitability test (SST) parameters, including retention time (Rt), asymmetry factor, resolution (Rs), theoretical plate count, and relative standard deviation (RSD).</w:t>
      </w:r>
    </w:p>
    <w:p w14:paraId="6DC2152C"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b/>
      </w:r>
    </w:p>
    <w:p w14:paraId="49B31F43"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Forced Degradation</w:t>
      </w:r>
    </w:p>
    <w:p w14:paraId="77C324EE" w14:textId="77777777" w:rsidR="001D04B0" w:rsidRDefault="00000000">
      <w:pPr>
        <w:tabs>
          <w:tab w:val="left" w:pos="2595"/>
        </w:tabs>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Acid Degradation</w:t>
      </w:r>
    </w:p>
    <w:p w14:paraId="146CA544"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en-US"/>
        </w:rPr>
        <w:t>Blank sample</w:t>
      </w:r>
    </w:p>
    <w:p w14:paraId="270CDD46" w14:textId="77777777" w:rsidR="001D04B0" w:rsidRDefault="00000000">
      <w:pPr>
        <w:numPr>
          <w:ilvl w:val="0"/>
          <w:numId w:val="37"/>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1 ml methanol + 1 mL 0.1 N HCL was added in 10 ml volumetric flask. </w:t>
      </w:r>
    </w:p>
    <w:p w14:paraId="3391896B" w14:textId="77777777" w:rsidR="001D04B0" w:rsidRDefault="00000000">
      <w:pPr>
        <w:numPr>
          <w:ilvl w:val="0"/>
          <w:numId w:val="37"/>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14:paraId="7151902E" w14:textId="77777777" w:rsidR="001D04B0" w:rsidRDefault="00000000">
      <w:pPr>
        <w:numPr>
          <w:ilvl w:val="0"/>
          <w:numId w:val="37"/>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The solution was further neutralized with 1 mL 0.1 N NaOH, volume was made with methanol and injected into HPLC.</w:t>
      </w:r>
    </w:p>
    <w:p w14:paraId="61152B65" w14:textId="77777777" w:rsidR="001D04B0" w:rsidRDefault="00000000">
      <w:pPr>
        <w:tabs>
          <w:tab w:val="left" w:pos="567"/>
          <w:tab w:val="left" w:pos="2595"/>
        </w:tabs>
        <w:spacing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Treated Sample</w:t>
      </w:r>
    </w:p>
    <w:p w14:paraId="042EB71C" w14:textId="77777777" w:rsidR="001D04B0" w:rsidRDefault="001D04B0">
      <w:pPr>
        <w:tabs>
          <w:tab w:val="left" w:pos="567"/>
          <w:tab w:val="left" w:pos="2595"/>
        </w:tabs>
        <w:spacing w:line="240" w:lineRule="auto"/>
        <w:jc w:val="both"/>
        <w:rPr>
          <w:rFonts w:ascii="Times New Roman" w:hAnsi="Times New Roman" w:cs="Times New Roman"/>
          <w:sz w:val="24"/>
          <w:szCs w:val="24"/>
        </w:rPr>
      </w:pPr>
    </w:p>
    <w:p w14:paraId="0F33527D" w14:textId="77777777" w:rsidR="001D04B0" w:rsidRDefault="001D04B0">
      <w:pPr>
        <w:tabs>
          <w:tab w:val="left" w:pos="567"/>
          <w:tab w:val="left" w:pos="2595"/>
        </w:tabs>
        <w:spacing w:line="240" w:lineRule="auto"/>
        <w:jc w:val="both"/>
        <w:rPr>
          <w:rFonts w:ascii="Times New Roman" w:hAnsi="Times New Roman" w:cs="Times New Roman"/>
          <w:sz w:val="24"/>
          <w:szCs w:val="24"/>
        </w:rPr>
      </w:pPr>
    </w:p>
    <w:p w14:paraId="3EF04A6B" w14:textId="77777777" w:rsidR="001D04B0" w:rsidRDefault="00000000">
      <w:pPr>
        <w:numPr>
          <w:ilvl w:val="0"/>
          <w:numId w:val="38"/>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Sample stock solution 1 ml + 1 mL 0.1 N HCL was added in 10 ml volumetric flask. </w:t>
      </w:r>
    </w:p>
    <w:p w14:paraId="2363CFE0" w14:textId="77777777" w:rsidR="001D04B0" w:rsidRDefault="00000000">
      <w:pPr>
        <w:numPr>
          <w:ilvl w:val="0"/>
          <w:numId w:val="38"/>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14:paraId="472A9885" w14:textId="77777777" w:rsidR="001D04B0" w:rsidRDefault="00000000">
      <w:pPr>
        <w:numPr>
          <w:ilvl w:val="0"/>
          <w:numId w:val="38"/>
        </w:numPr>
        <w:tabs>
          <w:tab w:val="clear" w:pos="720"/>
          <w:tab w:val="left" w:pos="567"/>
          <w:tab w:val="left" w:pos="2595"/>
        </w:tabs>
        <w:spacing w:line="240" w:lineRule="auto"/>
        <w:ind w:left="426" w:hanging="426"/>
        <w:jc w:val="both"/>
        <w:rPr>
          <w:rFonts w:ascii="Times New Roman" w:hAnsi="Times New Roman" w:cs="Times New Roman"/>
          <w:b/>
          <w:bCs/>
          <w:sz w:val="24"/>
          <w:szCs w:val="24"/>
        </w:rPr>
      </w:pPr>
      <w:r>
        <w:rPr>
          <w:rFonts w:ascii="Times New Roman" w:hAnsi="Times New Roman" w:cs="Times New Roman"/>
          <w:sz w:val="24"/>
          <w:szCs w:val="24"/>
          <w:lang w:val="en-US"/>
        </w:rPr>
        <w:t>The solution was further neutralized with 1 mL 0.1 N NaOH, volume was made with methanol and injected into HPLC.</w:t>
      </w:r>
    </w:p>
    <w:p w14:paraId="4829FF7B" w14:textId="77777777" w:rsidR="001D04B0" w:rsidRDefault="00000000">
      <w:pPr>
        <w:tabs>
          <w:tab w:val="left" w:pos="567"/>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 xml:space="preserve">Base degradation </w:t>
      </w:r>
    </w:p>
    <w:p w14:paraId="0E3AF15F"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Blank sample</w:t>
      </w:r>
    </w:p>
    <w:p w14:paraId="064A7B45" w14:textId="77777777" w:rsidR="001D04B0" w:rsidRDefault="00000000">
      <w:pPr>
        <w:numPr>
          <w:ilvl w:val="0"/>
          <w:numId w:val="39"/>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1 ml methanol + 1 mL 1 N NaOH was added in 10 ml volumetric flask. </w:t>
      </w:r>
    </w:p>
    <w:p w14:paraId="7267AA8E" w14:textId="77777777" w:rsidR="001D04B0" w:rsidRDefault="00000000">
      <w:pPr>
        <w:numPr>
          <w:ilvl w:val="0"/>
          <w:numId w:val="39"/>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14:paraId="0E06F509" w14:textId="77777777" w:rsidR="001D04B0" w:rsidRDefault="00000000">
      <w:pPr>
        <w:numPr>
          <w:ilvl w:val="0"/>
          <w:numId w:val="39"/>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The solution was further neutralized with 1 mL 1 N HCl, volume was made with methanol and injected into HPLC.</w:t>
      </w:r>
    </w:p>
    <w:p w14:paraId="3BF32007" w14:textId="77777777" w:rsidR="001D04B0" w:rsidRDefault="00000000">
      <w:pPr>
        <w:tabs>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lang w:val="en-US"/>
        </w:rPr>
        <w:t>Treated Sample</w:t>
      </w:r>
    </w:p>
    <w:p w14:paraId="79208A80" w14:textId="77777777" w:rsidR="001D04B0" w:rsidRDefault="00000000">
      <w:pPr>
        <w:numPr>
          <w:ilvl w:val="0"/>
          <w:numId w:val="40"/>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Sample stock solution 1 ml + 1 mL 1 N NaOH was added in 10 ml volumetric flask. </w:t>
      </w:r>
    </w:p>
    <w:p w14:paraId="706E4828" w14:textId="77777777" w:rsidR="001D04B0" w:rsidRDefault="00000000">
      <w:pPr>
        <w:numPr>
          <w:ilvl w:val="0"/>
          <w:numId w:val="40"/>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14:paraId="51D329E1" w14:textId="77777777" w:rsidR="001D04B0" w:rsidRDefault="00000000">
      <w:pPr>
        <w:numPr>
          <w:ilvl w:val="0"/>
          <w:numId w:val="40"/>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The solution was further neutralized with 1 mL 1 N HCl, volume was made with methanol and injected into HPLC.</w:t>
      </w:r>
    </w:p>
    <w:p w14:paraId="2CFA869D" w14:textId="77777777" w:rsidR="001D04B0" w:rsidRDefault="00000000">
      <w:pPr>
        <w:tabs>
          <w:tab w:val="left" w:pos="2595"/>
        </w:tabs>
        <w:spacing w:line="240" w:lineRule="auto"/>
        <w:rPr>
          <w:rFonts w:ascii="Times New Roman" w:hAnsi="Times New Roman" w:cs="Times New Roman"/>
          <w:b/>
          <w:bCs/>
          <w:sz w:val="24"/>
          <w:szCs w:val="24"/>
        </w:rPr>
      </w:pPr>
      <w:r>
        <w:rPr>
          <w:rFonts w:ascii="Times New Roman" w:hAnsi="Times New Roman" w:cs="Times New Roman"/>
          <w:b/>
          <w:bCs/>
          <w:sz w:val="24"/>
          <w:szCs w:val="24"/>
          <w:lang w:val="en-US"/>
        </w:rPr>
        <w:t>Peroxide degradation</w:t>
      </w:r>
    </w:p>
    <w:p w14:paraId="220B01C4"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Blank sample</w:t>
      </w:r>
    </w:p>
    <w:p w14:paraId="1B4F6FAE" w14:textId="77777777" w:rsidR="001D04B0" w:rsidRDefault="00000000">
      <w:pPr>
        <w:numPr>
          <w:ilvl w:val="0"/>
          <w:numId w:val="41"/>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1 ml methanol + 1 mL 3%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was added in 10 ml volumetric flask. </w:t>
      </w:r>
    </w:p>
    <w:p w14:paraId="517C37E2" w14:textId="77777777" w:rsidR="001D04B0" w:rsidRDefault="00000000">
      <w:pPr>
        <w:numPr>
          <w:ilvl w:val="0"/>
          <w:numId w:val="41"/>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3 hours at room temperature. </w:t>
      </w:r>
    </w:p>
    <w:p w14:paraId="2578B27E" w14:textId="77777777" w:rsidR="001D04B0" w:rsidRDefault="00000000">
      <w:pPr>
        <w:numPr>
          <w:ilvl w:val="0"/>
          <w:numId w:val="41"/>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Volume was made with methanol and injected into HPLC.</w:t>
      </w:r>
    </w:p>
    <w:p w14:paraId="22645A00" w14:textId="77777777" w:rsidR="001D04B0" w:rsidRDefault="00000000">
      <w:pPr>
        <w:tabs>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lang w:val="en-US"/>
        </w:rPr>
        <w:t>Treated Sample</w:t>
      </w:r>
    </w:p>
    <w:p w14:paraId="7EDD7DC0" w14:textId="77777777" w:rsidR="001D04B0" w:rsidRDefault="00000000">
      <w:pPr>
        <w:numPr>
          <w:ilvl w:val="0"/>
          <w:numId w:val="42"/>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Sample stock solution 1 ml + 1 mL 3%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was added in 10 ml volumetric flask. </w:t>
      </w:r>
    </w:p>
    <w:p w14:paraId="122E2118" w14:textId="77777777" w:rsidR="001D04B0" w:rsidRDefault="00000000">
      <w:pPr>
        <w:numPr>
          <w:ilvl w:val="0"/>
          <w:numId w:val="42"/>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3 hours at room temperature. </w:t>
      </w:r>
    </w:p>
    <w:p w14:paraId="0EB85064" w14:textId="77777777" w:rsidR="001D04B0" w:rsidRDefault="00000000">
      <w:pPr>
        <w:numPr>
          <w:ilvl w:val="0"/>
          <w:numId w:val="42"/>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Volume was made with methanol and injected into HPLC</w:t>
      </w:r>
    </w:p>
    <w:p w14:paraId="4FF0C86C" w14:textId="77777777" w:rsidR="001D04B0" w:rsidRDefault="00000000">
      <w:pPr>
        <w:tabs>
          <w:tab w:val="left" w:pos="567"/>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Thermal degradation</w:t>
      </w:r>
    </w:p>
    <w:p w14:paraId="6345A4A2" w14:textId="77777777" w:rsidR="001D04B0" w:rsidRDefault="00000000">
      <w:pPr>
        <w:numPr>
          <w:ilvl w:val="0"/>
          <w:numId w:val="42"/>
        </w:numPr>
        <w:tabs>
          <w:tab w:val="clear" w:pos="720"/>
          <w:tab w:val="left" w:pos="567"/>
          <w:tab w:val="left" w:pos="2595"/>
        </w:tabs>
        <w:spacing w:line="240" w:lineRule="auto"/>
        <w:ind w:left="567" w:hanging="567"/>
        <w:rPr>
          <w:rFonts w:ascii="Times New Roman" w:hAnsi="Times New Roman" w:cs="Times New Roman"/>
          <w:sz w:val="24"/>
          <w:szCs w:val="24"/>
        </w:rPr>
      </w:pPr>
      <w:r>
        <w:rPr>
          <w:rFonts w:ascii="Times New Roman" w:hAnsi="Times New Roman" w:cs="Times New Roman"/>
          <w:sz w:val="24"/>
          <w:szCs w:val="24"/>
          <w:lang w:val="en-US"/>
        </w:rPr>
        <w:t xml:space="preserve">The sample was transferred to a conical flask and was kept in preheated oven at 60 </w:t>
      </w:r>
      <w:r>
        <w:rPr>
          <w:rFonts w:ascii="Times New Roman" w:hAnsi="Times New Roman" w:cs="Times New Roman"/>
          <w:sz w:val="24"/>
          <w:szCs w:val="24"/>
        </w:rPr>
        <w:sym w:font="Symbol" w:char="F0B0"/>
      </w:r>
      <w:r>
        <w:rPr>
          <w:rFonts w:ascii="Times New Roman" w:hAnsi="Times New Roman" w:cs="Times New Roman"/>
          <w:sz w:val="24"/>
          <w:szCs w:val="24"/>
          <w:lang w:val="en-US"/>
        </w:rPr>
        <w:t>C for 3 hours.</w:t>
      </w:r>
    </w:p>
    <w:p w14:paraId="01C9CD0C" w14:textId="77777777" w:rsidR="001D04B0" w:rsidRDefault="00000000">
      <w:pPr>
        <w:numPr>
          <w:ilvl w:val="0"/>
          <w:numId w:val="42"/>
        </w:numPr>
        <w:tabs>
          <w:tab w:val="clear" w:pos="720"/>
          <w:tab w:val="left" w:pos="567"/>
          <w:tab w:val="left" w:pos="2595"/>
        </w:tabs>
        <w:spacing w:line="240" w:lineRule="auto"/>
        <w:ind w:left="567" w:hanging="567"/>
        <w:rPr>
          <w:rFonts w:ascii="Times New Roman" w:hAnsi="Times New Roman" w:cs="Times New Roman"/>
          <w:sz w:val="24"/>
          <w:szCs w:val="24"/>
        </w:rPr>
      </w:pPr>
      <w:r>
        <w:rPr>
          <w:rFonts w:ascii="Times New Roman" w:hAnsi="Times New Roman" w:cs="Times New Roman"/>
          <w:sz w:val="24"/>
          <w:szCs w:val="24"/>
        </w:rPr>
        <w:t>The dried residue was dissolved in Methanol and then transferred to a 10 mL volumetric flask and the volume was made up with Methanol and was injected into HPLC.</w:t>
      </w:r>
    </w:p>
    <w:p w14:paraId="35CBF1F1" w14:textId="77777777" w:rsidR="001D04B0" w:rsidRDefault="001D04B0">
      <w:pPr>
        <w:pStyle w:val="ListParagraph"/>
        <w:tabs>
          <w:tab w:val="left" w:pos="2595"/>
        </w:tabs>
        <w:spacing w:line="240" w:lineRule="auto"/>
        <w:ind w:left="0"/>
        <w:rPr>
          <w:rFonts w:ascii="Times New Roman" w:hAnsi="Times New Roman" w:cs="Times New Roman"/>
          <w:b/>
          <w:bCs/>
          <w:sz w:val="24"/>
          <w:szCs w:val="24"/>
        </w:rPr>
      </w:pPr>
    </w:p>
    <w:p w14:paraId="6C0D8750" w14:textId="77777777" w:rsidR="001D04B0" w:rsidRDefault="00000000">
      <w:pPr>
        <w:pStyle w:val="ListParagraph"/>
        <w:tabs>
          <w:tab w:val="left" w:pos="2595"/>
        </w:tabs>
        <w:spacing w:line="240" w:lineRule="auto"/>
        <w:ind w:left="0"/>
        <w:rPr>
          <w:rFonts w:ascii="Times New Roman" w:hAnsi="Times New Roman" w:cs="Times New Roman"/>
          <w:b/>
          <w:bCs/>
          <w:sz w:val="24"/>
          <w:szCs w:val="24"/>
        </w:rPr>
      </w:pPr>
      <w:r>
        <w:rPr>
          <w:rFonts w:ascii="Times New Roman" w:hAnsi="Times New Roman" w:cs="Times New Roman"/>
          <w:b/>
          <w:bCs/>
          <w:sz w:val="24"/>
          <w:szCs w:val="24"/>
        </w:rPr>
        <w:t>Validation of RP-HPLC method</w:t>
      </w:r>
    </w:p>
    <w:p w14:paraId="5E0CF3F5" w14:textId="77777777" w:rsidR="001D04B0" w:rsidRDefault="00000000">
      <w:pPr>
        <w:pStyle w:val="ListParagraph"/>
        <w:tabs>
          <w:tab w:val="left" w:pos="2595"/>
        </w:tabs>
        <w:spacing w:line="240" w:lineRule="auto"/>
        <w:ind w:left="0"/>
        <w:rPr>
          <w:rFonts w:ascii="Times New Roman" w:hAnsi="Times New Roman" w:cs="Times New Roman"/>
          <w:b/>
          <w:bCs/>
          <w:sz w:val="24"/>
          <w:szCs w:val="24"/>
        </w:rPr>
      </w:pPr>
      <w:r>
        <w:rPr>
          <w:rFonts w:ascii="Times New Roman" w:hAnsi="Times New Roman" w:cs="Times New Roman"/>
          <w:b/>
          <w:bCs/>
          <w:sz w:val="24"/>
          <w:szCs w:val="24"/>
        </w:rPr>
        <w:t>Specificity</w:t>
      </w:r>
    </w:p>
    <w:p w14:paraId="31F7ED6C"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specificity of the developed HPLC method was assessed to ensure the reliable identification of Dapagliflozin and Eplerenone in the presence of other components.</w:t>
      </w:r>
    </w:p>
    <w:p w14:paraId="0F5C25E6"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Individual standard solutions of Dapagliflozin and Eplerenone were prepared separately and injected into the chromatographic system under optimized conditions to establish their respective retention times. A mixed standard solution containing both analytes was then analyzed to confirm proper separation and peak resolution.</w:t>
      </w:r>
    </w:p>
    <w:p w14:paraId="5D269DFA" w14:textId="77777777" w:rsidR="001D04B0" w:rsidRDefault="001D04B0">
      <w:pPr>
        <w:tabs>
          <w:tab w:val="left" w:pos="2595"/>
        </w:tabs>
        <w:spacing w:line="240" w:lineRule="auto"/>
        <w:jc w:val="both"/>
        <w:rPr>
          <w:rFonts w:ascii="Times New Roman" w:hAnsi="Times New Roman" w:cs="Times New Roman"/>
          <w:sz w:val="24"/>
          <w:szCs w:val="24"/>
        </w:rPr>
      </w:pPr>
    </w:p>
    <w:p w14:paraId="2D876D38" w14:textId="77777777" w:rsidR="001D04B0" w:rsidRDefault="001D04B0">
      <w:pPr>
        <w:tabs>
          <w:tab w:val="left" w:pos="2595"/>
        </w:tabs>
        <w:spacing w:line="240" w:lineRule="auto"/>
        <w:jc w:val="both"/>
        <w:rPr>
          <w:rFonts w:ascii="Times New Roman" w:hAnsi="Times New Roman" w:cs="Times New Roman"/>
          <w:sz w:val="24"/>
          <w:szCs w:val="24"/>
        </w:rPr>
      </w:pPr>
    </w:p>
    <w:p w14:paraId="3F75B850" w14:textId="77777777" w:rsidR="001D04B0" w:rsidRDefault="001D04B0">
      <w:pPr>
        <w:tabs>
          <w:tab w:val="left" w:pos="2595"/>
        </w:tabs>
        <w:spacing w:line="240" w:lineRule="auto"/>
        <w:jc w:val="both"/>
        <w:rPr>
          <w:rFonts w:ascii="Times New Roman" w:hAnsi="Times New Roman" w:cs="Times New Roman"/>
          <w:sz w:val="24"/>
          <w:szCs w:val="24"/>
        </w:rPr>
      </w:pPr>
    </w:p>
    <w:p w14:paraId="222CAD08"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Subsequently, the sample solution was injected, and the resulting chromatogram was examined. The peaks </w:t>
      </w:r>
    </w:p>
    <w:p w14:paraId="26F6C8D3"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corresponding to Dapagliflozin and Eplerenone were identified by matching their retention times with those obtained from the standard solutions.</w:t>
      </w:r>
    </w:p>
    <w:p w14:paraId="648313FA"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absence of overlapping peaks and the consistency in retention behavior were used as criteria to confirm the specificity of the method for accurate peak identification.</w:t>
      </w:r>
    </w:p>
    <w:p w14:paraId="13A2490C"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Range and Linearity</w:t>
      </w:r>
    </w:p>
    <w:p w14:paraId="53D90210"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linearity of the proposed HPLC method was established by analyzing a series of standard solutions of Dapagliflozin and Eplerenone at different concentration levels.</w:t>
      </w:r>
    </w:p>
    <w:p w14:paraId="4730FC33"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Standard stock solutions of both analytes were appropriately diluted to obtain five concentration levels, namely 10+25 µg/mL, 15+37.5 µg/mL, 20+50 µg/mL, 25+62.5 µg/mL, and 30+75 µg/mL for Dapagliflozin and Eplerenone, respectively.</w:t>
      </w:r>
    </w:p>
    <w:p w14:paraId="3D4808F1"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Each prepared solution was injected into the chromatographic system in triplicate under optimized conditions, and the corresponding peak areas were recorded. Calibration plots were generated by plotting peak area against concentration for both analytes.</w:t>
      </w:r>
    </w:p>
    <w:p w14:paraId="0F8BEC48"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linear relationship between concentration and detector response was evaluated across the selected range, which was chosen to encompass the expected working concentrations for routine analysis.</w:t>
      </w:r>
    </w:p>
    <w:p w14:paraId="05F43AC3"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Dapagliflozin Stock Solution (200 µg/mL)</w:t>
      </w:r>
    </w:p>
    <w:p w14:paraId="057EEB96"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Accurately weigh 20 mg of dapagliflozin propanediol monohydrate and transfer it into a 100 mL volumetric flask. Add approximately 70 mL of methanol and sonicate the solution to ensure complete dissolution of the drug. After complete dissolution, allow the solution to cool if necessary and make up the volume to the mark with methanol. Mix well to obtain a stock solution containing 200 µg/mL of Dapagliflozin.</w:t>
      </w:r>
    </w:p>
    <w:p w14:paraId="71209B6D"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Eplerenone Stock Solution (500 µg/mL)</w:t>
      </w:r>
    </w:p>
    <w:p w14:paraId="0AF79ECF"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Accurately weigh 50 mg of eplerenone and transfer it into a 100 mL volumetric flask. Add about 70 mL of methanol and sonicate until the drug is completely dissolved. The solution is then diluted to volume with methanol and mixed thoroughly to obtain a stock solution containing 500 µg/mL of Eplerenone.</w:t>
      </w:r>
    </w:p>
    <w:p w14:paraId="58942890"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19 Preparation of solution for linearity</w:t>
      </w:r>
    </w:p>
    <w:tbl>
      <w:tblPr>
        <w:tblStyle w:val="TableGrid"/>
        <w:tblW w:w="10753" w:type="dxa"/>
        <w:tblLook w:val="04A0" w:firstRow="1" w:lastRow="0" w:firstColumn="1" w:lastColumn="0" w:noHBand="0" w:noVBand="1"/>
      </w:tblPr>
      <w:tblGrid>
        <w:gridCol w:w="1696"/>
        <w:gridCol w:w="990"/>
        <w:gridCol w:w="1256"/>
        <w:gridCol w:w="6811"/>
      </w:tblGrid>
      <w:tr w:rsidR="001D04B0" w14:paraId="4053E6D1" w14:textId="77777777">
        <w:trPr>
          <w:trHeight w:val="1348"/>
        </w:trPr>
        <w:tc>
          <w:tcPr>
            <w:tcW w:w="1696" w:type="dxa"/>
          </w:tcPr>
          <w:p w14:paraId="46E51373"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of stock solution (μg/mL)</w:t>
            </w:r>
          </w:p>
        </w:tc>
        <w:tc>
          <w:tcPr>
            <w:tcW w:w="990" w:type="dxa"/>
          </w:tcPr>
          <w:p w14:paraId="5D27F54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Volume of stock solution (mL)</w:t>
            </w:r>
          </w:p>
        </w:tc>
        <w:tc>
          <w:tcPr>
            <w:tcW w:w="1256" w:type="dxa"/>
          </w:tcPr>
          <w:p w14:paraId="60F957B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Final dilution</w:t>
            </w:r>
          </w:p>
        </w:tc>
        <w:tc>
          <w:tcPr>
            <w:tcW w:w="6811" w:type="dxa"/>
          </w:tcPr>
          <w:p w14:paraId="58A801A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Concentration of mixtures for linearity (μg/mL) (DAPA+EPLE)</w:t>
            </w:r>
          </w:p>
        </w:tc>
      </w:tr>
      <w:tr w:rsidR="001D04B0" w14:paraId="62B3FB9A" w14:textId="77777777">
        <w:trPr>
          <w:trHeight w:val="516"/>
        </w:trPr>
        <w:tc>
          <w:tcPr>
            <w:tcW w:w="1696" w:type="dxa"/>
            <w:vMerge w:val="restart"/>
          </w:tcPr>
          <w:p w14:paraId="6DCAAB87"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DAPA+ EPLE  200+ 500 μg/mL)</w:t>
            </w:r>
          </w:p>
        </w:tc>
        <w:tc>
          <w:tcPr>
            <w:tcW w:w="990" w:type="dxa"/>
          </w:tcPr>
          <w:p w14:paraId="13233E7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56" w:type="dxa"/>
            <w:vMerge w:val="restart"/>
          </w:tcPr>
          <w:p w14:paraId="4A1F848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Dilution in 10 mL volumetric flask with the diluent.</w:t>
            </w:r>
          </w:p>
        </w:tc>
        <w:tc>
          <w:tcPr>
            <w:tcW w:w="6811" w:type="dxa"/>
          </w:tcPr>
          <w:p w14:paraId="362C75E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10+25</w:t>
            </w:r>
          </w:p>
        </w:tc>
      </w:tr>
      <w:tr w:rsidR="001D04B0" w14:paraId="7DB766DD" w14:textId="77777777">
        <w:trPr>
          <w:trHeight w:val="516"/>
        </w:trPr>
        <w:tc>
          <w:tcPr>
            <w:tcW w:w="1696" w:type="dxa"/>
            <w:vMerge/>
          </w:tcPr>
          <w:p w14:paraId="2DC8373C" w14:textId="77777777" w:rsidR="001D04B0" w:rsidRDefault="001D04B0">
            <w:pPr>
              <w:spacing w:line="240" w:lineRule="auto"/>
              <w:jc w:val="center"/>
              <w:rPr>
                <w:rFonts w:ascii="Times New Roman" w:hAnsi="Times New Roman" w:cs="Times New Roman"/>
                <w:b/>
                <w:bCs/>
                <w:sz w:val="24"/>
                <w:szCs w:val="24"/>
              </w:rPr>
            </w:pPr>
          </w:p>
        </w:tc>
        <w:tc>
          <w:tcPr>
            <w:tcW w:w="990" w:type="dxa"/>
          </w:tcPr>
          <w:p w14:paraId="74FBCF0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256" w:type="dxa"/>
            <w:vMerge/>
          </w:tcPr>
          <w:p w14:paraId="7B428F17" w14:textId="77777777" w:rsidR="001D04B0" w:rsidRDefault="001D04B0">
            <w:pPr>
              <w:spacing w:line="240" w:lineRule="auto"/>
              <w:jc w:val="center"/>
              <w:rPr>
                <w:rFonts w:ascii="Times New Roman" w:hAnsi="Times New Roman" w:cs="Times New Roman"/>
                <w:sz w:val="24"/>
                <w:szCs w:val="24"/>
              </w:rPr>
            </w:pPr>
          </w:p>
        </w:tc>
        <w:tc>
          <w:tcPr>
            <w:tcW w:w="6811" w:type="dxa"/>
          </w:tcPr>
          <w:p w14:paraId="43786B4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15+37.5</w:t>
            </w:r>
          </w:p>
        </w:tc>
      </w:tr>
      <w:tr w:rsidR="001D04B0" w14:paraId="13D27C28" w14:textId="77777777">
        <w:trPr>
          <w:trHeight w:val="516"/>
        </w:trPr>
        <w:tc>
          <w:tcPr>
            <w:tcW w:w="1696" w:type="dxa"/>
            <w:vMerge/>
          </w:tcPr>
          <w:p w14:paraId="7FF22CB5" w14:textId="77777777" w:rsidR="001D04B0" w:rsidRDefault="001D04B0">
            <w:pPr>
              <w:spacing w:line="240" w:lineRule="auto"/>
              <w:jc w:val="center"/>
              <w:rPr>
                <w:rFonts w:ascii="Times New Roman" w:hAnsi="Times New Roman" w:cs="Times New Roman"/>
                <w:b/>
                <w:bCs/>
                <w:sz w:val="24"/>
                <w:szCs w:val="24"/>
              </w:rPr>
            </w:pPr>
          </w:p>
        </w:tc>
        <w:tc>
          <w:tcPr>
            <w:tcW w:w="990" w:type="dxa"/>
          </w:tcPr>
          <w:p w14:paraId="08AA28D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6" w:type="dxa"/>
            <w:vMerge/>
          </w:tcPr>
          <w:p w14:paraId="02EDC183" w14:textId="77777777" w:rsidR="001D04B0" w:rsidRDefault="001D04B0">
            <w:pPr>
              <w:spacing w:line="240" w:lineRule="auto"/>
              <w:jc w:val="center"/>
              <w:rPr>
                <w:rFonts w:ascii="Times New Roman" w:hAnsi="Times New Roman" w:cs="Times New Roman"/>
                <w:sz w:val="24"/>
                <w:szCs w:val="24"/>
              </w:rPr>
            </w:pPr>
          </w:p>
        </w:tc>
        <w:tc>
          <w:tcPr>
            <w:tcW w:w="6811" w:type="dxa"/>
          </w:tcPr>
          <w:p w14:paraId="7625664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20+50</w:t>
            </w:r>
          </w:p>
        </w:tc>
      </w:tr>
      <w:tr w:rsidR="001D04B0" w14:paraId="682669EF" w14:textId="77777777">
        <w:trPr>
          <w:trHeight w:val="516"/>
        </w:trPr>
        <w:tc>
          <w:tcPr>
            <w:tcW w:w="1696" w:type="dxa"/>
            <w:vMerge/>
          </w:tcPr>
          <w:p w14:paraId="0CF1CF65" w14:textId="77777777" w:rsidR="001D04B0" w:rsidRDefault="001D04B0">
            <w:pPr>
              <w:spacing w:line="240" w:lineRule="auto"/>
              <w:jc w:val="center"/>
              <w:rPr>
                <w:rFonts w:ascii="Times New Roman" w:hAnsi="Times New Roman" w:cs="Times New Roman"/>
                <w:b/>
                <w:bCs/>
                <w:sz w:val="24"/>
                <w:szCs w:val="24"/>
              </w:rPr>
            </w:pPr>
          </w:p>
        </w:tc>
        <w:tc>
          <w:tcPr>
            <w:tcW w:w="990" w:type="dxa"/>
          </w:tcPr>
          <w:p w14:paraId="33AE066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56" w:type="dxa"/>
            <w:vMerge/>
          </w:tcPr>
          <w:p w14:paraId="36382D14" w14:textId="77777777" w:rsidR="001D04B0" w:rsidRDefault="001D04B0">
            <w:pPr>
              <w:spacing w:line="240" w:lineRule="auto"/>
              <w:jc w:val="center"/>
              <w:rPr>
                <w:rFonts w:ascii="Times New Roman" w:hAnsi="Times New Roman" w:cs="Times New Roman"/>
                <w:sz w:val="24"/>
                <w:szCs w:val="24"/>
              </w:rPr>
            </w:pPr>
          </w:p>
        </w:tc>
        <w:tc>
          <w:tcPr>
            <w:tcW w:w="6811" w:type="dxa"/>
          </w:tcPr>
          <w:p w14:paraId="242630A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25+62.5</w:t>
            </w:r>
          </w:p>
        </w:tc>
      </w:tr>
      <w:tr w:rsidR="001D04B0" w14:paraId="25C099F3" w14:textId="77777777">
        <w:trPr>
          <w:trHeight w:val="527"/>
        </w:trPr>
        <w:tc>
          <w:tcPr>
            <w:tcW w:w="1696" w:type="dxa"/>
            <w:vMerge/>
          </w:tcPr>
          <w:p w14:paraId="24BAF727" w14:textId="77777777" w:rsidR="001D04B0" w:rsidRDefault="001D04B0">
            <w:pPr>
              <w:spacing w:line="240" w:lineRule="auto"/>
              <w:jc w:val="center"/>
              <w:rPr>
                <w:rFonts w:ascii="Times New Roman" w:hAnsi="Times New Roman" w:cs="Times New Roman"/>
                <w:b/>
                <w:bCs/>
                <w:sz w:val="24"/>
                <w:szCs w:val="24"/>
              </w:rPr>
            </w:pPr>
          </w:p>
        </w:tc>
        <w:tc>
          <w:tcPr>
            <w:tcW w:w="990" w:type="dxa"/>
          </w:tcPr>
          <w:p w14:paraId="33A85A4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56" w:type="dxa"/>
            <w:vMerge/>
          </w:tcPr>
          <w:p w14:paraId="5C9C17BA" w14:textId="77777777" w:rsidR="001D04B0" w:rsidRDefault="001D04B0">
            <w:pPr>
              <w:spacing w:line="240" w:lineRule="auto"/>
              <w:jc w:val="center"/>
              <w:rPr>
                <w:rFonts w:ascii="Times New Roman" w:hAnsi="Times New Roman" w:cs="Times New Roman"/>
                <w:sz w:val="24"/>
                <w:szCs w:val="24"/>
              </w:rPr>
            </w:pPr>
          </w:p>
        </w:tc>
        <w:tc>
          <w:tcPr>
            <w:tcW w:w="6811" w:type="dxa"/>
          </w:tcPr>
          <w:p w14:paraId="6B4734C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30+75</w:t>
            </w:r>
          </w:p>
        </w:tc>
      </w:tr>
    </w:tbl>
    <w:p w14:paraId="68DEC93B" w14:textId="77777777" w:rsidR="001D04B0" w:rsidRDefault="001D04B0">
      <w:pPr>
        <w:tabs>
          <w:tab w:val="left" w:pos="2595"/>
        </w:tabs>
        <w:spacing w:line="240" w:lineRule="auto"/>
        <w:jc w:val="both"/>
        <w:rPr>
          <w:rFonts w:ascii="Times New Roman" w:hAnsi="Times New Roman" w:cs="Times New Roman"/>
          <w:b/>
          <w:bCs/>
          <w:sz w:val="24"/>
          <w:szCs w:val="24"/>
        </w:rPr>
      </w:pPr>
    </w:p>
    <w:p w14:paraId="45DAC0FD"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Repeatability</w:t>
      </w:r>
    </w:p>
    <w:p w14:paraId="742A7A9B"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repeatability of the developed HPLC method was assessed to evaluate the consistency of the system under </w:t>
      </w:r>
    </w:p>
    <w:p w14:paraId="1CAE7E34" w14:textId="77777777" w:rsidR="001D04B0" w:rsidRDefault="001D04B0">
      <w:pPr>
        <w:tabs>
          <w:tab w:val="left" w:pos="2595"/>
        </w:tabs>
        <w:spacing w:line="240" w:lineRule="auto"/>
        <w:jc w:val="both"/>
        <w:rPr>
          <w:rFonts w:ascii="Times New Roman" w:hAnsi="Times New Roman" w:cs="Times New Roman"/>
          <w:sz w:val="24"/>
          <w:szCs w:val="24"/>
        </w:rPr>
      </w:pPr>
    </w:p>
    <w:p w14:paraId="6D2C47F6" w14:textId="77777777" w:rsidR="001D04B0" w:rsidRDefault="001D04B0">
      <w:pPr>
        <w:tabs>
          <w:tab w:val="left" w:pos="2595"/>
        </w:tabs>
        <w:spacing w:line="240" w:lineRule="auto"/>
        <w:jc w:val="both"/>
        <w:rPr>
          <w:rFonts w:ascii="Times New Roman" w:hAnsi="Times New Roman" w:cs="Times New Roman"/>
          <w:sz w:val="24"/>
          <w:szCs w:val="24"/>
        </w:rPr>
      </w:pPr>
    </w:p>
    <w:p w14:paraId="56D1959D"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identical operating conditions over a short time interval.</w:t>
      </w:r>
    </w:p>
    <w:p w14:paraId="41657B95"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 standard mixture solution containing Dapagliflozin and Eplerenone at a concentration of 20 µg/mL and 50 µg/mL, respectively, was prepared as per the developed method. This solution was injected into the HPLC system six consecutive times.</w:t>
      </w:r>
    </w:p>
    <w:p w14:paraId="6D42CAE8"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chromatographic responses for each injection were recorded in terms of peak areas for both analytes. The repeatability of the method was determined by calculating the mean, standard deviation (SD), and percentage relative standard deviation (%RSD) of the obtained responses.</w:t>
      </w:r>
    </w:p>
    <w:p w14:paraId="366F26EF"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uniformity of the peak areas across replicate injections reflects the precision of the method under the same analytical conditions</w:t>
      </w:r>
    </w:p>
    <w:p w14:paraId="61357404"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Intraday Precision</w:t>
      </w:r>
    </w:p>
    <w:p w14:paraId="5AB0AB72"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sz w:val="24"/>
          <w:szCs w:val="24"/>
        </w:rPr>
        <w:t>The intra-day precision of the developed HPLC method was evaluated to determine the consistency of the analytical results within a single day.</w:t>
      </w:r>
    </w:p>
    <w:p w14:paraId="46AE2721"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Standard mixture solutions of Dapagliflozin and Eplerenone were prepared at three different concentration levels, namely 10 µg/mL and 25 µg/mL, 20 µg/mL and 50 µg/mL, and 30 µg/mL and 75 µg/mL, respectively. Each concentration level was analyzed in triplicate (n = 3) at different time intervals on the same day under identical chromatographic conditions.</w:t>
      </w:r>
    </w:p>
    <w:p w14:paraId="221FFA5A"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peak areas obtained for each injection were recorded, and the precision was assessed by calculating the mean, standard deviation (SD), and percentage relative standard deviation (%RSD) for both analytes.</w:t>
      </w:r>
    </w:p>
    <w:p w14:paraId="3FD40E9C"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variation in responses at different time intervals was used to evaluate the intra-day precision of the method.</w:t>
      </w:r>
    </w:p>
    <w:p w14:paraId="45414E30" w14:textId="77777777" w:rsidR="001D04B0" w:rsidRDefault="00000000">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Inter-day precision</w:t>
      </w:r>
    </w:p>
    <w:p w14:paraId="75616745"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inter-day precision of the developed HPLC method was carried out to assess the reproducibility of the analytical results over multiple days.</w:t>
      </w:r>
    </w:p>
    <w:p w14:paraId="34C3A81F"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Standard mixture solutions of Dapagliflozin and Eplerenone were prepared at three concentration levels, namely 10 µg/mL and 25 µg/mL, 20 µg/mL and 50 µg/mL, and 30 µg/mL and 75 µg/mL, respectively. Each concentration level was analyzed in triplicate (n = 3) on different days under the same chromatographic conditions.</w:t>
      </w:r>
    </w:p>
    <w:p w14:paraId="51157006"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peak areas obtained for each run were recorded, and the results were statistically evaluated by calculating the mean, standard deviation (SD), and percentage relative standard deviation (%RSD) for both analytes.</w:t>
      </w:r>
    </w:p>
    <w:p w14:paraId="3E7769F3"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consistency of the analytical responses across different days was used to establish the inter-day precision of the method.</w:t>
      </w:r>
    </w:p>
    <w:p w14:paraId="06286BF8"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w:t>
      </w:r>
    </w:p>
    <w:p w14:paraId="57C2B0A8"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accuracy of the developed analytical method was assessed using the standard addition approach. This technique involves the addition of known quantities of the analytes to a placebo matrix to evaluate the method’s ability to recover the true amount of drug in the presence of formulation excipients.</w:t>
      </w:r>
    </w:p>
    <w:p w14:paraId="62FFF346"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Target Concentration:</w:t>
      </w:r>
    </w:p>
    <w:p w14:paraId="1024A0E5"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target concentration for the spiked samples was fixed at Dapagliflozin + Eplerenone = 20 + 50 µg/mL. This concentration lies within the established working range of the method and serves as a suitable midpoint for accuracy evaluation.</w:t>
      </w:r>
    </w:p>
    <w:p w14:paraId="683D2A36" w14:textId="77777777" w:rsidR="001D04B0" w:rsidRDefault="001D04B0">
      <w:pPr>
        <w:tabs>
          <w:tab w:val="left" w:pos="2595"/>
        </w:tabs>
        <w:spacing w:line="240" w:lineRule="auto"/>
        <w:jc w:val="both"/>
        <w:rPr>
          <w:rFonts w:ascii="Times New Roman" w:hAnsi="Times New Roman" w:cs="Times New Roman"/>
          <w:b/>
          <w:bCs/>
          <w:sz w:val="24"/>
          <w:szCs w:val="24"/>
        </w:rPr>
      </w:pPr>
    </w:p>
    <w:p w14:paraId="0D893C3A"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 Levels:</w:t>
      </w:r>
    </w:p>
    <w:p w14:paraId="64D8320B"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Accuracy was evaluated at three levels, corresponding to 50%, 100%, and 150% of the target concentration. </w:t>
      </w:r>
    </w:p>
    <w:p w14:paraId="5504B9F2" w14:textId="77777777" w:rsidR="001D04B0" w:rsidRDefault="001D04B0">
      <w:pPr>
        <w:tabs>
          <w:tab w:val="left" w:pos="2595"/>
        </w:tabs>
        <w:spacing w:line="240" w:lineRule="auto"/>
        <w:jc w:val="both"/>
        <w:rPr>
          <w:rFonts w:ascii="Times New Roman" w:hAnsi="Times New Roman" w:cs="Times New Roman"/>
          <w:sz w:val="24"/>
          <w:szCs w:val="24"/>
        </w:rPr>
      </w:pPr>
    </w:p>
    <w:p w14:paraId="315E4C9C" w14:textId="77777777" w:rsidR="001D04B0" w:rsidRDefault="001D04B0">
      <w:pPr>
        <w:tabs>
          <w:tab w:val="left" w:pos="2595"/>
        </w:tabs>
        <w:spacing w:line="240" w:lineRule="auto"/>
        <w:jc w:val="both"/>
        <w:rPr>
          <w:rFonts w:ascii="Times New Roman" w:hAnsi="Times New Roman" w:cs="Times New Roman"/>
          <w:sz w:val="24"/>
          <w:szCs w:val="24"/>
        </w:rPr>
      </w:pPr>
    </w:p>
    <w:p w14:paraId="09ADD265" w14:textId="77777777" w:rsidR="001D04B0" w:rsidRDefault="001D04B0">
      <w:pPr>
        <w:tabs>
          <w:tab w:val="left" w:pos="2595"/>
        </w:tabs>
        <w:spacing w:line="240" w:lineRule="auto"/>
        <w:jc w:val="both"/>
        <w:rPr>
          <w:rFonts w:ascii="Times New Roman" w:hAnsi="Times New Roman" w:cs="Times New Roman"/>
          <w:sz w:val="24"/>
          <w:szCs w:val="24"/>
        </w:rPr>
      </w:pPr>
    </w:p>
    <w:p w14:paraId="6C6D185F"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Appropriate quantities of standard solutions were added to the placebo matrix to achieve these levels.</w:t>
      </w:r>
    </w:p>
    <w:p w14:paraId="304CF0BE"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Placebo Composition:</w:t>
      </w:r>
    </w:p>
    <w:p w14:paraId="12BC8929"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placebo used for the study consisted of commonly employed excipients in tablet formulations, including:</w:t>
      </w:r>
    </w:p>
    <w:p w14:paraId="65E69F17"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Microcrystalline cellulose- 50 mg</w:t>
      </w:r>
    </w:p>
    <w:p w14:paraId="5B723435"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Magnesium stearate- 3 mg</w:t>
      </w:r>
    </w:p>
    <w:p w14:paraId="4749C2F3"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lang w:val="it-IT"/>
        </w:rPr>
        <w:t>Mannitol- 30 mg</w:t>
      </w:r>
    </w:p>
    <w:p w14:paraId="73C8BB1E"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lang w:val="it-IT"/>
        </w:rPr>
        <w:t>HPMC- 3 mg</w:t>
      </w:r>
    </w:p>
    <w:p w14:paraId="76BF5BBE"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Procedure:</w:t>
      </w:r>
    </w:p>
    <w:p w14:paraId="262F6CF4"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placebo mixture was spiked with a known amount of standard solution containing Dapagliflozin and Eplerenone. The resulting solutions were prepared according to the method and analyzed under optimized chromatographic conditions.</w:t>
      </w:r>
    </w:p>
    <w:p w14:paraId="047399E5"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By evaluating the recovery of the added analytes from the placebo matrix, the influence of excipients on the analytical performance was determined. This approach provides a reliable measure of the method’s accuracy and its suitability for quantitative analysis in pharmaceutical formulations. The accuracy of the method was determined by calculating the percentage recovery of the added standard for both analytes. The extent of recovery at each level was used as an indicator of the method’s accuracy and its ability to measure the analytes in the presence of other formulation components.</w:t>
      </w:r>
    </w:p>
    <w:p w14:paraId="61E3A415"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20 Preparation of sample solution for accuracy studies</w:t>
      </w:r>
    </w:p>
    <w:tbl>
      <w:tblPr>
        <w:tblStyle w:val="TableGrid"/>
        <w:tblW w:w="0" w:type="auto"/>
        <w:tblInd w:w="-5" w:type="dxa"/>
        <w:tblLook w:val="04A0" w:firstRow="1" w:lastRow="0" w:firstColumn="1" w:lastColumn="0" w:noHBand="0" w:noVBand="1"/>
      </w:tblPr>
      <w:tblGrid>
        <w:gridCol w:w="1417"/>
        <w:gridCol w:w="1277"/>
        <w:gridCol w:w="1842"/>
        <w:gridCol w:w="2074"/>
        <w:gridCol w:w="848"/>
        <w:gridCol w:w="3545"/>
      </w:tblGrid>
      <w:tr w:rsidR="001D04B0" w14:paraId="180A71BF" w14:textId="77777777">
        <w:tc>
          <w:tcPr>
            <w:tcW w:w="1417" w:type="dxa"/>
          </w:tcPr>
          <w:p w14:paraId="751A94D0" w14:textId="77777777" w:rsidR="001D04B0" w:rsidRDefault="00000000">
            <w:pPr>
              <w:tabs>
                <w:tab w:val="left" w:pos="259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Level of Spiking</w:t>
            </w:r>
          </w:p>
        </w:tc>
        <w:tc>
          <w:tcPr>
            <w:tcW w:w="1277" w:type="dxa"/>
          </w:tcPr>
          <w:p w14:paraId="17CBF1F1"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Quantity of Placebo (mg)</w:t>
            </w:r>
          </w:p>
        </w:tc>
        <w:tc>
          <w:tcPr>
            <w:tcW w:w="1842" w:type="dxa"/>
          </w:tcPr>
          <w:p w14:paraId="060D6021"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Volume of stock solution added (mL)</w:t>
            </w:r>
          </w:p>
        </w:tc>
        <w:tc>
          <w:tcPr>
            <w:tcW w:w="2074" w:type="dxa"/>
          </w:tcPr>
          <w:p w14:paraId="4A2D8098"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Final dilution in 10 mL volumetric flask</w:t>
            </w:r>
          </w:p>
        </w:tc>
        <w:tc>
          <w:tcPr>
            <w:tcW w:w="4393" w:type="dxa"/>
            <w:gridSpan w:val="2"/>
          </w:tcPr>
          <w:p w14:paraId="4EAB204F" w14:textId="77777777" w:rsidR="001D04B0" w:rsidRDefault="00000000">
            <w:pPr>
              <w:tabs>
                <w:tab w:val="left" w:pos="259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Final Concentration (µg/mL) </w:t>
            </w:r>
          </w:p>
          <w:p w14:paraId="16034F6B"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DAPA   EPLE</w:t>
            </w:r>
          </w:p>
        </w:tc>
      </w:tr>
      <w:tr w:rsidR="001D04B0" w14:paraId="5A9D643F" w14:textId="77777777">
        <w:tc>
          <w:tcPr>
            <w:tcW w:w="1417" w:type="dxa"/>
          </w:tcPr>
          <w:p w14:paraId="63BA76DD"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Un-spiked</w:t>
            </w:r>
          </w:p>
        </w:tc>
        <w:tc>
          <w:tcPr>
            <w:tcW w:w="1277" w:type="dxa"/>
          </w:tcPr>
          <w:p w14:paraId="036EEB42"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14:paraId="5143F6D4"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74" w:type="dxa"/>
            <w:vMerge w:val="restart"/>
          </w:tcPr>
          <w:p w14:paraId="3760F12B"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Volume was made up with the diluent (methanol)</w:t>
            </w:r>
          </w:p>
        </w:tc>
        <w:tc>
          <w:tcPr>
            <w:tcW w:w="848" w:type="dxa"/>
          </w:tcPr>
          <w:p w14:paraId="1D10C368"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545" w:type="dxa"/>
          </w:tcPr>
          <w:p w14:paraId="27253CE2"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D04B0" w14:paraId="6F2CA4B3" w14:textId="77777777">
        <w:tc>
          <w:tcPr>
            <w:tcW w:w="1417" w:type="dxa"/>
          </w:tcPr>
          <w:p w14:paraId="631B9CED"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77" w:type="dxa"/>
          </w:tcPr>
          <w:p w14:paraId="35601A59"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14:paraId="42DF918A"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074" w:type="dxa"/>
            <w:vMerge/>
          </w:tcPr>
          <w:p w14:paraId="15DF205F" w14:textId="77777777" w:rsidR="001D04B0" w:rsidRDefault="001D04B0">
            <w:pPr>
              <w:tabs>
                <w:tab w:val="left" w:pos="2595"/>
              </w:tabs>
              <w:spacing w:after="0" w:line="240" w:lineRule="auto"/>
              <w:jc w:val="center"/>
              <w:rPr>
                <w:rFonts w:ascii="Times New Roman" w:hAnsi="Times New Roman" w:cs="Times New Roman"/>
                <w:sz w:val="24"/>
                <w:szCs w:val="24"/>
              </w:rPr>
            </w:pPr>
          </w:p>
        </w:tc>
        <w:tc>
          <w:tcPr>
            <w:tcW w:w="848" w:type="dxa"/>
          </w:tcPr>
          <w:p w14:paraId="2BE989B2"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545" w:type="dxa"/>
          </w:tcPr>
          <w:p w14:paraId="39543972"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1D04B0" w14:paraId="11C063AF" w14:textId="77777777">
        <w:tc>
          <w:tcPr>
            <w:tcW w:w="1417" w:type="dxa"/>
          </w:tcPr>
          <w:p w14:paraId="1EB76283"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tcPr>
          <w:p w14:paraId="7C4AFC40"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14:paraId="63BC1A16"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vMerge/>
          </w:tcPr>
          <w:p w14:paraId="42419B21" w14:textId="77777777" w:rsidR="001D04B0" w:rsidRDefault="001D04B0">
            <w:pPr>
              <w:tabs>
                <w:tab w:val="left" w:pos="2595"/>
              </w:tabs>
              <w:spacing w:after="0" w:line="240" w:lineRule="auto"/>
              <w:jc w:val="center"/>
              <w:rPr>
                <w:rFonts w:ascii="Times New Roman" w:hAnsi="Times New Roman" w:cs="Times New Roman"/>
                <w:sz w:val="24"/>
                <w:szCs w:val="24"/>
              </w:rPr>
            </w:pPr>
          </w:p>
        </w:tc>
        <w:tc>
          <w:tcPr>
            <w:tcW w:w="848" w:type="dxa"/>
          </w:tcPr>
          <w:p w14:paraId="69E9125C"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545" w:type="dxa"/>
          </w:tcPr>
          <w:p w14:paraId="2D72374E"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1D04B0" w14:paraId="72F7EC57" w14:textId="77777777">
        <w:tc>
          <w:tcPr>
            <w:tcW w:w="1417" w:type="dxa"/>
          </w:tcPr>
          <w:p w14:paraId="1CBCFAD5"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277" w:type="dxa"/>
          </w:tcPr>
          <w:p w14:paraId="18EF7115"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14:paraId="34D1F2D8"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074" w:type="dxa"/>
            <w:vMerge/>
          </w:tcPr>
          <w:p w14:paraId="755E157E" w14:textId="77777777" w:rsidR="001D04B0" w:rsidRDefault="001D04B0">
            <w:pPr>
              <w:tabs>
                <w:tab w:val="left" w:pos="2595"/>
              </w:tabs>
              <w:spacing w:after="0" w:line="240" w:lineRule="auto"/>
              <w:jc w:val="center"/>
              <w:rPr>
                <w:rFonts w:ascii="Times New Roman" w:hAnsi="Times New Roman" w:cs="Times New Roman"/>
                <w:sz w:val="24"/>
                <w:szCs w:val="24"/>
              </w:rPr>
            </w:pPr>
          </w:p>
        </w:tc>
        <w:tc>
          <w:tcPr>
            <w:tcW w:w="848" w:type="dxa"/>
          </w:tcPr>
          <w:p w14:paraId="356B787D"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545" w:type="dxa"/>
          </w:tcPr>
          <w:p w14:paraId="76FA14AB"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1D04B0" w14:paraId="6F3D3FC6" w14:textId="77777777">
        <w:tc>
          <w:tcPr>
            <w:tcW w:w="11003" w:type="dxa"/>
            <w:gridSpan w:val="6"/>
          </w:tcPr>
          <w:p w14:paraId="2C32A823" w14:textId="77777777" w:rsidR="001D04B0" w:rsidRDefault="00000000">
            <w:pPr>
              <w:tabs>
                <w:tab w:val="left" w:pos="2595"/>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 reparation of Standard Solution</w:t>
            </w:r>
          </w:p>
          <w:p w14:paraId="2E691B29" w14:textId="77777777" w:rsidR="001D04B0" w:rsidRDefault="00000000">
            <w:pPr>
              <w:tabs>
                <w:tab w:val="left" w:pos="2595"/>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Step 1: Preparation of Stock Solution</w:t>
            </w:r>
          </w:p>
          <w:p w14:paraId="1143C293" w14:textId="77777777" w:rsidR="001D04B0" w:rsidRDefault="00000000">
            <w:pPr>
              <w:tabs>
                <w:tab w:val="left" w:pos="25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Accurately weigh 20 mg of Dapagliflozin and 50 mg of Eplerenone and transfer both into a 100 mL volumetric flask. Add approximately 70 mL of methanol and sonicate the solution until complete dissolution of both analytes is achieved. After ensuring complete dissolution, make up the volume to the mark with methanol to obtain a combined stock solution having a concentration of 200 µg/mL of Dapagliflozin and 500 µg/mL of Eplerenone.</w:t>
            </w:r>
          </w:p>
          <w:p w14:paraId="6F8C2A3C" w14:textId="77777777" w:rsidR="001D04B0" w:rsidRDefault="001D04B0">
            <w:pPr>
              <w:tabs>
                <w:tab w:val="left" w:pos="2595"/>
              </w:tabs>
              <w:spacing w:after="0" w:line="240" w:lineRule="auto"/>
              <w:jc w:val="both"/>
              <w:rPr>
                <w:rFonts w:ascii="Times New Roman" w:hAnsi="Times New Roman" w:cs="Times New Roman"/>
                <w:sz w:val="24"/>
                <w:szCs w:val="24"/>
              </w:rPr>
            </w:pPr>
          </w:p>
        </w:tc>
      </w:tr>
    </w:tbl>
    <w:p w14:paraId="1BC47210" w14:textId="77777777" w:rsidR="001D04B0" w:rsidRDefault="001D04B0">
      <w:pPr>
        <w:tabs>
          <w:tab w:val="left" w:pos="2595"/>
        </w:tabs>
        <w:spacing w:line="240" w:lineRule="auto"/>
        <w:jc w:val="both"/>
        <w:rPr>
          <w:rFonts w:ascii="Times New Roman" w:hAnsi="Times New Roman" w:cs="Times New Roman"/>
          <w:b/>
          <w:bCs/>
          <w:sz w:val="24"/>
          <w:szCs w:val="24"/>
        </w:rPr>
      </w:pPr>
    </w:p>
    <w:p w14:paraId="5A588F47" w14:textId="77777777" w:rsidR="001D04B0" w:rsidRDefault="00000000">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LOD and LOQ</w:t>
      </w:r>
    </w:p>
    <w:p w14:paraId="127D6ADE"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sensitivity of the developed HPLC method was evaluated by determining the Limit of Detection (LOD) and Limit of Quantification (LOQ) for Dapagliflozin and Eplerenone.</w:t>
      </w:r>
    </w:p>
    <w:p w14:paraId="7079727B" w14:textId="77777777" w:rsidR="001D04B0" w:rsidRDefault="00000000">
      <w:pPr>
        <w:numPr>
          <w:ilvl w:val="0"/>
          <w:numId w:val="43"/>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Principle:</w:t>
      </w:r>
      <w:r>
        <w:rPr>
          <w:rFonts w:ascii="Times New Roman" w:hAnsi="Times New Roman" w:cs="Times New Roman"/>
          <w:sz w:val="24"/>
          <w:szCs w:val="24"/>
        </w:rPr>
        <w:br/>
        <w:t xml:space="preserve">The LOD and LOQ were calculated based on the standard deviation of the response (σ) and the slope (S) of the calibration curve obtained from linearity studies. </w:t>
      </w:r>
    </w:p>
    <w:p w14:paraId="7E29BC7C" w14:textId="77777777" w:rsidR="001D04B0" w:rsidRDefault="00000000">
      <w:pPr>
        <w:numPr>
          <w:ilvl w:val="0"/>
          <w:numId w:val="43"/>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Calculation:</w:t>
      </w:r>
      <w:r>
        <w:rPr>
          <w:rFonts w:ascii="Times New Roman" w:hAnsi="Times New Roman" w:cs="Times New Roman"/>
          <w:sz w:val="24"/>
          <w:szCs w:val="24"/>
        </w:rPr>
        <w:br/>
        <w:t>The following equations were used for estimation:</w:t>
      </w:r>
    </w:p>
    <w:p w14:paraId="2230DF27" w14:textId="77777777" w:rsidR="001D04B0" w:rsidRDefault="001D04B0">
      <w:pPr>
        <w:tabs>
          <w:tab w:val="left" w:pos="2595"/>
        </w:tabs>
        <w:spacing w:line="240" w:lineRule="auto"/>
        <w:jc w:val="both"/>
        <w:rPr>
          <w:rFonts w:hAnsi="Cambria Math" w:cs="Times New Roman"/>
          <w:sz w:val="24"/>
          <w:szCs w:val="24"/>
        </w:rPr>
      </w:pPr>
    </w:p>
    <w:p w14:paraId="47EDA99E" w14:textId="77777777" w:rsidR="001D04B0" w:rsidRDefault="00000000">
      <w:pPr>
        <w:tabs>
          <w:tab w:val="left" w:pos="2595"/>
        </w:tabs>
        <w:spacing w:line="240" w:lineRule="auto"/>
        <w:jc w:val="both"/>
        <w:rPr>
          <w:rFonts w:ascii="Times New Roman" w:hAnsi="Times New Roman" w:cs="Times New Roman"/>
          <w:sz w:val="24"/>
          <w:szCs w:val="24"/>
        </w:rPr>
      </w:pPr>
      <m:oMathPara>
        <m:oMath>
          <m:r>
            <m:rPr>
              <m:nor/>
            </m:rPr>
            <w:rPr>
              <w:rFonts w:ascii="Cambria Math" w:hAnsi="Cambria Math" w:cs="Times New Roman"/>
              <w:i/>
              <w:sz w:val="24"/>
              <w:szCs w:val="24"/>
            </w:rPr>
            <m:t>LOD</m:t>
          </m:r>
          <m:r>
            <m:rPr>
              <m:nor/>
            </m:rPr>
            <w:rPr>
              <w:rFonts w:ascii="Cambria Math" w:hAnsi="Cambria Math" w:cs="Times New Roman"/>
              <w:sz w:val="24"/>
              <w:szCs w:val="24"/>
            </w:rPr>
            <m:t>=3.3×</m:t>
          </m:r>
          <m:f>
            <m:fPr>
              <m:ctrlPr>
                <w:rPr>
                  <w:rFonts w:ascii="Cambria Math" w:hAnsi="Cambria Math" w:cs="Times New Roman"/>
                  <w:sz w:val="24"/>
                  <w:szCs w:val="24"/>
                </w:rPr>
              </m:ctrlPr>
            </m:fPr>
            <m:num>
              <m:r>
                <m:rPr>
                  <m:nor/>
                </m:rPr>
                <w:rPr>
                  <w:rFonts w:ascii="Cambria Math" w:hAnsi="Cambria Math" w:cs="Times New Roman"/>
                  <w:i/>
                  <w:sz w:val="24"/>
                  <w:szCs w:val="24"/>
                </w:rPr>
                <m:t>σ</m:t>
              </m:r>
            </m:num>
            <m:den>
              <m:r>
                <m:rPr>
                  <m:nor/>
                </m:rPr>
                <w:rPr>
                  <w:rFonts w:ascii="Cambria Math" w:hAnsi="Cambria Math" w:cs="Times New Roman"/>
                  <w:i/>
                  <w:sz w:val="24"/>
                  <w:szCs w:val="24"/>
                </w:rPr>
                <m:t>S</m:t>
              </m:r>
            </m:den>
          </m:f>
          <m:r>
            <m:rPr>
              <m:nor/>
            </m:rPr>
            <w:rPr>
              <w:rFonts w:ascii="Cambria Math" w:hAnsi="Cambria Math" w:cs="Times New Roman"/>
              <w:sz w:val="24"/>
              <w:szCs w:val="24"/>
            </w:rPr>
            <w:br/>
          </m:r>
        </m:oMath>
        <m:oMath>
          <m:r>
            <m:rPr>
              <m:nor/>
            </m:rPr>
            <w:rPr>
              <w:rFonts w:ascii="Cambria Math" w:hAnsi="Cambria Math" w:cs="Times New Roman"/>
              <w:i/>
              <w:sz w:val="24"/>
              <w:szCs w:val="24"/>
            </w:rPr>
            <m:t>LOQ</m:t>
          </m:r>
          <m:r>
            <m:rPr>
              <m:nor/>
            </m:rPr>
            <w:rPr>
              <w:rFonts w:ascii="Cambria Math" w:hAnsi="Cambria Math" w:cs="Times New Roman"/>
              <w:sz w:val="24"/>
              <w:szCs w:val="24"/>
            </w:rPr>
            <m:t>=10×</m:t>
          </m:r>
          <m:f>
            <m:fPr>
              <m:ctrlPr>
                <w:rPr>
                  <w:rFonts w:ascii="Cambria Math" w:hAnsi="Cambria Math" w:cs="Times New Roman"/>
                  <w:sz w:val="24"/>
                  <w:szCs w:val="24"/>
                </w:rPr>
              </m:ctrlPr>
            </m:fPr>
            <m:num>
              <m:r>
                <m:rPr>
                  <m:nor/>
                </m:rPr>
                <w:rPr>
                  <w:rFonts w:ascii="Cambria Math" w:hAnsi="Cambria Math" w:cs="Times New Roman"/>
                  <w:i/>
                  <w:sz w:val="24"/>
                  <w:szCs w:val="24"/>
                </w:rPr>
                <m:t>σ</m:t>
              </m:r>
            </m:num>
            <m:den>
              <m:r>
                <m:rPr>
                  <m:nor/>
                </m:rPr>
                <w:rPr>
                  <w:rFonts w:ascii="Cambria Math" w:hAnsi="Cambria Math" w:cs="Times New Roman"/>
                  <w:i/>
                  <w:sz w:val="24"/>
                  <w:szCs w:val="24"/>
                </w:rPr>
                <m:t>S</m:t>
              </m:r>
            </m:den>
          </m:f>
        </m:oMath>
      </m:oMathPara>
    </w:p>
    <w:p w14:paraId="0390F30F" w14:textId="77777777" w:rsidR="001D04B0" w:rsidRDefault="00000000">
      <w:pPr>
        <w:numPr>
          <w:ilvl w:val="0"/>
          <w:numId w:val="43"/>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Procedure:</w:t>
      </w:r>
      <w:r>
        <w:rPr>
          <w:rFonts w:ascii="Times New Roman" w:hAnsi="Times New Roman" w:cs="Times New Roman"/>
          <w:sz w:val="24"/>
          <w:szCs w:val="24"/>
        </w:rPr>
        <w:br/>
        <w:t xml:space="preserve">The calibration curve was constructed using multiple concentration levels of Dapagliflozin and Eplerenone. The slope (S) of the calibration curve was determined, and the standard deviation of the response (σ) was calculated from the y-intercepts of the regression lines. </w:t>
      </w:r>
    </w:p>
    <w:p w14:paraId="6AC94610"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calculated LOD represents the lowest concentration of the analyte that can be reliably detected, whereas the LOQ indicates the lowest concentration that can be quantified with acceptable precision and accuracy.</w:t>
      </w:r>
    </w:p>
    <w:p w14:paraId="4691B5D2" w14:textId="77777777" w:rsidR="001D04B0" w:rsidRDefault="00000000">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Robustness</w:t>
      </w:r>
    </w:p>
    <w:p w14:paraId="5EF9033E"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To verify the reliability of the analytical procedure under practical conditions, the robustness of the method was investigated by deliberately altering selected operational parameters. The objective was to determine whether such minor adjustments would influence the performance of the method.</w:t>
      </w:r>
    </w:p>
    <w:p w14:paraId="11FE4615"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Variations were introduced in key chromatographic conditions, specifically the mobile phase flow rate and composition. Each parameter was modified independently while maintaining all other conditions constant, ensuring that the effect of each change could be evaluated in isolation.</w:t>
      </w:r>
    </w:p>
    <w:p w14:paraId="62D33DF6"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Under each altered condition, the standard mixture of Dapagliflozin and Eplerenone was analyzed, and the resulting chromatograms were carefully examined. Particular attention was given to any observable changes in peak profile, retention characteristics, and detector response.</w:t>
      </w:r>
    </w:p>
    <w:p w14:paraId="5CFCF842"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method was considered robust as these controlled variations did not produce any significant deviation in the analytical outcome. This demonstrates that the method possesses sufficient tolerance to minor changes and can be reliably applied in routine laboratory analysis.</w:t>
      </w:r>
    </w:p>
    <w:p w14:paraId="6FCCD969" w14:textId="77777777" w:rsidR="001D04B0" w:rsidRDefault="00000000">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Assay of synthetic mixture</w:t>
      </w:r>
    </w:p>
    <w:p w14:paraId="20BD7E64"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Solutions for Assay</w:t>
      </w:r>
    </w:p>
    <w:p w14:paraId="20A695E0"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synthetic mixture was prepared in a fixed ratio of Dapagliflozin to Eplerenone of 2:5. Accordingly, the mixture contained 20 mg of Dapagliflozin and 50 mg of Eplerenone along with common pharmaceutical excipients.</w:t>
      </w:r>
    </w:p>
    <w:p w14:paraId="31D07A28"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Concentrated Stock Solution:</w:t>
      </w:r>
    </w:p>
    <w:p w14:paraId="25EB2AD2" w14:textId="77777777" w:rsidR="001D04B0" w:rsidRDefault="00000000">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Weighing and Mixing:</w:t>
      </w:r>
    </w:p>
    <w:p w14:paraId="49D68F68"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Accurately weigh 20 mg of Dapagliflozin and 50 mg of Eplerenone along with excipients such as Microcrystalline cellulose, Magnesium stearate, and Talc in appropriate proportions. </w:t>
      </w:r>
    </w:p>
    <w:p w14:paraId="47486FCF" w14:textId="77777777" w:rsidR="001D04B0" w:rsidRDefault="00000000">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Dissolution of Components:</w:t>
      </w:r>
    </w:p>
    <w:p w14:paraId="40F628AC"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Transfer the weighed mixture into a 100 mL volumetric flask and add about 70 mL of methanol. Sonicate the solution to ensure complete dissolution of the active pharmaceutical ingredients. </w:t>
      </w:r>
    </w:p>
    <w:p w14:paraId="3E832B79" w14:textId="77777777" w:rsidR="001D04B0" w:rsidRDefault="00000000">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Volume Adjustment:</w:t>
      </w:r>
    </w:p>
    <w:p w14:paraId="49278464"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After complete dissolution, make up the volume to 100 mL with methanol to obtain a concentrated stock solution containing 200 µg/mL of Dapagliflozin and 500 µg/mL of Eplerenone. </w:t>
      </w:r>
    </w:p>
    <w:p w14:paraId="0C0EDC74" w14:textId="77777777" w:rsidR="001D04B0" w:rsidRDefault="00000000">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Dilution to Intermediate Solution:</w:t>
      </w:r>
    </w:p>
    <w:p w14:paraId="312C05BD" w14:textId="77777777" w:rsidR="001D04B0" w:rsidRDefault="00000000">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Transfer 10 mL of the above stock solution into a 100 mL volumetric flask and dilute to volume with methanol. This results in an intermediate solution having concentrations of 20 µg/mL of Dapagliflozin and 50 µg/mL of Eplerenone. </w:t>
      </w:r>
    </w:p>
    <w:p w14:paraId="00E4F4F6"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Test Solution Preparation:</w:t>
      </w:r>
    </w:p>
    <w:p w14:paraId="6A9637EA" w14:textId="77777777" w:rsidR="001D04B0" w:rsidRDefault="001D04B0">
      <w:pPr>
        <w:tabs>
          <w:tab w:val="left" w:pos="567"/>
          <w:tab w:val="left" w:pos="2595"/>
        </w:tabs>
        <w:spacing w:line="240" w:lineRule="auto"/>
        <w:jc w:val="both"/>
        <w:rPr>
          <w:rFonts w:ascii="Times New Roman" w:hAnsi="Times New Roman" w:cs="Times New Roman"/>
          <w:sz w:val="24"/>
          <w:szCs w:val="24"/>
        </w:rPr>
      </w:pPr>
    </w:p>
    <w:p w14:paraId="1FEBEED7" w14:textId="77777777" w:rsidR="001D04B0" w:rsidRDefault="001D04B0">
      <w:pPr>
        <w:tabs>
          <w:tab w:val="left" w:pos="567"/>
          <w:tab w:val="left" w:pos="2595"/>
        </w:tabs>
        <w:spacing w:line="240" w:lineRule="auto"/>
        <w:jc w:val="both"/>
        <w:rPr>
          <w:rFonts w:ascii="Times New Roman" w:hAnsi="Times New Roman" w:cs="Times New Roman"/>
          <w:sz w:val="24"/>
          <w:szCs w:val="24"/>
        </w:rPr>
      </w:pPr>
    </w:p>
    <w:p w14:paraId="39368373" w14:textId="77777777" w:rsidR="001D04B0" w:rsidRDefault="001D04B0">
      <w:pPr>
        <w:tabs>
          <w:tab w:val="left" w:pos="567"/>
          <w:tab w:val="left" w:pos="2595"/>
        </w:tabs>
        <w:spacing w:line="240" w:lineRule="auto"/>
        <w:jc w:val="both"/>
        <w:rPr>
          <w:rFonts w:ascii="Times New Roman" w:hAnsi="Times New Roman" w:cs="Times New Roman"/>
          <w:sz w:val="24"/>
          <w:szCs w:val="24"/>
        </w:rPr>
      </w:pPr>
    </w:p>
    <w:p w14:paraId="7B5DA858" w14:textId="77777777" w:rsidR="001D04B0" w:rsidRDefault="00000000">
      <w:pPr>
        <w:numPr>
          <w:ilvl w:val="0"/>
          <w:numId w:val="45"/>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 suitable aliquot of the intermediate solution was filtered through a 0.45 µm membrane filter. </w:t>
      </w:r>
    </w:p>
    <w:p w14:paraId="53102271" w14:textId="77777777" w:rsidR="001D04B0" w:rsidRDefault="00000000">
      <w:pPr>
        <w:numPr>
          <w:ilvl w:val="0"/>
          <w:numId w:val="45"/>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The filtered solution was directly used as the working test solution for analysis. </w:t>
      </w:r>
    </w:p>
    <w:p w14:paraId="2D06273D"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Following optimization of chromatographic conditions, triplicate injections (n = 3) of the prepared solution (injection volume: 20 µL) were carried out, and the chromatograms were recorded for quantitative evaluation.</w:t>
      </w:r>
    </w:p>
    <w:p w14:paraId="601C0EFF" w14:textId="77777777" w:rsidR="001D04B0" w:rsidRDefault="001D04B0">
      <w:pPr>
        <w:tabs>
          <w:tab w:val="left" w:pos="2595"/>
        </w:tabs>
        <w:spacing w:line="240" w:lineRule="auto"/>
        <w:ind w:left="567" w:hanging="567"/>
        <w:rPr>
          <w:rFonts w:ascii="Times New Roman" w:hAnsi="Times New Roman" w:cs="Times New Roman"/>
          <w:b/>
          <w:bCs/>
          <w:sz w:val="28"/>
          <w:szCs w:val="28"/>
        </w:rPr>
      </w:pPr>
    </w:p>
    <w:p w14:paraId="2F78438D" w14:textId="77777777" w:rsidR="001D04B0" w:rsidRDefault="00000000">
      <w:pPr>
        <w:tabs>
          <w:tab w:val="left" w:pos="2595"/>
        </w:tabs>
        <w:spacing w:line="240" w:lineRule="auto"/>
        <w:ind w:left="567" w:hanging="567"/>
        <w:rPr>
          <w:rFonts w:ascii="Times New Roman" w:hAnsi="Times New Roman" w:cs="Times New Roman"/>
          <w:b/>
          <w:bCs/>
          <w:sz w:val="28"/>
          <w:szCs w:val="28"/>
        </w:rPr>
      </w:pPr>
      <w:r>
        <w:rPr>
          <w:rFonts w:ascii="Times New Roman" w:hAnsi="Times New Roman" w:cs="Times New Roman"/>
          <w:b/>
          <w:bCs/>
          <w:sz w:val="28"/>
          <w:szCs w:val="28"/>
        </w:rPr>
        <w:t>RESULTS AND DISCUSSION</w:t>
      </w:r>
    </w:p>
    <w:p w14:paraId="33C435D1" w14:textId="77777777" w:rsidR="001D04B0" w:rsidRDefault="00000000">
      <w:pPr>
        <w:tabs>
          <w:tab w:val="left" w:pos="2595"/>
        </w:tabs>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Analytical wavelength detection</w:t>
      </w:r>
    </w:p>
    <w:p w14:paraId="0951523E" w14:textId="77777777" w:rsidR="001D04B0" w:rsidRDefault="00000000">
      <w:pPr>
        <w:tabs>
          <w:tab w:val="left" w:pos="2595"/>
        </w:tabs>
        <w:spacing w:line="240" w:lineRule="auto"/>
        <w:ind w:left="567" w:hanging="567"/>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50A6005" wp14:editId="0A12747D">
            <wp:extent cx="6797675" cy="2188845"/>
            <wp:effectExtent l="9525" t="9525" r="12700" b="1143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2"/>
                    <a:srcRect/>
                    <a:stretch>
                      <a:fillRect/>
                    </a:stretch>
                  </pic:blipFill>
                  <pic:spPr>
                    <a:xfrm>
                      <a:off x="0" y="0"/>
                      <a:ext cx="6797675" cy="2188845"/>
                    </a:xfrm>
                    <a:prstGeom prst="rect">
                      <a:avLst/>
                    </a:prstGeom>
                    <a:noFill/>
                    <a:ln w="9525">
                      <a:solidFill>
                        <a:schemeClr val="tx1"/>
                      </a:solidFill>
                      <a:miter lim="800000"/>
                      <a:headEnd/>
                      <a:tailEnd/>
                    </a:ln>
                  </pic:spPr>
                </pic:pic>
              </a:graphicData>
            </a:graphic>
          </wp:inline>
        </w:drawing>
      </w:r>
    </w:p>
    <w:p w14:paraId="0FCCDAA9"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15 Overlay spectra of Dapagliflozin and Eplerenone</w:t>
      </w:r>
    </w:p>
    <w:p w14:paraId="40ED3978"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UV preparation: 10 ppm of dapagliflozin and 25 ppm of eplerenone solutions were prepared in methanol and scanned in the range of 200 to 400 nm.</w:t>
      </w:r>
    </w:p>
    <w:p w14:paraId="67C293A6"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Results: Isosbestic point 228 nm.</w:t>
      </w:r>
    </w:p>
    <w:p w14:paraId="2EA72617"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Chromatographic condition optimization</w:t>
      </w:r>
    </w:p>
    <w:p w14:paraId="5D6D119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Following a series of experiments to optimize chromatographic parameters for DAPA and EPLE analysis, a robust RP-HPLC method was established. This method will be further validated to ensure its accuracy, precision, and other performance characteristics.</w:t>
      </w:r>
    </w:p>
    <w:p w14:paraId="3C4830B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0B9CA1" wp14:editId="35848F53">
            <wp:extent cx="5955665" cy="1714500"/>
            <wp:effectExtent l="9525" t="9525" r="16510" b="9525"/>
            <wp:docPr id="439554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54288"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55665" cy="1714500"/>
                    </a:xfrm>
                    <a:prstGeom prst="rect">
                      <a:avLst/>
                    </a:prstGeom>
                    <a:ln>
                      <a:solidFill>
                        <a:schemeClr val="tx1"/>
                      </a:solidFill>
                    </a:ln>
                  </pic:spPr>
                </pic:pic>
              </a:graphicData>
            </a:graphic>
          </wp:inline>
        </w:drawing>
      </w:r>
    </w:p>
    <w:p w14:paraId="388176B5"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16 Trial 1- 20 µg/ml dapagliflozin + 50 µg/ml eplerenone, M.P- Water : Methanol (50:50 %v/v)</w:t>
      </w:r>
    </w:p>
    <w:p w14:paraId="59B3C742" w14:textId="77777777" w:rsidR="001D04B0" w:rsidRDefault="001D04B0">
      <w:pPr>
        <w:tabs>
          <w:tab w:val="left" w:pos="2595"/>
        </w:tabs>
        <w:spacing w:line="240" w:lineRule="auto"/>
        <w:jc w:val="both"/>
        <w:rPr>
          <w:rFonts w:ascii="Times New Roman" w:hAnsi="Times New Roman" w:cs="Times New Roman"/>
          <w:b/>
          <w:bCs/>
          <w:sz w:val="24"/>
          <w:szCs w:val="24"/>
        </w:rPr>
      </w:pPr>
    </w:p>
    <w:p w14:paraId="60F01015" w14:textId="77777777" w:rsidR="001D04B0" w:rsidRDefault="001D04B0">
      <w:pPr>
        <w:tabs>
          <w:tab w:val="left" w:pos="2595"/>
        </w:tabs>
        <w:spacing w:line="240" w:lineRule="auto"/>
        <w:jc w:val="both"/>
        <w:rPr>
          <w:rFonts w:ascii="Times New Roman" w:hAnsi="Times New Roman" w:cs="Times New Roman"/>
          <w:sz w:val="24"/>
          <w:szCs w:val="24"/>
        </w:rPr>
      </w:pPr>
    </w:p>
    <w:p w14:paraId="74A5DF0D" w14:textId="77777777" w:rsidR="001D04B0" w:rsidRDefault="001D04B0">
      <w:pPr>
        <w:tabs>
          <w:tab w:val="left" w:pos="2595"/>
        </w:tabs>
        <w:spacing w:line="240" w:lineRule="auto"/>
        <w:jc w:val="both"/>
        <w:rPr>
          <w:rFonts w:ascii="Times New Roman" w:hAnsi="Times New Roman" w:cs="Times New Roman"/>
          <w:sz w:val="24"/>
          <w:szCs w:val="24"/>
        </w:rPr>
      </w:pPr>
    </w:p>
    <w:p w14:paraId="1A6AE55E" w14:textId="77777777" w:rsidR="001D04B0" w:rsidRDefault="001D04B0">
      <w:pPr>
        <w:tabs>
          <w:tab w:val="left" w:pos="2595"/>
        </w:tabs>
        <w:spacing w:line="240" w:lineRule="auto"/>
        <w:rPr>
          <w:rFonts w:ascii="Times New Roman" w:hAnsi="Times New Roman" w:cs="Times New Roman"/>
          <w:sz w:val="24"/>
          <w:szCs w:val="24"/>
        </w:rPr>
        <w:sectPr w:rsidR="001D04B0">
          <w:headerReference w:type="default" r:id="rId34"/>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14:paraId="11EE1381" w14:textId="77777777" w:rsidR="001D04B0" w:rsidRDefault="001D04B0">
      <w:pPr>
        <w:tabs>
          <w:tab w:val="left" w:pos="2595"/>
        </w:tabs>
        <w:spacing w:line="240" w:lineRule="auto"/>
        <w:ind w:left="567" w:hanging="567"/>
        <w:jc w:val="center"/>
        <w:rPr>
          <w:rFonts w:ascii="Times New Roman" w:hAnsi="Times New Roman" w:cs="Times New Roman"/>
          <w:b/>
          <w:bCs/>
          <w:sz w:val="24"/>
          <w:szCs w:val="24"/>
        </w:rPr>
      </w:pPr>
    </w:p>
    <w:p w14:paraId="756EF2DC" w14:textId="77777777" w:rsidR="001D04B0" w:rsidRDefault="001D04B0">
      <w:pPr>
        <w:tabs>
          <w:tab w:val="left" w:pos="2595"/>
        </w:tabs>
        <w:spacing w:line="240" w:lineRule="auto"/>
        <w:ind w:left="567" w:hanging="567"/>
        <w:jc w:val="center"/>
        <w:rPr>
          <w:rFonts w:ascii="Times New Roman" w:hAnsi="Times New Roman" w:cs="Times New Roman"/>
          <w:b/>
          <w:bCs/>
          <w:sz w:val="24"/>
          <w:szCs w:val="24"/>
        </w:rPr>
      </w:pPr>
    </w:p>
    <w:p w14:paraId="3C67C833" w14:textId="77777777" w:rsidR="001D04B0" w:rsidRDefault="00000000">
      <w:pPr>
        <w:tabs>
          <w:tab w:val="left" w:pos="2595"/>
        </w:tabs>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97B3DE4" wp14:editId="480237DB">
            <wp:extent cx="5602605" cy="1271905"/>
            <wp:effectExtent l="9525" t="9525" r="26670" b="13970"/>
            <wp:docPr id="1993144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44929" name="Picture 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02605" cy="1271905"/>
                    </a:xfrm>
                    <a:prstGeom prst="rect">
                      <a:avLst/>
                    </a:prstGeom>
                    <a:ln>
                      <a:solidFill>
                        <a:schemeClr val="tx1"/>
                      </a:solidFill>
                    </a:ln>
                  </pic:spPr>
                </pic:pic>
              </a:graphicData>
            </a:graphic>
          </wp:inline>
        </w:drawing>
      </w:r>
    </w:p>
    <w:p w14:paraId="7478241E"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17 Trial 2- 20 µg/ml dapagliflozin + 50 µg/ml eplerenone, M.P- Water : Methanol (40:60 %v/v)</w:t>
      </w:r>
    </w:p>
    <w:p w14:paraId="400E79B3"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825B935" wp14:editId="7A3EE843">
            <wp:extent cx="5062220" cy="1466850"/>
            <wp:effectExtent l="9525" t="9525" r="14605" b="9525"/>
            <wp:docPr id="778138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38030" name="Pictur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062220" cy="1466850"/>
                    </a:xfrm>
                    <a:prstGeom prst="rect">
                      <a:avLst/>
                    </a:prstGeom>
                    <a:ln>
                      <a:solidFill>
                        <a:schemeClr val="tx1"/>
                      </a:solidFill>
                    </a:ln>
                  </pic:spPr>
                </pic:pic>
              </a:graphicData>
            </a:graphic>
          </wp:inline>
        </w:drawing>
      </w:r>
    </w:p>
    <w:p w14:paraId="065FA9F6"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18 Trial 3- 20 µg/ml dapagliflozin + 50 µg/ml eplerenone, M.P- Water : Acetonitrile (50:50 %v/v)</w:t>
      </w:r>
    </w:p>
    <w:p w14:paraId="1F08055B"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A615384" wp14:editId="62CDCE7C">
            <wp:extent cx="4757420" cy="1351280"/>
            <wp:effectExtent l="9525" t="9525" r="14605" b="10795"/>
            <wp:docPr id="1504122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2729" name="Picture 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757420" cy="1351280"/>
                    </a:xfrm>
                    <a:prstGeom prst="rect">
                      <a:avLst/>
                    </a:prstGeom>
                    <a:ln>
                      <a:solidFill>
                        <a:schemeClr val="tx1"/>
                      </a:solidFill>
                    </a:ln>
                  </pic:spPr>
                </pic:pic>
              </a:graphicData>
            </a:graphic>
          </wp:inline>
        </w:drawing>
      </w:r>
    </w:p>
    <w:p w14:paraId="11C23660" w14:textId="77777777" w:rsidR="001D04B0" w:rsidRDefault="00000000">
      <w:pPr>
        <w:tabs>
          <w:tab w:val="left" w:pos="2595"/>
        </w:tabs>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Figure 19 Trial 4- 20 µg/ml dapagliflozin + 50 µg/ml eplerenone, M.P- Water : Acetonitrile (60:40 %v/v)</w:t>
      </w:r>
    </w:p>
    <w:p w14:paraId="62ACAAD5" w14:textId="77777777" w:rsidR="001D04B0" w:rsidRDefault="00000000">
      <w:pPr>
        <w:tabs>
          <w:tab w:val="left" w:pos="2595"/>
        </w:tabs>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C775B98" wp14:editId="5A0182F3">
            <wp:extent cx="4531360" cy="1252855"/>
            <wp:effectExtent l="9525" t="9525" r="12065" b="13970"/>
            <wp:docPr id="635084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84270"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531360" cy="1252855"/>
                    </a:xfrm>
                    <a:prstGeom prst="rect">
                      <a:avLst/>
                    </a:prstGeom>
                    <a:ln>
                      <a:solidFill>
                        <a:schemeClr val="tx1"/>
                      </a:solidFill>
                    </a:ln>
                  </pic:spPr>
                </pic:pic>
              </a:graphicData>
            </a:graphic>
          </wp:inline>
        </w:drawing>
      </w:r>
    </w:p>
    <w:p w14:paraId="1522A2CB"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20 Trial 5- 20 µg/ml dapagliflozin + 50 µg/ml eplerenone, M.P- Phosphate buffer : Methanol (50:50 %v/v)</w:t>
      </w:r>
    </w:p>
    <w:p w14:paraId="6CCC116C"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7098EFB" wp14:editId="14BED97A">
            <wp:extent cx="4538980" cy="1438910"/>
            <wp:effectExtent l="9525" t="9525" r="23495" b="18415"/>
            <wp:docPr id="58674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4150" name="Picture 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538980" cy="1438910"/>
                    </a:xfrm>
                    <a:prstGeom prst="rect">
                      <a:avLst/>
                    </a:prstGeom>
                    <a:ln>
                      <a:solidFill>
                        <a:schemeClr val="tx1"/>
                      </a:solidFill>
                    </a:ln>
                  </pic:spPr>
                </pic:pic>
              </a:graphicData>
            </a:graphic>
          </wp:inline>
        </w:drawing>
      </w:r>
    </w:p>
    <w:p w14:paraId="6BC5479B"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21 Trial 6- 20 µg/ml dapagliflozin + 50 µg/ml eplerenone, M.P- Phosphate buffer : Methanol (30:70 %v/v)</w:t>
      </w:r>
    </w:p>
    <w:p w14:paraId="0A58EA64"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21 Optimized chromatographic conditions</w:t>
      </w:r>
    </w:p>
    <w:tbl>
      <w:tblPr>
        <w:tblStyle w:val="TableGrid"/>
        <w:tblW w:w="10589" w:type="dxa"/>
        <w:tblLook w:val="04A0" w:firstRow="1" w:lastRow="0" w:firstColumn="1" w:lastColumn="0" w:noHBand="0" w:noVBand="1"/>
      </w:tblPr>
      <w:tblGrid>
        <w:gridCol w:w="1659"/>
        <w:gridCol w:w="8930"/>
      </w:tblGrid>
      <w:tr w:rsidR="001D04B0" w14:paraId="098EAFA7" w14:textId="77777777">
        <w:trPr>
          <w:trHeight w:val="409"/>
        </w:trPr>
        <w:tc>
          <w:tcPr>
            <w:tcW w:w="1659" w:type="dxa"/>
          </w:tcPr>
          <w:p w14:paraId="1024B328"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Stationary Phase </w:t>
            </w:r>
          </w:p>
        </w:tc>
        <w:tc>
          <w:tcPr>
            <w:tcW w:w="8930" w:type="dxa"/>
          </w:tcPr>
          <w:p w14:paraId="6AF9BB2D" w14:textId="77777777" w:rsidR="001D04B0" w:rsidRDefault="00000000">
            <w:pPr>
              <w:tabs>
                <w:tab w:val="left" w:pos="2595"/>
              </w:tabs>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Cosmosil C18 (250 cm×4.6 mm, 5µm)</w:t>
            </w:r>
          </w:p>
        </w:tc>
      </w:tr>
      <w:tr w:rsidR="001D04B0" w14:paraId="6F62F6EB" w14:textId="77777777">
        <w:trPr>
          <w:trHeight w:val="409"/>
        </w:trPr>
        <w:tc>
          <w:tcPr>
            <w:tcW w:w="1659" w:type="dxa"/>
          </w:tcPr>
          <w:p w14:paraId="41F54859"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Mobile Phase (v/v) </w:t>
            </w:r>
          </w:p>
        </w:tc>
        <w:tc>
          <w:tcPr>
            <w:tcW w:w="8930" w:type="dxa"/>
          </w:tcPr>
          <w:p w14:paraId="79E55E63"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Phosphate Buffer: Methanol (30:70%v/v)</w:t>
            </w:r>
          </w:p>
        </w:tc>
      </w:tr>
      <w:tr w:rsidR="001D04B0" w14:paraId="3AFA1C02" w14:textId="77777777">
        <w:trPr>
          <w:trHeight w:val="409"/>
        </w:trPr>
        <w:tc>
          <w:tcPr>
            <w:tcW w:w="1659" w:type="dxa"/>
          </w:tcPr>
          <w:p w14:paraId="42A7986C"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Diluent</w:t>
            </w:r>
          </w:p>
        </w:tc>
        <w:tc>
          <w:tcPr>
            <w:tcW w:w="8930" w:type="dxa"/>
          </w:tcPr>
          <w:p w14:paraId="328F353C"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Methanol</w:t>
            </w:r>
          </w:p>
        </w:tc>
      </w:tr>
      <w:tr w:rsidR="001D04B0" w14:paraId="671227E8" w14:textId="77777777">
        <w:trPr>
          <w:trHeight w:val="409"/>
        </w:trPr>
        <w:tc>
          <w:tcPr>
            <w:tcW w:w="1659" w:type="dxa"/>
          </w:tcPr>
          <w:p w14:paraId="28115112"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Mode of elution</w:t>
            </w:r>
          </w:p>
        </w:tc>
        <w:tc>
          <w:tcPr>
            <w:tcW w:w="8930" w:type="dxa"/>
          </w:tcPr>
          <w:p w14:paraId="3B5FD8EF"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Isocratic</w:t>
            </w:r>
          </w:p>
        </w:tc>
      </w:tr>
      <w:tr w:rsidR="001D04B0" w14:paraId="7598A71C" w14:textId="77777777">
        <w:trPr>
          <w:trHeight w:val="409"/>
        </w:trPr>
        <w:tc>
          <w:tcPr>
            <w:tcW w:w="1659" w:type="dxa"/>
          </w:tcPr>
          <w:p w14:paraId="3E91DC61"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Flow Rate (mL/min) </w:t>
            </w:r>
          </w:p>
        </w:tc>
        <w:tc>
          <w:tcPr>
            <w:tcW w:w="8930" w:type="dxa"/>
          </w:tcPr>
          <w:p w14:paraId="7CC03AB2"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 ml/min</w:t>
            </w:r>
          </w:p>
        </w:tc>
      </w:tr>
      <w:tr w:rsidR="001D04B0" w14:paraId="7750C962" w14:textId="77777777">
        <w:trPr>
          <w:trHeight w:val="409"/>
        </w:trPr>
        <w:tc>
          <w:tcPr>
            <w:tcW w:w="1659" w:type="dxa"/>
          </w:tcPr>
          <w:p w14:paraId="7C4FE577"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Detection Wavelength (nm)</w:t>
            </w:r>
          </w:p>
        </w:tc>
        <w:tc>
          <w:tcPr>
            <w:tcW w:w="8930" w:type="dxa"/>
          </w:tcPr>
          <w:p w14:paraId="2022EFA8"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228 nm</w:t>
            </w:r>
          </w:p>
        </w:tc>
      </w:tr>
      <w:tr w:rsidR="001D04B0" w14:paraId="0635882B" w14:textId="77777777">
        <w:trPr>
          <w:trHeight w:val="409"/>
        </w:trPr>
        <w:tc>
          <w:tcPr>
            <w:tcW w:w="1659" w:type="dxa"/>
          </w:tcPr>
          <w:p w14:paraId="714AAE22"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Column Temperature </w:t>
            </w:r>
          </w:p>
        </w:tc>
        <w:tc>
          <w:tcPr>
            <w:tcW w:w="8930" w:type="dxa"/>
          </w:tcPr>
          <w:p w14:paraId="5907402B"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 °C</w:t>
            </w:r>
          </w:p>
        </w:tc>
      </w:tr>
      <w:tr w:rsidR="001D04B0" w14:paraId="33515BFC" w14:textId="77777777">
        <w:trPr>
          <w:trHeight w:val="409"/>
        </w:trPr>
        <w:tc>
          <w:tcPr>
            <w:tcW w:w="1659" w:type="dxa"/>
          </w:tcPr>
          <w:p w14:paraId="4EB5853B"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Injection Volume (µL) </w:t>
            </w:r>
          </w:p>
        </w:tc>
        <w:tc>
          <w:tcPr>
            <w:tcW w:w="8930" w:type="dxa"/>
          </w:tcPr>
          <w:p w14:paraId="24C4F756"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 µL</w:t>
            </w:r>
          </w:p>
        </w:tc>
      </w:tr>
      <w:tr w:rsidR="001D04B0" w14:paraId="1D1A7FFA" w14:textId="77777777">
        <w:trPr>
          <w:trHeight w:val="409"/>
        </w:trPr>
        <w:tc>
          <w:tcPr>
            <w:tcW w:w="1659" w:type="dxa"/>
          </w:tcPr>
          <w:p w14:paraId="53429FCC"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Run Time (minutes) </w:t>
            </w:r>
          </w:p>
        </w:tc>
        <w:tc>
          <w:tcPr>
            <w:tcW w:w="8930" w:type="dxa"/>
          </w:tcPr>
          <w:p w14:paraId="3DF9395D"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 min</w:t>
            </w:r>
          </w:p>
        </w:tc>
      </w:tr>
      <w:tr w:rsidR="001D04B0" w14:paraId="33DC5860" w14:textId="77777777">
        <w:trPr>
          <w:trHeight w:val="90"/>
        </w:trPr>
        <w:tc>
          <w:tcPr>
            <w:tcW w:w="1659" w:type="dxa"/>
          </w:tcPr>
          <w:p w14:paraId="1CAC4F79"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Retention time (minutes)</w:t>
            </w:r>
          </w:p>
        </w:tc>
        <w:tc>
          <w:tcPr>
            <w:tcW w:w="8930" w:type="dxa"/>
          </w:tcPr>
          <w:p w14:paraId="19718A89"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DAPA- 6.2 min, EPLE- 2.6 min</w:t>
            </w:r>
          </w:p>
        </w:tc>
      </w:tr>
    </w:tbl>
    <w:p w14:paraId="273733F7" w14:textId="77777777" w:rsidR="001D04B0" w:rsidRDefault="001D04B0">
      <w:pPr>
        <w:tabs>
          <w:tab w:val="left" w:pos="2595"/>
        </w:tabs>
        <w:spacing w:line="240" w:lineRule="auto"/>
        <w:jc w:val="both"/>
        <w:rPr>
          <w:rFonts w:ascii="Times New Roman" w:hAnsi="Times New Roman" w:cs="Times New Roman"/>
          <w:b/>
          <w:bCs/>
          <w:sz w:val="24"/>
          <w:szCs w:val="24"/>
        </w:rPr>
      </w:pPr>
    </w:p>
    <w:p w14:paraId="0BD16373"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System suitability parameters</w:t>
      </w:r>
    </w:p>
    <w:p w14:paraId="7AE0E8A6" w14:textId="77777777" w:rsidR="001D04B0" w:rsidRDefault="00000000">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DAPA + EPLE solution at concentrations of 20 and 50 µg/mL was injected five times to evaluate system suitability test (SST) parameters, including retention time (Rt), number of theoretical plates, peak area, resolution and tailing factor (n = 5).</w:t>
      </w:r>
    </w:p>
    <w:p w14:paraId="214A1926"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22 System suitability parameters for DAPA (n = 5)</w:t>
      </w:r>
    </w:p>
    <w:tbl>
      <w:tblPr>
        <w:tblStyle w:val="TableGrid"/>
        <w:tblW w:w="10521" w:type="dxa"/>
        <w:tblLook w:val="04A0" w:firstRow="1" w:lastRow="0" w:firstColumn="1" w:lastColumn="0" w:noHBand="0" w:noVBand="1"/>
      </w:tblPr>
      <w:tblGrid>
        <w:gridCol w:w="2223"/>
        <w:gridCol w:w="2844"/>
        <w:gridCol w:w="5454"/>
      </w:tblGrid>
      <w:tr w:rsidR="001D04B0" w14:paraId="5D37D897" w14:textId="77777777">
        <w:trPr>
          <w:trHeight w:val="670"/>
        </w:trPr>
        <w:tc>
          <w:tcPr>
            <w:tcW w:w="2223" w:type="dxa"/>
          </w:tcPr>
          <w:p w14:paraId="32B38F90"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Parameters</w:t>
            </w:r>
          </w:p>
        </w:tc>
        <w:tc>
          <w:tcPr>
            <w:tcW w:w="2844" w:type="dxa"/>
          </w:tcPr>
          <w:p w14:paraId="2D97491A"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Mean ± SD</w:t>
            </w:r>
          </w:p>
        </w:tc>
        <w:tc>
          <w:tcPr>
            <w:tcW w:w="5454" w:type="dxa"/>
          </w:tcPr>
          <w:p w14:paraId="1FDC305B"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 RSD</w:t>
            </w:r>
          </w:p>
        </w:tc>
      </w:tr>
      <w:tr w:rsidR="001D04B0" w14:paraId="56C94379" w14:textId="77777777">
        <w:trPr>
          <w:trHeight w:val="670"/>
        </w:trPr>
        <w:tc>
          <w:tcPr>
            <w:tcW w:w="2223" w:type="dxa"/>
          </w:tcPr>
          <w:p w14:paraId="427D0846"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Retention time</w:t>
            </w:r>
          </w:p>
        </w:tc>
        <w:tc>
          <w:tcPr>
            <w:tcW w:w="2844" w:type="dxa"/>
          </w:tcPr>
          <w:p w14:paraId="51B34317"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6.19 ± 0.04</w:t>
            </w:r>
          </w:p>
        </w:tc>
        <w:tc>
          <w:tcPr>
            <w:tcW w:w="5454" w:type="dxa"/>
          </w:tcPr>
          <w:p w14:paraId="6521A524"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0.72</w:t>
            </w:r>
          </w:p>
        </w:tc>
      </w:tr>
      <w:tr w:rsidR="001D04B0" w14:paraId="29B7A4DE" w14:textId="77777777">
        <w:trPr>
          <w:trHeight w:val="670"/>
        </w:trPr>
        <w:tc>
          <w:tcPr>
            <w:tcW w:w="2223" w:type="dxa"/>
          </w:tcPr>
          <w:p w14:paraId="022E5A4B"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Tailing factor</w:t>
            </w:r>
          </w:p>
        </w:tc>
        <w:tc>
          <w:tcPr>
            <w:tcW w:w="2844" w:type="dxa"/>
          </w:tcPr>
          <w:p w14:paraId="474AA0D9"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1.03 ± 0.02</w:t>
            </w:r>
          </w:p>
        </w:tc>
        <w:tc>
          <w:tcPr>
            <w:tcW w:w="5454" w:type="dxa"/>
          </w:tcPr>
          <w:p w14:paraId="1509881E"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1D04B0" w14:paraId="2A4BBEBC" w14:textId="77777777">
        <w:trPr>
          <w:trHeight w:val="670"/>
        </w:trPr>
        <w:tc>
          <w:tcPr>
            <w:tcW w:w="2223" w:type="dxa"/>
          </w:tcPr>
          <w:p w14:paraId="053C9472"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Theoretical plates</w:t>
            </w:r>
          </w:p>
        </w:tc>
        <w:tc>
          <w:tcPr>
            <w:tcW w:w="2844" w:type="dxa"/>
          </w:tcPr>
          <w:p w14:paraId="00178AF2"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7502.60 ±16.62</w:t>
            </w:r>
          </w:p>
        </w:tc>
        <w:tc>
          <w:tcPr>
            <w:tcW w:w="5454" w:type="dxa"/>
          </w:tcPr>
          <w:p w14:paraId="223A1BDD"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0.22</w:t>
            </w:r>
          </w:p>
        </w:tc>
      </w:tr>
      <w:tr w:rsidR="001D04B0" w14:paraId="0B328B8D" w14:textId="77777777">
        <w:trPr>
          <w:trHeight w:val="670"/>
        </w:trPr>
        <w:tc>
          <w:tcPr>
            <w:tcW w:w="2223" w:type="dxa"/>
          </w:tcPr>
          <w:p w14:paraId="36E1046B"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Area</w:t>
            </w:r>
          </w:p>
        </w:tc>
        <w:tc>
          <w:tcPr>
            <w:tcW w:w="2844" w:type="dxa"/>
          </w:tcPr>
          <w:p w14:paraId="717359B4"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111676.80 ± 15.07</w:t>
            </w:r>
          </w:p>
        </w:tc>
        <w:tc>
          <w:tcPr>
            <w:tcW w:w="5454" w:type="dxa"/>
          </w:tcPr>
          <w:p w14:paraId="7145509D"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1D04B0" w14:paraId="56E46523" w14:textId="77777777">
        <w:trPr>
          <w:trHeight w:val="681"/>
        </w:trPr>
        <w:tc>
          <w:tcPr>
            <w:tcW w:w="2223" w:type="dxa"/>
          </w:tcPr>
          <w:p w14:paraId="2D206515"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Resolution</w:t>
            </w:r>
          </w:p>
        </w:tc>
        <w:tc>
          <w:tcPr>
            <w:tcW w:w="2844" w:type="dxa"/>
          </w:tcPr>
          <w:p w14:paraId="4ED2ADB2"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16.30 </w:t>
            </w:r>
            <w:r>
              <w:rPr>
                <w:rFonts w:ascii="Times New Roman" w:hAnsi="Times New Roman" w:cs="Times New Roman"/>
                <w:sz w:val="24"/>
                <w:szCs w:val="24"/>
              </w:rPr>
              <w:t>± 0.24</w:t>
            </w:r>
          </w:p>
        </w:tc>
        <w:tc>
          <w:tcPr>
            <w:tcW w:w="5454" w:type="dxa"/>
          </w:tcPr>
          <w:p w14:paraId="035E620E"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1.46</w:t>
            </w:r>
          </w:p>
        </w:tc>
      </w:tr>
    </w:tbl>
    <w:p w14:paraId="1308D672" w14:textId="77777777" w:rsidR="001D04B0" w:rsidRDefault="001D04B0">
      <w:pPr>
        <w:tabs>
          <w:tab w:val="left" w:pos="2595"/>
        </w:tabs>
        <w:spacing w:line="240" w:lineRule="auto"/>
        <w:jc w:val="both"/>
        <w:rPr>
          <w:rFonts w:ascii="Times New Roman" w:hAnsi="Times New Roman" w:cs="Times New Roman"/>
          <w:sz w:val="24"/>
          <w:szCs w:val="24"/>
        </w:rPr>
      </w:pPr>
    </w:p>
    <w:p w14:paraId="55178803"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23 System suitability parameters for EPLE (n = 5)</w:t>
      </w:r>
    </w:p>
    <w:tbl>
      <w:tblPr>
        <w:tblStyle w:val="TableGrid"/>
        <w:tblW w:w="10548" w:type="dxa"/>
        <w:tblLook w:val="04A0" w:firstRow="1" w:lastRow="0" w:firstColumn="1" w:lastColumn="0" w:noHBand="0" w:noVBand="1"/>
      </w:tblPr>
      <w:tblGrid>
        <w:gridCol w:w="2021"/>
        <w:gridCol w:w="3059"/>
        <w:gridCol w:w="5468"/>
      </w:tblGrid>
      <w:tr w:rsidR="001D04B0" w14:paraId="21BBE061" w14:textId="77777777">
        <w:trPr>
          <w:trHeight w:val="617"/>
        </w:trPr>
        <w:tc>
          <w:tcPr>
            <w:tcW w:w="2021" w:type="dxa"/>
          </w:tcPr>
          <w:p w14:paraId="02C9C890"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Parameters</w:t>
            </w:r>
          </w:p>
        </w:tc>
        <w:tc>
          <w:tcPr>
            <w:tcW w:w="3059" w:type="dxa"/>
          </w:tcPr>
          <w:p w14:paraId="121FFE41"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Mean ± SD</w:t>
            </w:r>
          </w:p>
        </w:tc>
        <w:tc>
          <w:tcPr>
            <w:tcW w:w="5468" w:type="dxa"/>
          </w:tcPr>
          <w:p w14:paraId="7069B118"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 RSD</w:t>
            </w:r>
          </w:p>
        </w:tc>
      </w:tr>
      <w:tr w:rsidR="001D04B0" w14:paraId="308B0745" w14:textId="77777777">
        <w:trPr>
          <w:trHeight w:val="617"/>
        </w:trPr>
        <w:tc>
          <w:tcPr>
            <w:tcW w:w="2021" w:type="dxa"/>
          </w:tcPr>
          <w:p w14:paraId="3F9BAA0D"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Retention time</w:t>
            </w:r>
          </w:p>
        </w:tc>
        <w:tc>
          <w:tcPr>
            <w:tcW w:w="3059" w:type="dxa"/>
          </w:tcPr>
          <w:p w14:paraId="51D79322"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2.66 ± 0.03</w:t>
            </w:r>
          </w:p>
        </w:tc>
        <w:tc>
          <w:tcPr>
            <w:tcW w:w="5468" w:type="dxa"/>
          </w:tcPr>
          <w:p w14:paraId="56345418"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0.97</w:t>
            </w:r>
          </w:p>
        </w:tc>
      </w:tr>
      <w:tr w:rsidR="001D04B0" w14:paraId="7276BDBA" w14:textId="77777777">
        <w:trPr>
          <w:trHeight w:val="617"/>
        </w:trPr>
        <w:tc>
          <w:tcPr>
            <w:tcW w:w="2021" w:type="dxa"/>
          </w:tcPr>
          <w:p w14:paraId="60A2A0C8"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Tailing factor</w:t>
            </w:r>
          </w:p>
        </w:tc>
        <w:tc>
          <w:tcPr>
            <w:tcW w:w="3059" w:type="dxa"/>
          </w:tcPr>
          <w:p w14:paraId="59FEF3C5"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1.28 ± 0.01</w:t>
            </w:r>
          </w:p>
        </w:tc>
        <w:tc>
          <w:tcPr>
            <w:tcW w:w="5468" w:type="dxa"/>
          </w:tcPr>
          <w:p w14:paraId="24DAA19D"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.78</w:t>
            </w:r>
          </w:p>
        </w:tc>
      </w:tr>
      <w:tr w:rsidR="001D04B0" w14:paraId="6562132A" w14:textId="77777777">
        <w:trPr>
          <w:trHeight w:val="617"/>
        </w:trPr>
        <w:tc>
          <w:tcPr>
            <w:tcW w:w="2021" w:type="dxa"/>
          </w:tcPr>
          <w:p w14:paraId="50598387"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Theoretical plates</w:t>
            </w:r>
          </w:p>
        </w:tc>
        <w:tc>
          <w:tcPr>
            <w:tcW w:w="3059" w:type="dxa"/>
          </w:tcPr>
          <w:p w14:paraId="1517AEBB"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4045.80 ± 9.15</w:t>
            </w:r>
          </w:p>
        </w:tc>
        <w:tc>
          <w:tcPr>
            <w:tcW w:w="5468" w:type="dxa"/>
          </w:tcPr>
          <w:p w14:paraId="489709DC"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.23</w:t>
            </w:r>
          </w:p>
        </w:tc>
      </w:tr>
      <w:tr w:rsidR="001D04B0" w14:paraId="204BD722" w14:textId="77777777">
        <w:trPr>
          <w:trHeight w:val="617"/>
        </w:trPr>
        <w:tc>
          <w:tcPr>
            <w:tcW w:w="2021" w:type="dxa"/>
          </w:tcPr>
          <w:p w14:paraId="7E860EB7"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Area</w:t>
            </w:r>
          </w:p>
        </w:tc>
        <w:tc>
          <w:tcPr>
            <w:tcW w:w="3059" w:type="dxa"/>
          </w:tcPr>
          <w:p w14:paraId="77EF8839"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134361.80 ± 19.24</w:t>
            </w:r>
          </w:p>
        </w:tc>
        <w:tc>
          <w:tcPr>
            <w:tcW w:w="5468" w:type="dxa"/>
          </w:tcPr>
          <w:p w14:paraId="3B49FBC0"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1D04B0" w14:paraId="3856A10B" w14:textId="77777777">
        <w:trPr>
          <w:trHeight w:val="627"/>
        </w:trPr>
        <w:tc>
          <w:tcPr>
            <w:tcW w:w="2021" w:type="dxa"/>
          </w:tcPr>
          <w:p w14:paraId="1888F9C9"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Resolution</w:t>
            </w:r>
          </w:p>
        </w:tc>
        <w:tc>
          <w:tcPr>
            <w:tcW w:w="3059" w:type="dxa"/>
          </w:tcPr>
          <w:p w14:paraId="59E363F7"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5468" w:type="dxa"/>
          </w:tcPr>
          <w:p w14:paraId="037EF3AB" w14:textId="77777777" w:rsidR="001D04B0" w:rsidRDefault="00000000">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bl>
    <w:p w14:paraId="6E6CE621" w14:textId="77777777" w:rsidR="001D04B0" w:rsidRDefault="001D04B0">
      <w:pPr>
        <w:tabs>
          <w:tab w:val="left" w:pos="2595"/>
        </w:tabs>
        <w:spacing w:line="240" w:lineRule="auto"/>
        <w:jc w:val="both"/>
        <w:rPr>
          <w:rFonts w:ascii="Times New Roman" w:hAnsi="Times New Roman" w:cs="Times New Roman"/>
          <w:sz w:val="24"/>
          <w:szCs w:val="24"/>
        </w:rPr>
      </w:pPr>
    </w:p>
    <w:p w14:paraId="62C57699"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Forced Degradation studies</w:t>
      </w:r>
    </w:p>
    <w:p w14:paraId="4C63BA1A"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Acid hydrolysis</w:t>
      </w:r>
    </w:p>
    <w:p w14:paraId="28E74E37" w14:textId="77777777" w:rsidR="001D04B0" w:rsidRDefault="00000000">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A9C9D3" wp14:editId="24B09FCF">
            <wp:extent cx="6330950" cy="1162685"/>
            <wp:effectExtent l="9525" t="9525" r="22225" b="27940"/>
            <wp:docPr id="32499564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4995644" name="Content Placeholder 3"/>
                    <pic:cNvPicPr>
                      <a:picLocks noGrp="1"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330950" cy="1162685"/>
                    </a:xfrm>
                    <a:prstGeom prst="rect">
                      <a:avLst/>
                    </a:prstGeom>
                    <a:ln>
                      <a:solidFill>
                        <a:schemeClr val="tx1"/>
                      </a:solidFill>
                    </a:ln>
                  </pic:spPr>
                </pic:pic>
              </a:graphicData>
            </a:graphic>
          </wp:inline>
        </w:drawing>
      </w:r>
    </w:p>
    <w:p w14:paraId="4CB0547E" w14:textId="77777777" w:rsidR="001D04B0" w:rsidRDefault="00000000">
      <w:pPr>
        <w:tabs>
          <w:tab w:val="left" w:pos="2595"/>
        </w:tabs>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22 </w:t>
      </w:r>
      <w:r>
        <w:rPr>
          <w:rFonts w:ascii="Times New Roman" w:hAnsi="Times New Roman" w:cs="Times New Roman"/>
          <w:b/>
          <w:bCs/>
          <w:sz w:val="24"/>
          <w:szCs w:val="24"/>
          <w:lang w:val="en-US"/>
        </w:rPr>
        <w:t>Acid blank</w:t>
      </w:r>
    </w:p>
    <w:p w14:paraId="23A64EAD" w14:textId="77777777" w:rsidR="001D04B0" w:rsidRDefault="00000000">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6EFA14A" wp14:editId="520B6C99">
            <wp:extent cx="6120765" cy="1261745"/>
            <wp:effectExtent l="9525" t="9525" r="22860" b="24130"/>
            <wp:docPr id="1156995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5204" name="Picture 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20765" cy="1261745"/>
                    </a:xfrm>
                    <a:prstGeom prst="rect">
                      <a:avLst/>
                    </a:prstGeom>
                    <a:ln>
                      <a:solidFill>
                        <a:schemeClr val="tx1"/>
                      </a:solidFill>
                    </a:ln>
                  </pic:spPr>
                </pic:pic>
              </a:graphicData>
            </a:graphic>
          </wp:inline>
        </w:drawing>
      </w:r>
    </w:p>
    <w:p w14:paraId="3E2501B7" w14:textId="77777777" w:rsidR="001D04B0" w:rsidRDefault="00000000">
      <w:pPr>
        <w:tabs>
          <w:tab w:val="left" w:pos="2595"/>
        </w:tabs>
        <w:spacing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Figure 23 Standard API</w:t>
      </w:r>
    </w:p>
    <w:p w14:paraId="2CBF8C2B" w14:textId="77777777" w:rsidR="001D04B0" w:rsidRDefault="00000000">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B5205D2" wp14:editId="34B613C5">
            <wp:extent cx="6203315" cy="1153795"/>
            <wp:effectExtent l="9525" t="9525" r="16510" b="1778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203315" cy="1153795"/>
                    </a:xfrm>
                    <a:prstGeom prst="rect">
                      <a:avLst/>
                    </a:prstGeom>
                    <a:ln>
                      <a:solidFill>
                        <a:schemeClr val="tx1"/>
                      </a:solidFill>
                    </a:ln>
                  </pic:spPr>
                </pic:pic>
              </a:graphicData>
            </a:graphic>
          </wp:inline>
        </w:drawing>
      </w:r>
    </w:p>
    <w:p w14:paraId="4B711A6C" w14:textId="77777777" w:rsidR="001D04B0" w:rsidRDefault="00000000">
      <w:pPr>
        <w:pStyle w:val="ListParagraph"/>
        <w:tabs>
          <w:tab w:val="left" w:pos="2595"/>
        </w:tabs>
        <w:spacing w:line="240" w:lineRule="auto"/>
        <w:ind w:left="567"/>
        <w:contextualSpacing w:val="0"/>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24 </w:t>
      </w:r>
      <w:r>
        <w:rPr>
          <w:rFonts w:ascii="Times New Roman" w:hAnsi="Times New Roman" w:cs="Times New Roman"/>
          <w:b/>
          <w:bCs/>
          <w:sz w:val="24"/>
          <w:szCs w:val="24"/>
          <w:lang w:val="en-US"/>
        </w:rPr>
        <w:t>Sample of DAPA and EPLE for Acid degradation</w:t>
      </w:r>
    </w:p>
    <w:p w14:paraId="4D0F820B" w14:textId="77777777" w:rsidR="001D04B0" w:rsidRDefault="00000000">
      <w:pPr>
        <w:pStyle w:val="ListParagraph"/>
        <w:tabs>
          <w:tab w:val="left" w:pos="2595"/>
        </w:tabs>
        <w:spacing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The acid degradation study was performed by exposing the sample solution to acidic conditions to evaluate its stability behaviour. The chromatogram obtained after acid treatment showed noticeable degradation of the drug substance. A significant decrease in the peak area of the active pharmaceutical ingredient was observed compared to the untreated sample, indicating susceptibility to acid hydrolysis.</w:t>
      </w:r>
    </w:p>
    <w:p w14:paraId="66FCAD8B" w14:textId="77777777" w:rsidR="001D04B0" w:rsidRDefault="00000000">
      <w:pPr>
        <w:pStyle w:val="ListParagraph"/>
        <w:tabs>
          <w:tab w:val="left" w:pos="2595"/>
        </w:tabs>
        <w:spacing w:line="24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 Base hydrolysis</w:t>
      </w:r>
    </w:p>
    <w:p w14:paraId="069AADA1" w14:textId="77777777" w:rsidR="001D04B0" w:rsidRDefault="00000000">
      <w:pPr>
        <w:pStyle w:val="ListParagraph"/>
        <w:tabs>
          <w:tab w:val="left" w:pos="2595"/>
        </w:tabs>
        <w:spacing w:line="240" w:lineRule="auto"/>
        <w:ind w:left="0"/>
        <w:contextualSpacing w:val="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21352C" wp14:editId="3D01B333">
            <wp:extent cx="6391275" cy="1345565"/>
            <wp:effectExtent l="9525" t="9525" r="19050" b="16510"/>
            <wp:docPr id="90158488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584880" name="Content Placeholder 3"/>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391275" cy="1345565"/>
                    </a:xfrm>
                    <a:prstGeom prst="rect">
                      <a:avLst/>
                    </a:prstGeom>
                    <a:ln>
                      <a:solidFill>
                        <a:schemeClr val="tx1"/>
                      </a:solidFill>
                    </a:ln>
                  </pic:spPr>
                </pic:pic>
              </a:graphicData>
            </a:graphic>
          </wp:inline>
        </w:drawing>
      </w:r>
    </w:p>
    <w:p w14:paraId="77039DD3" w14:textId="77777777" w:rsidR="001D04B0" w:rsidRDefault="001D04B0">
      <w:pPr>
        <w:pStyle w:val="ListParagraph"/>
        <w:tabs>
          <w:tab w:val="left" w:pos="2595"/>
        </w:tabs>
        <w:spacing w:line="240" w:lineRule="auto"/>
        <w:ind w:left="0"/>
        <w:contextualSpacing w:val="0"/>
        <w:jc w:val="center"/>
        <w:rPr>
          <w:rFonts w:ascii="Times New Roman" w:hAnsi="Times New Roman" w:cs="Times New Roman"/>
          <w:b/>
          <w:bCs/>
          <w:sz w:val="24"/>
          <w:szCs w:val="24"/>
        </w:rPr>
      </w:pPr>
    </w:p>
    <w:p w14:paraId="60CAAB86" w14:textId="77777777" w:rsidR="001D04B0" w:rsidRDefault="00000000">
      <w:pPr>
        <w:pStyle w:val="ListParagraph"/>
        <w:tabs>
          <w:tab w:val="left" w:pos="2595"/>
        </w:tabs>
        <w:spacing w:line="240" w:lineRule="auto"/>
        <w:ind w:left="0"/>
        <w:contextualSpacing w:val="0"/>
        <w:jc w:val="center"/>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Figure 25 </w:t>
      </w:r>
      <w:r>
        <w:rPr>
          <w:rFonts w:ascii="Times New Roman" w:hAnsi="Times New Roman" w:cs="Times New Roman"/>
          <w:b/>
          <w:bCs/>
          <w:sz w:val="24"/>
          <w:szCs w:val="24"/>
          <w:lang w:val="en-US"/>
        </w:rPr>
        <w:t>Base blank</w:t>
      </w:r>
    </w:p>
    <w:p w14:paraId="5A2327E4" w14:textId="77777777" w:rsidR="001D04B0" w:rsidRDefault="00000000">
      <w:pPr>
        <w:pStyle w:val="ListParagraph"/>
        <w:tabs>
          <w:tab w:val="left" w:pos="2595"/>
        </w:tabs>
        <w:spacing w:line="240" w:lineRule="auto"/>
        <w:ind w:left="0"/>
        <w:contextualSpacing w:val="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4479AE" wp14:editId="2EFCCCFF">
            <wp:extent cx="5158105" cy="1288415"/>
            <wp:effectExtent l="9525" t="9525" r="13970" b="16510"/>
            <wp:docPr id="1232240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40511" name="Picture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158105" cy="1288415"/>
                    </a:xfrm>
                    <a:prstGeom prst="rect">
                      <a:avLst/>
                    </a:prstGeom>
                    <a:ln>
                      <a:solidFill>
                        <a:schemeClr val="tx1"/>
                      </a:solidFill>
                    </a:ln>
                  </pic:spPr>
                </pic:pic>
              </a:graphicData>
            </a:graphic>
          </wp:inline>
        </w:drawing>
      </w:r>
    </w:p>
    <w:p w14:paraId="11BE4B78" w14:textId="77777777" w:rsidR="001D04B0" w:rsidRDefault="00000000">
      <w:pPr>
        <w:spacing w:line="240" w:lineRule="auto"/>
        <w:ind w:firstLineChars="650" w:firstLine="1566"/>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26 </w:t>
      </w:r>
      <w:r>
        <w:rPr>
          <w:rFonts w:ascii="Times New Roman" w:hAnsi="Times New Roman" w:cs="Times New Roman"/>
          <w:b/>
          <w:bCs/>
          <w:sz w:val="24"/>
          <w:szCs w:val="24"/>
          <w:lang w:val="en-US"/>
        </w:rPr>
        <w:t>Standard API</w:t>
      </w:r>
    </w:p>
    <w:p w14:paraId="4C61F4D0"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5122BC" wp14:editId="4AAE66CE">
            <wp:extent cx="4566285" cy="1408430"/>
            <wp:effectExtent l="9525" t="9525" r="15240" b="1079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566285" cy="1408430"/>
                    </a:xfrm>
                    <a:prstGeom prst="rect">
                      <a:avLst/>
                    </a:prstGeom>
                    <a:ln>
                      <a:solidFill>
                        <a:schemeClr val="tx1"/>
                      </a:solidFill>
                    </a:ln>
                  </pic:spPr>
                </pic:pic>
              </a:graphicData>
            </a:graphic>
          </wp:inline>
        </w:drawing>
      </w:r>
    </w:p>
    <w:p w14:paraId="64F9AE92" w14:textId="77777777" w:rsidR="001D04B0" w:rsidRDefault="00000000">
      <w:pPr>
        <w:spacing w:line="240" w:lineRule="auto"/>
        <w:ind w:firstLineChars="900" w:firstLine="2168"/>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27 </w:t>
      </w:r>
      <w:r>
        <w:rPr>
          <w:rFonts w:ascii="Times New Roman" w:hAnsi="Times New Roman" w:cs="Times New Roman"/>
          <w:b/>
          <w:bCs/>
          <w:sz w:val="24"/>
          <w:szCs w:val="24"/>
          <w:lang w:val="en-US"/>
        </w:rPr>
        <w:t>Sample of DAPA and EPLE for Base degradation</w:t>
      </w:r>
    </w:p>
    <w:p w14:paraId="59AAFD2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base hydrolysis study was conducted by exposing the drug solution to alkaline conditions to evaluate its stability under basic stress. After treatment, the chromatogram showed a noticeable reduction in the peak area of the active pharmaceutical ingredient when compared to the untreated standard solution, indicating degradation under alkaline conditions. Additional peaks corresponding to degradation products were observed at different retention times. These degradant peaks were well separated from the principal drug peak, confirming the specificity and stability-indicating nature of the developed analytical method.</w:t>
      </w:r>
    </w:p>
    <w:p w14:paraId="0FBF243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Peroxide hydrolysis</w:t>
      </w:r>
    </w:p>
    <w:p w14:paraId="32DCA09B"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FAAC4E1" wp14:editId="754FAF9F">
            <wp:extent cx="6403340" cy="1303655"/>
            <wp:effectExtent l="9525" t="9525" r="26035" b="20320"/>
            <wp:docPr id="84053706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0537061" name="Content Placeholder 3"/>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403340" cy="1303655"/>
                    </a:xfrm>
                    <a:prstGeom prst="rect">
                      <a:avLst/>
                    </a:prstGeom>
                    <a:ln>
                      <a:solidFill>
                        <a:schemeClr val="tx1"/>
                      </a:solidFill>
                    </a:ln>
                  </pic:spPr>
                </pic:pic>
              </a:graphicData>
            </a:graphic>
          </wp:inline>
        </w:drawing>
      </w:r>
    </w:p>
    <w:p w14:paraId="550A193F" w14:textId="77777777" w:rsidR="001D04B0" w:rsidRDefault="00000000">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28 </w:t>
      </w:r>
      <w:r>
        <w:rPr>
          <w:rFonts w:ascii="Times New Roman" w:hAnsi="Times New Roman" w:cs="Times New Roman"/>
          <w:b/>
          <w:bCs/>
          <w:sz w:val="24"/>
          <w:szCs w:val="24"/>
          <w:lang w:val="en-US"/>
        </w:rPr>
        <w:t>Peroxide blank</w:t>
      </w:r>
    </w:p>
    <w:p w14:paraId="7F7775E7" w14:textId="77777777" w:rsidR="001D04B0" w:rsidRDefault="001D04B0">
      <w:pPr>
        <w:spacing w:line="240" w:lineRule="auto"/>
        <w:jc w:val="center"/>
        <w:rPr>
          <w:rFonts w:ascii="Times New Roman" w:hAnsi="Times New Roman" w:cs="Times New Roman"/>
          <w:b/>
          <w:bCs/>
          <w:sz w:val="24"/>
          <w:szCs w:val="24"/>
          <w:lang w:val="en-US"/>
        </w:rPr>
      </w:pPr>
    </w:p>
    <w:p w14:paraId="24F30DF7" w14:textId="77777777" w:rsidR="001D04B0" w:rsidRDefault="001D04B0">
      <w:pPr>
        <w:spacing w:line="240" w:lineRule="auto"/>
        <w:jc w:val="center"/>
        <w:rPr>
          <w:rFonts w:ascii="Times New Roman" w:hAnsi="Times New Roman" w:cs="Times New Roman"/>
          <w:b/>
          <w:bCs/>
          <w:sz w:val="24"/>
          <w:szCs w:val="24"/>
        </w:rPr>
      </w:pPr>
    </w:p>
    <w:p w14:paraId="1B6B77B4"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D115655" wp14:editId="6D29C02F">
            <wp:extent cx="4740910" cy="1220470"/>
            <wp:effectExtent l="9525" t="9525" r="12065" b="27305"/>
            <wp:docPr id="2183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947" name="Picture 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740910" cy="1220470"/>
                    </a:xfrm>
                    <a:prstGeom prst="rect">
                      <a:avLst/>
                    </a:prstGeom>
                    <a:ln>
                      <a:solidFill>
                        <a:schemeClr val="tx1"/>
                      </a:solidFill>
                    </a:ln>
                  </pic:spPr>
                </pic:pic>
              </a:graphicData>
            </a:graphic>
          </wp:inline>
        </w:drawing>
      </w:r>
    </w:p>
    <w:p w14:paraId="04DBE5FF" w14:textId="77777777" w:rsidR="001D04B0" w:rsidRDefault="00000000">
      <w:pPr>
        <w:spacing w:line="240" w:lineRule="auto"/>
        <w:ind w:firstLineChars="800" w:firstLine="1928"/>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29 </w:t>
      </w:r>
      <w:r>
        <w:rPr>
          <w:rFonts w:ascii="Times New Roman" w:hAnsi="Times New Roman" w:cs="Times New Roman"/>
          <w:b/>
          <w:bCs/>
          <w:sz w:val="24"/>
          <w:szCs w:val="24"/>
          <w:lang w:val="en-US"/>
        </w:rPr>
        <w:t>Standard API</w:t>
      </w:r>
    </w:p>
    <w:p w14:paraId="0313248F" w14:textId="77777777" w:rsidR="001D04B0" w:rsidRDefault="001D04B0">
      <w:pPr>
        <w:spacing w:line="240" w:lineRule="auto"/>
        <w:jc w:val="center"/>
        <w:rPr>
          <w:rFonts w:ascii="Times New Roman" w:hAnsi="Times New Roman" w:cs="Times New Roman"/>
          <w:b/>
          <w:bCs/>
          <w:sz w:val="24"/>
          <w:szCs w:val="24"/>
        </w:rPr>
      </w:pPr>
    </w:p>
    <w:p w14:paraId="106E28EA" w14:textId="77777777" w:rsidR="001D04B0" w:rsidRDefault="001D04B0">
      <w:pPr>
        <w:spacing w:line="240" w:lineRule="auto"/>
        <w:jc w:val="center"/>
        <w:rPr>
          <w:rFonts w:ascii="Times New Roman" w:hAnsi="Times New Roman" w:cs="Times New Roman"/>
          <w:b/>
          <w:bCs/>
          <w:sz w:val="24"/>
          <w:szCs w:val="24"/>
        </w:rPr>
      </w:pPr>
    </w:p>
    <w:p w14:paraId="6D245DDE" w14:textId="77777777" w:rsidR="001D04B0" w:rsidRDefault="001D04B0">
      <w:pPr>
        <w:spacing w:line="240" w:lineRule="auto"/>
        <w:jc w:val="center"/>
        <w:rPr>
          <w:rFonts w:ascii="Times New Roman" w:hAnsi="Times New Roman" w:cs="Times New Roman"/>
          <w:b/>
          <w:bCs/>
          <w:sz w:val="24"/>
          <w:szCs w:val="24"/>
        </w:rPr>
      </w:pPr>
    </w:p>
    <w:p w14:paraId="2731FBB8" w14:textId="77777777" w:rsidR="001D04B0" w:rsidRDefault="001D04B0">
      <w:pPr>
        <w:spacing w:line="240" w:lineRule="auto"/>
        <w:jc w:val="center"/>
        <w:rPr>
          <w:rFonts w:ascii="Times New Roman" w:hAnsi="Times New Roman" w:cs="Times New Roman"/>
          <w:b/>
          <w:bCs/>
          <w:sz w:val="24"/>
          <w:szCs w:val="24"/>
        </w:rPr>
      </w:pPr>
    </w:p>
    <w:p w14:paraId="4392953D"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5BECBF3" wp14:editId="33A3134D">
            <wp:extent cx="4660900" cy="1226185"/>
            <wp:effectExtent l="9525" t="9525" r="15875" b="21590"/>
            <wp:docPr id="157772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724"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660900" cy="1226185"/>
                    </a:xfrm>
                    <a:prstGeom prst="rect">
                      <a:avLst/>
                    </a:prstGeom>
                    <a:ln>
                      <a:solidFill>
                        <a:schemeClr val="tx1"/>
                      </a:solidFill>
                    </a:ln>
                  </pic:spPr>
                </pic:pic>
              </a:graphicData>
            </a:graphic>
          </wp:inline>
        </w:drawing>
      </w:r>
    </w:p>
    <w:p w14:paraId="6974255E" w14:textId="77777777" w:rsidR="001D04B0"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Figure 30 </w:t>
      </w:r>
      <w:r>
        <w:rPr>
          <w:rFonts w:ascii="Times New Roman" w:hAnsi="Times New Roman" w:cs="Times New Roman"/>
          <w:b/>
          <w:bCs/>
          <w:sz w:val="24"/>
          <w:szCs w:val="24"/>
          <w:lang w:val="en-US"/>
        </w:rPr>
        <w:t>Sample of DAPA and EPLE for Peroxide degradation</w:t>
      </w:r>
    </w:p>
    <w:p w14:paraId="27CA69AE"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oxidative degradation study was carried out by treating the drug solution with hydrogen peroxide to evaluate its stability under oxidative stress conditions. After the specified exposure period, the chromatogram exhibited a reduction in the peak area of the active pharmaceutical ingredient compared to the untreated sample, indicating susceptibility to oxidative degradation. One or more additional peaks corresponding to oxidative degradation products were observed at distinct retention times. These degradant peaks were well resolved from the principal drug peak, confirming the selectivity and stability-indicating capability of the developed analytical method.</w:t>
      </w:r>
    </w:p>
    <w:p w14:paraId="1B450C95"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Thermal Degradation</w:t>
      </w:r>
    </w:p>
    <w:p w14:paraId="430077D6"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2284BB7" wp14:editId="2EED5DAF">
            <wp:extent cx="6299835" cy="1478915"/>
            <wp:effectExtent l="9525" t="9525" r="15240" b="16510"/>
            <wp:docPr id="859820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20581" name="Pictur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299835" cy="1478915"/>
                    </a:xfrm>
                    <a:prstGeom prst="rect">
                      <a:avLst/>
                    </a:prstGeom>
                    <a:ln>
                      <a:solidFill>
                        <a:schemeClr val="tx1"/>
                      </a:solidFill>
                    </a:ln>
                  </pic:spPr>
                </pic:pic>
              </a:graphicData>
            </a:graphic>
          </wp:inline>
        </w:drawing>
      </w:r>
    </w:p>
    <w:p w14:paraId="04022011" w14:textId="77777777" w:rsidR="001D04B0" w:rsidRDefault="00000000">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31 </w:t>
      </w:r>
      <w:r>
        <w:rPr>
          <w:rFonts w:ascii="Times New Roman" w:hAnsi="Times New Roman" w:cs="Times New Roman"/>
          <w:b/>
          <w:bCs/>
          <w:sz w:val="24"/>
          <w:szCs w:val="24"/>
          <w:lang w:val="en-US"/>
        </w:rPr>
        <w:t>Standard API</w:t>
      </w:r>
    </w:p>
    <w:p w14:paraId="6094DF0D"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32FD0DF" wp14:editId="3C6CF419">
            <wp:extent cx="4813300" cy="1659890"/>
            <wp:effectExtent l="9525" t="9525" r="15875" b="26035"/>
            <wp:docPr id="1116294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4747" name="Picture 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813300" cy="1659890"/>
                    </a:xfrm>
                    <a:prstGeom prst="rect">
                      <a:avLst/>
                    </a:prstGeom>
                    <a:ln>
                      <a:solidFill>
                        <a:schemeClr val="tx1"/>
                      </a:solidFill>
                    </a:ln>
                  </pic:spPr>
                </pic:pic>
              </a:graphicData>
            </a:graphic>
          </wp:inline>
        </w:drawing>
      </w:r>
    </w:p>
    <w:p w14:paraId="4A3DDC60" w14:textId="77777777" w:rsidR="001D04B0" w:rsidRDefault="00000000">
      <w:pPr>
        <w:spacing w:line="240" w:lineRule="auto"/>
        <w:ind w:firstLineChars="800" w:firstLine="192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32 Sample of DAPA and EPLE for Thermal degradation</w:t>
      </w:r>
    </w:p>
    <w:p w14:paraId="423C22DF"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thermal degradation study was performed by exposing the drug substance to elevated temperature conditions for a specified period to assess its stability under heat stress. After thermal treatment, the chromatogram showed a slight reduction in the peak area of the active pharmaceutical ingredient compared to the untreated sample, indicating partial degradation due to heat exposure.</w:t>
      </w:r>
    </w:p>
    <w:p w14:paraId="1812903E"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24 Summary of forced degradation studies</w:t>
      </w:r>
    </w:p>
    <w:tbl>
      <w:tblPr>
        <w:tblStyle w:val="TableGrid"/>
        <w:tblW w:w="10071" w:type="dxa"/>
        <w:tblLook w:val="04A0" w:firstRow="1" w:lastRow="0" w:firstColumn="1" w:lastColumn="0" w:noHBand="0" w:noVBand="1"/>
      </w:tblPr>
      <w:tblGrid>
        <w:gridCol w:w="1244"/>
        <w:gridCol w:w="1364"/>
        <w:gridCol w:w="936"/>
        <w:gridCol w:w="936"/>
        <w:gridCol w:w="5591"/>
      </w:tblGrid>
      <w:tr w:rsidR="001D04B0" w14:paraId="25294D7E" w14:textId="77777777">
        <w:trPr>
          <w:trHeight w:val="596"/>
        </w:trPr>
        <w:tc>
          <w:tcPr>
            <w:tcW w:w="1244" w:type="dxa"/>
          </w:tcPr>
          <w:p w14:paraId="1B345C1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Stress Condition</w:t>
            </w:r>
          </w:p>
        </w:tc>
        <w:tc>
          <w:tcPr>
            <w:tcW w:w="1364" w:type="dxa"/>
          </w:tcPr>
          <w:p w14:paraId="42BD8F5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Compound</w:t>
            </w:r>
          </w:p>
        </w:tc>
        <w:tc>
          <w:tcPr>
            <w:tcW w:w="936" w:type="dxa"/>
          </w:tcPr>
          <w:p w14:paraId="7D318E51"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Std. Area</w:t>
            </w:r>
          </w:p>
        </w:tc>
        <w:tc>
          <w:tcPr>
            <w:tcW w:w="936" w:type="dxa"/>
          </w:tcPr>
          <w:p w14:paraId="712DA7B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Obs. Area</w:t>
            </w:r>
          </w:p>
        </w:tc>
        <w:tc>
          <w:tcPr>
            <w:tcW w:w="5591" w:type="dxa"/>
          </w:tcPr>
          <w:p w14:paraId="7F882611"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 Degradation</w:t>
            </w:r>
          </w:p>
        </w:tc>
      </w:tr>
      <w:tr w:rsidR="001D04B0" w14:paraId="3D25D40F" w14:textId="77777777">
        <w:trPr>
          <w:trHeight w:val="596"/>
        </w:trPr>
        <w:tc>
          <w:tcPr>
            <w:tcW w:w="1244" w:type="dxa"/>
          </w:tcPr>
          <w:p w14:paraId="3C8EA33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Acid</w:t>
            </w:r>
          </w:p>
        </w:tc>
        <w:tc>
          <w:tcPr>
            <w:tcW w:w="1364" w:type="dxa"/>
          </w:tcPr>
          <w:p w14:paraId="4718DAB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1F8B4E83"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111682</w:t>
            </w:r>
          </w:p>
        </w:tc>
        <w:tc>
          <w:tcPr>
            <w:tcW w:w="936" w:type="dxa"/>
          </w:tcPr>
          <w:p w14:paraId="3E4FBBA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105151</w:t>
            </w:r>
          </w:p>
        </w:tc>
        <w:tc>
          <w:tcPr>
            <w:tcW w:w="5591" w:type="dxa"/>
          </w:tcPr>
          <w:p w14:paraId="13DDC04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5.848</w:t>
            </w:r>
          </w:p>
        </w:tc>
      </w:tr>
      <w:tr w:rsidR="001D04B0" w14:paraId="6697136F" w14:textId="77777777">
        <w:trPr>
          <w:trHeight w:val="596"/>
        </w:trPr>
        <w:tc>
          <w:tcPr>
            <w:tcW w:w="1244" w:type="dxa"/>
          </w:tcPr>
          <w:p w14:paraId="6F4517BE" w14:textId="77777777" w:rsidR="001D04B0" w:rsidRDefault="001D04B0">
            <w:pPr>
              <w:spacing w:line="240" w:lineRule="auto"/>
              <w:jc w:val="center"/>
              <w:rPr>
                <w:rFonts w:ascii="Times New Roman" w:hAnsi="Times New Roman" w:cs="Times New Roman"/>
                <w:sz w:val="24"/>
                <w:szCs w:val="24"/>
              </w:rPr>
            </w:pPr>
          </w:p>
        </w:tc>
        <w:tc>
          <w:tcPr>
            <w:tcW w:w="1364" w:type="dxa"/>
          </w:tcPr>
          <w:p w14:paraId="48ACBB2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25939211"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134350</w:t>
            </w:r>
          </w:p>
        </w:tc>
        <w:tc>
          <w:tcPr>
            <w:tcW w:w="936" w:type="dxa"/>
          </w:tcPr>
          <w:p w14:paraId="29576F0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111923</w:t>
            </w:r>
          </w:p>
        </w:tc>
        <w:tc>
          <w:tcPr>
            <w:tcW w:w="5591" w:type="dxa"/>
          </w:tcPr>
          <w:p w14:paraId="1A4BBCCF"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16.693</w:t>
            </w:r>
          </w:p>
        </w:tc>
      </w:tr>
      <w:tr w:rsidR="001D04B0" w14:paraId="6537EB91" w14:textId="77777777">
        <w:trPr>
          <w:trHeight w:val="596"/>
        </w:trPr>
        <w:tc>
          <w:tcPr>
            <w:tcW w:w="1244" w:type="dxa"/>
          </w:tcPr>
          <w:p w14:paraId="4CD1790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Base</w:t>
            </w:r>
          </w:p>
        </w:tc>
        <w:tc>
          <w:tcPr>
            <w:tcW w:w="1364" w:type="dxa"/>
          </w:tcPr>
          <w:p w14:paraId="1B1D6E2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531832E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111478</w:t>
            </w:r>
          </w:p>
        </w:tc>
        <w:tc>
          <w:tcPr>
            <w:tcW w:w="936" w:type="dxa"/>
          </w:tcPr>
          <w:p w14:paraId="626676A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100512</w:t>
            </w:r>
          </w:p>
        </w:tc>
        <w:tc>
          <w:tcPr>
            <w:tcW w:w="5591" w:type="dxa"/>
          </w:tcPr>
          <w:p w14:paraId="0FE1D1BD"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9.837</w:t>
            </w:r>
          </w:p>
        </w:tc>
      </w:tr>
      <w:tr w:rsidR="001D04B0" w14:paraId="29D56711" w14:textId="77777777">
        <w:trPr>
          <w:trHeight w:val="596"/>
        </w:trPr>
        <w:tc>
          <w:tcPr>
            <w:tcW w:w="1244" w:type="dxa"/>
          </w:tcPr>
          <w:p w14:paraId="2D550473" w14:textId="77777777" w:rsidR="001D04B0" w:rsidRDefault="001D04B0">
            <w:pPr>
              <w:spacing w:line="240" w:lineRule="auto"/>
              <w:jc w:val="center"/>
              <w:rPr>
                <w:rFonts w:ascii="Times New Roman" w:hAnsi="Times New Roman" w:cs="Times New Roman"/>
                <w:sz w:val="24"/>
                <w:szCs w:val="24"/>
              </w:rPr>
            </w:pPr>
          </w:p>
        </w:tc>
        <w:tc>
          <w:tcPr>
            <w:tcW w:w="1364" w:type="dxa"/>
          </w:tcPr>
          <w:p w14:paraId="3198836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42F5AEC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134478</w:t>
            </w:r>
          </w:p>
        </w:tc>
        <w:tc>
          <w:tcPr>
            <w:tcW w:w="936" w:type="dxa"/>
          </w:tcPr>
          <w:p w14:paraId="663FEB0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126429</w:t>
            </w:r>
          </w:p>
        </w:tc>
        <w:tc>
          <w:tcPr>
            <w:tcW w:w="5591" w:type="dxa"/>
          </w:tcPr>
          <w:p w14:paraId="3D275AD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5.985</w:t>
            </w:r>
          </w:p>
        </w:tc>
      </w:tr>
      <w:tr w:rsidR="001D04B0" w14:paraId="65DDE56D" w14:textId="77777777">
        <w:trPr>
          <w:trHeight w:val="596"/>
        </w:trPr>
        <w:tc>
          <w:tcPr>
            <w:tcW w:w="1244" w:type="dxa"/>
          </w:tcPr>
          <w:p w14:paraId="7ADFB30A"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Oxidative</w:t>
            </w:r>
          </w:p>
        </w:tc>
        <w:tc>
          <w:tcPr>
            <w:tcW w:w="1364" w:type="dxa"/>
          </w:tcPr>
          <w:p w14:paraId="72E48BDA"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44D628E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111528</w:t>
            </w:r>
          </w:p>
        </w:tc>
        <w:tc>
          <w:tcPr>
            <w:tcW w:w="936" w:type="dxa"/>
          </w:tcPr>
          <w:p w14:paraId="66EBDF63"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101051</w:t>
            </w:r>
          </w:p>
        </w:tc>
        <w:tc>
          <w:tcPr>
            <w:tcW w:w="5591" w:type="dxa"/>
          </w:tcPr>
          <w:p w14:paraId="01E5BF0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9.394</w:t>
            </w:r>
          </w:p>
        </w:tc>
      </w:tr>
      <w:tr w:rsidR="001D04B0" w14:paraId="751934F1" w14:textId="77777777">
        <w:trPr>
          <w:trHeight w:val="596"/>
        </w:trPr>
        <w:tc>
          <w:tcPr>
            <w:tcW w:w="1244" w:type="dxa"/>
          </w:tcPr>
          <w:p w14:paraId="0CB772CD" w14:textId="77777777" w:rsidR="001D04B0" w:rsidRDefault="001D04B0">
            <w:pPr>
              <w:spacing w:line="240" w:lineRule="auto"/>
              <w:jc w:val="center"/>
              <w:rPr>
                <w:rFonts w:ascii="Times New Roman" w:hAnsi="Times New Roman" w:cs="Times New Roman"/>
                <w:sz w:val="24"/>
                <w:szCs w:val="24"/>
              </w:rPr>
            </w:pPr>
          </w:p>
        </w:tc>
        <w:tc>
          <w:tcPr>
            <w:tcW w:w="1364" w:type="dxa"/>
          </w:tcPr>
          <w:p w14:paraId="74BBD1AD"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6467C45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134587</w:t>
            </w:r>
          </w:p>
        </w:tc>
        <w:tc>
          <w:tcPr>
            <w:tcW w:w="936" w:type="dxa"/>
          </w:tcPr>
          <w:p w14:paraId="7BE35BF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127655</w:t>
            </w:r>
          </w:p>
        </w:tc>
        <w:tc>
          <w:tcPr>
            <w:tcW w:w="5591" w:type="dxa"/>
          </w:tcPr>
          <w:p w14:paraId="5C4C45A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5.151</w:t>
            </w:r>
          </w:p>
        </w:tc>
      </w:tr>
      <w:tr w:rsidR="001D04B0" w14:paraId="323B77B1" w14:textId="77777777">
        <w:trPr>
          <w:trHeight w:val="596"/>
        </w:trPr>
        <w:tc>
          <w:tcPr>
            <w:tcW w:w="1244" w:type="dxa"/>
          </w:tcPr>
          <w:p w14:paraId="6310E581"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Thermal</w:t>
            </w:r>
          </w:p>
        </w:tc>
        <w:tc>
          <w:tcPr>
            <w:tcW w:w="1364" w:type="dxa"/>
          </w:tcPr>
          <w:p w14:paraId="1A416BB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5ACD395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111748</w:t>
            </w:r>
          </w:p>
        </w:tc>
        <w:tc>
          <w:tcPr>
            <w:tcW w:w="936" w:type="dxa"/>
          </w:tcPr>
          <w:p w14:paraId="0E1EC3B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108828</w:t>
            </w:r>
          </w:p>
        </w:tc>
        <w:tc>
          <w:tcPr>
            <w:tcW w:w="5591" w:type="dxa"/>
          </w:tcPr>
          <w:p w14:paraId="4D46DA8F"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2.613</w:t>
            </w:r>
          </w:p>
        </w:tc>
      </w:tr>
      <w:tr w:rsidR="001D04B0" w14:paraId="2E4308A6" w14:textId="77777777">
        <w:trPr>
          <w:trHeight w:val="606"/>
        </w:trPr>
        <w:tc>
          <w:tcPr>
            <w:tcW w:w="1244" w:type="dxa"/>
          </w:tcPr>
          <w:p w14:paraId="2E6B8FAD" w14:textId="77777777" w:rsidR="001D04B0" w:rsidRDefault="001D04B0">
            <w:pPr>
              <w:spacing w:line="240" w:lineRule="auto"/>
              <w:jc w:val="center"/>
              <w:rPr>
                <w:rFonts w:ascii="Times New Roman" w:hAnsi="Times New Roman" w:cs="Times New Roman"/>
                <w:sz w:val="24"/>
                <w:szCs w:val="24"/>
              </w:rPr>
            </w:pPr>
          </w:p>
        </w:tc>
        <w:tc>
          <w:tcPr>
            <w:tcW w:w="1364" w:type="dxa"/>
          </w:tcPr>
          <w:p w14:paraId="6F73B98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45A1A6D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134357</w:t>
            </w:r>
          </w:p>
        </w:tc>
        <w:tc>
          <w:tcPr>
            <w:tcW w:w="936" w:type="dxa"/>
          </w:tcPr>
          <w:p w14:paraId="658B744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128053</w:t>
            </w:r>
          </w:p>
        </w:tc>
        <w:tc>
          <w:tcPr>
            <w:tcW w:w="5591" w:type="dxa"/>
          </w:tcPr>
          <w:p w14:paraId="31F8BBA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4.692</w:t>
            </w:r>
          </w:p>
        </w:tc>
      </w:tr>
    </w:tbl>
    <w:p w14:paraId="5CAF9721" w14:textId="77777777" w:rsidR="001D04B0" w:rsidRDefault="001D04B0">
      <w:pPr>
        <w:spacing w:line="240" w:lineRule="auto"/>
        <w:jc w:val="both"/>
        <w:rPr>
          <w:rFonts w:ascii="Times New Roman" w:hAnsi="Times New Roman" w:cs="Times New Roman"/>
          <w:sz w:val="24"/>
          <w:szCs w:val="24"/>
        </w:rPr>
      </w:pPr>
    </w:p>
    <w:p w14:paraId="5745AA20"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Conclusion of Forced Degradation Studies</w:t>
      </w:r>
    </w:p>
    <w:p w14:paraId="269C5F0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Forced degradation studies of Dapagliflozin (DAPA) and Eplerenone (EPLE) under various stress conditions, including acidic, basic, oxidative, and thermal environments, revealed that both analytes undergo degradation to varying extents.</w:t>
      </w:r>
    </w:p>
    <w:p w14:paraId="57F5408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Dapagliflozin showed maximum degradation under basic and oxidative conditions, followed by acidic stress, while it remained relatively stable under thermal conditions. On the other hand, Eplerenone exhibited significant degradation under acidic conditions, whereas comparatively lower degradation was observed under basic, oxidative, and thermal stress.</w:t>
      </w:r>
    </w:p>
    <w:p w14:paraId="76B8E6A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results indicate that both drugs are susceptible to degradation under stress conditions, with distinct degradation behavior for each analyte. However, the degradation products did not interfere with the main peaks, demonstrating that the developed HPLC method is stability-indicating in nature.</w:t>
      </w:r>
    </w:p>
    <w:p w14:paraId="2E75D20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Validation of the developed RP-HPLC method</w:t>
      </w:r>
    </w:p>
    <w:p w14:paraId="7906973A"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Specificity results</w:t>
      </w:r>
    </w:p>
    <w:p w14:paraId="0CE4799E"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specificity of the developed HPLC method was critically evaluated through the analysis of individual standard solutions and their combined mixture for Dapagliflozin and Eplerenone. The chromatographic profiles demonstrated that both analytes produced sharp, symmetrical, and well-resolved peaks at distinct retention times. The retention behavior of each compound in the combined mixture was found to be consistent with that observed in the individual standard injections, thereby confirming the identity of the respective peaks. Furthermore, no extraneous or co-eluting peaks were detected at or near the retention times of the analytes, indicating the absence of interference from formulation excipients or other potential impurities. The baseline around the peaks remained stable, and adequate resolution between the two analytes was achieved. These findings substantiate that the developed method possesses a high degree of specificity and is capable of unequivocally identifying Dapagliflozin and Eplerenone in the presence of other components, making it suitable for routine analytical applications.</w:t>
      </w:r>
    </w:p>
    <w:p w14:paraId="341A6B7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DD2AF0" wp14:editId="51C51A72">
            <wp:extent cx="6990715" cy="1560830"/>
            <wp:effectExtent l="9525" t="9525" r="10160" b="10795"/>
            <wp:docPr id="3874360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6099"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990715" cy="1560830"/>
                    </a:xfrm>
                    <a:prstGeom prst="rect">
                      <a:avLst/>
                    </a:prstGeom>
                    <a:noFill/>
                    <a:ln>
                      <a:solidFill>
                        <a:schemeClr val="tx1"/>
                      </a:solidFill>
                    </a:ln>
                  </pic:spPr>
                </pic:pic>
              </a:graphicData>
            </a:graphic>
          </wp:inline>
        </w:drawing>
      </w:r>
    </w:p>
    <w:p w14:paraId="74991ECC" w14:textId="77777777" w:rsidR="001D04B0" w:rsidRDefault="001D04B0">
      <w:pPr>
        <w:spacing w:line="240" w:lineRule="auto"/>
        <w:jc w:val="both"/>
        <w:rPr>
          <w:rFonts w:ascii="Times New Roman" w:hAnsi="Times New Roman" w:cs="Times New Roman"/>
          <w:b/>
          <w:bCs/>
          <w:sz w:val="24"/>
          <w:szCs w:val="24"/>
        </w:rPr>
      </w:pPr>
    </w:p>
    <w:p w14:paraId="313F7A43" w14:textId="77777777" w:rsidR="001D04B0" w:rsidRDefault="001D04B0">
      <w:pPr>
        <w:spacing w:line="240" w:lineRule="auto"/>
        <w:jc w:val="both"/>
        <w:rPr>
          <w:rFonts w:ascii="Times New Roman" w:hAnsi="Times New Roman" w:cs="Times New Roman"/>
          <w:b/>
          <w:bCs/>
          <w:sz w:val="24"/>
          <w:szCs w:val="24"/>
        </w:rPr>
      </w:pPr>
    </w:p>
    <w:p w14:paraId="6B422372"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33 Peak identification for Dapagliflozin</w:t>
      </w:r>
    </w:p>
    <w:p w14:paraId="6356B4B6" w14:textId="77777777" w:rsidR="001D04B0" w:rsidRDefault="001D04B0">
      <w:pPr>
        <w:spacing w:line="240" w:lineRule="auto"/>
        <w:jc w:val="center"/>
        <w:rPr>
          <w:rFonts w:ascii="Times New Roman" w:hAnsi="Times New Roman" w:cs="Times New Roman"/>
          <w:sz w:val="24"/>
          <w:szCs w:val="24"/>
        </w:rPr>
      </w:pPr>
    </w:p>
    <w:p w14:paraId="105FA454" w14:textId="77777777" w:rsidR="001D04B0" w:rsidRDefault="001D04B0">
      <w:pPr>
        <w:spacing w:line="240" w:lineRule="auto"/>
        <w:jc w:val="center"/>
        <w:rPr>
          <w:rFonts w:ascii="Times New Roman" w:hAnsi="Times New Roman" w:cs="Times New Roman"/>
          <w:sz w:val="24"/>
          <w:szCs w:val="24"/>
        </w:rPr>
      </w:pPr>
    </w:p>
    <w:p w14:paraId="402FE7CF" w14:textId="77777777" w:rsidR="001D04B0" w:rsidRDefault="001D04B0">
      <w:pPr>
        <w:spacing w:line="240" w:lineRule="auto"/>
        <w:jc w:val="center"/>
        <w:rPr>
          <w:rFonts w:ascii="Times New Roman" w:hAnsi="Times New Roman" w:cs="Times New Roman"/>
          <w:sz w:val="24"/>
          <w:szCs w:val="24"/>
        </w:rPr>
      </w:pPr>
    </w:p>
    <w:p w14:paraId="08DCBA0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94586A" wp14:editId="03109B8D">
            <wp:extent cx="5483225" cy="1199515"/>
            <wp:effectExtent l="9525" t="9525" r="12700" b="10160"/>
            <wp:docPr id="3371025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02527"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483225" cy="1199515"/>
                    </a:xfrm>
                    <a:prstGeom prst="rect">
                      <a:avLst/>
                    </a:prstGeom>
                    <a:noFill/>
                    <a:ln>
                      <a:solidFill>
                        <a:schemeClr val="tx1"/>
                      </a:solidFill>
                    </a:ln>
                  </pic:spPr>
                </pic:pic>
              </a:graphicData>
            </a:graphic>
          </wp:inline>
        </w:drawing>
      </w:r>
    </w:p>
    <w:p w14:paraId="16D88EFC" w14:textId="77777777" w:rsidR="001D04B0" w:rsidRDefault="00000000">
      <w:pPr>
        <w:spacing w:line="240" w:lineRule="auto"/>
        <w:ind w:firstLineChars="550" w:firstLine="1325"/>
        <w:jc w:val="both"/>
        <w:rPr>
          <w:rFonts w:ascii="Times New Roman" w:hAnsi="Times New Roman" w:cs="Times New Roman"/>
          <w:b/>
          <w:bCs/>
          <w:sz w:val="24"/>
          <w:szCs w:val="24"/>
        </w:rPr>
      </w:pPr>
      <w:r>
        <w:rPr>
          <w:rFonts w:ascii="Times New Roman" w:hAnsi="Times New Roman" w:cs="Times New Roman"/>
          <w:b/>
          <w:bCs/>
          <w:sz w:val="24"/>
          <w:szCs w:val="24"/>
        </w:rPr>
        <w:t>Figure 34 Peak identification for Eplerenone</w:t>
      </w:r>
    </w:p>
    <w:p w14:paraId="0CF20C2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2C16D0" wp14:editId="4973F1F2">
            <wp:extent cx="4559300" cy="1350010"/>
            <wp:effectExtent l="9525" t="9525" r="22225" b="12065"/>
            <wp:docPr id="1421069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989"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559300" cy="1350010"/>
                    </a:xfrm>
                    <a:prstGeom prst="rect">
                      <a:avLst/>
                    </a:prstGeom>
                    <a:noFill/>
                    <a:ln>
                      <a:solidFill>
                        <a:schemeClr val="tx1"/>
                      </a:solidFill>
                    </a:ln>
                  </pic:spPr>
                </pic:pic>
              </a:graphicData>
            </a:graphic>
          </wp:inline>
        </w:drawing>
      </w:r>
    </w:p>
    <w:p w14:paraId="3CC7F267" w14:textId="77777777" w:rsidR="001D04B0" w:rsidRDefault="00000000">
      <w:pPr>
        <w:spacing w:line="240" w:lineRule="auto"/>
        <w:ind w:firstLineChars="850" w:firstLine="2048"/>
        <w:jc w:val="both"/>
        <w:rPr>
          <w:rFonts w:ascii="Times New Roman" w:hAnsi="Times New Roman" w:cs="Times New Roman"/>
          <w:b/>
          <w:bCs/>
          <w:sz w:val="24"/>
          <w:szCs w:val="24"/>
        </w:rPr>
      </w:pPr>
      <w:r>
        <w:rPr>
          <w:rFonts w:ascii="Times New Roman" w:hAnsi="Times New Roman" w:cs="Times New Roman"/>
          <w:b/>
          <w:bCs/>
          <w:sz w:val="24"/>
          <w:szCs w:val="24"/>
        </w:rPr>
        <w:t>Figure 35 Chromatogram of mobile phase</w:t>
      </w:r>
    </w:p>
    <w:p w14:paraId="5DAB3DE5"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015AD3B" wp14:editId="5AA35B84">
            <wp:extent cx="4999355" cy="1800860"/>
            <wp:effectExtent l="9525" t="9525" r="20320" b="18415"/>
            <wp:docPr id="9316166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16615"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999355" cy="1800860"/>
                    </a:xfrm>
                    <a:prstGeom prst="rect">
                      <a:avLst/>
                    </a:prstGeom>
                    <a:noFill/>
                    <a:ln>
                      <a:solidFill>
                        <a:schemeClr val="tx1"/>
                      </a:solidFill>
                    </a:ln>
                  </pic:spPr>
                </pic:pic>
              </a:graphicData>
            </a:graphic>
          </wp:inline>
        </w:drawing>
      </w:r>
    </w:p>
    <w:p w14:paraId="0D726A4A" w14:textId="77777777" w:rsidR="001D04B0" w:rsidRDefault="00000000">
      <w:pPr>
        <w:spacing w:line="240" w:lineRule="auto"/>
        <w:ind w:firstLineChars="700" w:firstLine="1687"/>
        <w:jc w:val="both"/>
        <w:rPr>
          <w:rFonts w:ascii="Times New Roman" w:hAnsi="Times New Roman" w:cs="Times New Roman"/>
          <w:b/>
          <w:bCs/>
          <w:sz w:val="24"/>
          <w:szCs w:val="24"/>
        </w:rPr>
      </w:pPr>
      <w:r>
        <w:rPr>
          <w:rFonts w:ascii="Times New Roman" w:hAnsi="Times New Roman" w:cs="Times New Roman"/>
          <w:b/>
          <w:bCs/>
          <w:sz w:val="24"/>
          <w:szCs w:val="24"/>
        </w:rPr>
        <w:t>Figure 36 Chromatogram of standard solution</w:t>
      </w:r>
    </w:p>
    <w:p w14:paraId="7964422A"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47FAC1CD" wp14:editId="79E9BDB2">
            <wp:extent cx="4455795" cy="1674495"/>
            <wp:effectExtent l="9525" t="9525" r="11430" b="11430"/>
            <wp:docPr id="19087238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3867"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455795" cy="1674495"/>
                    </a:xfrm>
                    <a:prstGeom prst="rect">
                      <a:avLst/>
                    </a:prstGeom>
                    <a:noFill/>
                    <a:ln>
                      <a:solidFill>
                        <a:schemeClr val="tx1"/>
                      </a:solidFill>
                    </a:ln>
                  </pic:spPr>
                </pic:pic>
              </a:graphicData>
            </a:graphic>
          </wp:inline>
        </w:drawing>
      </w:r>
    </w:p>
    <w:p w14:paraId="164B48AF" w14:textId="77777777" w:rsidR="001D04B0" w:rsidRDefault="00000000">
      <w:pPr>
        <w:spacing w:line="240" w:lineRule="auto"/>
        <w:ind w:firstLineChars="900" w:firstLine="2168"/>
        <w:jc w:val="both"/>
        <w:rPr>
          <w:rFonts w:ascii="Times New Roman" w:hAnsi="Times New Roman" w:cs="Times New Roman"/>
          <w:b/>
          <w:bCs/>
          <w:sz w:val="24"/>
          <w:szCs w:val="24"/>
        </w:rPr>
      </w:pPr>
      <w:r>
        <w:rPr>
          <w:rFonts w:ascii="Times New Roman" w:hAnsi="Times New Roman" w:cs="Times New Roman"/>
          <w:b/>
          <w:bCs/>
          <w:sz w:val="24"/>
          <w:szCs w:val="24"/>
        </w:rPr>
        <w:t>Figure 37 Chromatogram of synthetic mixture</w:t>
      </w:r>
    </w:p>
    <w:p w14:paraId="61302C2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Result- </w:t>
      </w:r>
      <w:r>
        <w:rPr>
          <w:rFonts w:ascii="Times New Roman" w:hAnsi="Times New Roman" w:cs="Times New Roman"/>
          <w:sz w:val="24"/>
          <w:szCs w:val="24"/>
        </w:rPr>
        <w:t xml:space="preserve">No extraneous or co-eluting peaks were detected at or near the retention times of the analytes, indicating the absence of interference from formulation excipients or other potential impurities. The baseline around the peaks </w:t>
      </w:r>
    </w:p>
    <w:p w14:paraId="1019BD91" w14:textId="77777777" w:rsidR="001D04B0" w:rsidRDefault="001D04B0">
      <w:pPr>
        <w:spacing w:line="240" w:lineRule="auto"/>
        <w:jc w:val="both"/>
        <w:rPr>
          <w:rFonts w:ascii="Times New Roman" w:hAnsi="Times New Roman" w:cs="Times New Roman"/>
          <w:sz w:val="24"/>
          <w:szCs w:val="24"/>
        </w:rPr>
      </w:pPr>
    </w:p>
    <w:p w14:paraId="468A1368" w14:textId="77777777" w:rsidR="001D04B0" w:rsidRDefault="001D04B0">
      <w:pPr>
        <w:spacing w:line="240" w:lineRule="auto"/>
        <w:jc w:val="both"/>
        <w:rPr>
          <w:rFonts w:ascii="Times New Roman" w:hAnsi="Times New Roman" w:cs="Times New Roman"/>
          <w:sz w:val="24"/>
          <w:szCs w:val="24"/>
        </w:rPr>
      </w:pPr>
    </w:p>
    <w:p w14:paraId="3A174B4F"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remained stable, and adequate resolution between the two analytes was achieved.</w:t>
      </w:r>
    </w:p>
    <w:p w14:paraId="2AB0D6F7"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Range and Linearity</w:t>
      </w:r>
    </w:p>
    <w:p w14:paraId="5D337D3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linearity of the developed HPLC method was established by analyzing standard solutions of Dapagliflozin and Eplerenone at five concentration levels over the selected working range. Calibration curves were constructed by plotting peak area against concentration for both analytes. Dapagliflozin exhibited linearity in the concentration range of 10–30 µg/mL, while Eplerenone showed linearity in the range of 25–75 µg/mL. The obtained calibration plots demonstrated a direct and proportional relationship between concentration and detector response across the studied range. The regression analysis indicated a high degree of linearity, as evidenced by correlation coefficient (R²) values close to unity for both analytes. Additionally, the chromatographic responses at each concentration level were consistent, indicating the reliability of the method within the selected range. The established linearity range adequately covers the working concentrations used for routine analysis.</w:t>
      </w:r>
    </w:p>
    <w:p w14:paraId="1B57D61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F48E8" wp14:editId="263CADD8">
            <wp:extent cx="5988685" cy="1539240"/>
            <wp:effectExtent l="9525" t="9525" r="21590" b="13335"/>
            <wp:docPr id="14727228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2845"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988685" cy="1539240"/>
                    </a:xfrm>
                    <a:prstGeom prst="rect">
                      <a:avLst/>
                    </a:prstGeom>
                    <a:noFill/>
                    <a:ln>
                      <a:solidFill>
                        <a:schemeClr val="tx1"/>
                      </a:solidFill>
                    </a:ln>
                  </pic:spPr>
                </pic:pic>
              </a:graphicData>
            </a:graphic>
          </wp:inline>
        </w:drawing>
      </w:r>
    </w:p>
    <w:p w14:paraId="13BCF6CB"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38 Chromatogram of Linearity 50%</w:t>
      </w:r>
    </w:p>
    <w:p w14:paraId="5354735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E60ED7" wp14:editId="14D3F9A4">
            <wp:extent cx="5899150" cy="1483360"/>
            <wp:effectExtent l="9525" t="9525" r="15875" b="12065"/>
            <wp:docPr id="6451001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0141"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899150" cy="1483360"/>
                    </a:xfrm>
                    <a:prstGeom prst="rect">
                      <a:avLst/>
                    </a:prstGeom>
                    <a:noFill/>
                    <a:ln>
                      <a:solidFill>
                        <a:schemeClr val="tx1"/>
                      </a:solidFill>
                    </a:ln>
                  </pic:spPr>
                </pic:pic>
              </a:graphicData>
            </a:graphic>
          </wp:inline>
        </w:drawing>
      </w:r>
    </w:p>
    <w:p w14:paraId="69D95673" w14:textId="77777777" w:rsidR="001D04B0" w:rsidRDefault="00000000">
      <w:pPr>
        <w:spacing w:line="240" w:lineRule="auto"/>
        <w:ind w:firstLineChars="400" w:firstLine="964"/>
        <w:jc w:val="both"/>
        <w:rPr>
          <w:rFonts w:ascii="Times New Roman" w:hAnsi="Times New Roman" w:cs="Times New Roman"/>
          <w:b/>
          <w:bCs/>
          <w:sz w:val="24"/>
          <w:szCs w:val="24"/>
        </w:rPr>
      </w:pPr>
      <w:r>
        <w:rPr>
          <w:rFonts w:ascii="Times New Roman" w:hAnsi="Times New Roman" w:cs="Times New Roman"/>
          <w:b/>
          <w:bCs/>
          <w:sz w:val="24"/>
          <w:szCs w:val="24"/>
        </w:rPr>
        <w:t>Figure 39 Chromatogram of Linearity 75%</w:t>
      </w:r>
    </w:p>
    <w:p w14:paraId="51D65A0F"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31CD083" wp14:editId="2377FEF5">
            <wp:extent cx="5147945" cy="1503680"/>
            <wp:effectExtent l="9525" t="9525" r="24130" b="10795"/>
            <wp:docPr id="2100549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49183"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147945" cy="1503680"/>
                    </a:xfrm>
                    <a:prstGeom prst="rect">
                      <a:avLst/>
                    </a:prstGeom>
                    <a:noFill/>
                    <a:ln>
                      <a:solidFill>
                        <a:schemeClr val="tx1"/>
                      </a:solidFill>
                    </a:ln>
                  </pic:spPr>
                </pic:pic>
              </a:graphicData>
            </a:graphic>
          </wp:inline>
        </w:drawing>
      </w:r>
    </w:p>
    <w:p w14:paraId="2749DAF3" w14:textId="77777777" w:rsidR="001D04B0" w:rsidRDefault="00000000">
      <w:pPr>
        <w:spacing w:line="240" w:lineRule="auto"/>
        <w:ind w:firstLineChars="650" w:firstLine="1566"/>
        <w:jc w:val="both"/>
        <w:rPr>
          <w:rFonts w:ascii="Times New Roman" w:hAnsi="Times New Roman" w:cs="Times New Roman"/>
          <w:b/>
          <w:bCs/>
          <w:sz w:val="24"/>
          <w:szCs w:val="24"/>
        </w:rPr>
      </w:pPr>
      <w:r>
        <w:rPr>
          <w:rFonts w:ascii="Times New Roman" w:hAnsi="Times New Roman" w:cs="Times New Roman"/>
          <w:b/>
          <w:bCs/>
          <w:sz w:val="24"/>
          <w:szCs w:val="24"/>
        </w:rPr>
        <w:t>Figure 40 Chromatogram of Linearity 100%</w:t>
      </w:r>
    </w:p>
    <w:p w14:paraId="57616C86" w14:textId="77777777" w:rsidR="001D04B0" w:rsidRDefault="001D04B0">
      <w:pPr>
        <w:spacing w:line="240" w:lineRule="auto"/>
        <w:jc w:val="center"/>
        <w:rPr>
          <w:rFonts w:ascii="Times New Roman" w:hAnsi="Times New Roman" w:cs="Times New Roman"/>
          <w:sz w:val="24"/>
          <w:szCs w:val="24"/>
        </w:rPr>
      </w:pPr>
    </w:p>
    <w:p w14:paraId="4F8D3F20" w14:textId="77777777" w:rsidR="001D04B0" w:rsidRDefault="001D04B0">
      <w:pPr>
        <w:spacing w:line="240" w:lineRule="auto"/>
        <w:jc w:val="center"/>
        <w:rPr>
          <w:rFonts w:ascii="Times New Roman" w:hAnsi="Times New Roman" w:cs="Times New Roman"/>
          <w:sz w:val="24"/>
          <w:szCs w:val="24"/>
        </w:rPr>
      </w:pPr>
    </w:p>
    <w:p w14:paraId="78BB7E6C" w14:textId="77777777" w:rsidR="001D04B0" w:rsidRDefault="001D04B0">
      <w:pPr>
        <w:spacing w:line="240" w:lineRule="auto"/>
        <w:jc w:val="center"/>
        <w:rPr>
          <w:rFonts w:ascii="Times New Roman" w:hAnsi="Times New Roman" w:cs="Times New Roman"/>
          <w:sz w:val="24"/>
          <w:szCs w:val="24"/>
        </w:rPr>
      </w:pPr>
    </w:p>
    <w:p w14:paraId="4BEDE03B" w14:textId="77777777" w:rsidR="001D04B0" w:rsidRDefault="001D04B0">
      <w:pPr>
        <w:spacing w:line="240" w:lineRule="auto"/>
        <w:jc w:val="center"/>
        <w:rPr>
          <w:rFonts w:ascii="Times New Roman" w:hAnsi="Times New Roman" w:cs="Times New Roman"/>
          <w:sz w:val="24"/>
          <w:szCs w:val="24"/>
        </w:rPr>
      </w:pPr>
    </w:p>
    <w:p w14:paraId="7FC01FF4" w14:textId="77777777" w:rsidR="001D04B0" w:rsidRDefault="001D04B0">
      <w:pPr>
        <w:spacing w:line="240" w:lineRule="auto"/>
        <w:jc w:val="center"/>
        <w:rPr>
          <w:rFonts w:ascii="Times New Roman" w:hAnsi="Times New Roman" w:cs="Times New Roman"/>
          <w:sz w:val="24"/>
          <w:szCs w:val="24"/>
        </w:rPr>
      </w:pPr>
    </w:p>
    <w:p w14:paraId="0896E2C2" w14:textId="77777777" w:rsidR="001D04B0" w:rsidRDefault="001D04B0">
      <w:pPr>
        <w:spacing w:line="240" w:lineRule="auto"/>
        <w:jc w:val="center"/>
        <w:rPr>
          <w:rFonts w:ascii="Times New Roman" w:hAnsi="Times New Roman" w:cs="Times New Roman"/>
          <w:sz w:val="24"/>
          <w:szCs w:val="24"/>
        </w:rPr>
      </w:pPr>
    </w:p>
    <w:p w14:paraId="1F85DD8F" w14:textId="77777777" w:rsidR="001D04B0" w:rsidRDefault="001D04B0">
      <w:pPr>
        <w:spacing w:line="240" w:lineRule="auto"/>
        <w:jc w:val="center"/>
        <w:rPr>
          <w:rFonts w:ascii="Times New Roman" w:hAnsi="Times New Roman" w:cs="Times New Roman"/>
          <w:sz w:val="24"/>
          <w:szCs w:val="24"/>
        </w:rPr>
      </w:pPr>
    </w:p>
    <w:p w14:paraId="6D916973"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4D7CB22A" wp14:editId="43CBDD72">
            <wp:extent cx="4828540" cy="1765935"/>
            <wp:effectExtent l="9525" t="9525" r="19685" b="15240"/>
            <wp:docPr id="7723965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6573"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828540" cy="1765935"/>
                    </a:xfrm>
                    <a:prstGeom prst="rect">
                      <a:avLst/>
                    </a:prstGeom>
                    <a:noFill/>
                    <a:ln>
                      <a:solidFill>
                        <a:schemeClr val="tx1"/>
                      </a:solidFill>
                    </a:ln>
                  </pic:spPr>
                </pic:pic>
              </a:graphicData>
            </a:graphic>
          </wp:inline>
        </w:drawing>
      </w:r>
    </w:p>
    <w:p w14:paraId="7E874AF2" w14:textId="77777777" w:rsidR="001D04B0" w:rsidRDefault="00000000">
      <w:pPr>
        <w:spacing w:line="240" w:lineRule="auto"/>
        <w:ind w:firstLineChars="750" w:firstLine="1807"/>
        <w:jc w:val="both"/>
        <w:rPr>
          <w:rFonts w:ascii="Times New Roman" w:hAnsi="Times New Roman" w:cs="Times New Roman"/>
          <w:b/>
          <w:bCs/>
          <w:sz w:val="24"/>
          <w:szCs w:val="24"/>
        </w:rPr>
      </w:pPr>
      <w:r>
        <w:rPr>
          <w:rFonts w:ascii="Times New Roman" w:hAnsi="Times New Roman" w:cs="Times New Roman"/>
          <w:b/>
          <w:bCs/>
          <w:sz w:val="24"/>
          <w:szCs w:val="24"/>
        </w:rPr>
        <w:t>Figure 41 Chromatogram of Linearity 125%</w:t>
      </w:r>
    </w:p>
    <w:p w14:paraId="275334F4" w14:textId="77777777" w:rsidR="001D04B0" w:rsidRDefault="001D04B0">
      <w:pPr>
        <w:spacing w:line="240" w:lineRule="auto"/>
        <w:jc w:val="center"/>
        <w:rPr>
          <w:rFonts w:ascii="Times New Roman" w:hAnsi="Times New Roman" w:cs="Times New Roman"/>
          <w:sz w:val="24"/>
          <w:szCs w:val="24"/>
        </w:rPr>
      </w:pPr>
    </w:p>
    <w:p w14:paraId="3E23450A" w14:textId="77777777" w:rsidR="001D04B0" w:rsidRDefault="001D04B0">
      <w:pPr>
        <w:spacing w:line="240" w:lineRule="auto"/>
        <w:jc w:val="center"/>
        <w:rPr>
          <w:rFonts w:ascii="Times New Roman" w:hAnsi="Times New Roman" w:cs="Times New Roman"/>
          <w:sz w:val="24"/>
          <w:szCs w:val="24"/>
        </w:rPr>
      </w:pPr>
    </w:p>
    <w:p w14:paraId="6A1C66A6" w14:textId="77777777" w:rsidR="001D04B0" w:rsidRDefault="001D04B0">
      <w:pPr>
        <w:spacing w:line="240" w:lineRule="auto"/>
        <w:jc w:val="center"/>
        <w:rPr>
          <w:rFonts w:ascii="Times New Roman" w:hAnsi="Times New Roman" w:cs="Times New Roman"/>
          <w:sz w:val="24"/>
          <w:szCs w:val="24"/>
        </w:rPr>
      </w:pPr>
    </w:p>
    <w:p w14:paraId="5E9ADC39"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7EFB3B06" wp14:editId="07144281">
            <wp:extent cx="5157470" cy="1820545"/>
            <wp:effectExtent l="9525" t="9525" r="14605" b="17780"/>
            <wp:docPr id="17171874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8740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157470" cy="1820545"/>
                    </a:xfrm>
                    <a:prstGeom prst="rect">
                      <a:avLst/>
                    </a:prstGeom>
                    <a:noFill/>
                    <a:ln>
                      <a:solidFill>
                        <a:schemeClr val="tx1"/>
                      </a:solidFill>
                    </a:ln>
                  </pic:spPr>
                </pic:pic>
              </a:graphicData>
            </a:graphic>
          </wp:inline>
        </w:drawing>
      </w:r>
    </w:p>
    <w:p w14:paraId="75FF6273" w14:textId="77777777" w:rsidR="001D04B0" w:rsidRDefault="00000000">
      <w:pPr>
        <w:spacing w:line="240" w:lineRule="auto"/>
        <w:ind w:firstLineChars="700" w:firstLine="1687"/>
        <w:jc w:val="both"/>
        <w:rPr>
          <w:rFonts w:ascii="Times New Roman" w:hAnsi="Times New Roman" w:cs="Times New Roman"/>
          <w:b/>
          <w:bCs/>
          <w:sz w:val="24"/>
          <w:szCs w:val="24"/>
        </w:rPr>
      </w:pPr>
      <w:r>
        <w:rPr>
          <w:rFonts w:ascii="Times New Roman" w:hAnsi="Times New Roman" w:cs="Times New Roman"/>
          <w:b/>
          <w:bCs/>
          <w:sz w:val="24"/>
          <w:szCs w:val="24"/>
        </w:rPr>
        <w:t>Figure 42 Chromatogram of Linearity 150%</w:t>
      </w:r>
    </w:p>
    <w:p w14:paraId="6170DD9F"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F4802F1" wp14:editId="78A5943D">
            <wp:extent cx="4342130" cy="1998980"/>
            <wp:effectExtent l="9525" t="9525" r="10795" b="10795"/>
            <wp:docPr id="19418838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3802"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342130" cy="1998980"/>
                    </a:xfrm>
                    <a:prstGeom prst="rect">
                      <a:avLst/>
                    </a:prstGeom>
                    <a:noFill/>
                    <a:ln>
                      <a:solidFill>
                        <a:schemeClr val="tx1"/>
                      </a:solidFill>
                    </a:ln>
                  </pic:spPr>
                </pic:pic>
              </a:graphicData>
            </a:graphic>
          </wp:inline>
        </w:drawing>
      </w:r>
    </w:p>
    <w:p w14:paraId="41F302BD" w14:textId="77777777" w:rsidR="001D04B0" w:rsidRDefault="00000000">
      <w:pPr>
        <w:spacing w:line="240" w:lineRule="auto"/>
        <w:ind w:firstLineChars="950" w:firstLine="2289"/>
        <w:jc w:val="both"/>
        <w:rPr>
          <w:rFonts w:ascii="Times New Roman" w:hAnsi="Times New Roman" w:cs="Times New Roman"/>
          <w:b/>
          <w:bCs/>
          <w:sz w:val="24"/>
          <w:szCs w:val="24"/>
        </w:rPr>
      </w:pPr>
      <w:r>
        <w:rPr>
          <w:rFonts w:ascii="Times New Roman" w:hAnsi="Times New Roman" w:cs="Times New Roman"/>
          <w:b/>
          <w:bCs/>
          <w:sz w:val="24"/>
          <w:szCs w:val="24"/>
        </w:rPr>
        <w:t>Figure 43 Overlay Chromatogram of Linearity</w:t>
      </w:r>
    </w:p>
    <w:p w14:paraId="22BCEEAB"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25 Linearity data for DAPA</w:t>
      </w:r>
    </w:p>
    <w:tbl>
      <w:tblPr>
        <w:tblStyle w:val="TableGrid"/>
        <w:tblW w:w="10357" w:type="dxa"/>
        <w:tblLook w:val="04A0" w:firstRow="1" w:lastRow="0" w:firstColumn="1" w:lastColumn="0" w:noHBand="0" w:noVBand="1"/>
      </w:tblPr>
      <w:tblGrid>
        <w:gridCol w:w="590"/>
        <w:gridCol w:w="1696"/>
        <w:gridCol w:w="2221"/>
        <w:gridCol w:w="5850"/>
      </w:tblGrid>
      <w:tr w:rsidR="001D04B0" w14:paraId="3E10B641" w14:textId="77777777">
        <w:trPr>
          <w:trHeight w:val="774"/>
        </w:trPr>
        <w:tc>
          <w:tcPr>
            <w:tcW w:w="590" w:type="dxa"/>
          </w:tcPr>
          <w:p w14:paraId="451CE013"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696" w:type="dxa"/>
          </w:tcPr>
          <w:p w14:paraId="7FCD1D74"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(μg/mL)</w:t>
            </w:r>
          </w:p>
        </w:tc>
        <w:tc>
          <w:tcPr>
            <w:tcW w:w="2221" w:type="dxa"/>
          </w:tcPr>
          <w:p w14:paraId="7AEFE233"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Peak Area (Mean ± S. D. )</w:t>
            </w:r>
          </w:p>
        </w:tc>
        <w:tc>
          <w:tcPr>
            <w:tcW w:w="5850" w:type="dxa"/>
          </w:tcPr>
          <w:p w14:paraId="5FC5B07E"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RSD</w:t>
            </w:r>
          </w:p>
        </w:tc>
      </w:tr>
      <w:tr w:rsidR="001D04B0" w14:paraId="3B413E11" w14:textId="77777777">
        <w:trPr>
          <w:trHeight w:val="392"/>
        </w:trPr>
        <w:tc>
          <w:tcPr>
            <w:tcW w:w="590" w:type="dxa"/>
          </w:tcPr>
          <w:p w14:paraId="222CA55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6" w:type="dxa"/>
          </w:tcPr>
          <w:p w14:paraId="25CFF09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21" w:type="dxa"/>
            <w:vAlign w:val="bottom"/>
          </w:tcPr>
          <w:p w14:paraId="354EBA7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55587.00 </w:t>
            </w:r>
            <w:r>
              <w:rPr>
                <w:rFonts w:ascii="Times New Roman" w:hAnsi="Times New Roman" w:cs="Times New Roman"/>
                <w:sz w:val="24"/>
                <w:szCs w:val="24"/>
              </w:rPr>
              <w:t>± 53.11</w:t>
            </w:r>
          </w:p>
        </w:tc>
        <w:tc>
          <w:tcPr>
            <w:tcW w:w="5850" w:type="dxa"/>
            <w:vAlign w:val="bottom"/>
          </w:tcPr>
          <w:p w14:paraId="28540B4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0.10</w:t>
            </w:r>
          </w:p>
        </w:tc>
      </w:tr>
      <w:tr w:rsidR="001D04B0" w14:paraId="0313141B" w14:textId="77777777">
        <w:trPr>
          <w:trHeight w:val="392"/>
        </w:trPr>
        <w:tc>
          <w:tcPr>
            <w:tcW w:w="590" w:type="dxa"/>
          </w:tcPr>
          <w:p w14:paraId="50F6F08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6" w:type="dxa"/>
          </w:tcPr>
          <w:p w14:paraId="2C759F5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21" w:type="dxa"/>
            <w:vAlign w:val="bottom"/>
          </w:tcPr>
          <w:p w14:paraId="376FA17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82281.33 </w:t>
            </w:r>
            <w:r>
              <w:rPr>
                <w:rFonts w:ascii="Times New Roman" w:hAnsi="Times New Roman" w:cs="Times New Roman"/>
                <w:sz w:val="24"/>
                <w:szCs w:val="24"/>
              </w:rPr>
              <w:t>± 63.57</w:t>
            </w:r>
          </w:p>
        </w:tc>
        <w:tc>
          <w:tcPr>
            <w:tcW w:w="5850" w:type="dxa"/>
            <w:vAlign w:val="bottom"/>
          </w:tcPr>
          <w:p w14:paraId="5091C3D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0.08</w:t>
            </w:r>
          </w:p>
        </w:tc>
      </w:tr>
      <w:tr w:rsidR="001D04B0" w14:paraId="03F2DBBE" w14:textId="77777777">
        <w:trPr>
          <w:trHeight w:val="774"/>
        </w:trPr>
        <w:tc>
          <w:tcPr>
            <w:tcW w:w="590" w:type="dxa"/>
          </w:tcPr>
          <w:p w14:paraId="0DF7131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6" w:type="dxa"/>
          </w:tcPr>
          <w:p w14:paraId="5AA45DE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21" w:type="dxa"/>
            <w:vAlign w:val="bottom"/>
          </w:tcPr>
          <w:p w14:paraId="6EB3641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111883.33 </w:t>
            </w:r>
            <w:r>
              <w:rPr>
                <w:rFonts w:ascii="Times New Roman" w:hAnsi="Times New Roman" w:cs="Times New Roman"/>
                <w:sz w:val="24"/>
                <w:szCs w:val="24"/>
              </w:rPr>
              <w:t>± 113.78</w:t>
            </w:r>
          </w:p>
        </w:tc>
        <w:tc>
          <w:tcPr>
            <w:tcW w:w="5850" w:type="dxa"/>
            <w:vAlign w:val="bottom"/>
          </w:tcPr>
          <w:p w14:paraId="7314E71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0.10</w:t>
            </w:r>
          </w:p>
        </w:tc>
      </w:tr>
      <w:tr w:rsidR="001D04B0" w14:paraId="2EF48C35" w14:textId="77777777">
        <w:trPr>
          <w:trHeight w:val="774"/>
        </w:trPr>
        <w:tc>
          <w:tcPr>
            <w:tcW w:w="590" w:type="dxa"/>
          </w:tcPr>
          <w:p w14:paraId="16E4AEE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696" w:type="dxa"/>
          </w:tcPr>
          <w:p w14:paraId="5E1704E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21" w:type="dxa"/>
            <w:vAlign w:val="bottom"/>
          </w:tcPr>
          <w:p w14:paraId="3423C6B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137372.67 </w:t>
            </w:r>
            <w:r>
              <w:rPr>
                <w:rFonts w:ascii="Times New Roman" w:hAnsi="Times New Roman" w:cs="Times New Roman"/>
                <w:sz w:val="24"/>
                <w:szCs w:val="24"/>
              </w:rPr>
              <w:t>± 56.08</w:t>
            </w:r>
          </w:p>
        </w:tc>
        <w:tc>
          <w:tcPr>
            <w:tcW w:w="5850" w:type="dxa"/>
            <w:vAlign w:val="bottom"/>
          </w:tcPr>
          <w:p w14:paraId="5B8C430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0.04</w:t>
            </w:r>
          </w:p>
        </w:tc>
      </w:tr>
      <w:tr w:rsidR="001D04B0" w14:paraId="3FAA1C33" w14:textId="77777777">
        <w:trPr>
          <w:trHeight w:val="774"/>
        </w:trPr>
        <w:tc>
          <w:tcPr>
            <w:tcW w:w="590" w:type="dxa"/>
          </w:tcPr>
          <w:p w14:paraId="76B3A23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6" w:type="dxa"/>
          </w:tcPr>
          <w:p w14:paraId="64633DC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21" w:type="dxa"/>
            <w:vAlign w:val="bottom"/>
          </w:tcPr>
          <w:p w14:paraId="4E4693E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166461.67 </w:t>
            </w:r>
            <w:r>
              <w:rPr>
                <w:rFonts w:ascii="Times New Roman" w:hAnsi="Times New Roman" w:cs="Times New Roman"/>
                <w:sz w:val="24"/>
                <w:szCs w:val="24"/>
              </w:rPr>
              <w:t>± 134.40</w:t>
            </w:r>
          </w:p>
        </w:tc>
        <w:tc>
          <w:tcPr>
            <w:tcW w:w="5850" w:type="dxa"/>
            <w:vAlign w:val="bottom"/>
          </w:tcPr>
          <w:p w14:paraId="04A4C1C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0.08</w:t>
            </w:r>
          </w:p>
        </w:tc>
      </w:tr>
      <w:tr w:rsidR="001D04B0" w14:paraId="24A8A55B" w14:textId="77777777">
        <w:trPr>
          <w:trHeight w:val="774"/>
        </w:trPr>
        <w:tc>
          <w:tcPr>
            <w:tcW w:w="4507" w:type="dxa"/>
            <w:gridSpan w:val="3"/>
          </w:tcPr>
          <w:p w14:paraId="7C08998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equation</w:t>
            </w:r>
          </w:p>
        </w:tc>
        <w:tc>
          <w:tcPr>
            <w:tcW w:w="5850" w:type="dxa"/>
          </w:tcPr>
          <w:p w14:paraId="70F5E6E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y=5535.5x – 5.7333</w:t>
            </w:r>
          </w:p>
        </w:tc>
      </w:tr>
      <w:tr w:rsidR="001D04B0" w14:paraId="0814A22D" w14:textId="77777777">
        <w:trPr>
          <w:trHeight w:val="401"/>
        </w:trPr>
        <w:tc>
          <w:tcPr>
            <w:tcW w:w="4507" w:type="dxa"/>
            <w:gridSpan w:val="3"/>
          </w:tcPr>
          <w:p w14:paraId="74DC61C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Coefficient</w:t>
            </w:r>
          </w:p>
        </w:tc>
        <w:tc>
          <w:tcPr>
            <w:tcW w:w="5850" w:type="dxa"/>
          </w:tcPr>
          <w:p w14:paraId="459F372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0.9996</w:t>
            </w:r>
          </w:p>
        </w:tc>
      </w:tr>
    </w:tbl>
    <w:p w14:paraId="1A9E503F" w14:textId="77777777" w:rsidR="001D04B0" w:rsidRDefault="001D04B0">
      <w:pPr>
        <w:spacing w:line="240" w:lineRule="auto"/>
        <w:jc w:val="both"/>
        <w:rPr>
          <w:rFonts w:ascii="Times New Roman" w:hAnsi="Times New Roman" w:cs="Times New Roman"/>
          <w:b/>
          <w:bCs/>
          <w:sz w:val="24"/>
          <w:szCs w:val="24"/>
        </w:rPr>
      </w:pPr>
    </w:p>
    <w:p w14:paraId="467947B2" w14:textId="77777777" w:rsidR="001D04B0" w:rsidRDefault="001D04B0">
      <w:pPr>
        <w:spacing w:line="240" w:lineRule="auto"/>
        <w:jc w:val="both"/>
        <w:rPr>
          <w:rFonts w:ascii="Times New Roman" w:hAnsi="Times New Roman" w:cs="Times New Roman"/>
          <w:sz w:val="24"/>
          <w:szCs w:val="24"/>
        </w:rPr>
      </w:pPr>
    </w:p>
    <w:p w14:paraId="35C04418" w14:textId="77777777" w:rsidR="001D04B0" w:rsidRDefault="001D04B0">
      <w:pPr>
        <w:spacing w:line="240" w:lineRule="auto"/>
        <w:jc w:val="both"/>
        <w:rPr>
          <w:rFonts w:ascii="Times New Roman" w:hAnsi="Times New Roman" w:cs="Times New Roman"/>
          <w:sz w:val="24"/>
          <w:szCs w:val="24"/>
        </w:rPr>
      </w:pPr>
    </w:p>
    <w:p w14:paraId="2C010AB0" w14:textId="77777777" w:rsidR="001D04B0" w:rsidRDefault="001D04B0">
      <w:pPr>
        <w:spacing w:line="240" w:lineRule="auto"/>
        <w:jc w:val="both"/>
        <w:rPr>
          <w:rFonts w:ascii="Times New Roman" w:hAnsi="Times New Roman" w:cs="Times New Roman"/>
          <w:sz w:val="24"/>
          <w:szCs w:val="24"/>
        </w:rPr>
      </w:pPr>
    </w:p>
    <w:p w14:paraId="3F03BDBB" w14:textId="77777777" w:rsidR="001D04B0" w:rsidRDefault="001D04B0">
      <w:pPr>
        <w:spacing w:line="240" w:lineRule="auto"/>
        <w:jc w:val="both"/>
        <w:rPr>
          <w:rFonts w:ascii="Times New Roman" w:hAnsi="Times New Roman" w:cs="Times New Roman"/>
          <w:sz w:val="24"/>
          <w:szCs w:val="24"/>
        </w:rPr>
      </w:pPr>
    </w:p>
    <w:p w14:paraId="0D9286D4" w14:textId="77777777" w:rsidR="001D04B0" w:rsidRDefault="001D04B0">
      <w:pPr>
        <w:spacing w:line="240" w:lineRule="auto"/>
        <w:jc w:val="both"/>
        <w:rPr>
          <w:rFonts w:ascii="Times New Roman" w:hAnsi="Times New Roman" w:cs="Times New Roman"/>
          <w:sz w:val="24"/>
          <w:szCs w:val="24"/>
        </w:rPr>
      </w:pPr>
    </w:p>
    <w:p w14:paraId="494B28F7"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334ED50" wp14:editId="2080C100">
            <wp:extent cx="5631815" cy="2911475"/>
            <wp:effectExtent l="4445" t="4445" r="21590" b="17780"/>
            <wp:docPr id="15329979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36F5D2D"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44 Calibration curve for DAPA</w:t>
      </w:r>
    </w:p>
    <w:p w14:paraId="42567232"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26 Linearity data for EPLE</w:t>
      </w:r>
    </w:p>
    <w:tbl>
      <w:tblPr>
        <w:tblStyle w:val="TableGrid"/>
        <w:tblW w:w="10507" w:type="dxa"/>
        <w:tblLook w:val="04A0" w:firstRow="1" w:lastRow="0" w:firstColumn="1" w:lastColumn="0" w:noHBand="0" w:noVBand="1"/>
      </w:tblPr>
      <w:tblGrid>
        <w:gridCol w:w="691"/>
        <w:gridCol w:w="1696"/>
        <w:gridCol w:w="2652"/>
        <w:gridCol w:w="5468"/>
      </w:tblGrid>
      <w:tr w:rsidR="001D04B0" w14:paraId="28036214" w14:textId="77777777">
        <w:trPr>
          <w:trHeight w:val="749"/>
        </w:trPr>
        <w:tc>
          <w:tcPr>
            <w:tcW w:w="691" w:type="dxa"/>
          </w:tcPr>
          <w:p w14:paraId="0967C2C2"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696" w:type="dxa"/>
          </w:tcPr>
          <w:p w14:paraId="6CA730BD"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(μg/mL)</w:t>
            </w:r>
          </w:p>
        </w:tc>
        <w:tc>
          <w:tcPr>
            <w:tcW w:w="2652" w:type="dxa"/>
          </w:tcPr>
          <w:p w14:paraId="6505BF90"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Peak Area (Mean ± S. D. )</w:t>
            </w:r>
          </w:p>
        </w:tc>
        <w:tc>
          <w:tcPr>
            <w:tcW w:w="5468" w:type="dxa"/>
          </w:tcPr>
          <w:p w14:paraId="2892EFB9"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RSD</w:t>
            </w:r>
          </w:p>
        </w:tc>
      </w:tr>
      <w:tr w:rsidR="001D04B0" w14:paraId="526E6412" w14:textId="77777777">
        <w:trPr>
          <w:trHeight w:val="379"/>
        </w:trPr>
        <w:tc>
          <w:tcPr>
            <w:tcW w:w="691" w:type="dxa"/>
          </w:tcPr>
          <w:p w14:paraId="24D652E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6" w:type="dxa"/>
          </w:tcPr>
          <w:p w14:paraId="4D369C1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652" w:type="dxa"/>
          </w:tcPr>
          <w:p w14:paraId="430EFF1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68450.33 ± 96</w:t>
            </w:r>
          </w:p>
        </w:tc>
        <w:tc>
          <w:tcPr>
            <w:tcW w:w="5468" w:type="dxa"/>
            <w:vAlign w:val="bottom"/>
          </w:tcPr>
          <w:p w14:paraId="315CDBF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0.14</w:t>
            </w:r>
          </w:p>
        </w:tc>
      </w:tr>
      <w:tr w:rsidR="001D04B0" w14:paraId="7BAA8652" w14:textId="77777777">
        <w:trPr>
          <w:trHeight w:val="379"/>
        </w:trPr>
        <w:tc>
          <w:tcPr>
            <w:tcW w:w="691" w:type="dxa"/>
          </w:tcPr>
          <w:p w14:paraId="7001F73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6" w:type="dxa"/>
          </w:tcPr>
          <w:p w14:paraId="1676737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2652" w:type="dxa"/>
          </w:tcPr>
          <w:p w14:paraId="59387EC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100577.00 ± 87.43</w:t>
            </w:r>
          </w:p>
        </w:tc>
        <w:tc>
          <w:tcPr>
            <w:tcW w:w="5468" w:type="dxa"/>
            <w:vAlign w:val="bottom"/>
          </w:tcPr>
          <w:p w14:paraId="6763D33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0.09</w:t>
            </w:r>
          </w:p>
        </w:tc>
      </w:tr>
      <w:tr w:rsidR="001D04B0" w14:paraId="061BC5F7" w14:textId="77777777">
        <w:trPr>
          <w:trHeight w:val="379"/>
        </w:trPr>
        <w:tc>
          <w:tcPr>
            <w:tcW w:w="691" w:type="dxa"/>
          </w:tcPr>
          <w:p w14:paraId="57EFF17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6" w:type="dxa"/>
          </w:tcPr>
          <w:p w14:paraId="2B0F883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652" w:type="dxa"/>
          </w:tcPr>
          <w:p w14:paraId="0DE8CCD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137406.33 ± 278.99</w:t>
            </w:r>
          </w:p>
        </w:tc>
        <w:tc>
          <w:tcPr>
            <w:tcW w:w="5468" w:type="dxa"/>
            <w:vAlign w:val="bottom"/>
          </w:tcPr>
          <w:p w14:paraId="370641E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0.20</w:t>
            </w:r>
          </w:p>
        </w:tc>
      </w:tr>
      <w:tr w:rsidR="001D04B0" w14:paraId="7ACD921E" w14:textId="77777777">
        <w:trPr>
          <w:trHeight w:val="379"/>
        </w:trPr>
        <w:tc>
          <w:tcPr>
            <w:tcW w:w="691" w:type="dxa"/>
          </w:tcPr>
          <w:p w14:paraId="7286564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96" w:type="dxa"/>
          </w:tcPr>
          <w:p w14:paraId="26A9529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2652" w:type="dxa"/>
          </w:tcPr>
          <w:p w14:paraId="48D3231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169586.00 ± 314.50</w:t>
            </w:r>
          </w:p>
        </w:tc>
        <w:tc>
          <w:tcPr>
            <w:tcW w:w="5468" w:type="dxa"/>
            <w:vAlign w:val="bottom"/>
          </w:tcPr>
          <w:p w14:paraId="66F5B27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0.19</w:t>
            </w:r>
          </w:p>
        </w:tc>
      </w:tr>
      <w:tr w:rsidR="001D04B0" w14:paraId="4F1F91DA" w14:textId="77777777">
        <w:trPr>
          <w:trHeight w:val="379"/>
        </w:trPr>
        <w:tc>
          <w:tcPr>
            <w:tcW w:w="691" w:type="dxa"/>
          </w:tcPr>
          <w:p w14:paraId="3B6B7CE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6" w:type="dxa"/>
          </w:tcPr>
          <w:p w14:paraId="25A2F13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652" w:type="dxa"/>
          </w:tcPr>
          <w:p w14:paraId="770BF81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199353.67 ± 223.51</w:t>
            </w:r>
          </w:p>
        </w:tc>
        <w:tc>
          <w:tcPr>
            <w:tcW w:w="5468" w:type="dxa"/>
            <w:vAlign w:val="bottom"/>
          </w:tcPr>
          <w:p w14:paraId="213A280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0.11</w:t>
            </w:r>
          </w:p>
        </w:tc>
      </w:tr>
      <w:tr w:rsidR="001D04B0" w14:paraId="5862A846" w14:textId="77777777">
        <w:trPr>
          <w:trHeight w:val="379"/>
        </w:trPr>
        <w:tc>
          <w:tcPr>
            <w:tcW w:w="5039" w:type="dxa"/>
            <w:gridSpan w:val="3"/>
          </w:tcPr>
          <w:p w14:paraId="092B403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equation</w:t>
            </w:r>
          </w:p>
        </w:tc>
        <w:tc>
          <w:tcPr>
            <w:tcW w:w="5468" w:type="dxa"/>
          </w:tcPr>
          <w:p w14:paraId="5B4A9C7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y=2646.5x +2748.4</w:t>
            </w:r>
          </w:p>
        </w:tc>
      </w:tr>
      <w:tr w:rsidR="001D04B0" w14:paraId="51B548A7" w14:textId="77777777">
        <w:trPr>
          <w:trHeight w:val="388"/>
        </w:trPr>
        <w:tc>
          <w:tcPr>
            <w:tcW w:w="5039" w:type="dxa"/>
            <w:gridSpan w:val="3"/>
          </w:tcPr>
          <w:p w14:paraId="5BDE741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Coefficient</w:t>
            </w:r>
          </w:p>
        </w:tc>
        <w:tc>
          <w:tcPr>
            <w:tcW w:w="5468" w:type="dxa"/>
          </w:tcPr>
          <w:p w14:paraId="0018C7C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0.9988</w:t>
            </w:r>
          </w:p>
        </w:tc>
      </w:tr>
    </w:tbl>
    <w:p w14:paraId="32B11852" w14:textId="77777777" w:rsidR="001D04B0" w:rsidRDefault="001D04B0">
      <w:pPr>
        <w:spacing w:line="240" w:lineRule="auto"/>
        <w:jc w:val="center"/>
        <w:rPr>
          <w:rFonts w:ascii="Times New Roman" w:hAnsi="Times New Roman" w:cs="Times New Roman"/>
          <w:b/>
          <w:bCs/>
          <w:sz w:val="24"/>
          <w:szCs w:val="24"/>
        </w:rPr>
      </w:pPr>
    </w:p>
    <w:p w14:paraId="4EFEC73F" w14:textId="77777777" w:rsidR="001D04B0" w:rsidRDefault="0000000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0678D38E" wp14:editId="64589BB1">
            <wp:extent cx="4817110" cy="2677160"/>
            <wp:effectExtent l="4445" t="4445" r="17145" b="23495"/>
            <wp:docPr id="9560918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2EA457" w14:textId="77777777" w:rsidR="001D04B0" w:rsidRDefault="00000000">
      <w:pPr>
        <w:spacing w:line="240" w:lineRule="auto"/>
        <w:ind w:firstLineChars="800" w:firstLine="1928"/>
        <w:jc w:val="both"/>
        <w:rPr>
          <w:rFonts w:ascii="Times New Roman" w:hAnsi="Times New Roman" w:cs="Times New Roman"/>
          <w:b/>
          <w:bCs/>
          <w:sz w:val="24"/>
          <w:szCs w:val="24"/>
        </w:rPr>
      </w:pPr>
      <w:r>
        <w:rPr>
          <w:rFonts w:ascii="Times New Roman" w:hAnsi="Times New Roman" w:cs="Times New Roman"/>
          <w:b/>
          <w:bCs/>
          <w:sz w:val="24"/>
          <w:szCs w:val="24"/>
        </w:rPr>
        <w:t>Figure 45 Calibration curve for EPLE</w:t>
      </w:r>
    </w:p>
    <w:p w14:paraId="5B635906" w14:textId="77777777" w:rsidR="001D04B0" w:rsidRDefault="001D04B0">
      <w:pPr>
        <w:spacing w:line="240" w:lineRule="auto"/>
        <w:jc w:val="both"/>
        <w:rPr>
          <w:rFonts w:ascii="Times New Roman" w:hAnsi="Times New Roman" w:cs="Times New Roman"/>
          <w:sz w:val="24"/>
          <w:szCs w:val="24"/>
        </w:rPr>
      </w:pPr>
    </w:p>
    <w:p w14:paraId="0D5B1698" w14:textId="77777777" w:rsidR="001D04B0" w:rsidRDefault="001D04B0">
      <w:pPr>
        <w:spacing w:line="240" w:lineRule="auto"/>
        <w:jc w:val="both"/>
        <w:rPr>
          <w:rFonts w:ascii="Times New Roman" w:hAnsi="Times New Roman" w:cs="Times New Roman"/>
          <w:sz w:val="24"/>
          <w:szCs w:val="24"/>
        </w:rPr>
      </w:pPr>
    </w:p>
    <w:p w14:paraId="7A7E8FC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conducted to evaluate the linearity of the proposed RP-HPLC method for the simultaneous estimation </w:t>
      </w:r>
    </w:p>
    <w:p w14:paraId="645E6E8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of Dapagliflozin and Eplerenone over a defined concentration range. A minimum acceptance criterion of correlation coefficient (r²) greater than 0.995 was considered to confirm adequate linearity of the method.</w:t>
      </w:r>
    </w:p>
    <w:p w14:paraId="15C2211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calibration data produced correlation coefficient (r²) values of 0.9996 for Dapagliflozin and 0.9988 for Eplerenone. These values are well within the acceptable limits, demonstrating a strong and direct relationship between concentration and chromatographic response for both analytes.</w:t>
      </w:r>
    </w:p>
    <w:p w14:paraId="537CE54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Based on compliance with the established linearity criteria, the developed RP-HPLC method is considered reliable for quantitative analysis of Dapagliflozin within the concentration range of 10–30 µg/mL and Eplerenone within 25–75 µg/mL. The validated linear range confirms the suitability of the method for accurate estimation of both drugs in routine analysis.</w:t>
      </w:r>
    </w:p>
    <w:p w14:paraId="79746772"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Repeatability</w:t>
      </w:r>
    </w:p>
    <w:p w14:paraId="01B18963"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27 Repeatability Data for DAPA</w:t>
      </w:r>
    </w:p>
    <w:tbl>
      <w:tblPr>
        <w:tblStyle w:val="TableGrid"/>
        <w:tblW w:w="9335" w:type="dxa"/>
        <w:tblLook w:val="04A0" w:firstRow="1" w:lastRow="0" w:firstColumn="1" w:lastColumn="0" w:noHBand="0" w:noVBand="1"/>
      </w:tblPr>
      <w:tblGrid>
        <w:gridCol w:w="1680"/>
        <w:gridCol w:w="7655"/>
      </w:tblGrid>
      <w:tr w:rsidR="001D04B0" w14:paraId="773AED69" w14:textId="77777777">
        <w:trPr>
          <w:trHeight w:val="817"/>
        </w:trPr>
        <w:tc>
          <w:tcPr>
            <w:tcW w:w="1680" w:type="dxa"/>
          </w:tcPr>
          <w:p w14:paraId="12F04FF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Area</w:t>
            </w:r>
          </w:p>
        </w:tc>
        <w:tc>
          <w:tcPr>
            <w:tcW w:w="7655" w:type="dxa"/>
          </w:tcPr>
          <w:p w14:paraId="2837942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Concentration of DAPA ( 20 µg/mL)</w:t>
            </w:r>
          </w:p>
        </w:tc>
      </w:tr>
      <w:tr w:rsidR="001D04B0" w14:paraId="7DC1D7DD" w14:textId="77777777">
        <w:trPr>
          <w:trHeight w:val="569"/>
        </w:trPr>
        <w:tc>
          <w:tcPr>
            <w:tcW w:w="1680" w:type="dxa"/>
          </w:tcPr>
          <w:p w14:paraId="2AB2C82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w:t>
            </w:r>
          </w:p>
        </w:tc>
        <w:tc>
          <w:tcPr>
            <w:tcW w:w="7655" w:type="dxa"/>
            <w:vAlign w:val="bottom"/>
          </w:tcPr>
          <w:p w14:paraId="27B59FD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115928</w:t>
            </w:r>
          </w:p>
        </w:tc>
      </w:tr>
      <w:tr w:rsidR="001D04B0" w14:paraId="156C8C1C" w14:textId="77777777">
        <w:trPr>
          <w:trHeight w:val="569"/>
        </w:trPr>
        <w:tc>
          <w:tcPr>
            <w:tcW w:w="1680" w:type="dxa"/>
          </w:tcPr>
          <w:p w14:paraId="1083348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2.</w:t>
            </w:r>
          </w:p>
        </w:tc>
        <w:tc>
          <w:tcPr>
            <w:tcW w:w="7655" w:type="dxa"/>
            <w:vAlign w:val="bottom"/>
          </w:tcPr>
          <w:p w14:paraId="14838AB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115268</w:t>
            </w:r>
          </w:p>
        </w:tc>
      </w:tr>
      <w:tr w:rsidR="001D04B0" w14:paraId="31499146" w14:textId="77777777">
        <w:trPr>
          <w:trHeight w:val="569"/>
        </w:trPr>
        <w:tc>
          <w:tcPr>
            <w:tcW w:w="1680" w:type="dxa"/>
          </w:tcPr>
          <w:p w14:paraId="0047BF8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3.</w:t>
            </w:r>
          </w:p>
        </w:tc>
        <w:tc>
          <w:tcPr>
            <w:tcW w:w="7655" w:type="dxa"/>
            <w:vAlign w:val="bottom"/>
          </w:tcPr>
          <w:p w14:paraId="5B8C529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115654</w:t>
            </w:r>
          </w:p>
        </w:tc>
      </w:tr>
      <w:tr w:rsidR="001D04B0" w14:paraId="60743D62" w14:textId="77777777">
        <w:trPr>
          <w:trHeight w:val="569"/>
        </w:trPr>
        <w:tc>
          <w:tcPr>
            <w:tcW w:w="1680" w:type="dxa"/>
          </w:tcPr>
          <w:p w14:paraId="6E56FC8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4.</w:t>
            </w:r>
          </w:p>
        </w:tc>
        <w:tc>
          <w:tcPr>
            <w:tcW w:w="7655" w:type="dxa"/>
            <w:vAlign w:val="bottom"/>
          </w:tcPr>
          <w:p w14:paraId="1A238A1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115123</w:t>
            </w:r>
          </w:p>
        </w:tc>
      </w:tr>
      <w:tr w:rsidR="001D04B0" w14:paraId="391AF9B9" w14:textId="77777777">
        <w:trPr>
          <w:trHeight w:val="569"/>
        </w:trPr>
        <w:tc>
          <w:tcPr>
            <w:tcW w:w="1680" w:type="dxa"/>
          </w:tcPr>
          <w:p w14:paraId="6663D3E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w:t>
            </w:r>
          </w:p>
        </w:tc>
        <w:tc>
          <w:tcPr>
            <w:tcW w:w="7655" w:type="dxa"/>
            <w:vAlign w:val="bottom"/>
          </w:tcPr>
          <w:p w14:paraId="1EC650E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115789</w:t>
            </w:r>
          </w:p>
        </w:tc>
      </w:tr>
      <w:tr w:rsidR="001D04B0" w14:paraId="430FF6CC" w14:textId="77777777">
        <w:trPr>
          <w:trHeight w:val="569"/>
        </w:trPr>
        <w:tc>
          <w:tcPr>
            <w:tcW w:w="1680" w:type="dxa"/>
          </w:tcPr>
          <w:p w14:paraId="5AEB0A7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6.</w:t>
            </w:r>
          </w:p>
        </w:tc>
        <w:tc>
          <w:tcPr>
            <w:tcW w:w="7655" w:type="dxa"/>
            <w:vAlign w:val="bottom"/>
          </w:tcPr>
          <w:p w14:paraId="05FC81E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115874</w:t>
            </w:r>
          </w:p>
        </w:tc>
      </w:tr>
      <w:tr w:rsidR="001D04B0" w14:paraId="33CB951F" w14:textId="77777777">
        <w:trPr>
          <w:trHeight w:val="569"/>
        </w:trPr>
        <w:tc>
          <w:tcPr>
            <w:tcW w:w="1680" w:type="dxa"/>
          </w:tcPr>
          <w:p w14:paraId="567BCA5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Mean</w:t>
            </w:r>
          </w:p>
        </w:tc>
        <w:tc>
          <w:tcPr>
            <w:tcW w:w="7655" w:type="dxa"/>
            <w:vAlign w:val="bottom"/>
          </w:tcPr>
          <w:p w14:paraId="660DA04D"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115606.00</w:t>
            </w:r>
          </w:p>
        </w:tc>
      </w:tr>
      <w:tr w:rsidR="001D04B0" w14:paraId="366DAD81" w14:textId="77777777">
        <w:trPr>
          <w:trHeight w:val="569"/>
        </w:trPr>
        <w:tc>
          <w:tcPr>
            <w:tcW w:w="1680" w:type="dxa"/>
          </w:tcPr>
          <w:p w14:paraId="2424965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lastRenderedPageBreak/>
              <w:t>SD</w:t>
            </w:r>
          </w:p>
        </w:tc>
        <w:tc>
          <w:tcPr>
            <w:tcW w:w="7655" w:type="dxa"/>
            <w:vAlign w:val="bottom"/>
          </w:tcPr>
          <w:p w14:paraId="2AA927E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334.32</w:t>
            </w:r>
          </w:p>
        </w:tc>
      </w:tr>
      <w:tr w:rsidR="001D04B0" w14:paraId="60954B3C" w14:textId="77777777">
        <w:trPr>
          <w:trHeight w:val="589"/>
        </w:trPr>
        <w:tc>
          <w:tcPr>
            <w:tcW w:w="1680" w:type="dxa"/>
          </w:tcPr>
          <w:p w14:paraId="28A5F1C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7655" w:type="dxa"/>
            <w:vAlign w:val="bottom"/>
          </w:tcPr>
          <w:p w14:paraId="01381BF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0.29</w:t>
            </w:r>
          </w:p>
        </w:tc>
      </w:tr>
    </w:tbl>
    <w:p w14:paraId="5A7436B5" w14:textId="77777777" w:rsidR="001D04B0" w:rsidRDefault="001D04B0">
      <w:pPr>
        <w:spacing w:line="240" w:lineRule="auto"/>
        <w:jc w:val="center"/>
        <w:rPr>
          <w:rFonts w:ascii="Times New Roman" w:hAnsi="Times New Roman" w:cs="Times New Roman"/>
          <w:b/>
          <w:bCs/>
          <w:sz w:val="24"/>
          <w:szCs w:val="24"/>
        </w:rPr>
      </w:pPr>
    </w:p>
    <w:p w14:paraId="37639100"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28 Repeatability Data for EPLE</w:t>
      </w:r>
    </w:p>
    <w:tbl>
      <w:tblPr>
        <w:tblStyle w:val="TableGrid"/>
        <w:tblW w:w="9362" w:type="dxa"/>
        <w:tblLook w:val="04A0" w:firstRow="1" w:lastRow="0" w:firstColumn="1" w:lastColumn="0" w:noHBand="0" w:noVBand="1"/>
      </w:tblPr>
      <w:tblGrid>
        <w:gridCol w:w="1880"/>
        <w:gridCol w:w="7482"/>
      </w:tblGrid>
      <w:tr w:rsidR="001D04B0" w14:paraId="299A5FBB" w14:textId="77777777">
        <w:trPr>
          <w:trHeight w:val="521"/>
        </w:trPr>
        <w:tc>
          <w:tcPr>
            <w:tcW w:w="1880" w:type="dxa"/>
          </w:tcPr>
          <w:p w14:paraId="01BE7F4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Area</w:t>
            </w:r>
          </w:p>
        </w:tc>
        <w:tc>
          <w:tcPr>
            <w:tcW w:w="7482" w:type="dxa"/>
          </w:tcPr>
          <w:p w14:paraId="042564D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Concentration of EPLE (50 µg/mL)</w:t>
            </w:r>
          </w:p>
        </w:tc>
      </w:tr>
      <w:tr w:rsidR="001D04B0" w14:paraId="4336D3AE" w14:textId="77777777">
        <w:trPr>
          <w:trHeight w:val="570"/>
        </w:trPr>
        <w:tc>
          <w:tcPr>
            <w:tcW w:w="1880" w:type="dxa"/>
          </w:tcPr>
          <w:p w14:paraId="2257485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w:t>
            </w:r>
          </w:p>
        </w:tc>
        <w:tc>
          <w:tcPr>
            <w:tcW w:w="7482" w:type="dxa"/>
            <w:vAlign w:val="bottom"/>
          </w:tcPr>
          <w:p w14:paraId="097E094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140467</w:t>
            </w:r>
          </w:p>
        </w:tc>
      </w:tr>
      <w:tr w:rsidR="001D04B0" w14:paraId="20236EF6" w14:textId="77777777">
        <w:trPr>
          <w:trHeight w:val="570"/>
        </w:trPr>
        <w:tc>
          <w:tcPr>
            <w:tcW w:w="1880" w:type="dxa"/>
          </w:tcPr>
          <w:p w14:paraId="2963851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2.</w:t>
            </w:r>
          </w:p>
        </w:tc>
        <w:tc>
          <w:tcPr>
            <w:tcW w:w="7482" w:type="dxa"/>
            <w:vAlign w:val="bottom"/>
          </w:tcPr>
          <w:p w14:paraId="69F6122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139650</w:t>
            </w:r>
          </w:p>
        </w:tc>
      </w:tr>
      <w:tr w:rsidR="001D04B0" w14:paraId="4E1A0185" w14:textId="77777777">
        <w:trPr>
          <w:trHeight w:val="570"/>
        </w:trPr>
        <w:tc>
          <w:tcPr>
            <w:tcW w:w="1880" w:type="dxa"/>
          </w:tcPr>
          <w:p w14:paraId="0A64927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3.</w:t>
            </w:r>
          </w:p>
        </w:tc>
        <w:tc>
          <w:tcPr>
            <w:tcW w:w="7482" w:type="dxa"/>
            <w:vAlign w:val="bottom"/>
          </w:tcPr>
          <w:p w14:paraId="4F536A1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140102</w:t>
            </w:r>
          </w:p>
        </w:tc>
      </w:tr>
      <w:tr w:rsidR="001D04B0" w14:paraId="242DED79" w14:textId="77777777">
        <w:trPr>
          <w:trHeight w:val="570"/>
        </w:trPr>
        <w:tc>
          <w:tcPr>
            <w:tcW w:w="1880" w:type="dxa"/>
          </w:tcPr>
          <w:p w14:paraId="56B92D3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4.</w:t>
            </w:r>
          </w:p>
        </w:tc>
        <w:tc>
          <w:tcPr>
            <w:tcW w:w="7482" w:type="dxa"/>
            <w:vAlign w:val="bottom"/>
          </w:tcPr>
          <w:p w14:paraId="1909B33D"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140987</w:t>
            </w:r>
          </w:p>
        </w:tc>
      </w:tr>
      <w:tr w:rsidR="001D04B0" w14:paraId="1260F4EF" w14:textId="77777777">
        <w:trPr>
          <w:trHeight w:val="570"/>
        </w:trPr>
        <w:tc>
          <w:tcPr>
            <w:tcW w:w="1880" w:type="dxa"/>
          </w:tcPr>
          <w:p w14:paraId="10FC0B4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w:t>
            </w:r>
          </w:p>
        </w:tc>
        <w:tc>
          <w:tcPr>
            <w:tcW w:w="7482" w:type="dxa"/>
            <w:vAlign w:val="bottom"/>
          </w:tcPr>
          <w:p w14:paraId="3049983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139784</w:t>
            </w:r>
          </w:p>
        </w:tc>
      </w:tr>
      <w:tr w:rsidR="001D04B0" w14:paraId="39EDD4BF" w14:textId="77777777">
        <w:trPr>
          <w:trHeight w:val="570"/>
        </w:trPr>
        <w:tc>
          <w:tcPr>
            <w:tcW w:w="1880" w:type="dxa"/>
          </w:tcPr>
          <w:p w14:paraId="2CA139D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6.</w:t>
            </w:r>
          </w:p>
        </w:tc>
        <w:tc>
          <w:tcPr>
            <w:tcW w:w="7482" w:type="dxa"/>
            <w:vAlign w:val="bottom"/>
          </w:tcPr>
          <w:p w14:paraId="4034856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140620</w:t>
            </w:r>
          </w:p>
        </w:tc>
      </w:tr>
      <w:tr w:rsidR="001D04B0" w14:paraId="26F5F879" w14:textId="77777777">
        <w:trPr>
          <w:trHeight w:val="570"/>
        </w:trPr>
        <w:tc>
          <w:tcPr>
            <w:tcW w:w="1880" w:type="dxa"/>
          </w:tcPr>
          <w:p w14:paraId="74077C8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Mean</w:t>
            </w:r>
          </w:p>
        </w:tc>
        <w:tc>
          <w:tcPr>
            <w:tcW w:w="7482" w:type="dxa"/>
            <w:vAlign w:val="bottom"/>
          </w:tcPr>
          <w:p w14:paraId="5E420CE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140268.33</w:t>
            </w:r>
          </w:p>
        </w:tc>
      </w:tr>
      <w:tr w:rsidR="001D04B0" w14:paraId="176171BF" w14:textId="77777777">
        <w:trPr>
          <w:trHeight w:val="570"/>
        </w:trPr>
        <w:tc>
          <w:tcPr>
            <w:tcW w:w="1880" w:type="dxa"/>
          </w:tcPr>
          <w:p w14:paraId="454A0BC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SD</w:t>
            </w:r>
          </w:p>
        </w:tc>
        <w:tc>
          <w:tcPr>
            <w:tcW w:w="7482" w:type="dxa"/>
            <w:vAlign w:val="bottom"/>
          </w:tcPr>
          <w:p w14:paraId="44B2B89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514.63</w:t>
            </w:r>
          </w:p>
        </w:tc>
      </w:tr>
      <w:tr w:rsidR="001D04B0" w14:paraId="676421DF" w14:textId="77777777">
        <w:trPr>
          <w:trHeight w:val="580"/>
        </w:trPr>
        <w:tc>
          <w:tcPr>
            <w:tcW w:w="1880" w:type="dxa"/>
          </w:tcPr>
          <w:p w14:paraId="105578E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7482" w:type="dxa"/>
            <w:vAlign w:val="bottom"/>
          </w:tcPr>
          <w:p w14:paraId="3A0B87C3"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0.37</w:t>
            </w:r>
          </w:p>
        </w:tc>
      </w:tr>
    </w:tbl>
    <w:p w14:paraId="077466A5" w14:textId="77777777" w:rsidR="001D04B0" w:rsidRDefault="001D04B0">
      <w:pPr>
        <w:spacing w:line="240" w:lineRule="auto"/>
        <w:jc w:val="both"/>
        <w:rPr>
          <w:rFonts w:ascii="Times New Roman" w:hAnsi="Times New Roman" w:cs="Times New Roman"/>
          <w:b/>
          <w:bCs/>
          <w:sz w:val="24"/>
          <w:szCs w:val="24"/>
        </w:rPr>
      </w:pPr>
    </w:p>
    <w:p w14:paraId="17927A5F"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Repeatability evaluates the ability of the analytical method to produce consistent results when multiple measurements are carried out under the same experimental conditions. As per ICH guidelines, the method is considered precise if the percentage Relative Standard Deviation (%RSD) does not exceed 2%.</w:t>
      </w:r>
    </w:p>
    <w:p w14:paraId="696D4B5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 RSD values obtained for Dapagliflozin and Eplerenone at the selected concentration level (20 µg/mL and 50 µg/mL, respectively) were found to be less than 2%. This indicates minimal variation among replicate injections and demonstrates good system consistency.</w:t>
      </w:r>
    </w:p>
    <w:p w14:paraId="20F0A86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Since the % RSD values for both analytes were within the acceptable limit, the developed RP-HPLC method can be considered repeatable. The results confirm that the method provides reliable and consistent responses for the quantitative determination of Dapagliflozin and Eplerenone.</w:t>
      </w:r>
    </w:p>
    <w:p w14:paraId="4B79D9DA"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Intraday Precision</w:t>
      </w:r>
    </w:p>
    <w:p w14:paraId="1CA756E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29 Data of Intraday precision of DAPA and EPLE</w:t>
      </w:r>
    </w:p>
    <w:tbl>
      <w:tblPr>
        <w:tblStyle w:val="TableGrid"/>
        <w:tblW w:w="10044" w:type="dxa"/>
        <w:tblLayout w:type="fixed"/>
        <w:tblLook w:val="04A0" w:firstRow="1" w:lastRow="0" w:firstColumn="1" w:lastColumn="0" w:noHBand="0" w:noVBand="1"/>
      </w:tblPr>
      <w:tblGrid>
        <w:gridCol w:w="865"/>
        <w:gridCol w:w="1693"/>
        <w:gridCol w:w="777"/>
        <w:gridCol w:w="1077"/>
        <w:gridCol w:w="3355"/>
        <w:gridCol w:w="2277"/>
      </w:tblGrid>
      <w:tr w:rsidR="001D04B0" w14:paraId="7D60F85F" w14:textId="77777777">
        <w:trPr>
          <w:trHeight w:val="1568"/>
        </w:trPr>
        <w:tc>
          <w:tcPr>
            <w:tcW w:w="865" w:type="dxa"/>
          </w:tcPr>
          <w:p w14:paraId="5ABD225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 DAPA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1693" w:type="dxa"/>
          </w:tcPr>
          <w:p w14:paraId="24DC838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Intraday (Mean Area ± SD)</w:t>
            </w:r>
          </w:p>
        </w:tc>
        <w:tc>
          <w:tcPr>
            <w:tcW w:w="777" w:type="dxa"/>
          </w:tcPr>
          <w:p w14:paraId="3AAEDD4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1077" w:type="dxa"/>
          </w:tcPr>
          <w:p w14:paraId="616B198C" w14:textId="77777777" w:rsidR="001D04B0" w:rsidRDefault="00000000">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Conc. EPLE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3355" w:type="dxa"/>
          </w:tcPr>
          <w:p w14:paraId="64BFF14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Intraday (Mean Area ± SD)</w:t>
            </w:r>
          </w:p>
        </w:tc>
        <w:tc>
          <w:tcPr>
            <w:tcW w:w="2277" w:type="dxa"/>
          </w:tcPr>
          <w:p w14:paraId="32979CA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r>
      <w:tr w:rsidR="001D04B0" w14:paraId="5AEDF1D6" w14:textId="77777777">
        <w:trPr>
          <w:trHeight w:val="789"/>
        </w:trPr>
        <w:tc>
          <w:tcPr>
            <w:tcW w:w="865" w:type="dxa"/>
            <w:vAlign w:val="center"/>
          </w:tcPr>
          <w:p w14:paraId="0C25489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93" w:type="dxa"/>
            <w:vAlign w:val="center"/>
          </w:tcPr>
          <w:p w14:paraId="0D5E172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55471.67 </w:t>
            </w:r>
            <w:r>
              <w:rPr>
                <w:rFonts w:ascii="Times New Roman" w:hAnsi="Times New Roman" w:cs="Times New Roman"/>
                <w:sz w:val="24"/>
                <w:szCs w:val="24"/>
                <w:lang w:val="en-US"/>
              </w:rPr>
              <w:t>± 86.41</w:t>
            </w:r>
          </w:p>
        </w:tc>
        <w:tc>
          <w:tcPr>
            <w:tcW w:w="777" w:type="dxa"/>
            <w:vAlign w:val="center"/>
          </w:tcPr>
          <w:p w14:paraId="6DAC092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0.16</w:t>
            </w:r>
          </w:p>
        </w:tc>
        <w:tc>
          <w:tcPr>
            <w:tcW w:w="1077" w:type="dxa"/>
            <w:vAlign w:val="center"/>
          </w:tcPr>
          <w:p w14:paraId="7BE78437" w14:textId="77777777" w:rsidR="001D04B0" w:rsidRDefault="000000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3355" w:type="dxa"/>
            <w:vAlign w:val="center"/>
          </w:tcPr>
          <w:p w14:paraId="7BC81F9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68451.33 </w:t>
            </w:r>
            <w:r>
              <w:rPr>
                <w:rFonts w:ascii="Times New Roman" w:hAnsi="Times New Roman" w:cs="Times New Roman"/>
                <w:sz w:val="24"/>
                <w:szCs w:val="24"/>
                <w:lang w:val="en-US"/>
              </w:rPr>
              <w:t>± 94.50</w:t>
            </w:r>
          </w:p>
        </w:tc>
        <w:tc>
          <w:tcPr>
            <w:tcW w:w="2277" w:type="dxa"/>
            <w:vAlign w:val="center"/>
          </w:tcPr>
          <w:p w14:paraId="477126E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0.14</w:t>
            </w:r>
          </w:p>
        </w:tc>
      </w:tr>
      <w:tr w:rsidR="001D04B0" w14:paraId="6C0F11D0" w14:textId="77777777">
        <w:trPr>
          <w:trHeight w:val="993"/>
        </w:trPr>
        <w:tc>
          <w:tcPr>
            <w:tcW w:w="865" w:type="dxa"/>
            <w:vAlign w:val="center"/>
          </w:tcPr>
          <w:p w14:paraId="756385F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1693" w:type="dxa"/>
            <w:vAlign w:val="center"/>
          </w:tcPr>
          <w:p w14:paraId="061846A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115485.33 </w:t>
            </w:r>
            <w:r>
              <w:rPr>
                <w:rFonts w:ascii="Times New Roman" w:hAnsi="Times New Roman" w:cs="Times New Roman"/>
                <w:sz w:val="24"/>
                <w:szCs w:val="24"/>
                <w:lang w:val="en-US"/>
              </w:rPr>
              <w:t>± 546.87</w:t>
            </w:r>
          </w:p>
        </w:tc>
        <w:tc>
          <w:tcPr>
            <w:tcW w:w="777" w:type="dxa"/>
            <w:vAlign w:val="center"/>
          </w:tcPr>
          <w:p w14:paraId="6C5B455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0.47</w:t>
            </w:r>
          </w:p>
        </w:tc>
        <w:tc>
          <w:tcPr>
            <w:tcW w:w="1077" w:type="dxa"/>
            <w:vAlign w:val="center"/>
          </w:tcPr>
          <w:p w14:paraId="0480F2AE" w14:textId="77777777" w:rsidR="001D04B0" w:rsidRDefault="000000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3355" w:type="dxa"/>
            <w:vAlign w:val="center"/>
          </w:tcPr>
          <w:p w14:paraId="61EAB44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140245.67 </w:t>
            </w:r>
            <w:r>
              <w:rPr>
                <w:rFonts w:ascii="Times New Roman" w:hAnsi="Times New Roman" w:cs="Times New Roman"/>
                <w:sz w:val="24"/>
                <w:szCs w:val="24"/>
                <w:lang w:val="en-US"/>
              </w:rPr>
              <w:t>± 521.50</w:t>
            </w:r>
          </w:p>
        </w:tc>
        <w:tc>
          <w:tcPr>
            <w:tcW w:w="2277" w:type="dxa"/>
            <w:vAlign w:val="center"/>
          </w:tcPr>
          <w:p w14:paraId="04131B6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0.37</w:t>
            </w:r>
          </w:p>
        </w:tc>
      </w:tr>
      <w:tr w:rsidR="001D04B0" w14:paraId="5B65716F" w14:textId="77777777">
        <w:trPr>
          <w:trHeight w:val="1015"/>
        </w:trPr>
        <w:tc>
          <w:tcPr>
            <w:tcW w:w="865" w:type="dxa"/>
            <w:vAlign w:val="center"/>
          </w:tcPr>
          <w:p w14:paraId="192B38C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693" w:type="dxa"/>
            <w:vAlign w:val="center"/>
          </w:tcPr>
          <w:p w14:paraId="2A2DC01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166048.33 </w:t>
            </w:r>
            <w:r>
              <w:rPr>
                <w:rFonts w:ascii="Times New Roman" w:hAnsi="Times New Roman" w:cs="Times New Roman"/>
                <w:sz w:val="24"/>
                <w:szCs w:val="24"/>
                <w:lang w:val="en-US"/>
              </w:rPr>
              <w:t>± 819.48</w:t>
            </w:r>
          </w:p>
        </w:tc>
        <w:tc>
          <w:tcPr>
            <w:tcW w:w="777" w:type="dxa"/>
            <w:vAlign w:val="center"/>
          </w:tcPr>
          <w:p w14:paraId="382F537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0.49</w:t>
            </w:r>
          </w:p>
        </w:tc>
        <w:tc>
          <w:tcPr>
            <w:tcW w:w="1077" w:type="dxa"/>
            <w:vAlign w:val="center"/>
          </w:tcPr>
          <w:p w14:paraId="0AA150DA" w14:textId="77777777" w:rsidR="001D04B0" w:rsidRDefault="000000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3355" w:type="dxa"/>
            <w:vAlign w:val="center"/>
          </w:tcPr>
          <w:p w14:paraId="69A7682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199645.67 </w:t>
            </w:r>
            <w:r>
              <w:rPr>
                <w:rFonts w:ascii="Times New Roman" w:hAnsi="Times New Roman" w:cs="Times New Roman"/>
                <w:sz w:val="24"/>
                <w:szCs w:val="24"/>
                <w:lang w:val="en-US"/>
              </w:rPr>
              <w:t>± 300.91</w:t>
            </w:r>
          </w:p>
        </w:tc>
        <w:tc>
          <w:tcPr>
            <w:tcW w:w="2277" w:type="dxa"/>
            <w:vAlign w:val="center"/>
          </w:tcPr>
          <w:p w14:paraId="5653796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0.15</w:t>
            </w:r>
          </w:p>
        </w:tc>
      </w:tr>
    </w:tbl>
    <w:p w14:paraId="5DBD8351" w14:textId="77777777" w:rsidR="001D04B0" w:rsidRDefault="001D04B0">
      <w:pPr>
        <w:spacing w:line="240" w:lineRule="auto"/>
        <w:jc w:val="both"/>
        <w:rPr>
          <w:rFonts w:ascii="Times New Roman" w:hAnsi="Times New Roman" w:cs="Times New Roman"/>
          <w:b/>
          <w:bCs/>
          <w:sz w:val="24"/>
          <w:szCs w:val="24"/>
        </w:rPr>
      </w:pPr>
    </w:p>
    <w:p w14:paraId="4A63AC0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Intra-day precision assesses the consistency of the analytical method when measurements are performed multiple times within the same day at different time intervals. According to ICH guidelines, the method is considered precise if the percentage Relative Standard Deviation (%RSD) is less than 2%.</w:t>
      </w:r>
    </w:p>
    <w:p w14:paraId="6CCAFD6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intra-day precision was evaluated at three concentration levels, corresponding to 50%, 100%, and 150%, i.e., 10 µg/mL and 25 µg/mL, 20 µg/mL and 50 µg/mL, and 30 µg/mL and 75 µg/mL for Dapagliflozin and Eplerenone, respectively. The %RSD values obtained for both analytes at all concentration levels were found to be less than 2%, indicating good repeatability of results within the same day.</w:t>
      </w:r>
    </w:p>
    <w:p w14:paraId="4267499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A s the %RSD values were within the acceptable limit for all concentration levels, the developed RP-HPLC method demonstrates good intra-day precision. This confirms that the method is capable of providing consistent and reliable results during routine analysis performed within a single day.</w:t>
      </w:r>
    </w:p>
    <w:p w14:paraId="0F7F915C"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Inter-day precision</w:t>
      </w:r>
    </w:p>
    <w:p w14:paraId="2BF825EE"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30 Data of Inter-day precision of DAPA and EPLE</w:t>
      </w:r>
    </w:p>
    <w:tbl>
      <w:tblPr>
        <w:tblStyle w:val="TableGrid"/>
        <w:tblW w:w="10507" w:type="dxa"/>
        <w:tblLayout w:type="fixed"/>
        <w:tblLook w:val="04A0" w:firstRow="1" w:lastRow="0" w:firstColumn="1" w:lastColumn="0" w:noHBand="0" w:noVBand="1"/>
      </w:tblPr>
      <w:tblGrid>
        <w:gridCol w:w="865"/>
        <w:gridCol w:w="2115"/>
        <w:gridCol w:w="696"/>
        <w:gridCol w:w="1609"/>
        <w:gridCol w:w="3436"/>
        <w:gridCol w:w="1786"/>
      </w:tblGrid>
      <w:tr w:rsidR="001D04B0" w14:paraId="4C471A8D" w14:textId="77777777">
        <w:trPr>
          <w:trHeight w:val="1644"/>
        </w:trPr>
        <w:tc>
          <w:tcPr>
            <w:tcW w:w="865" w:type="dxa"/>
          </w:tcPr>
          <w:p w14:paraId="69D3D51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 DAPA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2115" w:type="dxa"/>
          </w:tcPr>
          <w:p w14:paraId="7EA2544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Inter-day (Mean Area ± SD)</w:t>
            </w:r>
          </w:p>
        </w:tc>
        <w:tc>
          <w:tcPr>
            <w:tcW w:w="696" w:type="dxa"/>
          </w:tcPr>
          <w:p w14:paraId="3487225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1609" w:type="dxa"/>
          </w:tcPr>
          <w:p w14:paraId="3F3D76FD" w14:textId="77777777" w:rsidR="001D04B0" w:rsidRDefault="00000000">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Conc. EPLE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3436" w:type="dxa"/>
          </w:tcPr>
          <w:p w14:paraId="340AACC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Inter-day (Mean Area ± SD)</w:t>
            </w:r>
          </w:p>
        </w:tc>
        <w:tc>
          <w:tcPr>
            <w:tcW w:w="1786" w:type="dxa"/>
          </w:tcPr>
          <w:p w14:paraId="1892A16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r>
      <w:tr w:rsidR="001D04B0" w14:paraId="01CFB951" w14:textId="77777777">
        <w:trPr>
          <w:trHeight w:val="587"/>
        </w:trPr>
        <w:tc>
          <w:tcPr>
            <w:tcW w:w="865" w:type="dxa"/>
            <w:vAlign w:val="center"/>
          </w:tcPr>
          <w:p w14:paraId="5ED2722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15" w:type="dxa"/>
            <w:vAlign w:val="bottom"/>
          </w:tcPr>
          <w:p w14:paraId="4A7247B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55531.67 </w:t>
            </w:r>
            <w:r>
              <w:rPr>
                <w:rFonts w:ascii="Times New Roman" w:hAnsi="Times New Roman" w:cs="Times New Roman"/>
                <w:sz w:val="24"/>
                <w:szCs w:val="24"/>
                <w:lang w:val="en-US"/>
              </w:rPr>
              <w:t>± 370.24</w:t>
            </w:r>
          </w:p>
        </w:tc>
        <w:tc>
          <w:tcPr>
            <w:tcW w:w="696" w:type="dxa"/>
            <w:vAlign w:val="bottom"/>
          </w:tcPr>
          <w:p w14:paraId="1D351F0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0.67</w:t>
            </w:r>
          </w:p>
        </w:tc>
        <w:tc>
          <w:tcPr>
            <w:tcW w:w="1609" w:type="dxa"/>
            <w:vAlign w:val="center"/>
          </w:tcPr>
          <w:p w14:paraId="19F32AB4" w14:textId="77777777" w:rsidR="001D04B0" w:rsidRDefault="000000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3436" w:type="dxa"/>
            <w:vAlign w:val="bottom"/>
          </w:tcPr>
          <w:p w14:paraId="20B9FDD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68489.00 </w:t>
            </w:r>
            <w:r>
              <w:rPr>
                <w:rFonts w:ascii="Times New Roman" w:hAnsi="Times New Roman" w:cs="Times New Roman"/>
                <w:sz w:val="24"/>
                <w:szCs w:val="24"/>
                <w:lang w:val="en-US"/>
              </w:rPr>
              <w:t>± 414.34</w:t>
            </w:r>
          </w:p>
        </w:tc>
        <w:tc>
          <w:tcPr>
            <w:tcW w:w="1786" w:type="dxa"/>
            <w:vAlign w:val="bottom"/>
          </w:tcPr>
          <w:p w14:paraId="1A4C727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0.60</w:t>
            </w:r>
          </w:p>
        </w:tc>
      </w:tr>
      <w:tr w:rsidR="001D04B0" w14:paraId="4EF28688" w14:textId="77777777">
        <w:trPr>
          <w:trHeight w:val="1100"/>
        </w:trPr>
        <w:tc>
          <w:tcPr>
            <w:tcW w:w="865" w:type="dxa"/>
            <w:vAlign w:val="center"/>
          </w:tcPr>
          <w:p w14:paraId="1904FE7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15" w:type="dxa"/>
            <w:vAlign w:val="bottom"/>
          </w:tcPr>
          <w:p w14:paraId="6FA3E5B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115855.33 </w:t>
            </w:r>
            <w:r>
              <w:rPr>
                <w:rFonts w:ascii="Times New Roman" w:hAnsi="Times New Roman" w:cs="Times New Roman"/>
                <w:sz w:val="24"/>
                <w:szCs w:val="24"/>
                <w:lang w:val="en-US"/>
              </w:rPr>
              <w:t>± 851.05</w:t>
            </w:r>
          </w:p>
        </w:tc>
        <w:tc>
          <w:tcPr>
            <w:tcW w:w="696" w:type="dxa"/>
            <w:vAlign w:val="bottom"/>
          </w:tcPr>
          <w:p w14:paraId="7DB17CD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0.73</w:t>
            </w:r>
          </w:p>
        </w:tc>
        <w:tc>
          <w:tcPr>
            <w:tcW w:w="1609" w:type="dxa"/>
            <w:vAlign w:val="center"/>
          </w:tcPr>
          <w:p w14:paraId="1D0E5331" w14:textId="77777777" w:rsidR="001D04B0" w:rsidRDefault="000000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3436" w:type="dxa"/>
            <w:vAlign w:val="bottom"/>
          </w:tcPr>
          <w:p w14:paraId="499A3C9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140291.00 </w:t>
            </w:r>
            <w:r>
              <w:rPr>
                <w:rFonts w:ascii="Times New Roman" w:hAnsi="Times New Roman" w:cs="Times New Roman"/>
                <w:sz w:val="24"/>
                <w:szCs w:val="24"/>
                <w:lang w:val="en-US"/>
              </w:rPr>
              <w:t>± 623.37</w:t>
            </w:r>
          </w:p>
        </w:tc>
        <w:tc>
          <w:tcPr>
            <w:tcW w:w="1786" w:type="dxa"/>
            <w:vAlign w:val="bottom"/>
          </w:tcPr>
          <w:p w14:paraId="3D144D9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0.44</w:t>
            </w:r>
          </w:p>
        </w:tc>
      </w:tr>
      <w:tr w:rsidR="001D04B0" w14:paraId="1C52ACFE" w14:textId="77777777">
        <w:trPr>
          <w:trHeight w:val="1113"/>
        </w:trPr>
        <w:tc>
          <w:tcPr>
            <w:tcW w:w="865" w:type="dxa"/>
            <w:vAlign w:val="center"/>
          </w:tcPr>
          <w:p w14:paraId="491FEAF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115" w:type="dxa"/>
            <w:vAlign w:val="bottom"/>
          </w:tcPr>
          <w:p w14:paraId="6886049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166649.00 </w:t>
            </w:r>
            <w:r>
              <w:rPr>
                <w:rFonts w:ascii="Times New Roman" w:hAnsi="Times New Roman" w:cs="Times New Roman"/>
                <w:sz w:val="24"/>
                <w:szCs w:val="24"/>
                <w:lang w:val="en-US"/>
              </w:rPr>
              <w:t>± 697.36</w:t>
            </w:r>
          </w:p>
        </w:tc>
        <w:tc>
          <w:tcPr>
            <w:tcW w:w="696" w:type="dxa"/>
            <w:vAlign w:val="bottom"/>
          </w:tcPr>
          <w:p w14:paraId="786AB5D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0.42</w:t>
            </w:r>
          </w:p>
        </w:tc>
        <w:tc>
          <w:tcPr>
            <w:tcW w:w="1609" w:type="dxa"/>
            <w:vAlign w:val="center"/>
          </w:tcPr>
          <w:p w14:paraId="30CE367F" w14:textId="77777777" w:rsidR="001D04B0" w:rsidRDefault="0000000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3436" w:type="dxa"/>
            <w:vAlign w:val="bottom"/>
          </w:tcPr>
          <w:p w14:paraId="720D6DB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199073.33 </w:t>
            </w:r>
            <w:r>
              <w:rPr>
                <w:rFonts w:ascii="Times New Roman" w:hAnsi="Times New Roman" w:cs="Times New Roman"/>
                <w:sz w:val="24"/>
                <w:szCs w:val="24"/>
                <w:lang w:val="en-US"/>
              </w:rPr>
              <w:t>± 767.51</w:t>
            </w:r>
          </w:p>
        </w:tc>
        <w:tc>
          <w:tcPr>
            <w:tcW w:w="1786" w:type="dxa"/>
            <w:vAlign w:val="bottom"/>
          </w:tcPr>
          <w:p w14:paraId="08360B0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0.39</w:t>
            </w:r>
          </w:p>
        </w:tc>
      </w:tr>
    </w:tbl>
    <w:p w14:paraId="2AC359C0" w14:textId="77777777" w:rsidR="001D04B0" w:rsidRDefault="001D04B0">
      <w:pPr>
        <w:spacing w:line="240" w:lineRule="auto"/>
        <w:jc w:val="both"/>
        <w:rPr>
          <w:rFonts w:ascii="Times New Roman" w:hAnsi="Times New Roman" w:cs="Times New Roman"/>
          <w:b/>
          <w:bCs/>
          <w:sz w:val="24"/>
          <w:szCs w:val="24"/>
        </w:rPr>
      </w:pPr>
    </w:p>
    <w:p w14:paraId="2356ED8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Inter-day precision evaluates the reproducibility of the analytical method when measurements are carried out on </w:t>
      </w:r>
    </w:p>
    <w:p w14:paraId="58E3E2AF" w14:textId="77777777" w:rsidR="001D04B0" w:rsidRDefault="001D04B0">
      <w:pPr>
        <w:spacing w:line="240" w:lineRule="auto"/>
        <w:jc w:val="both"/>
        <w:rPr>
          <w:rFonts w:ascii="Times New Roman" w:hAnsi="Times New Roman" w:cs="Times New Roman"/>
          <w:sz w:val="24"/>
          <w:szCs w:val="24"/>
        </w:rPr>
      </w:pPr>
    </w:p>
    <w:p w14:paraId="397C30B6" w14:textId="77777777" w:rsidR="001D04B0" w:rsidRDefault="001D04B0">
      <w:pPr>
        <w:spacing w:line="240" w:lineRule="auto"/>
        <w:jc w:val="both"/>
        <w:rPr>
          <w:rFonts w:ascii="Times New Roman" w:hAnsi="Times New Roman" w:cs="Times New Roman"/>
          <w:sz w:val="24"/>
          <w:szCs w:val="24"/>
        </w:rPr>
      </w:pPr>
    </w:p>
    <w:p w14:paraId="6C65877D"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different days under similar experimental conditions. As per ICH guidelines, a %RSD value not exceeding 2% is considered acceptable for demonstrating adequate precision.</w:t>
      </w:r>
    </w:p>
    <w:p w14:paraId="0E0BAA4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inter-day precision was assessed at three concentration levels, corresponding to 50%, 100%, and 150%, i.e., 10 µg/mL and 25 µg/mL, 20 µg/mL and 50 µg/mL, and 30 µg/mL and 75 µg/mL for Dapagliflozin and Eplerenone, respectively. The %RSD values obtained for both analytes at all concentration levels across different days were found to be less than 2%, indicating minimal variability in the results.</w:t>
      </w:r>
    </w:p>
    <w:p w14:paraId="7090B7A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Conclusion:</w:t>
      </w:r>
      <w:r>
        <w:rPr>
          <w:rFonts w:ascii="Times New Roman" w:hAnsi="Times New Roman" w:cs="Times New Roman"/>
          <w:sz w:val="24"/>
          <w:szCs w:val="24"/>
        </w:rPr>
        <w:br/>
        <w:t>The observed %RSD values within acceptable limits confirm that the developed RP-HPLC method possesses good inter-day precision. The method is therefore reliable and reproducible for the quantitative estimation of Dapagliflozin and Eplerenone over multiple days.</w:t>
      </w:r>
    </w:p>
    <w:p w14:paraId="7AE2EC57"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w:t>
      </w:r>
    </w:p>
    <w:p w14:paraId="6E91C1E9"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31 Accuracy data for DAPA and EPLE</w:t>
      </w:r>
    </w:p>
    <w:tbl>
      <w:tblPr>
        <w:tblStyle w:val="TableGrid"/>
        <w:tblW w:w="10726" w:type="dxa"/>
        <w:tblLook w:val="04A0" w:firstRow="1" w:lastRow="0" w:firstColumn="1" w:lastColumn="0" w:noHBand="0" w:noVBand="1"/>
      </w:tblPr>
      <w:tblGrid>
        <w:gridCol w:w="1004"/>
        <w:gridCol w:w="1429"/>
        <w:gridCol w:w="1035"/>
        <w:gridCol w:w="1243"/>
        <w:gridCol w:w="936"/>
        <w:gridCol w:w="1236"/>
        <w:gridCol w:w="3843"/>
      </w:tblGrid>
      <w:tr w:rsidR="001D04B0" w14:paraId="7F790D07" w14:textId="77777777">
        <w:trPr>
          <w:trHeight w:val="408"/>
        </w:trPr>
        <w:tc>
          <w:tcPr>
            <w:tcW w:w="10726" w:type="dxa"/>
            <w:gridSpan w:val="7"/>
          </w:tcPr>
          <w:p w14:paraId="68C8EEA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Accuracy Data for DAPA</w:t>
            </w:r>
          </w:p>
        </w:tc>
      </w:tr>
      <w:tr w:rsidR="001D04B0" w14:paraId="24754432" w14:textId="77777777">
        <w:trPr>
          <w:trHeight w:val="1579"/>
        </w:trPr>
        <w:tc>
          <w:tcPr>
            <w:tcW w:w="1004" w:type="dxa"/>
          </w:tcPr>
          <w:p w14:paraId="61F5CFD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Level of</w:t>
            </w:r>
          </w:p>
          <w:p w14:paraId="2E3410C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Spiking</w:t>
            </w:r>
          </w:p>
        </w:tc>
        <w:tc>
          <w:tcPr>
            <w:tcW w:w="1429" w:type="dxa"/>
          </w:tcPr>
          <w:p w14:paraId="1E7369D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Quantity of</w:t>
            </w:r>
          </w:p>
          <w:p w14:paraId="4CAF6F7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placebo(mg)</w:t>
            </w:r>
          </w:p>
        </w:tc>
        <w:tc>
          <w:tcPr>
            <w:tcW w:w="1035" w:type="dxa"/>
          </w:tcPr>
          <w:p w14:paraId="0154CBD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Amount of drug</w:t>
            </w:r>
          </w:p>
          <w:p w14:paraId="2D1D41F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Added (µg/mL)</w:t>
            </w:r>
          </w:p>
        </w:tc>
        <w:tc>
          <w:tcPr>
            <w:tcW w:w="1243" w:type="dxa"/>
          </w:tcPr>
          <w:p w14:paraId="5677629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Amount of drug</w:t>
            </w:r>
          </w:p>
          <w:p w14:paraId="3D0D138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Recovered (µg/mL)</w:t>
            </w:r>
          </w:p>
        </w:tc>
        <w:tc>
          <w:tcPr>
            <w:tcW w:w="936" w:type="dxa"/>
          </w:tcPr>
          <w:p w14:paraId="39B20E4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Std area</w:t>
            </w:r>
          </w:p>
        </w:tc>
        <w:tc>
          <w:tcPr>
            <w:tcW w:w="1236" w:type="dxa"/>
          </w:tcPr>
          <w:p w14:paraId="7EDAD8D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Test area (Mean)</w:t>
            </w:r>
          </w:p>
        </w:tc>
        <w:tc>
          <w:tcPr>
            <w:tcW w:w="3843" w:type="dxa"/>
          </w:tcPr>
          <w:p w14:paraId="2CBE880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 Mean recovery ± SD</w:t>
            </w:r>
          </w:p>
        </w:tc>
      </w:tr>
      <w:tr w:rsidR="001D04B0" w14:paraId="02AE8B81" w14:textId="77777777">
        <w:trPr>
          <w:trHeight w:val="798"/>
        </w:trPr>
        <w:tc>
          <w:tcPr>
            <w:tcW w:w="1004" w:type="dxa"/>
          </w:tcPr>
          <w:p w14:paraId="41C5E8D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Un-spiked</w:t>
            </w:r>
          </w:p>
        </w:tc>
        <w:tc>
          <w:tcPr>
            <w:tcW w:w="1429" w:type="dxa"/>
            <w:vAlign w:val="center"/>
          </w:tcPr>
          <w:p w14:paraId="608330B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23EFB7F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43" w:type="dxa"/>
            <w:vAlign w:val="center"/>
          </w:tcPr>
          <w:p w14:paraId="3E70508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936" w:type="dxa"/>
            <w:vAlign w:val="center"/>
          </w:tcPr>
          <w:p w14:paraId="75CDF27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6" w:type="dxa"/>
            <w:vAlign w:val="center"/>
          </w:tcPr>
          <w:p w14:paraId="78DB3AC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3843" w:type="dxa"/>
            <w:vAlign w:val="center"/>
          </w:tcPr>
          <w:p w14:paraId="0D6BFBF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1D04B0" w14:paraId="0E38B60C" w14:textId="77777777">
        <w:trPr>
          <w:trHeight w:val="798"/>
        </w:trPr>
        <w:tc>
          <w:tcPr>
            <w:tcW w:w="1004" w:type="dxa"/>
          </w:tcPr>
          <w:p w14:paraId="7D2A73A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50%</w:t>
            </w:r>
          </w:p>
        </w:tc>
        <w:tc>
          <w:tcPr>
            <w:tcW w:w="1429" w:type="dxa"/>
            <w:vAlign w:val="center"/>
          </w:tcPr>
          <w:p w14:paraId="60A2E84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64B658F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43" w:type="dxa"/>
            <w:vAlign w:val="center"/>
          </w:tcPr>
          <w:p w14:paraId="427EEB4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9.999</w:t>
            </w:r>
          </w:p>
        </w:tc>
        <w:tc>
          <w:tcPr>
            <w:tcW w:w="936" w:type="dxa"/>
            <w:vAlign w:val="center"/>
          </w:tcPr>
          <w:p w14:paraId="1A14881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55568</w:t>
            </w:r>
          </w:p>
        </w:tc>
        <w:tc>
          <w:tcPr>
            <w:tcW w:w="1236" w:type="dxa"/>
            <w:vAlign w:val="center"/>
          </w:tcPr>
          <w:p w14:paraId="20B6966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55565.00</w:t>
            </w:r>
          </w:p>
        </w:tc>
        <w:tc>
          <w:tcPr>
            <w:tcW w:w="3843" w:type="dxa"/>
            <w:vAlign w:val="center"/>
          </w:tcPr>
          <w:p w14:paraId="17B4CD6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99.995 </w:t>
            </w:r>
            <w:r>
              <w:rPr>
                <w:rFonts w:ascii="Times New Roman" w:hAnsi="Times New Roman" w:cs="Times New Roman"/>
                <w:sz w:val="24"/>
                <w:szCs w:val="24"/>
                <w:lang w:val="en-US"/>
              </w:rPr>
              <w:t>± 0.009</w:t>
            </w:r>
          </w:p>
        </w:tc>
      </w:tr>
      <w:tr w:rsidR="001D04B0" w14:paraId="35B6B8C7" w14:textId="77777777">
        <w:trPr>
          <w:trHeight w:val="798"/>
        </w:trPr>
        <w:tc>
          <w:tcPr>
            <w:tcW w:w="1004" w:type="dxa"/>
          </w:tcPr>
          <w:p w14:paraId="30ACA4B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100%</w:t>
            </w:r>
          </w:p>
        </w:tc>
        <w:tc>
          <w:tcPr>
            <w:tcW w:w="1429" w:type="dxa"/>
            <w:vAlign w:val="center"/>
          </w:tcPr>
          <w:p w14:paraId="6A38608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0FDB85D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43" w:type="dxa"/>
            <w:vAlign w:val="center"/>
          </w:tcPr>
          <w:p w14:paraId="73AA536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19.999</w:t>
            </w:r>
          </w:p>
        </w:tc>
        <w:tc>
          <w:tcPr>
            <w:tcW w:w="936" w:type="dxa"/>
            <w:vAlign w:val="center"/>
          </w:tcPr>
          <w:p w14:paraId="684FAA5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111928</w:t>
            </w:r>
          </w:p>
        </w:tc>
        <w:tc>
          <w:tcPr>
            <w:tcW w:w="1236" w:type="dxa"/>
            <w:vAlign w:val="center"/>
          </w:tcPr>
          <w:p w14:paraId="5347479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111924.67</w:t>
            </w:r>
          </w:p>
        </w:tc>
        <w:tc>
          <w:tcPr>
            <w:tcW w:w="3843" w:type="dxa"/>
            <w:vAlign w:val="center"/>
          </w:tcPr>
          <w:p w14:paraId="7092403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99.997 </w:t>
            </w:r>
            <w:r>
              <w:rPr>
                <w:rFonts w:ascii="Times New Roman" w:hAnsi="Times New Roman" w:cs="Times New Roman"/>
                <w:sz w:val="24"/>
                <w:szCs w:val="24"/>
                <w:lang w:val="en-US"/>
              </w:rPr>
              <w:t>± 0.004</w:t>
            </w:r>
          </w:p>
        </w:tc>
      </w:tr>
      <w:tr w:rsidR="001D04B0" w14:paraId="64BDB4A4" w14:textId="77777777">
        <w:trPr>
          <w:trHeight w:val="798"/>
        </w:trPr>
        <w:tc>
          <w:tcPr>
            <w:tcW w:w="1004" w:type="dxa"/>
          </w:tcPr>
          <w:p w14:paraId="3DDB7DB0"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150%</w:t>
            </w:r>
          </w:p>
        </w:tc>
        <w:tc>
          <w:tcPr>
            <w:tcW w:w="1429" w:type="dxa"/>
            <w:vAlign w:val="center"/>
          </w:tcPr>
          <w:p w14:paraId="2871A92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2B72D2F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43" w:type="dxa"/>
            <w:vAlign w:val="center"/>
          </w:tcPr>
          <w:p w14:paraId="6F146ED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30.000</w:t>
            </w:r>
          </w:p>
        </w:tc>
        <w:tc>
          <w:tcPr>
            <w:tcW w:w="936" w:type="dxa"/>
            <w:vAlign w:val="center"/>
          </w:tcPr>
          <w:p w14:paraId="7DEC82B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166610</w:t>
            </w:r>
          </w:p>
        </w:tc>
        <w:tc>
          <w:tcPr>
            <w:tcW w:w="1236" w:type="dxa"/>
            <w:vAlign w:val="center"/>
          </w:tcPr>
          <w:p w14:paraId="755FC69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166609.33</w:t>
            </w:r>
          </w:p>
        </w:tc>
        <w:tc>
          <w:tcPr>
            <w:tcW w:w="3843" w:type="dxa"/>
            <w:vAlign w:val="center"/>
          </w:tcPr>
          <w:p w14:paraId="7652E23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100.000 </w:t>
            </w:r>
            <w:r>
              <w:rPr>
                <w:rFonts w:ascii="Times New Roman" w:hAnsi="Times New Roman" w:cs="Times New Roman"/>
                <w:sz w:val="24"/>
                <w:szCs w:val="24"/>
                <w:lang w:val="en-US"/>
              </w:rPr>
              <w:t>± 0.002</w:t>
            </w:r>
          </w:p>
        </w:tc>
      </w:tr>
      <w:tr w:rsidR="001D04B0" w14:paraId="7E17C9B9" w14:textId="77777777">
        <w:trPr>
          <w:trHeight w:val="408"/>
        </w:trPr>
        <w:tc>
          <w:tcPr>
            <w:tcW w:w="10726" w:type="dxa"/>
            <w:gridSpan w:val="7"/>
            <w:vAlign w:val="center"/>
          </w:tcPr>
          <w:p w14:paraId="5CC7F53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Accuracy data for EPLE</w:t>
            </w:r>
          </w:p>
        </w:tc>
      </w:tr>
      <w:tr w:rsidR="001D04B0" w14:paraId="3AC2EC3B" w14:textId="77777777">
        <w:trPr>
          <w:trHeight w:val="798"/>
        </w:trPr>
        <w:tc>
          <w:tcPr>
            <w:tcW w:w="1004" w:type="dxa"/>
          </w:tcPr>
          <w:p w14:paraId="71A2B09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Un-spiked</w:t>
            </w:r>
          </w:p>
        </w:tc>
        <w:tc>
          <w:tcPr>
            <w:tcW w:w="1429" w:type="dxa"/>
            <w:vAlign w:val="center"/>
          </w:tcPr>
          <w:p w14:paraId="095EABB1"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0FED566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43" w:type="dxa"/>
            <w:vAlign w:val="center"/>
          </w:tcPr>
          <w:p w14:paraId="1F17A01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936" w:type="dxa"/>
            <w:vAlign w:val="center"/>
          </w:tcPr>
          <w:p w14:paraId="6865EF9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6" w:type="dxa"/>
            <w:vAlign w:val="center"/>
          </w:tcPr>
          <w:p w14:paraId="29A6690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3843" w:type="dxa"/>
            <w:vAlign w:val="center"/>
          </w:tcPr>
          <w:p w14:paraId="7016EE5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1D04B0" w14:paraId="49610CE9" w14:textId="77777777">
        <w:trPr>
          <w:trHeight w:val="949"/>
        </w:trPr>
        <w:tc>
          <w:tcPr>
            <w:tcW w:w="1004" w:type="dxa"/>
          </w:tcPr>
          <w:p w14:paraId="62ED5EE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50%</w:t>
            </w:r>
          </w:p>
        </w:tc>
        <w:tc>
          <w:tcPr>
            <w:tcW w:w="1429" w:type="dxa"/>
            <w:vAlign w:val="center"/>
          </w:tcPr>
          <w:p w14:paraId="475E00E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7C569BD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43" w:type="dxa"/>
            <w:vAlign w:val="center"/>
          </w:tcPr>
          <w:p w14:paraId="21A4E70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24.999</w:t>
            </w:r>
          </w:p>
        </w:tc>
        <w:tc>
          <w:tcPr>
            <w:tcW w:w="936" w:type="dxa"/>
            <w:vAlign w:val="center"/>
          </w:tcPr>
          <w:p w14:paraId="4E40280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68546</w:t>
            </w:r>
          </w:p>
        </w:tc>
        <w:tc>
          <w:tcPr>
            <w:tcW w:w="1236" w:type="dxa"/>
            <w:vAlign w:val="center"/>
          </w:tcPr>
          <w:p w14:paraId="0E4B58C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68489.00</w:t>
            </w:r>
          </w:p>
        </w:tc>
        <w:tc>
          <w:tcPr>
            <w:tcW w:w="3843" w:type="dxa"/>
            <w:vAlign w:val="center"/>
          </w:tcPr>
          <w:p w14:paraId="7B99766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99.996 </w:t>
            </w:r>
            <w:r>
              <w:rPr>
                <w:rFonts w:ascii="Times New Roman" w:hAnsi="Times New Roman" w:cs="Times New Roman"/>
                <w:sz w:val="24"/>
                <w:szCs w:val="24"/>
                <w:lang w:val="en-US"/>
              </w:rPr>
              <w:t>± 0.007</w:t>
            </w:r>
          </w:p>
        </w:tc>
      </w:tr>
      <w:tr w:rsidR="001D04B0" w14:paraId="08D06F48" w14:textId="77777777">
        <w:trPr>
          <w:trHeight w:val="949"/>
        </w:trPr>
        <w:tc>
          <w:tcPr>
            <w:tcW w:w="1004" w:type="dxa"/>
          </w:tcPr>
          <w:p w14:paraId="2B39344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100%</w:t>
            </w:r>
          </w:p>
        </w:tc>
        <w:tc>
          <w:tcPr>
            <w:tcW w:w="1429" w:type="dxa"/>
            <w:vAlign w:val="center"/>
          </w:tcPr>
          <w:p w14:paraId="4C96E49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53CBCD5E"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43" w:type="dxa"/>
            <w:vAlign w:val="center"/>
          </w:tcPr>
          <w:p w14:paraId="4C92738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49.995</w:t>
            </w:r>
          </w:p>
        </w:tc>
        <w:tc>
          <w:tcPr>
            <w:tcW w:w="936" w:type="dxa"/>
            <w:vAlign w:val="center"/>
          </w:tcPr>
          <w:p w14:paraId="2967D15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137467</w:t>
            </w:r>
          </w:p>
        </w:tc>
        <w:tc>
          <w:tcPr>
            <w:tcW w:w="1236" w:type="dxa"/>
            <w:vAlign w:val="center"/>
          </w:tcPr>
          <w:p w14:paraId="0ED7171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140291.00</w:t>
            </w:r>
          </w:p>
        </w:tc>
        <w:tc>
          <w:tcPr>
            <w:tcW w:w="3843" w:type="dxa"/>
            <w:vAlign w:val="center"/>
          </w:tcPr>
          <w:p w14:paraId="6C9E1D21"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99.990 </w:t>
            </w:r>
            <w:r>
              <w:rPr>
                <w:rFonts w:ascii="Times New Roman" w:hAnsi="Times New Roman" w:cs="Times New Roman"/>
                <w:sz w:val="24"/>
                <w:szCs w:val="24"/>
                <w:lang w:val="en-US"/>
              </w:rPr>
              <w:t>± 0.008</w:t>
            </w:r>
          </w:p>
        </w:tc>
      </w:tr>
      <w:tr w:rsidR="001D04B0" w14:paraId="026FDC64" w14:textId="77777777">
        <w:trPr>
          <w:trHeight w:val="968"/>
        </w:trPr>
        <w:tc>
          <w:tcPr>
            <w:tcW w:w="1004" w:type="dxa"/>
          </w:tcPr>
          <w:p w14:paraId="3F49CD0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150%</w:t>
            </w:r>
          </w:p>
        </w:tc>
        <w:tc>
          <w:tcPr>
            <w:tcW w:w="1429" w:type="dxa"/>
            <w:vAlign w:val="center"/>
          </w:tcPr>
          <w:p w14:paraId="0D4BAEB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14:paraId="2B7B1B5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243" w:type="dxa"/>
            <w:vAlign w:val="center"/>
          </w:tcPr>
          <w:p w14:paraId="2CD3D508"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74.998</w:t>
            </w:r>
          </w:p>
        </w:tc>
        <w:tc>
          <w:tcPr>
            <w:tcW w:w="936" w:type="dxa"/>
            <w:vAlign w:val="center"/>
          </w:tcPr>
          <w:p w14:paraId="55A06F3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199545</w:t>
            </w:r>
          </w:p>
        </w:tc>
        <w:tc>
          <w:tcPr>
            <w:tcW w:w="1236" w:type="dxa"/>
            <w:vAlign w:val="center"/>
          </w:tcPr>
          <w:p w14:paraId="06D8877A"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199073.33</w:t>
            </w:r>
          </w:p>
        </w:tc>
        <w:tc>
          <w:tcPr>
            <w:tcW w:w="3843" w:type="dxa"/>
            <w:vAlign w:val="center"/>
          </w:tcPr>
          <w:p w14:paraId="3BD200A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99.997 </w:t>
            </w:r>
            <w:r>
              <w:rPr>
                <w:rFonts w:ascii="Times New Roman" w:hAnsi="Times New Roman" w:cs="Times New Roman"/>
                <w:sz w:val="24"/>
                <w:szCs w:val="24"/>
                <w:lang w:val="en-US"/>
              </w:rPr>
              <w:t>± 0.008</w:t>
            </w:r>
          </w:p>
        </w:tc>
      </w:tr>
    </w:tbl>
    <w:p w14:paraId="18669404" w14:textId="77777777" w:rsidR="001D04B0" w:rsidRDefault="001D04B0">
      <w:pPr>
        <w:spacing w:line="240" w:lineRule="auto"/>
        <w:jc w:val="both"/>
        <w:rPr>
          <w:rFonts w:ascii="Times New Roman" w:hAnsi="Times New Roman" w:cs="Times New Roman"/>
          <w:b/>
          <w:bCs/>
          <w:sz w:val="24"/>
          <w:szCs w:val="24"/>
        </w:rPr>
      </w:pPr>
    </w:p>
    <w:p w14:paraId="32490CF6" w14:textId="77777777" w:rsidR="001D04B0" w:rsidRDefault="001D04B0">
      <w:pPr>
        <w:spacing w:line="240" w:lineRule="auto"/>
        <w:jc w:val="both"/>
        <w:rPr>
          <w:rFonts w:ascii="Times New Roman" w:hAnsi="Times New Roman" w:cs="Times New Roman"/>
          <w:sz w:val="24"/>
          <w:szCs w:val="24"/>
        </w:rPr>
      </w:pPr>
    </w:p>
    <w:p w14:paraId="378309FE" w14:textId="77777777" w:rsidR="001D04B0" w:rsidRDefault="001D04B0">
      <w:pPr>
        <w:spacing w:line="240" w:lineRule="auto"/>
        <w:jc w:val="both"/>
        <w:rPr>
          <w:rFonts w:ascii="Times New Roman" w:hAnsi="Times New Roman" w:cs="Times New Roman"/>
          <w:sz w:val="24"/>
          <w:szCs w:val="24"/>
        </w:rPr>
      </w:pPr>
    </w:p>
    <w:p w14:paraId="392319D5" w14:textId="77777777" w:rsidR="001D04B0" w:rsidRDefault="001D04B0">
      <w:pPr>
        <w:spacing w:line="240" w:lineRule="auto"/>
        <w:jc w:val="both"/>
        <w:rPr>
          <w:rFonts w:ascii="Times New Roman" w:hAnsi="Times New Roman" w:cs="Times New Roman"/>
          <w:sz w:val="24"/>
          <w:szCs w:val="24"/>
        </w:rPr>
      </w:pPr>
    </w:p>
    <w:p w14:paraId="12A2E1F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Accuracy represents the closeness of agreement between the experimentally obtained values and the true value of the analytes. As per ICH guidelines, the method is considered accurate if the percentage recovery lies within the acceptable range of 98% to 102%.</w:t>
      </w:r>
    </w:p>
    <w:p w14:paraId="0DC27AB3"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 xml:space="preserve">The accuracy of the method was evaluated at three concentration levels corresponding to 50%, 100%, and 150%, i.e., 10 µg/mL and 25 µg/mL, 20 µg/mL and 50 µg/mL, and 30 µg/mL and 75 µg/mL for Dapagliflozin and Eplerenone, </w:t>
      </w:r>
      <w:r>
        <w:rPr>
          <w:rFonts w:ascii="Times New Roman" w:hAnsi="Times New Roman" w:cs="Times New Roman"/>
          <w:sz w:val="24"/>
          <w:szCs w:val="24"/>
        </w:rPr>
        <w:lastRenderedPageBreak/>
        <w:t>respectively. The percentage recovery values obtained for both analytes at all levels were found to be within the range of 98% to 102%.</w:t>
      </w:r>
    </w:p>
    <w:p w14:paraId="78E9D59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The recovery results within the acceptable limits confirm that the developed RP-HPLC method is accurate. The method is therefore suitable for the reliable quantification of Dapagliflozin and Eplerenone in pharmaceutical formulations.</w:t>
      </w:r>
    </w:p>
    <w:p w14:paraId="3DB38394"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LOD and LOQ</w:t>
      </w:r>
    </w:p>
    <w:p w14:paraId="2ACBA58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LOD &amp; LOQ were calculated on basis of formula </w:t>
      </w:r>
    </w:p>
    <w:p w14:paraId="6198E61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LOD = 3.3 × σ / S </w:t>
      </w:r>
    </w:p>
    <w:p w14:paraId="41BF9184"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LOQ = 10 × σ / S</w:t>
      </w:r>
    </w:p>
    <w:p w14:paraId="6D3E3F4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LOD for Dapagliflozin was found to be- 0.034</w:t>
      </w:r>
    </w:p>
    <w:p w14:paraId="080E8E3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LOQ for Dapagliflozin was found to be- 0.104</w:t>
      </w:r>
    </w:p>
    <w:p w14:paraId="3171A9F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LOD for Eplerenone was found to be- 0.080</w:t>
      </w:r>
    </w:p>
    <w:p w14:paraId="70926376"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LOQ for Eplerenone was found to be- 0.243</w:t>
      </w:r>
    </w:p>
    <w:p w14:paraId="3AFE93F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Criteria:</w:t>
      </w:r>
      <w:r>
        <w:rPr>
          <w:rFonts w:ascii="Times New Roman" w:hAnsi="Times New Roman" w:cs="Times New Roman"/>
          <w:sz w:val="24"/>
          <w:szCs w:val="24"/>
        </w:rPr>
        <w:br/>
        <w:t>Although ICH guidelines do not make it mandatory to determine LOD and LOQ for assay methods, these parameters are useful for understanding the sensitivity of the developed analytical method. Hence, LOD and LOQ were evaluated for Dapagliflozin and Eplerenone.</w:t>
      </w:r>
    </w:p>
    <w:p w14:paraId="537E3195"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LOD values obtained for Dapagliflozin and Eplerenone indicate the minimum concentration at which the analytes can be detected reliably. Similarly, the LOQ values represent the lowest concentration at which the analytes can be quantified with acceptable precision and accuracy. The calculated values demonstrate that the method is sufficiently sensitive for the detection and quantification of both analytes at low concentration levels.</w:t>
      </w:r>
    </w:p>
    <w:p w14:paraId="2B410157"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The determined LOD and LOQ values confirm that the developed RP-HPLC method possesses adequate sensitivity for the estimation of Dapagliflozin and Eplerenone. The method is therefore suitable for routine analysis, even at low concentration levels.</w:t>
      </w:r>
    </w:p>
    <w:p w14:paraId="77DD22C5"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Robustness</w:t>
      </w:r>
    </w:p>
    <w:p w14:paraId="798BDA4C"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32 Robustness data for DAPA and EPLE</w:t>
      </w:r>
    </w:p>
    <w:tbl>
      <w:tblPr>
        <w:tblStyle w:val="TableGrid"/>
        <w:tblW w:w="10317" w:type="dxa"/>
        <w:tblLook w:val="04A0" w:firstRow="1" w:lastRow="0" w:firstColumn="1" w:lastColumn="0" w:noHBand="0" w:noVBand="1"/>
      </w:tblPr>
      <w:tblGrid>
        <w:gridCol w:w="1745"/>
        <w:gridCol w:w="1030"/>
        <w:gridCol w:w="936"/>
        <w:gridCol w:w="1236"/>
        <w:gridCol w:w="5370"/>
      </w:tblGrid>
      <w:tr w:rsidR="001D04B0" w14:paraId="63C83D58" w14:textId="77777777">
        <w:trPr>
          <w:trHeight w:val="421"/>
        </w:trPr>
        <w:tc>
          <w:tcPr>
            <w:tcW w:w="10317" w:type="dxa"/>
            <w:gridSpan w:val="5"/>
          </w:tcPr>
          <w:p w14:paraId="054283D5"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DAPA</w:t>
            </w:r>
          </w:p>
        </w:tc>
      </w:tr>
      <w:tr w:rsidR="001D04B0" w14:paraId="29044A3B" w14:textId="77777777">
        <w:trPr>
          <w:trHeight w:val="576"/>
        </w:trPr>
        <w:tc>
          <w:tcPr>
            <w:tcW w:w="1745" w:type="dxa"/>
          </w:tcPr>
          <w:p w14:paraId="13E6574D"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PARAMETER</w:t>
            </w:r>
          </w:p>
        </w:tc>
        <w:tc>
          <w:tcPr>
            <w:tcW w:w="1030" w:type="dxa"/>
          </w:tcPr>
          <w:p w14:paraId="06AFE1E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LEVEL</w:t>
            </w:r>
          </w:p>
        </w:tc>
        <w:tc>
          <w:tcPr>
            <w:tcW w:w="936" w:type="dxa"/>
          </w:tcPr>
          <w:p w14:paraId="2479B52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AREA</w:t>
            </w:r>
          </w:p>
        </w:tc>
        <w:tc>
          <w:tcPr>
            <w:tcW w:w="1236" w:type="dxa"/>
          </w:tcPr>
          <w:p w14:paraId="6C278463"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MEAN</w:t>
            </w:r>
          </w:p>
        </w:tc>
        <w:tc>
          <w:tcPr>
            <w:tcW w:w="5370" w:type="dxa"/>
          </w:tcPr>
          <w:p w14:paraId="430EC76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%RSD</w:t>
            </w:r>
          </w:p>
        </w:tc>
      </w:tr>
      <w:tr w:rsidR="001D04B0" w14:paraId="239154CC" w14:textId="77777777">
        <w:trPr>
          <w:trHeight w:val="499"/>
        </w:trPr>
        <w:tc>
          <w:tcPr>
            <w:tcW w:w="1745" w:type="dxa"/>
            <w:vMerge w:val="restart"/>
          </w:tcPr>
          <w:p w14:paraId="24A0796D"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Mobile phase composition</w:t>
            </w:r>
          </w:p>
        </w:tc>
        <w:tc>
          <w:tcPr>
            <w:tcW w:w="1030" w:type="dxa"/>
            <w:vMerge w:val="restart"/>
          </w:tcPr>
          <w:p w14:paraId="3B5F02B8"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28:72</w:t>
            </w:r>
          </w:p>
        </w:tc>
        <w:tc>
          <w:tcPr>
            <w:tcW w:w="936" w:type="dxa"/>
          </w:tcPr>
          <w:p w14:paraId="46F8288E"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116021</w:t>
            </w:r>
          </w:p>
        </w:tc>
        <w:tc>
          <w:tcPr>
            <w:tcW w:w="1236" w:type="dxa"/>
            <w:vMerge w:val="restart"/>
          </w:tcPr>
          <w:p w14:paraId="3938B603"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116437.67</w:t>
            </w:r>
          </w:p>
          <w:p w14:paraId="4FAB768B" w14:textId="77777777" w:rsidR="001D04B0" w:rsidRDefault="001D04B0">
            <w:pPr>
              <w:spacing w:line="240" w:lineRule="auto"/>
              <w:jc w:val="center"/>
              <w:rPr>
                <w:rFonts w:ascii="Times New Roman" w:hAnsi="Times New Roman" w:cs="Times New Roman"/>
                <w:sz w:val="24"/>
                <w:szCs w:val="24"/>
              </w:rPr>
            </w:pPr>
          </w:p>
        </w:tc>
        <w:tc>
          <w:tcPr>
            <w:tcW w:w="5370" w:type="dxa"/>
            <w:vMerge w:val="restart"/>
          </w:tcPr>
          <w:p w14:paraId="7FEF8A1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0.35</w:t>
            </w:r>
          </w:p>
        </w:tc>
      </w:tr>
      <w:tr w:rsidR="001D04B0" w14:paraId="6A0EF6D7" w14:textId="77777777">
        <w:trPr>
          <w:trHeight w:val="499"/>
        </w:trPr>
        <w:tc>
          <w:tcPr>
            <w:tcW w:w="1745" w:type="dxa"/>
            <w:vMerge/>
          </w:tcPr>
          <w:p w14:paraId="196ED1AE"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4B6EC332" w14:textId="77777777" w:rsidR="001D04B0" w:rsidRDefault="001D04B0">
            <w:pPr>
              <w:spacing w:line="240" w:lineRule="auto"/>
              <w:jc w:val="center"/>
              <w:rPr>
                <w:rFonts w:ascii="Times New Roman" w:hAnsi="Times New Roman" w:cs="Times New Roman"/>
                <w:sz w:val="24"/>
                <w:szCs w:val="24"/>
              </w:rPr>
            </w:pPr>
          </w:p>
        </w:tc>
        <w:tc>
          <w:tcPr>
            <w:tcW w:w="936" w:type="dxa"/>
          </w:tcPr>
          <w:p w14:paraId="73433DD6"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116841</w:t>
            </w:r>
          </w:p>
        </w:tc>
        <w:tc>
          <w:tcPr>
            <w:tcW w:w="1236" w:type="dxa"/>
            <w:vMerge/>
          </w:tcPr>
          <w:p w14:paraId="75A8316D"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507D1802" w14:textId="77777777" w:rsidR="001D04B0" w:rsidRDefault="001D04B0">
            <w:pPr>
              <w:spacing w:line="240" w:lineRule="auto"/>
              <w:jc w:val="center"/>
              <w:rPr>
                <w:rFonts w:ascii="Times New Roman" w:hAnsi="Times New Roman" w:cs="Times New Roman"/>
                <w:sz w:val="24"/>
                <w:szCs w:val="24"/>
              </w:rPr>
            </w:pPr>
          </w:p>
        </w:tc>
      </w:tr>
      <w:tr w:rsidR="001D04B0" w14:paraId="0FB7A653" w14:textId="77777777">
        <w:trPr>
          <w:trHeight w:val="287"/>
        </w:trPr>
        <w:tc>
          <w:tcPr>
            <w:tcW w:w="1745" w:type="dxa"/>
            <w:vMerge/>
          </w:tcPr>
          <w:p w14:paraId="5B208872"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0A1F5E4D" w14:textId="77777777" w:rsidR="001D04B0" w:rsidRDefault="001D04B0">
            <w:pPr>
              <w:spacing w:line="240" w:lineRule="auto"/>
              <w:jc w:val="center"/>
              <w:rPr>
                <w:rFonts w:ascii="Times New Roman" w:hAnsi="Times New Roman" w:cs="Times New Roman"/>
                <w:sz w:val="24"/>
                <w:szCs w:val="24"/>
              </w:rPr>
            </w:pPr>
          </w:p>
        </w:tc>
        <w:tc>
          <w:tcPr>
            <w:tcW w:w="936" w:type="dxa"/>
          </w:tcPr>
          <w:p w14:paraId="70715E20"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116451</w:t>
            </w:r>
          </w:p>
        </w:tc>
        <w:tc>
          <w:tcPr>
            <w:tcW w:w="1236" w:type="dxa"/>
            <w:vMerge/>
          </w:tcPr>
          <w:p w14:paraId="4834EDA2"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318D2B01" w14:textId="77777777" w:rsidR="001D04B0" w:rsidRDefault="001D04B0">
            <w:pPr>
              <w:spacing w:line="240" w:lineRule="auto"/>
              <w:jc w:val="center"/>
              <w:rPr>
                <w:rFonts w:ascii="Times New Roman" w:hAnsi="Times New Roman" w:cs="Times New Roman"/>
                <w:sz w:val="24"/>
                <w:szCs w:val="24"/>
              </w:rPr>
            </w:pPr>
          </w:p>
        </w:tc>
      </w:tr>
      <w:tr w:rsidR="001D04B0" w14:paraId="08852E77" w14:textId="77777777">
        <w:trPr>
          <w:trHeight w:val="499"/>
        </w:trPr>
        <w:tc>
          <w:tcPr>
            <w:tcW w:w="1745" w:type="dxa"/>
            <w:vMerge/>
          </w:tcPr>
          <w:p w14:paraId="13747348" w14:textId="77777777" w:rsidR="001D04B0" w:rsidRDefault="001D04B0">
            <w:pPr>
              <w:spacing w:line="240" w:lineRule="auto"/>
              <w:jc w:val="center"/>
              <w:rPr>
                <w:rFonts w:ascii="Times New Roman" w:hAnsi="Times New Roman" w:cs="Times New Roman"/>
                <w:sz w:val="24"/>
                <w:szCs w:val="24"/>
              </w:rPr>
            </w:pPr>
          </w:p>
        </w:tc>
        <w:tc>
          <w:tcPr>
            <w:tcW w:w="1030" w:type="dxa"/>
            <w:vMerge w:val="restart"/>
          </w:tcPr>
          <w:p w14:paraId="75773C5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32:68</w:t>
            </w:r>
          </w:p>
        </w:tc>
        <w:tc>
          <w:tcPr>
            <w:tcW w:w="936" w:type="dxa"/>
          </w:tcPr>
          <w:p w14:paraId="7A51BAE0"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114512</w:t>
            </w:r>
          </w:p>
        </w:tc>
        <w:tc>
          <w:tcPr>
            <w:tcW w:w="1236" w:type="dxa"/>
            <w:vMerge w:val="restart"/>
          </w:tcPr>
          <w:p w14:paraId="2C7B2048"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114453.33</w:t>
            </w:r>
          </w:p>
          <w:p w14:paraId="0A923C35" w14:textId="77777777" w:rsidR="001D04B0" w:rsidRDefault="001D04B0">
            <w:pPr>
              <w:spacing w:line="240" w:lineRule="auto"/>
              <w:jc w:val="center"/>
              <w:rPr>
                <w:rFonts w:ascii="Times New Roman" w:hAnsi="Times New Roman" w:cs="Times New Roman"/>
                <w:sz w:val="24"/>
                <w:szCs w:val="24"/>
              </w:rPr>
            </w:pPr>
          </w:p>
        </w:tc>
        <w:tc>
          <w:tcPr>
            <w:tcW w:w="5370" w:type="dxa"/>
            <w:vMerge w:val="restart"/>
          </w:tcPr>
          <w:p w14:paraId="271C6CC3"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0.32</w:t>
            </w:r>
          </w:p>
        </w:tc>
      </w:tr>
      <w:tr w:rsidR="001D04B0" w14:paraId="1F9CA507" w14:textId="77777777">
        <w:trPr>
          <w:trHeight w:val="499"/>
        </w:trPr>
        <w:tc>
          <w:tcPr>
            <w:tcW w:w="1745" w:type="dxa"/>
            <w:vMerge/>
          </w:tcPr>
          <w:p w14:paraId="7854327D"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5121EC81" w14:textId="77777777" w:rsidR="001D04B0" w:rsidRDefault="001D04B0">
            <w:pPr>
              <w:spacing w:line="240" w:lineRule="auto"/>
              <w:jc w:val="center"/>
              <w:rPr>
                <w:rFonts w:ascii="Times New Roman" w:hAnsi="Times New Roman" w:cs="Times New Roman"/>
                <w:sz w:val="24"/>
                <w:szCs w:val="24"/>
              </w:rPr>
            </w:pPr>
          </w:p>
        </w:tc>
        <w:tc>
          <w:tcPr>
            <w:tcW w:w="936" w:type="dxa"/>
          </w:tcPr>
          <w:p w14:paraId="1D7AFDE3"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114789</w:t>
            </w:r>
          </w:p>
        </w:tc>
        <w:tc>
          <w:tcPr>
            <w:tcW w:w="1236" w:type="dxa"/>
            <w:vMerge/>
          </w:tcPr>
          <w:p w14:paraId="126AABF5"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21539C37" w14:textId="77777777" w:rsidR="001D04B0" w:rsidRDefault="001D04B0">
            <w:pPr>
              <w:spacing w:line="240" w:lineRule="auto"/>
              <w:jc w:val="center"/>
              <w:rPr>
                <w:rFonts w:ascii="Times New Roman" w:hAnsi="Times New Roman" w:cs="Times New Roman"/>
                <w:sz w:val="24"/>
                <w:szCs w:val="24"/>
              </w:rPr>
            </w:pPr>
          </w:p>
        </w:tc>
      </w:tr>
      <w:tr w:rsidR="001D04B0" w14:paraId="1B064859" w14:textId="77777777">
        <w:trPr>
          <w:trHeight w:val="499"/>
        </w:trPr>
        <w:tc>
          <w:tcPr>
            <w:tcW w:w="1745" w:type="dxa"/>
            <w:vMerge/>
          </w:tcPr>
          <w:p w14:paraId="5773B61D"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0D1E55B3" w14:textId="77777777" w:rsidR="001D04B0" w:rsidRDefault="001D04B0">
            <w:pPr>
              <w:spacing w:line="240" w:lineRule="auto"/>
              <w:jc w:val="center"/>
              <w:rPr>
                <w:rFonts w:ascii="Times New Roman" w:hAnsi="Times New Roman" w:cs="Times New Roman"/>
                <w:sz w:val="24"/>
                <w:szCs w:val="24"/>
              </w:rPr>
            </w:pPr>
          </w:p>
        </w:tc>
        <w:tc>
          <w:tcPr>
            <w:tcW w:w="936" w:type="dxa"/>
          </w:tcPr>
          <w:p w14:paraId="5FCA5B5D"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114059</w:t>
            </w:r>
          </w:p>
        </w:tc>
        <w:tc>
          <w:tcPr>
            <w:tcW w:w="1236" w:type="dxa"/>
            <w:vMerge/>
          </w:tcPr>
          <w:p w14:paraId="711FE67C"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6FDA0BDE" w14:textId="77777777" w:rsidR="001D04B0" w:rsidRDefault="001D04B0">
            <w:pPr>
              <w:spacing w:line="240" w:lineRule="auto"/>
              <w:jc w:val="center"/>
              <w:rPr>
                <w:rFonts w:ascii="Times New Roman" w:hAnsi="Times New Roman" w:cs="Times New Roman"/>
                <w:sz w:val="24"/>
                <w:szCs w:val="24"/>
              </w:rPr>
            </w:pPr>
          </w:p>
        </w:tc>
      </w:tr>
      <w:tr w:rsidR="001D04B0" w14:paraId="33E0A910" w14:textId="77777777">
        <w:trPr>
          <w:trHeight w:val="499"/>
        </w:trPr>
        <w:tc>
          <w:tcPr>
            <w:tcW w:w="1745" w:type="dxa"/>
            <w:vMerge w:val="restart"/>
          </w:tcPr>
          <w:p w14:paraId="5B124C2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Flow Rate</w:t>
            </w:r>
          </w:p>
          <w:p w14:paraId="6801765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(ml/min)</w:t>
            </w:r>
          </w:p>
        </w:tc>
        <w:tc>
          <w:tcPr>
            <w:tcW w:w="1030" w:type="dxa"/>
            <w:vMerge w:val="restart"/>
          </w:tcPr>
          <w:p w14:paraId="1B2614E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36" w:type="dxa"/>
          </w:tcPr>
          <w:p w14:paraId="1EFD3405"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115928</w:t>
            </w:r>
          </w:p>
        </w:tc>
        <w:tc>
          <w:tcPr>
            <w:tcW w:w="1236" w:type="dxa"/>
            <w:vMerge w:val="restart"/>
          </w:tcPr>
          <w:p w14:paraId="72C16394"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115418.67</w:t>
            </w:r>
          </w:p>
          <w:p w14:paraId="001614B6" w14:textId="77777777" w:rsidR="001D04B0" w:rsidRDefault="001D04B0">
            <w:pPr>
              <w:spacing w:line="240" w:lineRule="auto"/>
              <w:jc w:val="center"/>
              <w:rPr>
                <w:rFonts w:ascii="Times New Roman" w:hAnsi="Times New Roman" w:cs="Times New Roman"/>
                <w:sz w:val="24"/>
                <w:szCs w:val="24"/>
              </w:rPr>
            </w:pPr>
          </w:p>
        </w:tc>
        <w:tc>
          <w:tcPr>
            <w:tcW w:w="5370" w:type="dxa"/>
            <w:vMerge w:val="restart"/>
          </w:tcPr>
          <w:p w14:paraId="6A254BFA"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0.39</w:t>
            </w:r>
          </w:p>
        </w:tc>
      </w:tr>
      <w:tr w:rsidR="001D04B0" w14:paraId="75756514" w14:textId="77777777">
        <w:trPr>
          <w:trHeight w:val="499"/>
        </w:trPr>
        <w:tc>
          <w:tcPr>
            <w:tcW w:w="1745" w:type="dxa"/>
            <w:vMerge/>
          </w:tcPr>
          <w:p w14:paraId="4CC299DD"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60957EF6" w14:textId="77777777" w:rsidR="001D04B0" w:rsidRDefault="001D04B0">
            <w:pPr>
              <w:spacing w:line="240" w:lineRule="auto"/>
              <w:jc w:val="center"/>
              <w:rPr>
                <w:rFonts w:ascii="Times New Roman" w:hAnsi="Times New Roman" w:cs="Times New Roman"/>
                <w:sz w:val="24"/>
                <w:szCs w:val="24"/>
              </w:rPr>
            </w:pPr>
          </w:p>
        </w:tc>
        <w:tc>
          <w:tcPr>
            <w:tcW w:w="936" w:type="dxa"/>
          </w:tcPr>
          <w:p w14:paraId="62348EBD"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115241</w:t>
            </w:r>
          </w:p>
        </w:tc>
        <w:tc>
          <w:tcPr>
            <w:tcW w:w="1236" w:type="dxa"/>
            <w:vMerge/>
          </w:tcPr>
          <w:p w14:paraId="1554CDAB"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7162C6E6" w14:textId="77777777" w:rsidR="001D04B0" w:rsidRDefault="001D04B0">
            <w:pPr>
              <w:spacing w:line="240" w:lineRule="auto"/>
              <w:jc w:val="center"/>
              <w:rPr>
                <w:rFonts w:ascii="Times New Roman" w:hAnsi="Times New Roman" w:cs="Times New Roman"/>
                <w:sz w:val="24"/>
                <w:szCs w:val="24"/>
              </w:rPr>
            </w:pPr>
          </w:p>
        </w:tc>
      </w:tr>
      <w:tr w:rsidR="001D04B0" w14:paraId="407433FC" w14:textId="77777777">
        <w:trPr>
          <w:trHeight w:val="499"/>
        </w:trPr>
        <w:tc>
          <w:tcPr>
            <w:tcW w:w="1745" w:type="dxa"/>
            <w:vMerge/>
          </w:tcPr>
          <w:p w14:paraId="33B3B677"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106BB2FF" w14:textId="77777777" w:rsidR="001D04B0" w:rsidRDefault="001D04B0">
            <w:pPr>
              <w:spacing w:line="240" w:lineRule="auto"/>
              <w:jc w:val="center"/>
              <w:rPr>
                <w:rFonts w:ascii="Times New Roman" w:hAnsi="Times New Roman" w:cs="Times New Roman"/>
                <w:sz w:val="24"/>
                <w:szCs w:val="24"/>
              </w:rPr>
            </w:pPr>
          </w:p>
        </w:tc>
        <w:tc>
          <w:tcPr>
            <w:tcW w:w="936" w:type="dxa"/>
          </w:tcPr>
          <w:p w14:paraId="0EBEAA38"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115087</w:t>
            </w:r>
          </w:p>
        </w:tc>
        <w:tc>
          <w:tcPr>
            <w:tcW w:w="1236" w:type="dxa"/>
            <w:vMerge/>
          </w:tcPr>
          <w:p w14:paraId="4394E80E"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42974664" w14:textId="77777777" w:rsidR="001D04B0" w:rsidRDefault="001D04B0">
            <w:pPr>
              <w:spacing w:line="240" w:lineRule="auto"/>
              <w:jc w:val="center"/>
              <w:rPr>
                <w:rFonts w:ascii="Times New Roman" w:hAnsi="Times New Roman" w:cs="Times New Roman"/>
                <w:sz w:val="24"/>
                <w:szCs w:val="24"/>
              </w:rPr>
            </w:pPr>
          </w:p>
        </w:tc>
      </w:tr>
      <w:tr w:rsidR="001D04B0" w14:paraId="27C9228B" w14:textId="77777777">
        <w:trPr>
          <w:trHeight w:val="499"/>
        </w:trPr>
        <w:tc>
          <w:tcPr>
            <w:tcW w:w="1745" w:type="dxa"/>
            <w:vMerge/>
          </w:tcPr>
          <w:p w14:paraId="44FB133A" w14:textId="77777777" w:rsidR="001D04B0" w:rsidRDefault="001D04B0">
            <w:pPr>
              <w:spacing w:line="240" w:lineRule="auto"/>
              <w:jc w:val="center"/>
              <w:rPr>
                <w:rFonts w:ascii="Times New Roman" w:hAnsi="Times New Roman" w:cs="Times New Roman"/>
                <w:sz w:val="24"/>
                <w:szCs w:val="24"/>
              </w:rPr>
            </w:pPr>
          </w:p>
        </w:tc>
        <w:tc>
          <w:tcPr>
            <w:tcW w:w="1030" w:type="dxa"/>
            <w:vMerge w:val="restart"/>
          </w:tcPr>
          <w:p w14:paraId="6F1D794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36" w:type="dxa"/>
          </w:tcPr>
          <w:p w14:paraId="58C17CA4"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117841</w:t>
            </w:r>
          </w:p>
        </w:tc>
        <w:tc>
          <w:tcPr>
            <w:tcW w:w="1236" w:type="dxa"/>
            <w:vMerge w:val="restart"/>
          </w:tcPr>
          <w:p w14:paraId="11D78B1A"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117325.33</w:t>
            </w:r>
          </w:p>
          <w:p w14:paraId="15003106" w14:textId="77777777" w:rsidR="001D04B0" w:rsidRDefault="001D04B0">
            <w:pPr>
              <w:spacing w:line="240" w:lineRule="auto"/>
              <w:jc w:val="center"/>
              <w:rPr>
                <w:rFonts w:ascii="Times New Roman" w:hAnsi="Times New Roman" w:cs="Times New Roman"/>
                <w:sz w:val="24"/>
                <w:szCs w:val="24"/>
              </w:rPr>
            </w:pPr>
          </w:p>
        </w:tc>
        <w:tc>
          <w:tcPr>
            <w:tcW w:w="5370" w:type="dxa"/>
            <w:vMerge w:val="restart"/>
          </w:tcPr>
          <w:p w14:paraId="43657F1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0.39</w:t>
            </w:r>
          </w:p>
        </w:tc>
      </w:tr>
      <w:tr w:rsidR="001D04B0" w14:paraId="7DE5A61E" w14:textId="77777777">
        <w:trPr>
          <w:trHeight w:val="499"/>
        </w:trPr>
        <w:tc>
          <w:tcPr>
            <w:tcW w:w="1745" w:type="dxa"/>
            <w:vMerge/>
          </w:tcPr>
          <w:p w14:paraId="6A3F0722"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0F019EFD" w14:textId="77777777" w:rsidR="001D04B0" w:rsidRDefault="001D04B0">
            <w:pPr>
              <w:spacing w:line="240" w:lineRule="auto"/>
              <w:jc w:val="center"/>
              <w:rPr>
                <w:rFonts w:ascii="Times New Roman" w:hAnsi="Times New Roman" w:cs="Times New Roman"/>
                <w:sz w:val="24"/>
                <w:szCs w:val="24"/>
              </w:rPr>
            </w:pPr>
          </w:p>
        </w:tc>
        <w:tc>
          <w:tcPr>
            <w:tcW w:w="936" w:type="dxa"/>
          </w:tcPr>
          <w:p w14:paraId="4C3CF825"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116981</w:t>
            </w:r>
          </w:p>
        </w:tc>
        <w:tc>
          <w:tcPr>
            <w:tcW w:w="1236" w:type="dxa"/>
            <w:vMerge/>
          </w:tcPr>
          <w:p w14:paraId="5A089209"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15D74102" w14:textId="77777777" w:rsidR="001D04B0" w:rsidRDefault="001D04B0">
            <w:pPr>
              <w:spacing w:line="240" w:lineRule="auto"/>
              <w:jc w:val="center"/>
              <w:rPr>
                <w:rFonts w:ascii="Times New Roman" w:hAnsi="Times New Roman" w:cs="Times New Roman"/>
                <w:sz w:val="24"/>
                <w:szCs w:val="24"/>
              </w:rPr>
            </w:pPr>
          </w:p>
        </w:tc>
      </w:tr>
      <w:tr w:rsidR="001D04B0" w14:paraId="63901C59" w14:textId="77777777">
        <w:trPr>
          <w:trHeight w:val="499"/>
        </w:trPr>
        <w:tc>
          <w:tcPr>
            <w:tcW w:w="1745" w:type="dxa"/>
            <w:vMerge/>
          </w:tcPr>
          <w:p w14:paraId="6E22B62C" w14:textId="77777777" w:rsidR="001D04B0" w:rsidRDefault="001D04B0">
            <w:pPr>
              <w:spacing w:line="240" w:lineRule="auto"/>
              <w:jc w:val="center"/>
              <w:rPr>
                <w:rFonts w:ascii="Times New Roman" w:hAnsi="Times New Roman" w:cs="Times New Roman"/>
                <w:sz w:val="24"/>
                <w:szCs w:val="24"/>
              </w:rPr>
            </w:pPr>
          </w:p>
        </w:tc>
        <w:tc>
          <w:tcPr>
            <w:tcW w:w="1030" w:type="dxa"/>
            <w:vMerge/>
          </w:tcPr>
          <w:p w14:paraId="44B397C4" w14:textId="77777777" w:rsidR="001D04B0" w:rsidRDefault="001D04B0">
            <w:pPr>
              <w:spacing w:line="240" w:lineRule="auto"/>
              <w:jc w:val="center"/>
              <w:rPr>
                <w:rFonts w:ascii="Times New Roman" w:hAnsi="Times New Roman" w:cs="Times New Roman"/>
                <w:sz w:val="24"/>
                <w:szCs w:val="24"/>
              </w:rPr>
            </w:pPr>
          </w:p>
        </w:tc>
        <w:tc>
          <w:tcPr>
            <w:tcW w:w="936" w:type="dxa"/>
          </w:tcPr>
          <w:p w14:paraId="38D215B1"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117154</w:t>
            </w:r>
          </w:p>
        </w:tc>
        <w:tc>
          <w:tcPr>
            <w:tcW w:w="1236" w:type="dxa"/>
            <w:vMerge/>
          </w:tcPr>
          <w:p w14:paraId="6E96F8D2" w14:textId="77777777" w:rsidR="001D04B0" w:rsidRDefault="001D04B0">
            <w:pPr>
              <w:spacing w:line="240" w:lineRule="auto"/>
              <w:jc w:val="center"/>
              <w:rPr>
                <w:rFonts w:ascii="Times New Roman" w:hAnsi="Times New Roman" w:cs="Times New Roman"/>
                <w:sz w:val="24"/>
                <w:szCs w:val="24"/>
              </w:rPr>
            </w:pPr>
          </w:p>
        </w:tc>
        <w:tc>
          <w:tcPr>
            <w:tcW w:w="5370" w:type="dxa"/>
            <w:vMerge/>
          </w:tcPr>
          <w:p w14:paraId="30D4821B" w14:textId="77777777" w:rsidR="001D04B0" w:rsidRDefault="001D04B0">
            <w:pPr>
              <w:spacing w:line="240" w:lineRule="auto"/>
              <w:jc w:val="center"/>
              <w:rPr>
                <w:rFonts w:ascii="Times New Roman" w:hAnsi="Times New Roman" w:cs="Times New Roman"/>
                <w:sz w:val="24"/>
                <w:szCs w:val="24"/>
              </w:rPr>
            </w:pPr>
          </w:p>
        </w:tc>
      </w:tr>
      <w:tr w:rsidR="001D04B0" w14:paraId="501AC105" w14:textId="77777777">
        <w:trPr>
          <w:trHeight w:val="499"/>
        </w:trPr>
        <w:tc>
          <w:tcPr>
            <w:tcW w:w="10317" w:type="dxa"/>
            <w:gridSpan w:val="5"/>
          </w:tcPr>
          <w:p w14:paraId="2A9C7AAB"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EPLE</w:t>
            </w:r>
          </w:p>
        </w:tc>
      </w:tr>
      <w:tr w:rsidR="001D04B0" w14:paraId="432333D0" w14:textId="77777777">
        <w:trPr>
          <w:trHeight w:val="499"/>
        </w:trPr>
        <w:tc>
          <w:tcPr>
            <w:tcW w:w="1745" w:type="dxa"/>
            <w:vMerge w:val="restart"/>
          </w:tcPr>
          <w:p w14:paraId="2D6BC0EC"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Mobile phase composition</w:t>
            </w:r>
          </w:p>
        </w:tc>
        <w:tc>
          <w:tcPr>
            <w:tcW w:w="1030" w:type="dxa"/>
            <w:vMerge w:val="restart"/>
          </w:tcPr>
          <w:p w14:paraId="19D4EAF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28:72</w:t>
            </w:r>
          </w:p>
        </w:tc>
        <w:tc>
          <w:tcPr>
            <w:tcW w:w="936" w:type="dxa"/>
            <w:vAlign w:val="center"/>
          </w:tcPr>
          <w:p w14:paraId="1847A9CE"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158963</w:t>
            </w:r>
          </w:p>
        </w:tc>
        <w:tc>
          <w:tcPr>
            <w:tcW w:w="1236" w:type="dxa"/>
            <w:vMerge w:val="restart"/>
          </w:tcPr>
          <w:p w14:paraId="1049F8AA"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158553.00</w:t>
            </w:r>
          </w:p>
          <w:p w14:paraId="00D54769" w14:textId="77777777" w:rsidR="001D04B0" w:rsidRDefault="001D04B0">
            <w:pPr>
              <w:spacing w:after="0" w:line="240" w:lineRule="auto"/>
              <w:jc w:val="center"/>
              <w:rPr>
                <w:rFonts w:ascii="Times New Roman" w:hAnsi="Times New Roman" w:cs="Times New Roman"/>
                <w:sz w:val="24"/>
                <w:szCs w:val="24"/>
              </w:rPr>
            </w:pPr>
          </w:p>
        </w:tc>
        <w:tc>
          <w:tcPr>
            <w:tcW w:w="5370" w:type="dxa"/>
            <w:vMerge w:val="restart"/>
          </w:tcPr>
          <w:p w14:paraId="11213CB9"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0.26</w:t>
            </w:r>
          </w:p>
        </w:tc>
      </w:tr>
      <w:tr w:rsidR="001D04B0" w14:paraId="6B99811E" w14:textId="77777777">
        <w:trPr>
          <w:trHeight w:val="499"/>
        </w:trPr>
        <w:tc>
          <w:tcPr>
            <w:tcW w:w="1745" w:type="dxa"/>
            <w:vMerge/>
          </w:tcPr>
          <w:p w14:paraId="38879728"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44BE9A92"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5F3C9FFD"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158149</w:t>
            </w:r>
          </w:p>
        </w:tc>
        <w:tc>
          <w:tcPr>
            <w:tcW w:w="1236" w:type="dxa"/>
            <w:vMerge/>
          </w:tcPr>
          <w:p w14:paraId="33D29BA8"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31AA4157" w14:textId="77777777" w:rsidR="001D04B0" w:rsidRDefault="001D04B0">
            <w:pPr>
              <w:spacing w:after="0" w:line="240" w:lineRule="auto"/>
              <w:jc w:val="center"/>
              <w:rPr>
                <w:rFonts w:ascii="Times New Roman" w:hAnsi="Times New Roman" w:cs="Times New Roman"/>
                <w:sz w:val="24"/>
                <w:szCs w:val="24"/>
              </w:rPr>
            </w:pPr>
          </w:p>
        </w:tc>
      </w:tr>
      <w:tr w:rsidR="001D04B0" w14:paraId="570F1C57" w14:textId="77777777">
        <w:trPr>
          <w:trHeight w:val="499"/>
        </w:trPr>
        <w:tc>
          <w:tcPr>
            <w:tcW w:w="1745" w:type="dxa"/>
            <w:vMerge/>
          </w:tcPr>
          <w:p w14:paraId="7AFB45EB"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14B6497A"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302D7F99"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158547</w:t>
            </w:r>
          </w:p>
        </w:tc>
        <w:tc>
          <w:tcPr>
            <w:tcW w:w="1236" w:type="dxa"/>
            <w:vMerge/>
          </w:tcPr>
          <w:p w14:paraId="5C84E5D9"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7172AACB" w14:textId="77777777" w:rsidR="001D04B0" w:rsidRDefault="001D04B0">
            <w:pPr>
              <w:spacing w:after="0" w:line="240" w:lineRule="auto"/>
              <w:jc w:val="center"/>
              <w:rPr>
                <w:rFonts w:ascii="Times New Roman" w:hAnsi="Times New Roman" w:cs="Times New Roman"/>
                <w:sz w:val="24"/>
                <w:szCs w:val="24"/>
              </w:rPr>
            </w:pPr>
          </w:p>
        </w:tc>
      </w:tr>
      <w:tr w:rsidR="001D04B0" w14:paraId="37BAE126" w14:textId="77777777">
        <w:trPr>
          <w:trHeight w:val="499"/>
        </w:trPr>
        <w:tc>
          <w:tcPr>
            <w:tcW w:w="1745" w:type="dxa"/>
            <w:vMerge/>
          </w:tcPr>
          <w:p w14:paraId="79BF1356" w14:textId="77777777" w:rsidR="001D04B0" w:rsidRDefault="001D04B0">
            <w:pPr>
              <w:spacing w:after="0" w:line="240" w:lineRule="auto"/>
              <w:jc w:val="center"/>
              <w:rPr>
                <w:rFonts w:ascii="Times New Roman" w:hAnsi="Times New Roman" w:cs="Times New Roman"/>
                <w:sz w:val="24"/>
                <w:szCs w:val="24"/>
              </w:rPr>
            </w:pPr>
          </w:p>
        </w:tc>
        <w:tc>
          <w:tcPr>
            <w:tcW w:w="1030" w:type="dxa"/>
            <w:vMerge w:val="restart"/>
          </w:tcPr>
          <w:p w14:paraId="3255D35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32:68</w:t>
            </w:r>
          </w:p>
        </w:tc>
        <w:tc>
          <w:tcPr>
            <w:tcW w:w="936" w:type="dxa"/>
            <w:vAlign w:val="center"/>
          </w:tcPr>
          <w:p w14:paraId="219A59D9"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130214</w:t>
            </w:r>
          </w:p>
        </w:tc>
        <w:tc>
          <w:tcPr>
            <w:tcW w:w="1236" w:type="dxa"/>
            <w:vMerge w:val="restart"/>
          </w:tcPr>
          <w:p w14:paraId="3975A31D"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130523.67</w:t>
            </w:r>
          </w:p>
          <w:p w14:paraId="70FF5BBC" w14:textId="77777777" w:rsidR="001D04B0" w:rsidRDefault="001D04B0">
            <w:pPr>
              <w:spacing w:after="0" w:line="240" w:lineRule="auto"/>
              <w:jc w:val="center"/>
              <w:rPr>
                <w:rFonts w:ascii="Times New Roman" w:hAnsi="Times New Roman" w:cs="Times New Roman"/>
                <w:sz w:val="24"/>
                <w:szCs w:val="24"/>
              </w:rPr>
            </w:pPr>
          </w:p>
        </w:tc>
        <w:tc>
          <w:tcPr>
            <w:tcW w:w="5370" w:type="dxa"/>
            <w:vMerge w:val="restart"/>
          </w:tcPr>
          <w:p w14:paraId="0F6F311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w:t>
            </w:r>
          </w:p>
        </w:tc>
      </w:tr>
      <w:tr w:rsidR="001D04B0" w14:paraId="6FE9AABE" w14:textId="77777777">
        <w:trPr>
          <w:trHeight w:val="499"/>
        </w:trPr>
        <w:tc>
          <w:tcPr>
            <w:tcW w:w="1745" w:type="dxa"/>
            <w:vMerge/>
          </w:tcPr>
          <w:p w14:paraId="175C4593"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49E5D8EA"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11BF71E9"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130789</w:t>
            </w:r>
          </w:p>
        </w:tc>
        <w:tc>
          <w:tcPr>
            <w:tcW w:w="1236" w:type="dxa"/>
            <w:vMerge/>
          </w:tcPr>
          <w:p w14:paraId="7881B682"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23438247" w14:textId="77777777" w:rsidR="001D04B0" w:rsidRDefault="001D04B0">
            <w:pPr>
              <w:spacing w:after="0" w:line="240" w:lineRule="auto"/>
              <w:jc w:val="center"/>
              <w:rPr>
                <w:rFonts w:ascii="Times New Roman" w:hAnsi="Times New Roman" w:cs="Times New Roman"/>
                <w:sz w:val="24"/>
                <w:szCs w:val="24"/>
              </w:rPr>
            </w:pPr>
          </w:p>
        </w:tc>
      </w:tr>
      <w:tr w:rsidR="001D04B0" w14:paraId="5CA07B70" w14:textId="77777777">
        <w:trPr>
          <w:trHeight w:val="499"/>
        </w:trPr>
        <w:tc>
          <w:tcPr>
            <w:tcW w:w="1745" w:type="dxa"/>
            <w:vMerge/>
          </w:tcPr>
          <w:p w14:paraId="724829C4"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55773006"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587A3EB4"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130568</w:t>
            </w:r>
          </w:p>
        </w:tc>
        <w:tc>
          <w:tcPr>
            <w:tcW w:w="1236" w:type="dxa"/>
            <w:vMerge/>
          </w:tcPr>
          <w:p w14:paraId="64C46823"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5DDC045E" w14:textId="77777777" w:rsidR="001D04B0" w:rsidRDefault="001D04B0">
            <w:pPr>
              <w:spacing w:after="0" w:line="240" w:lineRule="auto"/>
              <w:jc w:val="center"/>
              <w:rPr>
                <w:rFonts w:ascii="Times New Roman" w:hAnsi="Times New Roman" w:cs="Times New Roman"/>
                <w:sz w:val="24"/>
                <w:szCs w:val="24"/>
              </w:rPr>
            </w:pPr>
          </w:p>
        </w:tc>
      </w:tr>
      <w:tr w:rsidR="001D04B0" w14:paraId="32D11542" w14:textId="77777777">
        <w:trPr>
          <w:trHeight w:val="499"/>
        </w:trPr>
        <w:tc>
          <w:tcPr>
            <w:tcW w:w="1745" w:type="dxa"/>
            <w:vMerge w:val="restart"/>
          </w:tcPr>
          <w:p w14:paraId="13AC6A1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Flow Rate</w:t>
            </w:r>
          </w:p>
          <w:p w14:paraId="586F4F4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(ml/min)</w:t>
            </w:r>
          </w:p>
        </w:tc>
        <w:tc>
          <w:tcPr>
            <w:tcW w:w="1030" w:type="dxa"/>
            <w:vMerge w:val="restart"/>
          </w:tcPr>
          <w:p w14:paraId="4141E70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36" w:type="dxa"/>
            <w:vAlign w:val="center"/>
          </w:tcPr>
          <w:p w14:paraId="18480DBF"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140467</w:t>
            </w:r>
          </w:p>
        </w:tc>
        <w:tc>
          <w:tcPr>
            <w:tcW w:w="1236" w:type="dxa"/>
            <w:vMerge w:val="restart"/>
          </w:tcPr>
          <w:p w14:paraId="1F441FF2"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140393.00</w:t>
            </w:r>
          </w:p>
          <w:p w14:paraId="138A4C4D" w14:textId="77777777" w:rsidR="001D04B0" w:rsidRDefault="001D04B0">
            <w:pPr>
              <w:spacing w:after="0" w:line="240" w:lineRule="auto"/>
              <w:jc w:val="center"/>
              <w:rPr>
                <w:rFonts w:ascii="Times New Roman" w:hAnsi="Times New Roman" w:cs="Times New Roman"/>
                <w:sz w:val="24"/>
                <w:szCs w:val="24"/>
              </w:rPr>
            </w:pPr>
          </w:p>
        </w:tc>
        <w:tc>
          <w:tcPr>
            <w:tcW w:w="5370" w:type="dxa"/>
            <w:vMerge w:val="restart"/>
          </w:tcPr>
          <w:p w14:paraId="3B9DE117"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0.17</w:t>
            </w:r>
          </w:p>
        </w:tc>
      </w:tr>
      <w:tr w:rsidR="001D04B0" w14:paraId="00BC6700" w14:textId="77777777">
        <w:trPr>
          <w:trHeight w:val="499"/>
        </w:trPr>
        <w:tc>
          <w:tcPr>
            <w:tcW w:w="1745" w:type="dxa"/>
            <w:vMerge/>
          </w:tcPr>
          <w:p w14:paraId="1A296004"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40554787"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22A5EA39"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140587</w:t>
            </w:r>
          </w:p>
        </w:tc>
        <w:tc>
          <w:tcPr>
            <w:tcW w:w="1236" w:type="dxa"/>
            <w:vMerge/>
          </w:tcPr>
          <w:p w14:paraId="521760ED"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65EE443B" w14:textId="77777777" w:rsidR="001D04B0" w:rsidRDefault="001D04B0">
            <w:pPr>
              <w:spacing w:after="0" w:line="240" w:lineRule="auto"/>
              <w:jc w:val="center"/>
              <w:rPr>
                <w:rFonts w:ascii="Times New Roman" w:hAnsi="Times New Roman" w:cs="Times New Roman"/>
                <w:sz w:val="24"/>
                <w:szCs w:val="24"/>
              </w:rPr>
            </w:pPr>
          </w:p>
        </w:tc>
      </w:tr>
      <w:tr w:rsidR="001D04B0" w14:paraId="3D58FECF" w14:textId="77777777">
        <w:trPr>
          <w:trHeight w:val="499"/>
        </w:trPr>
        <w:tc>
          <w:tcPr>
            <w:tcW w:w="1745" w:type="dxa"/>
            <w:vMerge/>
          </w:tcPr>
          <w:p w14:paraId="56C81D20"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56124252"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15872619"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140125</w:t>
            </w:r>
          </w:p>
        </w:tc>
        <w:tc>
          <w:tcPr>
            <w:tcW w:w="1236" w:type="dxa"/>
            <w:vMerge/>
          </w:tcPr>
          <w:p w14:paraId="7CCD4C8B"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6AFE6AED" w14:textId="77777777" w:rsidR="001D04B0" w:rsidRDefault="001D04B0">
            <w:pPr>
              <w:spacing w:after="0" w:line="240" w:lineRule="auto"/>
              <w:jc w:val="center"/>
              <w:rPr>
                <w:rFonts w:ascii="Times New Roman" w:hAnsi="Times New Roman" w:cs="Times New Roman"/>
                <w:sz w:val="24"/>
                <w:szCs w:val="24"/>
              </w:rPr>
            </w:pPr>
          </w:p>
        </w:tc>
      </w:tr>
      <w:tr w:rsidR="001D04B0" w14:paraId="7FA4A890" w14:textId="77777777">
        <w:trPr>
          <w:trHeight w:val="499"/>
        </w:trPr>
        <w:tc>
          <w:tcPr>
            <w:tcW w:w="1745" w:type="dxa"/>
            <w:vMerge/>
          </w:tcPr>
          <w:p w14:paraId="1A3416A8" w14:textId="77777777" w:rsidR="001D04B0" w:rsidRDefault="001D04B0">
            <w:pPr>
              <w:spacing w:after="0" w:line="240" w:lineRule="auto"/>
              <w:jc w:val="center"/>
              <w:rPr>
                <w:rFonts w:ascii="Times New Roman" w:hAnsi="Times New Roman" w:cs="Times New Roman"/>
                <w:sz w:val="24"/>
                <w:szCs w:val="24"/>
              </w:rPr>
            </w:pPr>
          </w:p>
        </w:tc>
        <w:tc>
          <w:tcPr>
            <w:tcW w:w="1030" w:type="dxa"/>
            <w:vMerge w:val="restart"/>
          </w:tcPr>
          <w:p w14:paraId="5B55DB2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36" w:type="dxa"/>
            <w:vAlign w:val="center"/>
          </w:tcPr>
          <w:p w14:paraId="07C498B9"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125412</w:t>
            </w:r>
          </w:p>
        </w:tc>
        <w:tc>
          <w:tcPr>
            <w:tcW w:w="1236" w:type="dxa"/>
            <w:vMerge w:val="restart"/>
          </w:tcPr>
          <w:p w14:paraId="1C239DDE"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125617.00</w:t>
            </w:r>
          </w:p>
          <w:p w14:paraId="1D6C0B04" w14:textId="77777777" w:rsidR="001D04B0" w:rsidRDefault="001D04B0">
            <w:pPr>
              <w:spacing w:after="0" w:line="240" w:lineRule="auto"/>
              <w:jc w:val="center"/>
              <w:rPr>
                <w:rFonts w:ascii="Times New Roman" w:hAnsi="Times New Roman" w:cs="Times New Roman"/>
                <w:sz w:val="24"/>
                <w:szCs w:val="24"/>
              </w:rPr>
            </w:pPr>
          </w:p>
        </w:tc>
        <w:tc>
          <w:tcPr>
            <w:tcW w:w="5370" w:type="dxa"/>
            <w:vMerge w:val="restart"/>
          </w:tcPr>
          <w:p w14:paraId="54EF693A"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1D04B0" w14:paraId="673D4710" w14:textId="77777777">
        <w:trPr>
          <w:trHeight w:val="499"/>
        </w:trPr>
        <w:tc>
          <w:tcPr>
            <w:tcW w:w="1745" w:type="dxa"/>
            <w:vMerge/>
          </w:tcPr>
          <w:p w14:paraId="6AE39BFD"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38E42688"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23A6FF5B"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125789</w:t>
            </w:r>
          </w:p>
        </w:tc>
        <w:tc>
          <w:tcPr>
            <w:tcW w:w="1236" w:type="dxa"/>
            <w:vMerge/>
          </w:tcPr>
          <w:p w14:paraId="589F18A1"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6A80B8C5" w14:textId="77777777" w:rsidR="001D04B0" w:rsidRDefault="001D04B0">
            <w:pPr>
              <w:spacing w:after="0" w:line="240" w:lineRule="auto"/>
              <w:jc w:val="center"/>
              <w:rPr>
                <w:rFonts w:ascii="Times New Roman" w:hAnsi="Times New Roman" w:cs="Times New Roman"/>
                <w:sz w:val="24"/>
                <w:szCs w:val="24"/>
              </w:rPr>
            </w:pPr>
          </w:p>
        </w:tc>
      </w:tr>
      <w:tr w:rsidR="001D04B0" w14:paraId="11113B94" w14:textId="77777777">
        <w:trPr>
          <w:trHeight w:val="518"/>
        </w:trPr>
        <w:tc>
          <w:tcPr>
            <w:tcW w:w="1745" w:type="dxa"/>
            <w:vMerge/>
          </w:tcPr>
          <w:p w14:paraId="34DC276D" w14:textId="77777777" w:rsidR="001D04B0" w:rsidRDefault="001D04B0">
            <w:pPr>
              <w:spacing w:after="0" w:line="240" w:lineRule="auto"/>
              <w:jc w:val="center"/>
              <w:rPr>
                <w:rFonts w:ascii="Times New Roman" w:hAnsi="Times New Roman" w:cs="Times New Roman"/>
                <w:sz w:val="24"/>
                <w:szCs w:val="24"/>
              </w:rPr>
            </w:pPr>
          </w:p>
        </w:tc>
        <w:tc>
          <w:tcPr>
            <w:tcW w:w="1030" w:type="dxa"/>
            <w:vMerge/>
          </w:tcPr>
          <w:p w14:paraId="7CE148AD" w14:textId="77777777" w:rsidR="001D04B0" w:rsidRDefault="001D04B0">
            <w:pPr>
              <w:spacing w:after="0" w:line="240" w:lineRule="auto"/>
              <w:jc w:val="center"/>
              <w:rPr>
                <w:rFonts w:ascii="Times New Roman" w:hAnsi="Times New Roman" w:cs="Times New Roman"/>
                <w:sz w:val="24"/>
                <w:szCs w:val="24"/>
              </w:rPr>
            </w:pPr>
          </w:p>
        </w:tc>
        <w:tc>
          <w:tcPr>
            <w:tcW w:w="936" w:type="dxa"/>
            <w:vAlign w:val="center"/>
          </w:tcPr>
          <w:p w14:paraId="69AE0B02" w14:textId="77777777" w:rsidR="001D04B0" w:rsidRDefault="0000000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125650</w:t>
            </w:r>
          </w:p>
        </w:tc>
        <w:tc>
          <w:tcPr>
            <w:tcW w:w="1236" w:type="dxa"/>
            <w:vMerge/>
          </w:tcPr>
          <w:p w14:paraId="54E936CC" w14:textId="77777777" w:rsidR="001D04B0" w:rsidRDefault="001D04B0">
            <w:pPr>
              <w:spacing w:after="0" w:line="240" w:lineRule="auto"/>
              <w:jc w:val="center"/>
              <w:rPr>
                <w:rFonts w:ascii="Times New Roman" w:hAnsi="Times New Roman" w:cs="Times New Roman"/>
                <w:sz w:val="24"/>
                <w:szCs w:val="24"/>
              </w:rPr>
            </w:pPr>
          </w:p>
        </w:tc>
        <w:tc>
          <w:tcPr>
            <w:tcW w:w="5370" w:type="dxa"/>
            <w:vMerge/>
          </w:tcPr>
          <w:p w14:paraId="11E81F9B" w14:textId="77777777" w:rsidR="001D04B0" w:rsidRDefault="001D04B0">
            <w:pPr>
              <w:spacing w:after="0" w:line="240" w:lineRule="auto"/>
              <w:jc w:val="center"/>
              <w:rPr>
                <w:rFonts w:ascii="Times New Roman" w:hAnsi="Times New Roman" w:cs="Times New Roman"/>
                <w:sz w:val="24"/>
                <w:szCs w:val="24"/>
              </w:rPr>
            </w:pPr>
          </w:p>
        </w:tc>
      </w:tr>
    </w:tbl>
    <w:p w14:paraId="5D274E11" w14:textId="77777777" w:rsidR="001D04B0" w:rsidRDefault="001D04B0">
      <w:pPr>
        <w:spacing w:line="240" w:lineRule="auto"/>
        <w:jc w:val="both"/>
        <w:rPr>
          <w:rFonts w:ascii="Times New Roman" w:hAnsi="Times New Roman" w:cs="Times New Roman"/>
          <w:b/>
          <w:bCs/>
          <w:sz w:val="24"/>
          <w:szCs w:val="24"/>
        </w:rPr>
      </w:pPr>
    </w:p>
    <w:p w14:paraId="47EACFF2"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Criteria:</w:t>
      </w:r>
      <w:r>
        <w:rPr>
          <w:rFonts w:ascii="Times New Roman" w:hAnsi="Times New Roman" w:cs="Times New Roman"/>
          <w:sz w:val="24"/>
          <w:szCs w:val="24"/>
        </w:rPr>
        <w:br/>
        <w:t>Robustness evaluates the reliability of an analytical method under small and deliberate variations in method parameters. As per general acceptance criteria, the method is considered robust if the percentage relative standard deviation (%RSD) remains below 2% under varied conditions.</w:t>
      </w:r>
    </w:p>
    <w:p w14:paraId="163854B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robustness of the developed RP-HPLC method was assessed by introducing slight variations in mobile phase composition and flow rate. For Dapagliflozin, the %RSD values were found to be in the range of 0.32–0.39% for changes in mobile phase composition and flow rate. Similarly, for Eplerenone, the %RSD values ranged from 0.15–0.26% under the same varied conditions.</w:t>
      </w:r>
    </w:p>
    <w:p w14:paraId="0A1726EF"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low %RSD values indicate that the chromatographic responses remained consistent despite minor changes in </w:t>
      </w:r>
    </w:p>
    <w:p w14:paraId="353D5D9D" w14:textId="77777777" w:rsidR="001D04B0" w:rsidRDefault="001D04B0">
      <w:pPr>
        <w:spacing w:line="240" w:lineRule="auto"/>
        <w:jc w:val="both"/>
        <w:rPr>
          <w:rFonts w:ascii="Times New Roman" w:hAnsi="Times New Roman" w:cs="Times New Roman"/>
          <w:sz w:val="24"/>
          <w:szCs w:val="24"/>
        </w:rPr>
      </w:pPr>
    </w:p>
    <w:p w14:paraId="0E3D321F"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parameters.</w:t>
      </w:r>
    </w:p>
    <w:p w14:paraId="5CB879D2"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Since the %RSD values for both Dapagliflozin and Eplerenone were well within the acceptable limit, the developed method can be considered robust. The method demonstrates reliability and stability under small variations, confirming its suitability for routine analytical applications.</w:t>
      </w:r>
    </w:p>
    <w:p w14:paraId="2C264DB9" w14:textId="77777777" w:rsidR="001D04B0" w:rsidRDefault="0000000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Assay of synthetic mixture</w:t>
      </w:r>
    </w:p>
    <w:p w14:paraId="54808347" w14:textId="77777777" w:rsidR="001D04B0" w:rsidRDefault="00000000">
      <w:pPr>
        <w:spacing w:line="240" w:lineRule="auto"/>
        <w:ind w:firstLineChars="200" w:firstLine="482"/>
        <w:jc w:val="both"/>
        <w:rPr>
          <w:rFonts w:ascii="Times New Roman" w:hAnsi="Times New Roman" w:cs="Times New Roman"/>
          <w:b/>
          <w:bCs/>
          <w:sz w:val="24"/>
          <w:szCs w:val="24"/>
        </w:rPr>
      </w:pPr>
      <w:r>
        <w:rPr>
          <w:rFonts w:ascii="Times New Roman" w:hAnsi="Times New Roman" w:cs="Times New Roman"/>
          <w:b/>
          <w:bCs/>
          <w:sz w:val="24"/>
          <w:szCs w:val="24"/>
        </w:rPr>
        <w:t>Table 33 Determination of DAPA and EPLE from synthetic mixture</w:t>
      </w:r>
    </w:p>
    <w:tbl>
      <w:tblPr>
        <w:tblStyle w:val="TableGrid"/>
        <w:tblW w:w="0" w:type="auto"/>
        <w:tblInd w:w="567" w:type="dxa"/>
        <w:tblLook w:val="04A0" w:firstRow="1" w:lastRow="0" w:firstColumn="1" w:lastColumn="0" w:noHBand="0" w:noVBand="1"/>
      </w:tblPr>
      <w:tblGrid>
        <w:gridCol w:w="1048"/>
        <w:gridCol w:w="1069"/>
        <w:gridCol w:w="2314"/>
        <w:gridCol w:w="5523"/>
      </w:tblGrid>
      <w:tr w:rsidR="001D04B0" w14:paraId="178C3643" w14:textId="77777777">
        <w:trPr>
          <w:trHeight w:val="1464"/>
        </w:trPr>
        <w:tc>
          <w:tcPr>
            <w:tcW w:w="1048" w:type="dxa"/>
          </w:tcPr>
          <w:p w14:paraId="61392929" w14:textId="77777777" w:rsidR="001D04B0" w:rsidRDefault="00000000">
            <w:pPr>
              <w:pStyle w:val="ListParagraph"/>
              <w:tabs>
                <w:tab w:val="left" w:pos="2595"/>
              </w:tabs>
              <w:spacing w:after="0" w:line="240" w:lineRule="auto"/>
              <w:ind w:left="0"/>
              <w:contextualSpacing w:val="0"/>
              <w:rPr>
                <w:rFonts w:ascii="Times New Roman" w:hAnsi="Times New Roman" w:cs="Times New Roman"/>
                <w:b/>
                <w:bCs/>
                <w:sz w:val="24"/>
                <w:szCs w:val="24"/>
              </w:rPr>
            </w:pPr>
            <w:r>
              <w:rPr>
                <w:rFonts w:ascii="Times New Roman" w:hAnsi="Times New Roman" w:cs="Times New Roman"/>
                <w:b/>
                <w:bCs/>
                <w:sz w:val="24"/>
                <w:szCs w:val="24"/>
              </w:rPr>
              <w:lastRenderedPageBreak/>
              <w:t>Drug</w:t>
            </w:r>
          </w:p>
        </w:tc>
        <w:tc>
          <w:tcPr>
            <w:tcW w:w="1069" w:type="dxa"/>
          </w:tcPr>
          <w:p w14:paraId="68ECF916" w14:textId="77777777" w:rsidR="001D04B0" w:rsidRDefault="00000000">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Amount taken</w:t>
            </w:r>
          </w:p>
          <w:p w14:paraId="661CB01C" w14:textId="77777777" w:rsidR="001D04B0" w:rsidRDefault="00000000">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(µg/mL)</w:t>
            </w:r>
          </w:p>
        </w:tc>
        <w:tc>
          <w:tcPr>
            <w:tcW w:w="2314" w:type="dxa"/>
          </w:tcPr>
          <w:p w14:paraId="759D0A52" w14:textId="77777777" w:rsidR="001D04B0" w:rsidRDefault="00000000">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Amount found</w:t>
            </w:r>
          </w:p>
          <w:p w14:paraId="24A1D810" w14:textId="77777777" w:rsidR="001D04B0" w:rsidRDefault="00000000">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(µg/mL) (Mean ± SD)</w:t>
            </w:r>
          </w:p>
        </w:tc>
        <w:tc>
          <w:tcPr>
            <w:tcW w:w="5523" w:type="dxa"/>
          </w:tcPr>
          <w:p w14:paraId="6FEAA36B" w14:textId="77777777" w:rsidR="001D04B0" w:rsidRDefault="00000000">
            <w:pPr>
              <w:pStyle w:val="ListParagraph"/>
              <w:tabs>
                <w:tab w:val="left" w:pos="2595"/>
              </w:tabs>
              <w:spacing w:after="0" w:line="240" w:lineRule="auto"/>
              <w:ind w:left="0"/>
              <w:contextualSpacing w:val="0"/>
              <w:rPr>
                <w:rFonts w:ascii="Times New Roman" w:hAnsi="Times New Roman" w:cs="Times New Roman"/>
                <w:b/>
                <w:bCs/>
                <w:sz w:val="24"/>
                <w:szCs w:val="24"/>
              </w:rPr>
            </w:pPr>
            <w:r>
              <w:rPr>
                <w:rFonts w:ascii="Times New Roman" w:hAnsi="Times New Roman" w:cs="Times New Roman"/>
                <w:b/>
                <w:bCs/>
                <w:sz w:val="24"/>
                <w:szCs w:val="24"/>
              </w:rPr>
              <w:t>% Assay (Mean ± SD)</w:t>
            </w:r>
          </w:p>
        </w:tc>
      </w:tr>
      <w:tr w:rsidR="001D04B0" w14:paraId="5963D1A1" w14:textId="77777777">
        <w:trPr>
          <w:trHeight w:val="495"/>
        </w:trPr>
        <w:tc>
          <w:tcPr>
            <w:tcW w:w="1048" w:type="dxa"/>
          </w:tcPr>
          <w:p w14:paraId="790A5B83"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DAPA</w:t>
            </w:r>
          </w:p>
        </w:tc>
        <w:tc>
          <w:tcPr>
            <w:tcW w:w="1069" w:type="dxa"/>
          </w:tcPr>
          <w:p w14:paraId="1D65B31E"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20</w:t>
            </w:r>
          </w:p>
        </w:tc>
        <w:tc>
          <w:tcPr>
            <w:tcW w:w="2314" w:type="dxa"/>
          </w:tcPr>
          <w:p w14:paraId="6195498F"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20.07 </w:t>
            </w:r>
            <w:r>
              <w:rPr>
                <w:rFonts w:ascii="Times New Roman" w:hAnsi="Times New Roman" w:cs="Times New Roman"/>
                <w:b/>
                <w:bCs/>
                <w:sz w:val="24"/>
                <w:szCs w:val="24"/>
              </w:rPr>
              <w:t xml:space="preserve">± </w:t>
            </w:r>
            <w:r>
              <w:rPr>
                <w:rFonts w:ascii="Times New Roman" w:hAnsi="Times New Roman" w:cs="Times New Roman"/>
                <w:sz w:val="24"/>
                <w:szCs w:val="24"/>
              </w:rPr>
              <w:t>0.04</w:t>
            </w:r>
          </w:p>
        </w:tc>
        <w:tc>
          <w:tcPr>
            <w:tcW w:w="5523" w:type="dxa"/>
          </w:tcPr>
          <w:p w14:paraId="3733CD9D"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100.33 ± 0.03</w:t>
            </w:r>
          </w:p>
        </w:tc>
      </w:tr>
      <w:tr w:rsidR="001D04B0" w14:paraId="4D1C69AC" w14:textId="77777777">
        <w:trPr>
          <w:trHeight w:val="506"/>
        </w:trPr>
        <w:tc>
          <w:tcPr>
            <w:tcW w:w="1048" w:type="dxa"/>
          </w:tcPr>
          <w:p w14:paraId="656E0645"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EPLE</w:t>
            </w:r>
          </w:p>
        </w:tc>
        <w:tc>
          <w:tcPr>
            <w:tcW w:w="1069" w:type="dxa"/>
          </w:tcPr>
          <w:p w14:paraId="48F37DC7"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50</w:t>
            </w:r>
          </w:p>
        </w:tc>
        <w:tc>
          <w:tcPr>
            <w:tcW w:w="2314" w:type="dxa"/>
          </w:tcPr>
          <w:p w14:paraId="402D06AC"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49.82 </w:t>
            </w:r>
            <w:r>
              <w:rPr>
                <w:rFonts w:ascii="Times New Roman" w:hAnsi="Times New Roman" w:cs="Times New Roman"/>
                <w:b/>
                <w:bCs/>
                <w:sz w:val="24"/>
                <w:szCs w:val="24"/>
              </w:rPr>
              <w:t>±</w:t>
            </w:r>
            <w:r>
              <w:rPr>
                <w:rFonts w:ascii="Times New Roman" w:hAnsi="Times New Roman" w:cs="Times New Roman"/>
                <w:sz w:val="24"/>
                <w:szCs w:val="24"/>
              </w:rPr>
              <w:t xml:space="preserve"> 0.54</w:t>
            </w:r>
          </w:p>
        </w:tc>
        <w:tc>
          <w:tcPr>
            <w:tcW w:w="5523" w:type="dxa"/>
          </w:tcPr>
          <w:p w14:paraId="1A65C3FC" w14:textId="77777777" w:rsidR="001D04B0" w:rsidRDefault="00000000">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99.65 ± 0.81</w:t>
            </w:r>
          </w:p>
        </w:tc>
      </w:tr>
    </w:tbl>
    <w:p w14:paraId="560EBE21" w14:textId="77777777" w:rsidR="001D04B0" w:rsidRDefault="001D04B0">
      <w:pPr>
        <w:spacing w:line="240" w:lineRule="auto"/>
        <w:jc w:val="both"/>
        <w:rPr>
          <w:rFonts w:ascii="Times New Roman" w:hAnsi="Times New Roman" w:cs="Times New Roman"/>
          <w:b/>
          <w:bCs/>
          <w:sz w:val="24"/>
          <w:szCs w:val="24"/>
        </w:rPr>
      </w:pPr>
    </w:p>
    <w:p w14:paraId="0EA0DF3E"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Criteria:</w:t>
      </w:r>
      <w:r>
        <w:rPr>
          <w:rFonts w:ascii="Times New Roman" w:hAnsi="Times New Roman" w:cs="Times New Roman"/>
          <w:sz w:val="24"/>
          <w:szCs w:val="24"/>
        </w:rPr>
        <w:br/>
        <w:t>The assay of pharmaceutical formulations is performed to determine the amount of active drug present in the sample. As per general acceptance criteria, the percentage assay value should lie within the range of 98% to 102% of the labelled claim.</w:t>
      </w:r>
    </w:p>
    <w:p w14:paraId="4CA10C8A"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assay of the synthetic mixture was carried out using the developed RP-HPLC method. The amount of Dapagliflozin and Eplerenone found was 20.07 ± 0.04 µg/mL and 49.82 ± 0.54 µg/mL, respectively. The corresponding percentage assay values were 100.33 ± 0.03% for Dapagliflozin and 99.65 ± 0.81% for Eplerenone.</w:t>
      </w:r>
    </w:p>
    <w:p w14:paraId="596ADAC1" w14:textId="77777777" w:rsidR="001D04B0" w:rsidRDefault="001D04B0">
      <w:pPr>
        <w:spacing w:line="240" w:lineRule="auto"/>
        <w:jc w:val="both"/>
        <w:rPr>
          <w:rFonts w:ascii="Times New Roman" w:hAnsi="Times New Roman" w:cs="Times New Roman"/>
          <w:b/>
          <w:bCs/>
          <w:sz w:val="24"/>
          <w:szCs w:val="24"/>
        </w:rPr>
      </w:pPr>
    </w:p>
    <w:p w14:paraId="73570908"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The obtained assay values for both analytes were within the acceptable limits, indicating that the method is accurate and suitable for quantitative estimation. The low standard deviation values further confirm the consistency and reliability of the method for routine analysis of Dapagliflozin and Eplerenone.</w:t>
      </w:r>
    </w:p>
    <w:p w14:paraId="6D027FD3" w14:textId="77777777" w:rsidR="001D04B0" w:rsidRDefault="00000000">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CONCLUSION</w:t>
      </w:r>
    </w:p>
    <w:p w14:paraId="13EEAEAD"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Summary of HPLC method development and validation</w:t>
      </w:r>
    </w:p>
    <w:p w14:paraId="46AFE16A"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34 Summary of HPLC method</w:t>
      </w:r>
    </w:p>
    <w:tbl>
      <w:tblPr>
        <w:tblStyle w:val="TableGrid"/>
        <w:tblW w:w="10426" w:type="dxa"/>
        <w:tblLook w:val="04A0" w:firstRow="1" w:lastRow="0" w:firstColumn="1" w:lastColumn="0" w:noHBand="0" w:noVBand="1"/>
      </w:tblPr>
      <w:tblGrid>
        <w:gridCol w:w="1970"/>
        <w:gridCol w:w="8456"/>
      </w:tblGrid>
      <w:tr w:rsidR="001D04B0" w14:paraId="0994A13C" w14:textId="77777777">
        <w:trPr>
          <w:trHeight w:val="838"/>
        </w:trPr>
        <w:tc>
          <w:tcPr>
            <w:tcW w:w="1970" w:type="dxa"/>
          </w:tcPr>
          <w:p w14:paraId="64676CAF"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Stationary Phase </w:t>
            </w:r>
          </w:p>
        </w:tc>
        <w:tc>
          <w:tcPr>
            <w:tcW w:w="8456" w:type="dxa"/>
          </w:tcPr>
          <w:p w14:paraId="6EC152DB" w14:textId="77777777" w:rsidR="001D04B0" w:rsidRDefault="00000000">
            <w:pPr>
              <w:tabs>
                <w:tab w:val="left" w:pos="2595"/>
              </w:tabs>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Cosmosil C18 (250 cm×4.6 mm, 5µm)</w:t>
            </w:r>
          </w:p>
        </w:tc>
      </w:tr>
      <w:tr w:rsidR="001D04B0" w14:paraId="16407D37" w14:textId="77777777">
        <w:trPr>
          <w:trHeight w:val="838"/>
        </w:trPr>
        <w:tc>
          <w:tcPr>
            <w:tcW w:w="1970" w:type="dxa"/>
          </w:tcPr>
          <w:p w14:paraId="25FA3013"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Mobile Phase (v/v) </w:t>
            </w:r>
          </w:p>
        </w:tc>
        <w:tc>
          <w:tcPr>
            <w:tcW w:w="8456" w:type="dxa"/>
          </w:tcPr>
          <w:p w14:paraId="0A130200"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Phosphate Buffer: Methanol (30:70%v/v)</w:t>
            </w:r>
          </w:p>
        </w:tc>
      </w:tr>
      <w:tr w:rsidR="001D04B0" w14:paraId="431E7990" w14:textId="77777777">
        <w:trPr>
          <w:trHeight w:val="440"/>
        </w:trPr>
        <w:tc>
          <w:tcPr>
            <w:tcW w:w="1970" w:type="dxa"/>
          </w:tcPr>
          <w:p w14:paraId="431057D5"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Diluent</w:t>
            </w:r>
          </w:p>
        </w:tc>
        <w:tc>
          <w:tcPr>
            <w:tcW w:w="8456" w:type="dxa"/>
          </w:tcPr>
          <w:p w14:paraId="650670B3"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Methanol</w:t>
            </w:r>
          </w:p>
        </w:tc>
      </w:tr>
      <w:tr w:rsidR="001D04B0" w14:paraId="40787999" w14:textId="77777777">
        <w:trPr>
          <w:trHeight w:val="440"/>
        </w:trPr>
        <w:tc>
          <w:tcPr>
            <w:tcW w:w="1970" w:type="dxa"/>
          </w:tcPr>
          <w:p w14:paraId="032A70CB"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Mode of elution</w:t>
            </w:r>
          </w:p>
        </w:tc>
        <w:tc>
          <w:tcPr>
            <w:tcW w:w="8456" w:type="dxa"/>
          </w:tcPr>
          <w:p w14:paraId="0E35C94E"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Isocratic</w:t>
            </w:r>
          </w:p>
        </w:tc>
      </w:tr>
      <w:tr w:rsidR="001D04B0" w14:paraId="6F10F183" w14:textId="77777777">
        <w:trPr>
          <w:trHeight w:val="838"/>
        </w:trPr>
        <w:tc>
          <w:tcPr>
            <w:tcW w:w="1970" w:type="dxa"/>
          </w:tcPr>
          <w:p w14:paraId="68DDBF44"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Flow Rate (mL/min) </w:t>
            </w:r>
          </w:p>
        </w:tc>
        <w:tc>
          <w:tcPr>
            <w:tcW w:w="8456" w:type="dxa"/>
          </w:tcPr>
          <w:p w14:paraId="1DFF87FF"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 ml/min</w:t>
            </w:r>
          </w:p>
        </w:tc>
      </w:tr>
      <w:tr w:rsidR="001D04B0" w14:paraId="059E6341" w14:textId="77777777">
        <w:trPr>
          <w:trHeight w:val="838"/>
        </w:trPr>
        <w:tc>
          <w:tcPr>
            <w:tcW w:w="1970" w:type="dxa"/>
          </w:tcPr>
          <w:p w14:paraId="780E3169"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Detection Wavelength (nm)</w:t>
            </w:r>
          </w:p>
        </w:tc>
        <w:tc>
          <w:tcPr>
            <w:tcW w:w="8456" w:type="dxa"/>
          </w:tcPr>
          <w:p w14:paraId="538A8F0A"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228 nm</w:t>
            </w:r>
          </w:p>
        </w:tc>
      </w:tr>
      <w:tr w:rsidR="001D04B0" w14:paraId="3C5D7F9B" w14:textId="77777777">
        <w:trPr>
          <w:trHeight w:val="838"/>
        </w:trPr>
        <w:tc>
          <w:tcPr>
            <w:tcW w:w="1970" w:type="dxa"/>
          </w:tcPr>
          <w:p w14:paraId="28526851"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Column Temperature </w:t>
            </w:r>
          </w:p>
        </w:tc>
        <w:tc>
          <w:tcPr>
            <w:tcW w:w="8456" w:type="dxa"/>
          </w:tcPr>
          <w:p w14:paraId="7C78ABA3"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 °C</w:t>
            </w:r>
          </w:p>
        </w:tc>
      </w:tr>
      <w:tr w:rsidR="001D04B0" w14:paraId="25EBFF05" w14:textId="77777777">
        <w:trPr>
          <w:trHeight w:val="838"/>
        </w:trPr>
        <w:tc>
          <w:tcPr>
            <w:tcW w:w="1970" w:type="dxa"/>
          </w:tcPr>
          <w:p w14:paraId="69F52CA8"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Injection Volume (µL) </w:t>
            </w:r>
          </w:p>
        </w:tc>
        <w:tc>
          <w:tcPr>
            <w:tcW w:w="8456" w:type="dxa"/>
          </w:tcPr>
          <w:p w14:paraId="7DBF1094"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 µL</w:t>
            </w:r>
          </w:p>
        </w:tc>
      </w:tr>
      <w:tr w:rsidR="001D04B0" w14:paraId="020DBE2D" w14:textId="77777777">
        <w:trPr>
          <w:trHeight w:val="440"/>
        </w:trPr>
        <w:tc>
          <w:tcPr>
            <w:tcW w:w="1970" w:type="dxa"/>
          </w:tcPr>
          <w:p w14:paraId="69A32307"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Run Time (minutes) </w:t>
            </w:r>
          </w:p>
        </w:tc>
        <w:tc>
          <w:tcPr>
            <w:tcW w:w="8456" w:type="dxa"/>
          </w:tcPr>
          <w:p w14:paraId="3283B6EF"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 min</w:t>
            </w:r>
          </w:p>
        </w:tc>
      </w:tr>
      <w:tr w:rsidR="001D04B0" w14:paraId="3399318A" w14:textId="77777777">
        <w:trPr>
          <w:trHeight w:val="848"/>
        </w:trPr>
        <w:tc>
          <w:tcPr>
            <w:tcW w:w="1970" w:type="dxa"/>
          </w:tcPr>
          <w:p w14:paraId="64458589"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Retention time (minutes)</w:t>
            </w:r>
          </w:p>
        </w:tc>
        <w:tc>
          <w:tcPr>
            <w:tcW w:w="8456" w:type="dxa"/>
          </w:tcPr>
          <w:p w14:paraId="5A20B3A9" w14:textId="77777777" w:rsidR="001D04B0" w:rsidRDefault="00000000">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DAPA- 6.2 min, EPLE- 2.6 min</w:t>
            </w:r>
          </w:p>
        </w:tc>
      </w:tr>
    </w:tbl>
    <w:p w14:paraId="170E3821" w14:textId="77777777" w:rsidR="001D04B0" w:rsidRDefault="001D04B0">
      <w:pPr>
        <w:spacing w:line="240" w:lineRule="auto"/>
        <w:ind w:left="567" w:hanging="567"/>
        <w:jc w:val="both"/>
        <w:rPr>
          <w:rFonts w:ascii="Times New Roman" w:hAnsi="Times New Roman" w:cs="Times New Roman"/>
          <w:b/>
          <w:bCs/>
          <w:sz w:val="24"/>
          <w:szCs w:val="24"/>
        </w:rPr>
      </w:pPr>
    </w:p>
    <w:p w14:paraId="178BF7EC"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35 Summary of Validation parameters</w:t>
      </w:r>
    </w:p>
    <w:tbl>
      <w:tblPr>
        <w:tblStyle w:val="TableGrid"/>
        <w:tblW w:w="10753" w:type="dxa"/>
        <w:tblLook w:val="04A0" w:firstRow="1" w:lastRow="0" w:firstColumn="1" w:lastColumn="0" w:noHBand="0" w:noVBand="1"/>
      </w:tblPr>
      <w:tblGrid>
        <w:gridCol w:w="1820"/>
        <w:gridCol w:w="1919"/>
        <w:gridCol w:w="7014"/>
      </w:tblGrid>
      <w:tr w:rsidR="001D04B0" w14:paraId="547DBC6A" w14:textId="77777777">
        <w:trPr>
          <w:trHeight w:val="576"/>
        </w:trPr>
        <w:tc>
          <w:tcPr>
            <w:tcW w:w="1820" w:type="dxa"/>
          </w:tcPr>
          <w:p w14:paraId="6FB2D978" w14:textId="77777777" w:rsidR="001D04B0" w:rsidRDefault="00000000">
            <w:pPr>
              <w:tabs>
                <w:tab w:val="left" w:pos="294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Parameter</w:t>
            </w:r>
          </w:p>
        </w:tc>
        <w:tc>
          <w:tcPr>
            <w:tcW w:w="1919" w:type="dxa"/>
          </w:tcPr>
          <w:p w14:paraId="3B4DCE66" w14:textId="77777777" w:rsidR="001D04B0" w:rsidRDefault="00000000">
            <w:pPr>
              <w:tabs>
                <w:tab w:val="left" w:pos="2940"/>
              </w:tabs>
              <w:spacing w:line="240" w:lineRule="auto"/>
              <w:ind w:left="12" w:hanging="12"/>
              <w:jc w:val="center"/>
              <w:rPr>
                <w:rFonts w:ascii="Times New Roman" w:hAnsi="Times New Roman" w:cs="Times New Roman"/>
                <w:b/>
                <w:bCs/>
                <w:sz w:val="24"/>
                <w:szCs w:val="24"/>
              </w:rPr>
            </w:pPr>
            <w:r>
              <w:rPr>
                <w:rFonts w:ascii="Times New Roman" w:hAnsi="Times New Roman" w:cs="Times New Roman"/>
                <w:b/>
                <w:bCs/>
                <w:sz w:val="24"/>
                <w:szCs w:val="24"/>
                <w:lang w:val="en-US"/>
              </w:rPr>
              <w:t>Dapagliflozin</w:t>
            </w:r>
          </w:p>
        </w:tc>
        <w:tc>
          <w:tcPr>
            <w:tcW w:w="7014" w:type="dxa"/>
          </w:tcPr>
          <w:p w14:paraId="32F3F7FF" w14:textId="77777777" w:rsidR="001D04B0" w:rsidRDefault="00000000">
            <w:pPr>
              <w:tabs>
                <w:tab w:val="left" w:pos="2940"/>
              </w:tabs>
              <w:spacing w:line="240" w:lineRule="auto"/>
              <w:ind w:left="33" w:hanging="33"/>
              <w:jc w:val="center"/>
              <w:rPr>
                <w:rFonts w:ascii="Times New Roman" w:hAnsi="Times New Roman" w:cs="Times New Roman"/>
                <w:b/>
                <w:bCs/>
                <w:sz w:val="24"/>
                <w:szCs w:val="24"/>
              </w:rPr>
            </w:pPr>
            <w:r>
              <w:rPr>
                <w:rFonts w:ascii="Times New Roman" w:hAnsi="Times New Roman" w:cs="Times New Roman"/>
                <w:b/>
                <w:bCs/>
                <w:sz w:val="24"/>
                <w:szCs w:val="24"/>
                <w:lang w:val="en-US"/>
              </w:rPr>
              <w:t>Eplerenone</w:t>
            </w:r>
          </w:p>
        </w:tc>
      </w:tr>
      <w:tr w:rsidR="001D04B0" w14:paraId="65E064C1" w14:textId="77777777">
        <w:trPr>
          <w:trHeight w:val="984"/>
        </w:trPr>
        <w:tc>
          <w:tcPr>
            <w:tcW w:w="1820" w:type="dxa"/>
          </w:tcPr>
          <w:p w14:paraId="76B212FC" w14:textId="77777777" w:rsidR="001D04B0" w:rsidRDefault="00000000">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System suitability (Mean± % RSD)</w:t>
            </w:r>
          </w:p>
        </w:tc>
        <w:tc>
          <w:tcPr>
            <w:tcW w:w="1919" w:type="dxa"/>
          </w:tcPr>
          <w:p w14:paraId="288F3DA4" w14:textId="77777777" w:rsidR="001D04B0" w:rsidRDefault="00000000">
            <w:pPr>
              <w:pStyle w:val="Default"/>
              <w:jc w:val="center"/>
            </w:pPr>
            <w:r>
              <w:t xml:space="preserve">111676.80 ± 15.07 </w:t>
            </w:r>
          </w:p>
          <w:p w14:paraId="1A3C8C3B" w14:textId="77777777" w:rsidR="001D04B0" w:rsidRDefault="001D04B0">
            <w:pPr>
              <w:tabs>
                <w:tab w:val="left" w:pos="2940"/>
              </w:tabs>
              <w:spacing w:line="240" w:lineRule="auto"/>
              <w:ind w:left="567" w:hanging="567"/>
              <w:jc w:val="center"/>
              <w:rPr>
                <w:rFonts w:ascii="Times New Roman" w:hAnsi="Times New Roman" w:cs="Times New Roman"/>
                <w:sz w:val="24"/>
                <w:szCs w:val="24"/>
              </w:rPr>
            </w:pPr>
          </w:p>
        </w:tc>
        <w:tc>
          <w:tcPr>
            <w:tcW w:w="7014" w:type="dxa"/>
          </w:tcPr>
          <w:p w14:paraId="1FDC6A22"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134361.80 ± 19.24</w:t>
            </w:r>
          </w:p>
        </w:tc>
      </w:tr>
      <w:tr w:rsidR="001D04B0" w14:paraId="7C8873A1" w14:textId="77777777">
        <w:trPr>
          <w:trHeight w:val="984"/>
        </w:trPr>
        <w:tc>
          <w:tcPr>
            <w:tcW w:w="1820" w:type="dxa"/>
          </w:tcPr>
          <w:p w14:paraId="6C86281D" w14:textId="77777777" w:rsidR="001D04B0" w:rsidRDefault="00000000">
            <w:pPr>
              <w:tabs>
                <w:tab w:val="left" w:pos="294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Linearity &amp; Range (n=3)</w:t>
            </w:r>
          </w:p>
        </w:tc>
        <w:tc>
          <w:tcPr>
            <w:tcW w:w="1919" w:type="dxa"/>
          </w:tcPr>
          <w:p w14:paraId="71BDBEDE"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10-30 ppm</w:t>
            </w:r>
          </w:p>
        </w:tc>
        <w:tc>
          <w:tcPr>
            <w:tcW w:w="7014" w:type="dxa"/>
          </w:tcPr>
          <w:p w14:paraId="17503EDD"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25-75 ppm</w:t>
            </w:r>
          </w:p>
        </w:tc>
      </w:tr>
      <w:tr w:rsidR="001D04B0" w14:paraId="471932F2" w14:textId="77777777">
        <w:trPr>
          <w:trHeight w:val="984"/>
        </w:trPr>
        <w:tc>
          <w:tcPr>
            <w:tcW w:w="1820" w:type="dxa"/>
          </w:tcPr>
          <w:p w14:paraId="19C8F568" w14:textId="77777777" w:rsidR="001D04B0" w:rsidRDefault="00000000">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Correlation coefficient (R</w:t>
            </w:r>
            <w:r>
              <w:rPr>
                <w:rFonts w:ascii="Times New Roman" w:hAnsi="Times New Roman" w:cs="Times New Roman"/>
                <w:b/>
                <w:bCs/>
                <w:sz w:val="24"/>
                <w:szCs w:val="24"/>
                <w:vertAlign w:val="superscript"/>
                <w:lang w:val="en-US"/>
              </w:rPr>
              <w:t>2</w:t>
            </w:r>
            <w:r>
              <w:rPr>
                <w:rFonts w:ascii="Times New Roman" w:hAnsi="Times New Roman" w:cs="Times New Roman"/>
                <w:b/>
                <w:bCs/>
                <w:sz w:val="24"/>
                <w:szCs w:val="24"/>
                <w:lang w:val="en-US"/>
              </w:rPr>
              <w:t>)</w:t>
            </w:r>
          </w:p>
        </w:tc>
        <w:tc>
          <w:tcPr>
            <w:tcW w:w="1919" w:type="dxa"/>
          </w:tcPr>
          <w:p w14:paraId="4D7B4B75"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0.9996</w:t>
            </w:r>
          </w:p>
        </w:tc>
        <w:tc>
          <w:tcPr>
            <w:tcW w:w="7014" w:type="dxa"/>
          </w:tcPr>
          <w:p w14:paraId="0E0A9595"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0.9988</w:t>
            </w:r>
          </w:p>
        </w:tc>
      </w:tr>
      <w:tr w:rsidR="001D04B0" w14:paraId="46C8EB2A" w14:textId="77777777">
        <w:trPr>
          <w:trHeight w:val="984"/>
        </w:trPr>
        <w:tc>
          <w:tcPr>
            <w:tcW w:w="1820" w:type="dxa"/>
          </w:tcPr>
          <w:p w14:paraId="2CC44223" w14:textId="77777777" w:rsidR="001D04B0" w:rsidRDefault="00000000">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Intra-day precision (% RSD)</w:t>
            </w:r>
          </w:p>
        </w:tc>
        <w:tc>
          <w:tcPr>
            <w:tcW w:w="1919" w:type="dxa"/>
          </w:tcPr>
          <w:p w14:paraId="0029F27D"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0.16-0.49</w:t>
            </w:r>
          </w:p>
        </w:tc>
        <w:tc>
          <w:tcPr>
            <w:tcW w:w="7014" w:type="dxa"/>
          </w:tcPr>
          <w:p w14:paraId="64485A9B"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0.14-0.37</w:t>
            </w:r>
          </w:p>
        </w:tc>
      </w:tr>
      <w:tr w:rsidR="001D04B0" w14:paraId="5D531CEF" w14:textId="77777777">
        <w:trPr>
          <w:trHeight w:val="984"/>
        </w:trPr>
        <w:tc>
          <w:tcPr>
            <w:tcW w:w="1820" w:type="dxa"/>
          </w:tcPr>
          <w:p w14:paraId="24F27FFA" w14:textId="77777777" w:rsidR="001D04B0" w:rsidRDefault="00000000">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Inter-day Precision (% RSD)</w:t>
            </w:r>
          </w:p>
        </w:tc>
        <w:tc>
          <w:tcPr>
            <w:tcW w:w="1919" w:type="dxa"/>
          </w:tcPr>
          <w:p w14:paraId="06246BDF"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0.42-0.73</w:t>
            </w:r>
          </w:p>
        </w:tc>
        <w:tc>
          <w:tcPr>
            <w:tcW w:w="7014" w:type="dxa"/>
          </w:tcPr>
          <w:p w14:paraId="3E4AF984" w14:textId="77777777" w:rsidR="001D04B0" w:rsidRDefault="00000000">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0.39-0.60</w:t>
            </w:r>
          </w:p>
        </w:tc>
      </w:tr>
      <w:tr w:rsidR="001D04B0" w14:paraId="25BA93B0" w14:textId="77777777">
        <w:trPr>
          <w:trHeight w:val="418"/>
        </w:trPr>
        <w:tc>
          <w:tcPr>
            <w:tcW w:w="1820" w:type="dxa"/>
          </w:tcPr>
          <w:p w14:paraId="5889F0D0" w14:textId="77777777" w:rsidR="001D04B0" w:rsidRDefault="00000000">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Repeatability (% RSD)</w:t>
            </w:r>
          </w:p>
        </w:tc>
        <w:tc>
          <w:tcPr>
            <w:tcW w:w="1919" w:type="dxa"/>
          </w:tcPr>
          <w:p w14:paraId="3EE83C4C"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0.29</w:t>
            </w:r>
          </w:p>
        </w:tc>
        <w:tc>
          <w:tcPr>
            <w:tcW w:w="7014" w:type="dxa"/>
          </w:tcPr>
          <w:p w14:paraId="6E5DF630"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0.37</w:t>
            </w:r>
          </w:p>
        </w:tc>
      </w:tr>
      <w:tr w:rsidR="001D04B0" w14:paraId="3F1FE6DA" w14:textId="77777777">
        <w:trPr>
          <w:trHeight w:val="1235"/>
        </w:trPr>
        <w:tc>
          <w:tcPr>
            <w:tcW w:w="1820" w:type="dxa"/>
          </w:tcPr>
          <w:p w14:paraId="01C09158" w14:textId="77777777" w:rsidR="001D04B0" w:rsidRDefault="00000000">
            <w:pPr>
              <w:tabs>
                <w:tab w:val="left" w:pos="2940"/>
              </w:tabs>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Accuracy (% Mean recovery ± SD)</w:t>
            </w:r>
          </w:p>
        </w:tc>
        <w:tc>
          <w:tcPr>
            <w:tcW w:w="1919" w:type="dxa"/>
          </w:tcPr>
          <w:p w14:paraId="53949E9B" w14:textId="77777777" w:rsidR="001D04B0" w:rsidRDefault="00000000">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99.995 ± 0.009</w:t>
            </w:r>
          </w:p>
          <w:p w14:paraId="07957EA6" w14:textId="77777777" w:rsidR="001D04B0" w:rsidRDefault="00000000">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99.997 ± 0.004</w:t>
            </w:r>
          </w:p>
          <w:p w14:paraId="0D2864B9" w14:textId="77777777" w:rsidR="001D04B0" w:rsidRDefault="00000000">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100.00 ± 0.002</w:t>
            </w:r>
          </w:p>
        </w:tc>
        <w:tc>
          <w:tcPr>
            <w:tcW w:w="7014" w:type="dxa"/>
          </w:tcPr>
          <w:p w14:paraId="61ACCC72" w14:textId="77777777" w:rsidR="001D04B0" w:rsidRDefault="00000000">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99.996 </w:t>
            </w:r>
            <w:r>
              <w:rPr>
                <w:rFonts w:ascii="Times New Roman" w:hAnsi="Times New Roman" w:cs="Times New Roman"/>
                <w:sz w:val="24"/>
                <w:szCs w:val="24"/>
                <w:lang w:val="en-US"/>
              </w:rPr>
              <w:t>± 0.007</w:t>
            </w:r>
          </w:p>
          <w:p w14:paraId="3D2C16F1" w14:textId="77777777" w:rsidR="001D04B0" w:rsidRDefault="00000000">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99.990 </w:t>
            </w:r>
            <w:r>
              <w:rPr>
                <w:rFonts w:ascii="Times New Roman" w:hAnsi="Times New Roman" w:cs="Times New Roman"/>
                <w:sz w:val="24"/>
                <w:szCs w:val="24"/>
                <w:lang w:val="en-US"/>
              </w:rPr>
              <w:t>± 0.008</w:t>
            </w:r>
          </w:p>
          <w:p w14:paraId="5F78FA1C" w14:textId="77777777" w:rsidR="001D04B0" w:rsidRDefault="00000000">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99.997 </w:t>
            </w:r>
            <w:r>
              <w:rPr>
                <w:rFonts w:ascii="Times New Roman" w:hAnsi="Times New Roman" w:cs="Times New Roman"/>
                <w:sz w:val="24"/>
                <w:szCs w:val="24"/>
                <w:lang w:val="en-US"/>
              </w:rPr>
              <w:t>± 0.008</w:t>
            </w:r>
          </w:p>
        </w:tc>
      </w:tr>
      <w:tr w:rsidR="001D04B0" w14:paraId="13AF09D7" w14:textId="77777777">
        <w:trPr>
          <w:trHeight w:val="826"/>
        </w:trPr>
        <w:tc>
          <w:tcPr>
            <w:tcW w:w="1820" w:type="dxa"/>
          </w:tcPr>
          <w:p w14:paraId="45E81B80" w14:textId="77777777" w:rsidR="001D04B0" w:rsidRDefault="00000000">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Robustness</w:t>
            </w:r>
          </w:p>
        </w:tc>
        <w:tc>
          <w:tcPr>
            <w:tcW w:w="1919" w:type="dxa"/>
          </w:tcPr>
          <w:p w14:paraId="7473E353" w14:textId="77777777" w:rsidR="001D04B0" w:rsidRDefault="00000000">
            <w:pPr>
              <w:tabs>
                <w:tab w:val="left" w:pos="2940"/>
              </w:tabs>
              <w:spacing w:after="0" w:line="240" w:lineRule="auto"/>
              <w:ind w:left="12" w:hanging="12"/>
              <w:jc w:val="center"/>
              <w:rPr>
                <w:rFonts w:ascii="Times New Roman" w:hAnsi="Times New Roman" w:cs="Times New Roman"/>
                <w:sz w:val="24"/>
                <w:szCs w:val="24"/>
                <w:lang w:val="en-US"/>
              </w:rPr>
            </w:pPr>
            <w:r>
              <w:rPr>
                <w:rFonts w:ascii="Times New Roman" w:hAnsi="Times New Roman" w:cs="Times New Roman"/>
                <w:sz w:val="24"/>
                <w:szCs w:val="24"/>
                <w:lang w:val="en-US"/>
              </w:rPr>
              <w:t>% RSD &lt; 2 for all parameters</w:t>
            </w:r>
          </w:p>
        </w:tc>
        <w:tc>
          <w:tcPr>
            <w:tcW w:w="7014" w:type="dxa"/>
          </w:tcPr>
          <w:p w14:paraId="1CE4E196"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 RSD &lt; 2 for all parameters</w:t>
            </w:r>
          </w:p>
        </w:tc>
      </w:tr>
      <w:tr w:rsidR="001D04B0" w14:paraId="58868731" w14:textId="77777777">
        <w:trPr>
          <w:trHeight w:val="418"/>
        </w:trPr>
        <w:tc>
          <w:tcPr>
            <w:tcW w:w="1820" w:type="dxa"/>
          </w:tcPr>
          <w:p w14:paraId="3D19487C" w14:textId="77777777" w:rsidR="001D04B0" w:rsidRDefault="00000000">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LOD</w:t>
            </w:r>
          </w:p>
        </w:tc>
        <w:tc>
          <w:tcPr>
            <w:tcW w:w="1919" w:type="dxa"/>
          </w:tcPr>
          <w:p w14:paraId="0DFE8C8D"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0.034</w:t>
            </w:r>
          </w:p>
        </w:tc>
        <w:tc>
          <w:tcPr>
            <w:tcW w:w="7014" w:type="dxa"/>
          </w:tcPr>
          <w:p w14:paraId="7962A5FB"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0.080</w:t>
            </w:r>
          </w:p>
        </w:tc>
      </w:tr>
      <w:tr w:rsidR="001D04B0" w14:paraId="5653EF60" w14:textId="77777777">
        <w:trPr>
          <w:trHeight w:val="418"/>
        </w:trPr>
        <w:tc>
          <w:tcPr>
            <w:tcW w:w="1820" w:type="dxa"/>
          </w:tcPr>
          <w:p w14:paraId="3BFD4A21" w14:textId="77777777" w:rsidR="001D04B0" w:rsidRDefault="00000000">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LOQ</w:t>
            </w:r>
          </w:p>
        </w:tc>
        <w:tc>
          <w:tcPr>
            <w:tcW w:w="1919" w:type="dxa"/>
          </w:tcPr>
          <w:p w14:paraId="7F1199F8"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0.104</w:t>
            </w:r>
          </w:p>
        </w:tc>
        <w:tc>
          <w:tcPr>
            <w:tcW w:w="7014" w:type="dxa"/>
          </w:tcPr>
          <w:p w14:paraId="614CB1F5"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0.243</w:t>
            </w:r>
          </w:p>
        </w:tc>
      </w:tr>
      <w:tr w:rsidR="001D04B0" w14:paraId="4F161042" w14:textId="77777777">
        <w:trPr>
          <w:trHeight w:val="428"/>
        </w:trPr>
        <w:tc>
          <w:tcPr>
            <w:tcW w:w="1820" w:type="dxa"/>
          </w:tcPr>
          <w:p w14:paraId="6D131AE0" w14:textId="77777777" w:rsidR="001D04B0" w:rsidRDefault="00000000">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Assay</w:t>
            </w:r>
          </w:p>
        </w:tc>
        <w:tc>
          <w:tcPr>
            <w:tcW w:w="1919" w:type="dxa"/>
          </w:tcPr>
          <w:p w14:paraId="10FAFDE3"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100.33 ± 0.03</w:t>
            </w:r>
          </w:p>
        </w:tc>
        <w:tc>
          <w:tcPr>
            <w:tcW w:w="7014" w:type="dxa"/>
          </w:tcPr>
          <w:p w14:paraId="07EAA058" w14:textId="77777777" w:rsidR="001D04B0" w:rsidRDefault="00000000">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99.65 ± 0.81</w:t>
            </w:r>
          </w:p>
        </w:tc>
      </w:tr>
    </w:tbl>
    <w:p w14:paraId="1C7A87F9" w14:textId="77777777" w:rsidR="001D04B0" w:rsidRDefault="001D04B0">
      <w:pPr>
        <w:spacing w:line="240" w:lineRule="auto"/>
        <w:ind w:left="567" w:hanging="567"/>
        <w:jc w:val="center"/>
        <w:rPr>
          <w:rFonts w:ascii="Times New Roman" w:hAnsi="Times New Roman" w:cs="Times New Roman"/>
          <w:b/>
          <w:bCs/>
          <w:sz w:val="24"/>
          <w:szCs w:val="24"/>
        </w:rPr>
      </w:pPr>
    </w:p>
    <w:p w14:paraId="23BF26B0" w14:textId="77777777" w:rsidR="001D04B0" w:rsidRDefault="001D04B0">
      <w:pPr>
        <w:spacing w:line="240" w:lineRule="auto"/>
        <w:ind w:left="567" w:hanging="567"/>
        <w:jc w:val="both"/>
        <w:rPr>
          <w:rFonts w:ascii="Times New Roman" w:hAnsi="Times New Roman" w:cs="Times New Roman"/>
          <w:b/>
          <w:bCs/>
          <w:sz w:val="24"/>
          <w:szCs w:val="24"/>
        </w:rPr>
      </w:pPr>
    </w:p>
    <w:p w14:paraId="773BEF7F"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36 Summary of Forced Degradation Studies</w:t>
      </w:r>
    </w:p>
    <w:tbl>
      <w:tblPr>
        <w:tblStyle w:val="TableGrid"/>
        <w:tblW w:w="10753" w:type="dxa"/>
        <w:tblLook w:val="04A0" w:firstRow="1" w:lastRow="0" w:firstColumn="1" w:lastColumn="0" w:noHBand="0" w:noVBand="1"/>
      </w:tblPr>
      <w:tblGrid>
        <w:gridCol w:w="1244"/>
        <w:gridCol w:w="1364"/>
        <w:gridCol w:w="936"/>
        <w:gridCol w:w="936"/>
        <w:gridCol w:w="1496"/>
        <w:gridCol w:w="4777"/>
      </w:tblGrid>
      <w:tr w:rsidR="001D04B0" w14:paraId="7BB8E474" w14:textId="77777777">
        <w:trPr>
          <w:trHeight w:val="960"/>
        </w:trPr>
        <w:tc>
          <w:tcPr>
            <w:tcW w:w="1244" w:type="dxa"/>
          </w:tcPr>
          <w:p w14:paraId="515FD8D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Stress Condition</w:t>
            </w:r>
          </w:p>
        </w:tc>
        <w:tc>
          <w:tcPr>
            <w:tcW w:w="1364" w:type="dxa"/>
          </w:tcPr>
          <w:p w14:paraId="650F8EB1"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Compound</w:t>
            </w:r>
          </w:p>
        </w:tc>
        <w:tc>
          <w:tcPr>
            <w:tcW w:w="936" w:type="dxa"/>
          </w:tcPr>
          <w:p w14:paraId="20E2188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Std. Area</w:t>
            </w:r>
          </w:p>
        </w:tc>
        <w:tc>
          <w:tcPr>
            <w:tcW w:w="936" w:type="dxa"/>
          </w:tcPr>
          <w:p w14:paraId="1CD3F964"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Obs. Area</w:t>
            </w:r>
          </w:p>
        </w:tc>
        <w:tc>
          <w:tcPr>
            <w:tcW w:w="1496" w:type="dxa"/>
          </w:tcPr>
          <w:p w14:paraId="0B133EF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 Degradation</w:t>
            </w:r>
          </w:p>
        </w:tc>
        <w:tc>
          <w:tcPr>
            <w:tcW w:w="4777" w:type="dxa"/>
          </w:tcPr>
          <w:p w14:paraId="7C62F75F" w14:textId="77777777" w:rsidR="001D04B0"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Remarks</w:t>
            </w:r>
          </w:p>
        </w:tc>
      </w:tr>
      <w:tr w:rsidR="001D04B0" w14:paraId="2981F9C4" w14:textId="77777777">
        <w:trPr>
          <w:trHeight w:val="806"/>
        </w:trPr>
        <w:tc>
          <w:tcPr>
            <w:tcW w:w="1244" w:type="dxa"/>
          </w:tcPr>
          <w:p w14:paraId="7F213A8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Acid</w:t>
            </w:r>
          </w:p>
        </w:tc>
        <w:tc>
          <w:tcPr>
            <w:tcW w:w="1364" w:type="dxa"/>
          </w:tcPr>
          <w:p w14:paraId="38CF987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0F1939C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111682</w:t>
            </w:r>
          </w:p>
        </w:tc>
        <w:tc>
          <w:tcPr>
            <w:tcW w:w="936" w:type="dxa"/>
          </w:tcPr>
          <w:p w14:paraId="55CAE06F"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105151</w:t>
            </w:r>
          </w:p>
        </w:tc>
        <w:tc>
          <w:tcPr>
            <w:tcW w:w="1496" w:type="dxa"/>
          </w:tcPr>
          <w:p w14:paraId="6310EB4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5.848</w:t>
            </w:r>
          </w:p>
        </w:tc>
        <w:tc>
          <w:tcPr>
            <w:tcW w:w="4777" w:type="dxa"/>
          </w:tcPr>
          <w:p w14:paraId="1B1FAECF"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interference</w:t>
            </w:r>
          </w:p>
        </w:tc>
      </w:tr>
      <w:tr w:rsidR="001D04B0" w14:paraId="5170F496" w14:textId="77777777">
        <w:trPr>
          <w:trHeight w:val="806"/>
        </w:trPr>
        <w:tc>
          <w:tcPr>
            <w:tcW w:w="1244" w:type="dxa"/>
          </w:tcPr>
          <w:p w14:paraId="7A57A160" w14:textId="77777777" w:rsidR="001D04B0" w:rsidRDefault="001D04B0">
            <w:pPr>
              <w:spacing w:line="240" w:lineRule="auto"/>
              <w:jc w:val="center"/>
              <w:rPr>
                <w:rFonts w:ascii="Times New Roman" w:hAnsi="Times New Roman" w:cs="Times New Roman"/>
                <w:sz w:val="24"/>
                <w:szCs w:val="24"/>
              </w:rPr>
            </w:pPr>
          </w:p>
        </w:tc>
        <w:tc>
          <w:tcPr>
            <w:tcW w:w="1364" w:type="dxa"/>
          </w:tcPr>
          <w:p w14:paraId="0ED6E38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64E36B1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134350</w:t>
            </w:r>
          </w:p>
        </w:tc>
        <w:tc>
          <w:tcPr>
            <w:tcW w:w="936" w:type="dxa"/>
          </w:tcPr>
          <w:p w14:paraId="038F276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111923</w:t>
            </w:r>
          </w:p>
        </w:tc>
        <w:tc>
          <w:tcPr>
            <w:tcW w:w="1496" w:type="dxa"/>
          </w:tcPr>
          <w:p w14:paraId="25E80F3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16.693</w:t>
            </w:r>
          </w:p>
        </w:tc>
        <w:tc>
          <w:tcPr>
            <w:tcW w:w="4777" w:type="dxa"/>
          </w:tcPr>
          <w:p w14:paraId="529C4E34"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Significant degradation</w:t>
            </w:r>
          </w:p>
        </w:tc>
      </w:tr>
      <w:tr w:rsidR="001D04B0" w14:paraId="31AFE76C" w14:textId="77777777">
        <w:trPr>
          <w:trHeight w:val="562"/>
        </w:trPr>
        <w:tc>
          <w:tcPr>
            <w:tcW w:w="1244" w:type="dxa"/>
          </w:tcPr>
          <w:p w14:paraId="7563F43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Base</w:t>
            </w:r>
          </w:p>
        </w:tc>
        <w:tc>
          <w:tcPr>
            <w:tcW w:w="1364" w:type="dxa"/>
          </w:tcPr>
          <w:p w14:paraId="169C8DA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0EF388B4"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111478</w:t>
            </w:r>
          </w:p>
        </w:tc>
        <w:tc>
          <w:tcPr>
            <w:tcW w:w="936" w:type="dxa"/>
          </w:tcPr>
          <w:p w14:paraId="2FD021F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100512</w:t>
            </w:r>
          </w:p>
        </w:tc>
        <w:tc>
          <w:tcPr>
            <w:tcW w:w="1496" w:type="dxa"/>
          </w:tcPr>
          <w:p w14:paraId="5EB463B0"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9.837</w:t>
            </w:r>
          </w:p>
        </w:tc>
        <w:tc>
          <w:tcPr>
            <w:tcW w:w="4777" w:type="dxa"/>
          </w:tcPr>
          <w:p w14:paraId="4961380B"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 degradation</w:t>
            </w:r>
          </w:p>
        </w:tc>
      </w:tr>
      <w:tr w:rsidR="001D04B0" w14:paraId="5EB46BF7" w14:textId="77777777">
        <w:trPr>
          <w:trHeight w:val="562"/>
        </w:trPr>
        <w:tc>
          <w:tcPr>
            <w:tcW w:w="1244" w:type="dxa"/>
          </w:tcPr>
          <w:p w14:paraId="444DE384" w14:textId="77777777" w:rsidR="001D04B0" w:rsidRDefault="001D04B0">
            <w:pPr>
              <w:spacing w:line="240" w:lineRule="auto"/>
              <w:jc w:val="center"/>
              <w:rPr>
                <w:rFonts w:ascii="Times New Roman" w:hAnsi="Times New Roman" w:cs="Times New Roman"/>
                <w:sz w:val="24"/>
                <w:szCs w:val="24"/>
              </w:rPr>
            </w:pPr>
          </w:p>
        </w:tc>
        <w:tc>
          <w:tcPr>
            <w:tcW w:w="1364" w:type="dxa"/>
          </w:tcPr>
          <w:p w14:paraId="7B1E0B2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4A9ECCF4"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134478</w:t>
            </w:r>
          </w:p>
        </w:tc>
        <w:tc>
          <w:tcPr>
            <w:tcW w:w="936" w:type="dxa"/>
          </w:tcPr>
          <w:p w14:paraId="49299B2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126429</w:t>
            </w:r>
          </w:p>
        </w:tc>
        <w:tc>
          <w:tcPr>
            <w:tcW w:w="1496" w:type="dxa"/>
          </w:tcPr>
          <w:p w14:paraId="5C324AA9"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5.985</w:t>
            </w:r>
          </w:p>
        </w:tc>
        <w:tc>
          <w:tcPr>
            <w:tcW w:w="4777" w:type="dxa"/>
          </w:tcPr>
          <w:p w14:paraId="10671C46"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r w:rsidR="001D04B0" w14:paraId="52B629FB" w14:textId="77777777">
        <w:trPr>
          <w:trHeight w:val="806"/>
        </w:trPr>
        <w:tc>
          <w:tcPr>
            <w:tcW w:w="1244" w:type="dxa"/>
          </w:tcPr>
          <w:p w14:paraId="4A9EC7F5"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Oxidative</w:t>
            </w:r>
          </w:p>
        </w:tc>
        <w:tc>
          <w:tcPr>
            <w:tcW w:w="1364" w:type="dxa"/>
          </w:tcPr>
          <w:p w14:paraId="4869EB0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226B44E4"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111528</w:t>
            </w:r>
          </w:p>
        </w:tc>
        <w:tc>
          <w:tcPr>
            <w:tcW w:w="936" w:type="dxa"/>
          </w:tcPr>
          <w:p w14:paraId="083E9947"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101051</w:t>
            </w:r>
          </w:p>
        </w:tc>
        <w:tc>
          <w:tcPr>
            <w:tcW w:w="1496" w:type="dxa"/>
          </w:tcPr>
          <w:p w14:paraId="648ADFFB"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9.394</w:t>
            </w:r>
          </w:p>
        </w:tc>
        <w:tc>
          <w:tcPr>
            <w:tcW w:w="4777" w:type="dxa"/>
          </w:tcPr>
          <w:p w14:paraId="3EBF79F3"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 degradation</w:t>
            </w:r>
          </w:p>
        </w:tc>
      </w:tr>
      <w:tr w:rsidR="001D04B0" w14:paraId="07BD4CCF" w14:textId="77777777">
        <w:trPr>
          <w:trHeight w:val="562"/>
        </w:trPr>
        <w:tc>
          <w:tcPr>
            <w:tcW w:w="1244" w:type="dxa"/>
          </w:tcPr>
          <w:p w14:paraId="31755FB2" w14:textId="77777777" w:rsidR="001D04B0" w:rsidRDefault="001D04B0">
            <w:pPr>
              <w:spacing w:line="240" w:lineRule="auto"/>
              <w:jc w:val="center"/>
              <w:rPr>
                <w:rFonts w:ascii="Times New Roman" w:hAnsi="Times New Roman" w:cs="Times New Roman"/>
                <w:sz w:val="24"/>
                <w:szCs w:val="24"/>
              </w:rPr>
            </w:pPr>
          </w:p>
        </w:tc>
        <w:tc>
          <w:tcPr>
            <w:tcW w:w="1364" w:type="dxa"/>
          </w:tcPr>
          <w:p w14:paraId="7EE4FD83"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31DE803A"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134587</w:t>
            </w:r>
          </w:p>
        </w:tc>
        <w:tc>
          <w:tcPr>
            <w:tcW w:w="936" w:type="dxa"/>
          </w:tcPr>
          <w:p w14:paraId="3FEA11CE"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127655</w:t>
            </w:r>
          </w:p>
        </w:tc>
        <w:tc>
          <w:tcPr>
            <w:tcW w:w="1496" w:type="dxa"/>
          </w:tcPr>
          <w:p w14:paraId="11B9D26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5.151</w:t>
            </w:r>
          </w:p>
        </w:tc>
        <w:tc>
          <w:tcPr>
            <w:tcW w:w="4777" w:type="dxa"/>
          </w:tcPr>
          <w:p w14:paraId="20CA30C2"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r w:rsidR="001D04B0" w14:paraId="7B016A25" w14:textId="77777777">
        <w:trPr>
          <w:trHeight w:val="562"/>
        </w:trPr>
        <w:tc>
          <w:tcPr>
            <w:tcW w:w="1244" w:type="dxa"/>
          </w:tcPr>
          <w:p w14:paraId="04385BDF"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Thermal</w:t>
            </w:r>
          </w:p>
        </w:tc>
        <w:tc>
          <w:tcPr>
            <w:tcW w:w="1364" w:type="dxa"/>
          </w:tcPr>
          <w:p w14:paraId="0129361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14:paraId="250D773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111748</w:t>
            </w:r>
          </w:p>
        </w:tc>
        <w:tc>
          <w:tcPr>
            <w:tcW w:w="936" w:type="dxa"/>
          </w:tcPr>
          <w:p w14:paraId="10A31E73"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108828</w:t>
            </w:r>
          </w:p>
        </w:tc>
        <w:tc>
          <w:tcPr>
            <w:tcW w:w="1496" w:type="dxa"/>
          </w:tcPr>
          <w:p w14:paraId="5CD3D9DC"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2.613</w:t>
            </w:r>
          </w:p>
        </w:tc>
        <w:tc>
          <w:tcPr>
            <w:tcW w:w="4777" w:type="dxa"/>
          </w:tcPr>
          <w:p w14:paraId="4659B855"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r w:rsidR="001D04B0" w14:paraId="036889CB" w14:textId="77777777">
        <w:trPr>
          <w:trHeight w:val="571"/>
        </w:trPr>
        <w:tc>
          <w:tcPr>
            <w:tcW w:w="1244" w:type="dxa"/>
          </w:tcPr>
          <w:p w14:paraId="00520269" w14:textId="77777777" w:rsidR="001D04B0" w:rsidRDefault="001D04B0">
            <w:pPr>
              <w:spacing w:line="240" w:lineRule="auto"/>
              <w:jc w:val="center"/>
              <w:rPr>
                <w:rFonts w:ascii="Times New Roman" w:hAnsi="Times New Roman" w:cs="Times New Roman"/>
                <w:sz w:val="24"/>
                <w:szCs w:val="24"/>
              </w:rPr>
            </w:pPr>
          </w:p>
        </w:tc>
        <w:tc>
          <w:tcPr>
            <w:tcW w:w="1364" w:type="dxa"/>
          </w:tcPr>
          <w:p w14:paraId="65331816"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14:paraId="742FE8B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134357</w:t>
            </w:r>
          </w:p>
        </w:tc>
        <w:tc>
          <w:tcPr>
            <w:tcW w:w="936" w:type="dxa"/>
          </w:tcPr>
          <w:p w14:paraId="6CFEE1AF"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128053</w:t>
            </w:r>
          </w:p>
        </w:tc>
        <w:tc>
          <w:tcPr>
            <w:tcW w:w="1496" w:type="dxa"/>
          </w:tcPr>
          <w:p w14:paraId="0924DB82" w14:textId="77777777" w:rsidR="001D04B0"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4.692</w:t>
            </w:r>
          </w:p>
        </w:tc>
        <w:tc>
          <w:tcPr>
            <w:tcW w:w="4777" w:type="dxa"/>
          </w:tcPr>
          <w:p w14:paraId="6605B11D" w14:textId="77777777" w:rsidR="001D04B0"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bl>
    <w:p w14:paraId="5C7AE592" w14:textId="77777777" w:rsidR="001D04B0" w:rsidRDefault="001D04B0">
      <w:pPr>
        <w:spacing w:line="240" w:lineRule="auto"/>
        <w:ind w:left="567" w:hanging="567"/>
        <w:jc w:val="both"/>
        <w:rPr>
          <w:rFonts w:ascii="Times New Roman" w:hAnsi="Times New Roman" w:cs="Times New Roman"/>
          <w:b/>
          <w:bCs/>
          <w:sz w:val="24"/>
          <w:szCs w:val="24"/>
        </w:rPr>
      </w:pPr>
    </w:p>
    <w:p w14:paraId="71C5EE0C" w14:textId="77777777" w:rsidR="001D04B0" w:rsidRDefault="00000000">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Conclusion of the method</w:t>
      </w:r>
    </w:p>
    <w:p w14:paraId="514A44A9"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In the present investigation, a reliable and efficient RP-HPLC method was successfully developed for the simultaneous estimation of Dapagliflozin and Eplerenone in synthetic mixture. The method was systematically optimized to achieve satisfactory chromatographic separation with well-defined and resolved peaks for both analytes.</w:t>
      </w:r>
    </w:p>
    <w:p w14:paraId="2938DC71"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validation studies confirmed that the method complies with ICH guidelines. The linearity results demonstrated a strong correlation between concentration and response over the selected range, indicating the suitability of the method for quantitative analysis. Precision studies, including repeatability as well as intra-day and inter-day precision, revealed low variability (%RSD &lt; 2%), confirming the consistency and reproducibility of the method.</w:t>
      </w:r>
    </w:p>
    <w:p w14:paraId="056D94C0"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Accuracy was established through recovery studies, with results falling within the acceptable limits, indicating that the method is free from interference by excipients. The robustness evaluation further demonstrated that small, deliberate variations in chromatographic conditions did not significantly affect the analytical performance, confirming the method’s reliability.</w:t>
      </w:r>
    </w:p>
    <w:p w14:paraId="57F037FB"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The assay results showed that the content of both Dapagliflozin and Eplerenone in the synthetic mixture was within acceptable limits, supporting the applicability of the method for routine quantitative estimation. Additionally, forced degradation studies revealed that both analytes undergo degradation under various stress conditions, with distinct degradation behavior. However, the method was capable of effectively separating the degradation products from the main peaks, indicating its stability-indicating nature.</w:t>
      </w:r>
    </w:p>
    <w:p w14:paraId="35A074CC" w14:textId="77777777" w:rsidR="001D04B0" w:rsidRDefault="00000000">
      <w:pPr>
        <w:spacing w:line="240" w:lineRule="auto"/>
        <w:jc w:val="both"/>
        <w:rPr>
          <w:rFonts w:ascii="Times New Roman" w:hAnsi="Times New Roman" w:cs="Times New Roman"/>
          <w:sz w:val="24"/>
          <w:szCs w:val="24"/>
        </w:rPr>
      </w:pPr>
      <w:r>
        <w:rPr>
          <w:rFonts w:ascii="Times New Roman" w:hAnsi="Times New Roman" w:cs="Times New Roman"/>
          <w:sz w:val="24"/>
          <w:szCs w:val="24"/>
        </w:rPr>
        <w:t>In conclusion, the developed RP-HPLC method is simple, precise, accurate, robust, and stability-indicating. It can be confidently applied for routine quality control and stability studies of Dapagliflozin and Eplerenone in pharmaceutical formulations.</w:t>
      </w:r>
    </w:p>
    <w:p w14:paraId="67AD7D10" w14:textId="77777777" w:rsidR="001D04B0" w:rsidRDefault="001D04B0">
      <w:pPr>
        <w:spacing w:line="240" w:lineRule="auto"/>
        <w:ind w:left="567" w:hanging="567"/>
        <w:jc w:val="both"/>
        <w:rPr>
          <w:rFonts w:ascii="Times New Roman" w:hAnsi="Times New Roman" w:cs="Times New Roman"/>
          <w:b/>
          <w:bCs/>
          <w:sz w:val="24"/>
          <w:szCs w:val="24"/>
        </w:rPr>
      </w:pPr>
    </w:p>
    <w:p w14:paraId="05A3CF8B" w14:textId="77777777" w:rsidR="001D04B0" w:rsidRDefault="001D04B0">
      <w:pPr>
        <w:spacing w:line="240" w:lineRule="auto"/>
        <w:ind w:left="567" w:hanging="567"/>
        <w:jc w:val="center"/>
        <w:rPr>
          <w:rFonts w:ascii="Times New Roman" w:hAnsi="Times New Roman" w:cs="Times New Roman"/>
          <w:b/>
          <w:bCs/>
          <w:sz w:val="24"/>
          <w:szCs w:val="24"/>
        </w:rPr>
      </w:pPr>
    </w:p>
    <w:p w14:paraId="785DBD37" w14:textId="77777777" w:rsidR="001D04B0" w:rsidRDefault="001D04B0">
      <w:pPr>
        <w:spacing w:line="240" w:lineRule="auto"/>
        <w:jc w:val="both"/>
        <w:rPr>
          <w:rFonts w:ascii="Times New Roman" w:hAnsi="Times New Roman" w:cs="Times New Roman"/>
          <w:b/>
          <w:bCs/>
          <w:sz w:val="24"/>
          <w:szCs w:val="24"/>
        </w:rPr>
      </w:pPr>
    </w:p>
    <w:p w14:paraId="3F30F040" w14:textId="77777777" w:rsidR="001D04B0" w:rsidRDefault="001D04B0">
      <w:pPr>
        <w:spacing w:line="240" w:lineRule="auto"/>
        <w:jc w:val="both"/>
        <w:rPr>
          <w:rFonts w:ascii="Times New Roman" w:hAnsi="Times New Roman" w:cs="Times New Roman"/>
          <w:b/>
          <w:bCs/>
          <w:sz w:val="24"/>
          <w:szCs w:val="24"/>
        </w:rPr>
      </w:pPr>
    </w:p>
    <w:p w14:paraId="537D9819" w14:textId="77777777" w:rsidR="001D04B0" w:rsidRDefault="001D04B0">
      <w:pPr>
        <w:spacing w:line="240" w:lineRule="auto"/>
        <w:rPr>
          <w:rFonts w:ascii="Times New Roman" w:hAnsi="Times New Roman" w:cs="Times New Roman"/>
          <w:sz w:val="24"/>
          <w:szCs w:val="24"/>
        </w:rPr>
        <w:sectPr w:rsidR="001D04B0">
          <w:headerReference w:type="default" r:id="rId63"/>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14:paraId="1440D08D" w14:textId="77777777" w:rsidR="001D04B0" w:rsidRDefault="001D04B0">
      <w:pPr>
        <w:pStyle w:val="Heading1"/>
        <w:tabs>
          <w:tab w:val="left" w:pos="3336"/>
        </w:tabs>
        <w:spacing w:before="120" w:line="240" w:lineRule="auto"/>
        <w:ind w:left="1681"/>
        <w:rPr>
          <w:rFonts w:ascii="Times New Roman" w:hAnsi="Times New Roman" w:cs="Times New Roman"/>
          <w:spacing w:val="-7"/>
          <w:sz w:val="24"/>
          <w:szCs w:val="24"/>
        </w:rPr>
      </w:pPr>
    </w:p>
    <w:p w14:paraId="158D600E" w14:textId="77777777" w:rsidR="001D04B0" w:rsidRDefault="00000000">
      <w:pPr>
        <w:pStyle w:val="Heading1"/>
        <w:tabs>
          <w:tab w:val="left" w:pos="3336"/>
        </w:tabs>
        <w:spacing w:before="120" w:line="240" w:lineRule="auto"/>
        <w:ind w:left="1681"/>
        <w:rPr>
          <w:rFonts w:ascii="Times New Roman" w:hAnsi="Times New Roman" w:cs="Times New Roman"/>
          <w:b/>
          <w:bCs/>
          <w:color w:val="000000" w:themeColor="text1"/>
          <w:sz w:val="28"/>
          <w:szCs w:val="28"/>
        </w:rPr>
      </w:pPr>
      <w:r>
        <w:rPr>
          <w:rFonts w:ascii="Times New Roman" w:hAnsi="Times New Roman" w:cs="Times New Roman"/>
          <w:b/>
          <w:bCs/>
          <w:color w:val="000000" w:themeColor="text1"/>
          <w:spacing w:val="-7"/>
          <w:sz w:val="28"/>
          <w:szCs w:val="28"/>
        </w:rPr>
        <w:t>APPENDIX-</w:t>
      </w:r>
      <w:r>
        <w:rPr>
          <w:rFonts w:ascii="Times New Roman" w:hAnsi="Times New Roman" w:cs="Times New Roman"/>
          <w:b/>
          <w:bCs/>
          <w:color w:val="000000" w:themeColor="text1"/>
          <w:spacing w:val="-10"/>
          <w:sz w:val="28"/>
          <w:szCs w:val="28"/>
        </w:rPr>
        <w:t>I</w:t>
      </w:r>
      <w:r>
        <w:rPr>
          <w:rFonts w:ascii="Times New Roman" w:hAnsi="Times New Roman" w:cs="Times New Roman"/>
          <w:b/>
          <w:bCs/>
          <w:color w:val="000000" w:themeColor="text1"/>
          <w:sz w:val="28"/>
          <w:szCs w:val="28"/>
        </w:rPr>
        <w:tab/>
        <w:t>LIST</w:t>
      </w:r>
      <w:r>
        <w:rPr>
          <w:rFonts w:ascii="Times New Roman" w:hAnsi="Times New Roman" w:cs="Times New Roman"/>
          <w:b/>
          <w:bCs/>
          <w:color w:val="000000" w:themeColor="text1"/>
          <w:spacing w:val="-14"/>
          <w:sz w:val="28"/>
          <w:szCs w:val="28"/>
        </w:rPr>
        <w:t xml:space="preserve"> </w:t>
      </w:r>
      <w:r>
        <w:rPr>
          <w:rFonts w:ascii="Times New Roman" w:hAnsi="Times New Roman" w:cs="Times New Roman"/>
          <w:b/>
          <w:bCs/>
          <w:color w:val="000000" w:themeColor="text1"/>
          <w:sz w:val="28"/>
          <w:szCs w:val="28"/>
        </w:rPr>
        <w:t>OF</w:t>
      </w:r>
      <w:r>
        <w:rPr>
          <w:rFonts w:ascii="Times New Roman" w:hAnsi="Times New Roman" w:cs="Times New Roman"/>
          <w:b/>
          <w:bCs/>
          <w:color w:val="000000" w:themeColor="text1"/>
          <w:spacing w:val="-1"/>
          <w:sz w:val="28"/>
          <w:szCs w:val="28"/>
        </w:rPr>
        <w:t xml:space="preserve"> </w:t>
      </w:r>
      <w:r>
        <w:rPr>
          <w:rFonts w:ascii="Times New Roman" w:hAnsi="Times New Roman" w:cs="Times New Roman"/>
          <w:b/>
          <w:bCs/>
          <w:color w:val="000000" w:themeColor="text1"/>
          <w:spacing w:val="-2"/>
          <w:sz w:val="28"/>
          <w:szCs w:val="28"/>
        </w:rPr>
        <w:t>ABBREVIATIONS</w:t>
      </w:r>
    </w:p>
    <w:p w14:paraId="6BAAC0B7" w14:textId="77777777" w:rsidR="001D04B0" w:rsidRDefault="001D04B0">
      <w:pPr>
        <w:pStyle w:val="BodyText"/>
        <w:spacing w:before="4"/>
        <w:rPr>
          <w:b/>
          <w:bCs/>
          <w:color w:val="000000" w:themeColor="text1"/>
          <w:sz w:val="28"/>
          <w:szCs w:val="28"/>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9"/>
        <w:gridCol w:w="4264"/>
      </w:tblGrid>
      <w:tr w:rsidR="001D04B0" w14:paraId="393640D4" w14:textId="77777777">
        <w:trPr>
          <w:trHeight w:val="320"/>
        </w:trPr>
        <w:tc>
          <w:tcPr>
            <w:tcW w:w="4269" w:type="dxa"/>
          </w:tcPr>
          <w:p w14:paraId="10B01F33" w14:textId="77777777" w:rsidR="001D04B0" w:rsidRDefault="00000000">
            <w:pPr>
              <w:pStyle w:val="TableParagraph"/>
              <w:spacing w:line="240" w:lineRule="auto"/>
              <w:ind w:left="119"/>
              <w:rPr>
                <w:b/>
                <w:sz w:val="24"/>
                <w:szCs w:val="24"/>
              </w:rPr>
            </w:pPr>
            <w:r>
              <w:rPr>
                <w:b/>
                <w:spacing w:val="-2"/>
                <w:sz w:val="24"/>
                <w:szCs w:val="24"/>
              </w:rPr>
              <w:t>Abbreviations</w:t>
            </w:r>
          </w:p>
        </w:tc>
        <w:tc>
          <w:tcPr>
            <w:tcW w:w="4264" w:type="dxa"/>
          </w:tcPr>
          <w:p w14:paraId="4FA99E99" w14:textId="77777777" w:rsidR="001D04B0" w:rsidRDefault="00000000">
            <w:pPr>
              <w:pStyle w:val="TableParagraph"/>
              <w:spacing w:line="240" w:lineRule="auto"/>
              <w:ind w:left="115"/>
              <w:rPr>
                <w:b/>
                <w:sz w:val="24"/>
                <w:szCs w:val="24"/>
              </w:rPr>
            </w:pPr>
            <w:r>
              <w:rPr>
                <w:b/>
                <w:spacing w:val="-4"/>
                <w:sz w:val="24"/>
                <w:szCs w:val="24"/>
              </w:rPr>
              <w:t>Expanded</w:t>
            </w:r>
            <w:r>
              <w:rPr>
                <w:b/>
                <w:spacing w:val="-5"/>
                <w:sz w:val="24"/>
                <w:szCs w:val="24"/>
              </w:rPr>
              <w:t xml:space="preserve"> </w:t>
            </w:r>
            <w:r>
              <w:rPr>
                <w:b/>
                <w:spacing w:val="-2"/>
                <w:sz w:val="24"/>
                <w:szCs w:val="24"/>
              </w:rPr>
              <w:t>Forms</w:t>
            </w:r>
          </w:p>
        </w:tc>
      </w:tr>
      <w:tr w:rsidR="001D04B0" w14:paraId="1DF1A33A" w14:textId="77777777">
        <w:trPr>
          <w:trHeight w:val="278"/>
        </w:trPr>
        <w:tc>
          <w:tcPr>
            <w:tcW w:w="4269" w:type="dxa"/>
          </w:tcPr>
          <w:p w14:paraId="7161D868" w14:textId="77777777" w:rsidR="001D04B0" w:rsidRDefault="00000000">
            <w:pPr>
              <w:pStyle w:val="TableParagraph"/>
              <w:spacing w:line="240" w:lineRule="auto"/>
              <w:ind w:left="119"/>
              <w:rPr>
                <w:sz w:val="24"/>
                <w:szCs w:val="24"/>
              </w:rPr>
            </w:pPr>
            <w:r>
              <w:rPr>
                <w:spacing w:val="-4"/>
                <w:sz w:val="24"/>
                <w:szCs w:val="24"/>
              </w:rPr>
              <w:t>T2DM</w:t>
            </w:r>
          </w:p>
        </w:tc>
        <w:tc>
          <w:tcPr>
            <w:tcW w:w="4264" w:type="dxa"/>
          </w:tcPr>
          <w:p w14:paraId="51B8145A" w14:textId="77777777" w:rsidR="001D04B0" w:rsidRDefault="00000000">
            <w:pPr>
              <w:pStyle w:val="TableParagraph"/>
              <w:spacing w:line="240" w:lineRule="auto"/>
              <w:ind w:left="115"/>
              <w:rPr>
                <w:sz w:val="24"/>
                <w:szCs w:val="24"/>
              </w:rPr>
            </w:pPr>
            <w:r>
              <w:rPr>
                <w:sz w:val="24"/>
                <w:szCs w:val="24"/>
              </w:rPr>
              <w:t>Type</w:t>
            </w:r>
            <w:r>
              <w:rPr>
                <w:spacing w:val="-2"/>
                <w:sz w:val="24"/>
                <w:szCs w:val="24"/>
              </w:rPr>
              <w:t xml:space="preserve"> </w:t>
            </w:r>
            <w:r>
              <w:rPr>
                <w:sz w:val="24"/>
                <w:szCs w:val="24"/>
              </w:rPr>
              <w:t>2</w:t>
            </w:r>
            <w:r>
              <w:rPr>
                <w:spacing w:val="-3"/>
                <w:sz w:val="24"/>
                <w:szCs w:val="24"/>
              </w:rPr>
              <w:t xml:space="preserve"> </w:t>
            </w:r>
            <w:r>
              <w:rPr>
                <w:sz w:val="24"/>
                <w:szCs w:val="24"/>
              </w:rPr>
              <w:t xml:space="preserve">Diabetes </w:t>
            </w:r>
            <w:r>
              <w:rPr>
                <w:spacing w:val="-2"/>
                <w:sz w:val="24"/>
                <w:szCs w:val="24"/>
              </w:rPr>
              <w:t>Mellitus</w:t>
            </w:r>
          </w:p>
        </w:tc>
      </w:tr>
      <w:tr w:rsidR="001D04B0" w14:paraId="761F9FCB" w14:textId="77777777">
        <w:trPr>
          <w:trHeight w:val="272"/>
        </w:trPr>
        <w:tc>
          <w:tcPr>
            <w:tcW w:w="4269" w:type="dxa"/>
          </w:tcPr>
          <w:p w14:paraId="5A0FBC70" w14:textId="77777777" w:rsidR="001D04B0" w:rsidRDefault="00000000">
            <w:pPr>
              <w:pStyle w:val="TableParagraph"/>
              <w:spacing w:line="240" w:lineRule="auto"/>
              <w:ind w:left="119"/>
              <w:rPr>
                <w:sz w:val="24"/>
                <w:szCs w:val="24"/>
              </w:rPr>
            </w:pPr>
            <w:r>
              <w:rPr>
                <w:spacing w:val="-5"/>
                <w:sz w:val="24"/>
                <w:szCs w:val="24"/>
              </w:rPr>
              <w:t>CKD</w:t>
            </w:r>
          </w:p>
        </w:tc>
        <w:tc>
          <w:tcPr>
            <w:tcW w:w="4264" w:type="dxa"/>
          </w:tcPr>
          <w:p w14:paraId="28BD02C2" w14:textId="77777777" w:rsidR="001D04B0" w:rsidRDefault="00000000">
            <w:pPr>
              <w:pStyle w:val="TableParagraph"/>
              <w:spacing w:line="240" w:lineRule="auto"/>
              <w:ind w:left="115"/>
              <w:rPr>
                <w:sz w:val="24"/>
                <w:szCs w:val="24"/>
              </w:rPr>
            </w:pPr>
            <w:r>
              <w:rPr>
                <w:sz w:val="24"/>
                <w:szCs w:val="24"/>
              </w:rPr>
              <w:t>Chronic</w:t>
            </w:r>
            <w:r>
              <w:rPr>
                <w:spacing w:val="-6"/>
                <w:sz w:val="24"/>
                <w:szCs w:val="24"/>
              </w:rPr>
              <w:t xml:space="preserve"> </w:t>
            </w:r>
            <w:r>
              <w:rPr>
                <w:sz w:val="24"/>
                <w:szCs w:val="24"/>
              </w:rPr>
              <w:t>Kidney</w:t>
            </w:r>
            <w:r>
              <w:rPr>
                <w:spacing w:val="-16"/>
                <w:sz w:val="24"/>
                <w:szCs w:val="24"/>
              </w:rPr>
              <w:t xml:space="preserve"> </w:t>
            </w:r>
            <w:r>
              <w:rPr>
                <w:spacing w:val="-2"/>
                <w:sz w:val="24"/>
                <w:szCs w:val="24"/>
              </w:rPr>
              <w:t>Disease</w:t>
            </w:r>
          </w:p>
        </w:tc>
      </w:tr>
      <w:tr w:rsidR="001D04B0" w14:paraId="2091616A" w14:textId="77777777">
        <w:trPr>
          <w:trHeight w:val="277"/>
        </w:trPr>
        <w:tc>
          <w:tcPr>
            <w:tcW w:w="4269" w:type="dxa"/>
          </w:tcPr>
          <w:p w14:paraId="36422E5A" w14:textId="77777777" w:rsidR="001D04B0" w:rsidRDefault="00000000">
            <w:pPr>
              <w:pStyle w:val="TableParagraph"/>
              <w:spacing w:line="240" w:lineRule="auto"/>
              <w:ind w:left="119"/>
              <w:rPr>
                <w:sz w:val="24"/>
                <w:szCs w:val="24"/>
              </w:rPr>
            </w:pPr>
            <w:r>
              <w:rPr>
                <w:spacing w:val="-2"/>
                <w:sz w:val="24"/>
                <w:szCs w:val="24"/>
              </w:rPr>
              <w:t>SGLT2</w:t>
            </w:r>
          </w:p>
        </w:tc>
        <w:tc>
          <w:tcPr>
            <w:tcW w:w="4264" w:type="dxa"/>
          </w:tcPr>
          <w:p w14:paraId="23F8F310" w14:textId="77777777" w:rsidR="001D04B0" w:rsidRDefault="00000000">
            <w:pPr>
              <w:pStyle w:val="TableParagraph"/>
              <w:spacing w:line="240" w:lineRule="auto"/>
              <w:ind w:left="115"/>
              <w:rPr>
                <w:sz w:val="24"/>
                <w:szCs w:val="24"/>
              </w:rPr>
            </w:pPr>
            <w:r>
              <w:rPr>
                <w:sz w:val="24"/>
                <w:szCs w:val="24"/>
              </w:rPr>
              <w:t>Sodium–Glucose</w:t>
            </w:r>
            <w:r>
              <w:rPr>
                <w:spacing w:val="-10"/>
                <w:sz w:val="24"/>
                <w:szCs w:val="24"/>
              </w:rPr>
              <w:t xml:space="preserve"> </w:t>
            </w:r>
            <w:r>
              <w:rPr>
                <w:sz w:val="24"/>
                <w:szCs w:val="24"/>
              </w:rPr>
              <w:t>Cotransporter</w:t>
            </w:r>
            <w:r>
              <w:rPr>
                <w:spacing w:val="-7"/>
                <w:sz w:val="24"/>
                <w:szCs w:val="24"/>
              </w:rPr>
              <w:t xml:space="preserve"> </w:t>
            </w:r>
            <w:r>
              <w:rPr>
                <w:spacing w:val="-10"/>
                <w:sz w:val="24"/>
                <w:szCs w:val="24"/>
              </w:rPr>
              <w:t>2</w:t>
            </w:r>
          </w:p>
        </w:tc>
      </w:tr>
      <w:tr w:rsidR="001D04B0" w14:paraId="12B4A017" w14:textId="77777777">
        <w:trPr>
          <w:trHeight w:val="272"/>
        </w:trPr>
        <w:tc>
          <w:tcPr>
            <w:tcW w:w="4269" w:type="dxa"/>
          </w:tcPr>
          <w:p w14:paraId="0452E69E" w14:textId="77777777" w:rsidR="001D04B0" w:rsidRDefault="00000000">
            <w:pPr>
              <w:pStyle w:val="TableParagraph"/>
              <w:spacing w:line="240" w:lineRule="auto"/>
              <w:ind w:left="119"/>
              <w:rPr>
                <w:sz w:val="24"/>
                <w:szCs w:val="24"/>
              </w:rPr>
            </w:pPr>
            <w:r>
              <w:rPr>
                <w:spacing w:val="-5"/>
                <w:sz w:val="24"/>
                <w:szCs w:val="24"/>
              </w:rPr>
              <w:t>MR</w:t>
            </w:r>
          </w:p>
        </w:tc>
        <w:tc>
          <w:tcPr>
            <w:tcW w:w="4264" w:type="dxa"/>
          </w:tcPr>
          <w:p w14:paraId="7B65FD55" w14:textId="77777777" w:rsidR="001D04B0" w:rsidRDefault="00000000">
            <w:pPr>
              <w:pStyle w:val="TableParagraph"/>
              <w:spacing w:line="240" w:lineRule="auto"/>
              <w:ind w:left="115"/>
              <w:rPr>
                <w:sz w:val="24"/>
                <w:szCs w:val="24"/>
              </w:rPr>
            </w:pPr>
            <w:r>
              <w:rPr>
                <w:spacing w:val="-2"/>
                <w:sz w:val="24"/>
                <w:szCs w:val="24"/>
              </w:rPr>
              <w:t>Mineralocorticoid</w:t>
            </w:r>
            <w:r>
              <w:rPr>
                <w:spacing w:val="12"/>
                <w:sz w:val="24"/>
                <w:szCs w:val="24"/>
              </w:rPr>
              <w:t xml:space="preserve"> </w:t>
            </w:r>
            <w:r>
              <w:rPr>
                <w:spacing w:val="-2"/>
                <w:sz w:val="24"/>
                <w:szCs w:val="24"/>
              </w:rPr>
              <w:t>Receptor</w:t>
            </w:r>
          </w:p>
        </w:tc>
      </w:tr>
      <w:tr w:rsidR="001D04B0" w14:paraId="1B313BAF" w14:textId="77777777">
        <w:trPr>
          <w:trHeight w:val="551"/>
        </w:trPr>
        <w:tc>
          <w:tcPr>
            <w:tcW w:w="4269" w:type="dxa"/>
          </w:tcPr>
          <w:p w14:paraId="366E4FB9" w14:textId="77777777" w:rsidR="001D04B0" w:rsidRDefault="00000000">
            <w:pPr>
              <w:pStyle w:val="TableParagraph"/>
              <w:spacing w:line="240" w:lineRule="auto"/>
              <w:ind w:left="119"/>
              <w:rPr>
                <w:sz w:val="24"/>
                <w:szCs w:val="24"/>
              </w:rPr>
            </w:pPr>
            <w:r>
              <w:rPr>
                <w:spacing w:val="-2"/>
                <w:sz w:val="24"/>
                <w:szCs w:val="24"/>
              </w:rPr>
              <w:t>HFrEF</w:t>
            </w:r>
          </w:p>
        </w:tc>
        <w:tc>
          <w:tcPr>
            <w:tcW w:w="4264" w:type="dxa"/>
          </w:tcPr>
          <w:p w14:paraId="40F53CFB" w14:textId="77777777" w:rsidR="001D04B0" w:rsidRDefault="00000000">
            <w:pPr>
              <w:pStyle w:val="TableParagraph"/>
              <w:spacing w:line="240" w:lineRule="auto"/>
              <w:ind w:left="115" w:firstLine="62"/>
              <w:rPr>
                <w:sz w:val="24"/>
                <w:szCs w:val="24"/>
              </w:rPr>
            </w:pPr>
            <w:r>
              <w:rPr>
                <w:sz w:val="24"/>
                <w:szCs w:val="24"/>
              </w:rPr>
              <w:t>Heart</w:t>
            </w:r>
            <w:r>
              <w:rPr>
                <w:spacing w:val="40"/>
                <w:sz w:val="24"/>
                <w:szCs w:val="24"/>
              </w:rPr>
              <w:t xml:space="preserve"> </w:t>
            </w:r>
            <w:r>
              <w:rPr>
                <w:sz w:val="24"/>
                <w:szCs w:val="24"/>
              </w:rPr>
              <w:t>Failure</w:t>
            </w:r>
            <w:r>
              <w:rPr>
                <w:spacing w:val="40"/>
                <w:sz w:val="24"/>
                <w:szCs w:val="24"/>
              </w:rPr>
              <w:t xml:space="preserve"> </w:t>
            </w:r>
            <w:r>
              <w:rPr>
                <w:sz w:val="24"/>
                <w:szCs w:val="24"/>
              </w:rPr>
              <w:t>with</w:t>
            </w:r>
            <w:r>
              <w:rPr>
                <w:spacing w:val="34"/>
                <w:sz w:val="24"/>
                <w:szCs w:val="24"/>
              </w:rPr>
              <w:t xml:space="preserve"> </w:t>
            </w:r>
            <w:r>
              <w:rPr>
                <w:sz w:val="24"/>
                <w:szCs w:val="24"/>
              </w:rPr>
              <w:t>Reduced</w:t>
            </w:r>
            <w:r>
              <w:rPr>
                <w:spacing w:val="40"/>
                <w:sz w:val="24"/>
                <w:szCs w:val="24"/>
              </w:rPr>
              <w:t xml:space="preserve"> </w:t>
            </w:r>
            <w:r>
              <w:rPr>
                <w:sz w:val="24"/>
                <w:szCs w:val="24"/>
              </w:rPr>
              <w:t>E</w:t>
            </w:r>
            <w:r>
              <w:rPr>
                <w:spacing w:val="-15"/>
                <w:sz w:val="24"/>
                <w:szCs w:val="24"/>
              </w:rPr>
              <w:t xml:space="preserve"> </w:t>
            </w:r>
            <w:r>
              <w:rPr>
                <w:sz w:val="24"/>
                <w:szCs w:val="24"/>
              </w:rPr>
              <w:t xml:space="preserve">jection </w:t>
            </w:r>
            <w:r>
              <w:rPr>
                <w:spacing w:val="-2"/>
                <w:sz w:val="24"/>
                <w:szCs w:val="24"/>
              </w:rPr>
              <w:t>Fraction</w:t>
            </w:r>
          </w:p>
        </w:tc>
      </w:tr>
      <w:tr w:rsidR="001D04B0" w14:paraId="1D3B86D9" w14:textId="77777777">
        <w:trPr>
          <w:trHeight w:val="546"/>
        </w:trPr>
        <w:tc>
          <w:tcPr>
            <w:tcW w:w="4269" w:type="dxa"/>
          </w:tcPr>
          <w:p w14:paraId="4ACB5B86" w14:textId="77777777" w:rsidR="001D04B0" w:rsidRDefault="00000000">
            <w:pPr>
              <w:pStyle w:val="TableParagraph"/>
              <w:spacing w:line="240" w:lineRule="auto"/>
              <w:ind w:left="119"/>
              <w:rPr>
                <w:sz w:val="24"/>
                <w:szCs w:val="24"/>
              </w:rPr>
            </w:pPr>
            <w:r>
              <w:rPr>
                <w:spacing w:val="-5"/>
                <w:sz w:val="24"/>
                <w:szCs w:val="24"/>
              </w:rPr>
              <w:t>ACE</w:t>
            </w:r>
          </w:p>
        </w:tc>
        <w:tc>
          <w:tcPr>
            <w:tcW w:w="4264" w:type="dxa"/>
          </w:tcPr>
          <w:p w14:paraId="7683114C" w14:textId="77777777" w:rsidR="001D04B0" w:rsidRDefault="00000000">
            <w:pPr>
              <w:pStyle w:val="TableParagraph"/>
              <w:tabs>
                <w:tab w:val="left" w:pos="3369"/>
              </w:tabs>
              <w:spacing w:line="240" w:lineRule="auto"/>
              <w:ind w:left="115" w:right="106"/>
              <w:rPr>
                <w:sz w:val="24"/>
                <w:szCs w:val="24"/>
              </w:rPr>
            </w:pPr>
            <w:r>
              <w:rPr>
                <w:spacing w:val="-2"/>
                <w:sz w:val="24"/>
                <w:szCs w:val="24"/>
              </w:rPr>
              <w:t>Angiotensin-Converting</w:t>
            </w:r>
            <w:r>
              <w:rPr>
                <w:spacing w:val="-2"/>
                <w:sz w:val="24"/>
                <w:szCs w:val="24"/>
                <w:lang w:val="en-IN"/>
              </w:rPr>
              <w:t xml:space="preserve"> </w:t>
            </w:r>
            <w:r>
              <w:rPr>
                <w:spacing w:val="-4"/>
                <w:sz w:val="24"/>
                <w:szCs w:val="24"/>
              </w:rPr>
              <w:t xml:space="preserve">Enzyme </w:t>
            </w:r>
            <w:r>
              <w:rPr>
                <w:spacing w:val="-2"/>
                <w:sz w:val="24"/>
                <w:szCs w:val="24"/>
              </w:rPr>
              <w:t>inhibitors</w:t>
            </w:r>
          </w:p>
        </w:tc>
      </w:tr>
      <w:tr w:rsidR="001D04B0" w14:paraId="32D0B87A" w14:textId="77777777">
        <w:trPr>
          <w:trHeight w:val="278"/>
        </w:trPr>
        <w:tc>
          <w:tcPr>
            <w:tcW w:w="4269" w:type="dxa"/>
          </w:tcPr>
          <w:p w14:paraId="0FB0FE96" w14:textId="77777777" w:rsidR="001D04B0" w:rsidRDefault="00000000">
            <w:pPr>
              <w:pStyle w:val="TableParagraph"/>
              <w:spacing w:line="240" w:lineRule="auto"/>
              <w:ind w:left="119"/>
              <w:rPr>
                <w:sz w:val="24"/>
                <w:szCs w:val="24"/>
              </w:rPr>
            </w:pPr>
            <w:r>
              <w:rPr>
                <w:spacing w:val="-4"/>
                <w:sz w:val="24"/>
                <w:szCs w:val="24"/>
              </w:rPr>
              <w:t>ARBs</w:t>
            </w:r>
          </w:p>
        </w:tc>
        <w:tc>
          <w:tcPr>
            <w:tcW w:w="4264" w:type="dxa"/>
          </w:tcPr>
          <w:p w14:paraId="14238C79" w14:textId="77777777" w:rsidR="001D04B0" w:rsidRDefault="00000000">
            <w:pPr>
              <w:pStyle w:val="TableParagraph"/>
              <w:spacing w:line="240" w:lineRule="auto"/>
              <w:ind w:left="115"/>
              <w:rPr>
                <w:sz w:val="24"/>
                <w:szCs w:val="24"/>
              </w:rPr>
            </w:pPr>
            <w:r>
              <w:rPr>
                <w:sz w:val="24"/>
                <w:szCs w:val="24"/>
              </w:rPr>
              <w:t>Angiotensin</w:t>
            </w:r>
            <w:r>
              <w:rPr>
                <w:spacing w:val="-10"/>
                <w:sz w:val="24"/>
                <w:szCs w:val="24"/>
              </w:rPr>
              <w:t xml:space="preserve"> </w:t>
            </w:r>
            <w:r>
              <w:rPr>
                <w:sz w:val="24"/>
                <w:szCs w:val="24"/>
              </w:rPr>
              <w:t>II</w:t>
            </w:r>
            <w:r>
              <w:rPr>
                <w:spacing w:val="3"/>
                <w:sz w:val="24"/>
                <w:szCs w:val="24"/>
              </w:rPr>
              <w:t xml:space="preserve"> </w:t>
            </w:r>
            <w:r>
              <w:rPr>
                <w:sz w:val="24"/>
                <w:szCs w:val="24"/>
              </w:rPr>
              <w:t>Receptor</w:t>
            </w:r>
            <w:r>
              <w:rPr>
                <w:spacing w:val="2"/>
                <w:sz w:val="24"/>
                <w:szCs w:val="24"/>
              </w:rPr>
              <w:t xml:space="preserve"> </w:t>
            </w:r>
            <w:r>
              <w:rPr>
                <w:spacing w:val="-2"/>
                <w:sz w:val="24"/>
                <w:szCs w:val="24"/>
              </w:rPr>
              <w:t>Blockers</w:t>
            </w:r>
          </w:p>
        </w:tc>
      </w:tr>
      <w:tr w:rsidR="001D04B0" w14:paraId="0761DDD5" w14:textId="77777777">
        <w:trPr>
          <w:trHeight w:val="276"/>
        </w:trPr>
        <w:tc>
          <w:tcPr>
            <w:tcW w:w="4269" w:type="dxa"/>
          </w:tcPr>
          <w:p w14:paraId="0C41F4D8" w14:textId="77777777" w:rsidR="001D04B0" w:rsidRDefault="00000000">
            <w:pPr>
              <w:pStyle w:val="TableParagraph"/>
              <w:spacing w:line="240" w:lineRule="auto"/>
              <w:ind w:left="119"/>
              <w:rPr>
                <w:sz w:val="24"/>
                <w:szCs w:val="24"/>
              </w:rPr>
            </w:pPr>
            <w:r>
              <w:rPr>
                <w:spacing w:val="-4"/>
                <w:sz w:val="24"/>
                <w:szCs w:val="24"/>
              </w:rPr>
              <w:t>eGFR</w:t>
            </w:r>
          </w:p>
        </w:tc>
        <w:tc>
          <w:tcPr>
            <w:tcW w:w="4264" w:type="dxa"/>
          </w:tcPr>
          <w:p w14:paraId="595AB1BF" w14:textId="77777777" w:rsidR="001D04B0" w:rsidRDefault="00000000">
            <w:pPr>
              <w:pStyle w:val="TableParagraph"/>
              <w:spacing w:line="240" w:lineRule="auto"/>
              <w:ind w:left="115"/>
              <w:rPr>
                <w:sz w:val="24"/>
                <w:szCs w:val="24"/>
              </w:rPr>
            </w:pPr>
            <w:r>
              <w:rPr>
                <w:sz w:val="24"/>
                <w:szCs w:val="24"/>
              </w:rPr>
              <w:t>Glomerular</w:t>
            </w:r>
            <w:r>
              <w:rPr>
                <w:spacing w:val="-10"/>
                <w:sz w:val="24"/>
                <w:szCs w:val="24"/>
              </w:rPr>
              <w:t xml:space="preserve"> </w:t>
            </w:r>
            <w:r>
              <w:rPr>
                <w:sz w:val="24"/>
                <w:szCs w:val="24"/>
              </w:rPr>
              <w:t>Filtration</w:t>
            </w:r>
            <w:r>
              <w:rPr>
                <w:spacing w:val="-13"/>
                <w:sz w:val="24"/>
                <w:szCs w:val="24"/>
              </w:rPr>
              <w:t xml:space="preserve"> </w:t>
            </w:r>
            <w:r>
              <w:rPr>
                <w:spacing w:val="-4"/>
                <w:sz w:val="24"/>
                <w:szCs w:val="24"/>
              </w:rPr>
              <w:t>Rate</w:t>
            </w:r>
          </w:p>
        </w:tc>
      </w:tr>
      <w:tr w:rsidR="001D04B0" w14:paraId="7A117B48" w14:textId="77777777">
        <w:trPr>
          <w:trHeight w:val="550"/>
        </w:trPr>
        <w:tc>
          <w:tcPr>
            <w:tcW w:w="4269" w:type="dxa"/>
          </w:tcPr>
          <w:p w14:paraId="5087E801" w14:textId="77777777" w:rsidR="001D04B0" w:rsidRDefault="00000000">
            <w:pPr>
              <w:pStyle w:val="TableParagraph"/>
              <w:spacing w:line="240" w:lineRule="auto"/>
              <w:ind w:left="119"/>
              <w:rPr>
                <w:sz w:val="24"/>
                <w:szCs w:val="24"/>
              </w:rPr>
            </w:pPr>
            <w:r>
              <w:rPr>
                <w:spacing w:val="-5"/>
                <w:sz w:val="24"/>
                <w:szCs w:val="24"/>
              </w:rPr>
              <w:t>UGT</w:t>
            </w:r>
          </w:p>
        </w:tc>
        <w:tc>
          <w:tcPr>
            <w:tcW w:w="4264" w:type="dxa"/>
          </w:tcPr>
          <w:p w14:paraId="08DC4DFA" w14:textId="77777777" w:rsidR="001D04B0" w:rsidRDefault="00000000">
            <w:pPr>
              <w:pStyle w:val="TableParagraph"/>
              <w:tabs>
                <w:tab w:val="left" w:pos="2865"/>
              </w:tabs>
              <w:spacing w:line="240" w:lineRule="auto"/>
              <w:ind w:left="115"/>
              <w:rPr>
                <w:sz w:val="24"/>
                <w:szCs w:val="24"/>
              </w:rPr>
            </w:pPr>
            <w:r>
              <w:rPr>
                <w:spacing w:val="-2"/>
                <w:sz w:val="24"/>
                <w:szCs w:val="24"/>
              </w:rPr>
              <w:t>Uridine</w:t>
            </w:r>
            <w:r>
              <w:rPr>
                <w:spacing w:val="-2"/>
                <w:sz w:val="24"/>
                <w:szCs w:val="24"/>
                <w:lang w:val="en-IN"/>
              </w:rPr>
              <w:t xml:space="preserve"> </w:t>
            </w:r>
            <w:r>
              <w:rPr>
                <w:spacing w:val="-2"/>
                <w:sz w:val="24"/>
                <w:szCs w:val="24"/>
              </w:rPr>
              <w:t>Diphosphate-</w:t>
            </w:r>
          </w:p>
          <w:p w14:paraId="06A81A9C" w14:textId="77777777" w:rsidR="001D04B0" w:rsidRDefault="00000000">
            <w:pPr>
              <w:pStyle w:val="TableParagraph"/>
              <w:spacing w:line="240" w:lineRule="auto"/>
              <w:ind w:left="115"/>
              <w:rPr>
                <w:sz w:val="24"/>
                <w:szCs w:val="24"/>
              </w:rPr>
            </w:pPr>
            <w:r>
              <w:rPr>
                <w:spacing w:val="-2"/>
                <w:sz w:val="24"/>
                <w:szCs w:val="24"/>
              </w:rPr>
              <w:t>Glucuronosyltransferase</w:t>
            </w:r>
          </w:p>
        </w:tc>
      </w:tr>
      <w:tr w:rsidR="001D04B0" w14:paraId="646DFCCF" w14:textId="77777777">
        <w:trPr>
          <w:trHeight w:val="273"/>
        </w:trPr>
        <w:tc>
          <w:tcPr>
            <w:tcW w:w="4269" w:type="dxa"/>
          </w:tcPr>
          <w:p w14:paraId="0BB3643B" w14:textId="77777777" w:rsidR="001D04B0" w:rsidRDefault="00000000">
            <w:pPr>
              <w:pStyle w:val="TableParagraph"/>
              <w:spacing w:line="240" w:lineRule="auto"/>
              <w:ind w:left="119"/>
              <w:rPr>
                <w:sz w:val="24"/>
                <w:szCs w:val="24"/>
              </w:rPr>
            </w:pPr>
            <w:r>
              <w:rPr>
                <w:spacing w:val="-4"/>
                <w:sz w:val="24"/>
                <w:szCs w:val="24"/>
              </w:rPr>
              <w:t>MRAs</w:t>
            </w:r>
          </w:p>
        </w:tc>
        <w:tc>
          <w:tcPr>
            <w:tcW w:w="4264" w:type="dxa"/>
          </w:tcPr>
          <w:p w14:paraId="7C18F4A3" w14:textId="77777777" w:rsidR="001D04B0" w:rsidRDefault="00000000">
            <w:pPr>
              <w:pStyle w:val="TableParagraph"/>
              <w:spacing w:line="240" w:lineRule="auto"/>
              <w:ind w:left="115"/>
              <w:rPr>
                <w:sz w:val="24"/>
                <w:szCs w:val="24"/>
              </w:rPr>
            </w:pPr>
            <w:r>
              <w:rPr>
                <w:sz w:val="24"/>
                <w:szCs w:val="24"/>
              </w:rPr>
              <w:t>Mineralocorticoid</w:t>
            </w:r>
            <w:r>
              <w:rPr>
                <w:spacing w:val="-3"/>
                <w:sz w:val="24"/>
                <w:szCs w:val="24"/>
              </w:rPr>
              <w:t xml:space="preserve"> </w:t>
            </w:r>
            <w:r>
              <w:rPr>
                <w:sz w:val="24"/>
                <w:szCs w:val="24"/>
              </w:rPr>
              <w:t>Receptor</w:t>
            </w:r>
            <w:r>
              <w:rPr>
                <w:spacing w:val="-10"/>
                <w:sz w:val="24"/>
                <w:szCs w:val="24"/>
              </w:rPr>
              <w:t xml:space="preserve"> </w:t>
            </w:r>
            <w:r>
              <w:rPr>
                <w:spacing w:val="-2"/>
                <w:sz w:val="24"/>
                <w:szCs w:val="24"/>
              </w:rPr>
              <w:t>Antagonists</w:t>
            </w:r>
          </w:p>
        </w:tc>
      </w:tr>
      <w:tr w:rsidR="001D04B0" w14:paraId="1E2602EE" w14:textId="77777777">
        <w:trPr>
          <w:trHeight w:val="276"/>
        </w:trPr>
        <w:tc>
          <w:tcPr>
            <w:tcW w:w="4269" w:type="dxa"/>
          </w:tcPr>
          <w:p w14:paraId="6A888B1B" w14:textId="77777777" w:rsidR="001D04B0" w:rsidRDefault="00000000">
            <w:pPr>
              <w:pStyle w:val="TableParagraph"/>
              <w:spacing w:line="240" w:lineRule="auto"/>
              <w:ind w:left="119"/>
              <w:rPr>
                <w:sz w:val="24"/>
                <w:szCs w:val="24"/>
              </w:rPr>
            </w:pPr>
            <w:r>
              <w:rPr>
                <w:spacing w:val="-5"/>
                <w:sz w:val="24"/>
                <w:szCs w:val="24"/>
              </w:rPr>
              <w:t>BP</w:t>
            </w:r>
          </w:p>
        </w:tc>
        <w:tc>
          <w:tcPr>
            <w:tcW w:w="4264" w:type="dxa"/>
          </w:tcPr>
          <w:p w14:paraId="134D78F5" w14:textId="77777777" w:rsidR="001D04B0" w:rsidRDefault="00000000">
            <w:pPr>
              <w:pStyle w:val="TableParagraph"/>
              <w:spacing w:line="240" w:lineRule="auto"/>
              <w:ind w:left="115"/>
              <w:rPr>
                <w:sz w:val="24"/>
                <w:szCs w:val="24"/>
              </w:rPr>
            </w:pPr>
            <w:r>
              <w:rPr>
                <w:sz w:val="24"/>
                <w:szCs w:val="24"/>
              </w:rPr>
              <w:t>Blood</w:t>
            </w:r>
            <w:r>
              <w:rPr>
                <w:spacing w:val="1"/>
                <w:sz w:val="24"/>
                <w:szCs w:val="24"/>
              </w:rPr>
              <w:t xml:space="preserve"> </w:t>
            </w:r>
            <w:r>
              <w:rPr>
                <w:spacing w:val="-2"/>
                <w:sz w:val="24"/>
                <w:szCs w:val="24"/>
              </w:rPr>
              <w:t>Pressure</w:t>
            </w:r>
          </w:p>
        </w:tc>
      </w:tr>
      <w:tr w:rsidR="001D04B0" w14:paraId="02064139" w14:textId="77777777">
        <w:trPr>
          <w:trHeight w:val="551"/>
        </w:trPr>
        <w:tc>
          <w:tcPr>
            <w:tcW w:w="4269" w:type="dxa"/>
          </w:tcPr>
          <w:p w14:paraId="334B3995" w14:textId="77777777" w:rsidR="001D04B0" w:rsidRDefault="00000000">
            <w:pPr>
              <w:pStyle w:val="TableParagraph"/>
              <w:spacing w:line="240" w:lineRule="auto"/>
              <w:ind w:left="119"/>
              <w:rPr>
                <w:sz w:val="24"/>
                <w:szCs w:val="24"/>
              </w:rPr>
            </w:pPr>
            <w:r>
              <w:rPr>
                <w:spacing w:val="-2"/>
                <w:sz w:val="24"/>
                <w:szCs w:val="24"/>
              </w:rPr>
              <w:t>CDSCO</w:t>
            </w:r>
          </w:p>
        </w:tc>
        <w:tc>
          <w:tcPr>
            <w:tcW w:w="4264" w:type="dxa"/>
          </w:tcPr>
          <w:p w14:paraId="67ECC9CA" w14:textId="77777777" w:rsidR="001D04B0" w:rsidRDefault="00000000">
            <w:pPr>
              <w:pStyle w:val="TableParagraph"/>
              <w:tabs>
                <w:tab w:val="left" w:pos="1204"/>
                <w:tab w:val="left" w:pos="2179"/>
                <w:tab w:val="left" w:pos="3422"/>
              </w:tabs>
              <w:spacing w:line="240" w:lineRule="auto"/>
              <w:ind w:left="115" w:right="108"/>
              <w:rPr>
                <w:sz w:val="24"/>
                <w:szCs w:val="24"/>
              </w:rPr>
            </w:pPr>
            <w:r>
              <w:rPr>
                <w:spacing w:val="-2"/>
                <w:sz w:val="24"/>
                <w:szCs w:val="24"/>
              </w:rPr>
              <w:t>Central</w:t>
            </w:r>
            <w:r>
              <w:rPr>
                <w:spacing w:val="-2"/>
                <w:sz w:val="24"/>
                <w:szCs w:val="24"/>
                <w:lang w:val="en-IN"/>
              </w:rPr>
              <w:t xml:space="preserve"> </w:t>
            </w:r>
            <w:r>
              <w:rPr>
                <w:spacing w:val="-4"/>
                <w:sz w:val="24"/>
                <w:szCs w:val="24"/>
              </w:rPr>
              <w:t>Drugs</w:t>
            </w:r>
            <w:r>
              <w:rPr>
                <w:spacing w:val="-4"/>
                <w:sz w:val="24"/>
                <w:szCs w:val="24"/>
                <w:lang w:val="en-IN"/>
              </w:rPr>
              <w:t xml:space="preserve"> </w:t>
            </w:r>
            <w:r>
              <w:rPr>
                <w:spacing w:val="-2"/>
                <w:sz w:val="24"/>
                <w:szCs w:val="24"/>
              </w:rPr>
              <w:t>Standard</w:t>
            </w:r>
            <w:r>
              <w:rPr>
                <w:spacing w:val="-2"/>
                <w:sz w:val="24"/>
                <w:szCs w:val="24"/>
                <w:lang w:val="en-IN"/>
              </w:rPr>
              <w:t xml:space="preserve"> </w:t>
            </w:r>
            <w:r>
              <w:rPr>
                <w:spacing w:val="-4"/>
                <w:sz w:val="24"/>
                <w:szCs w:val="24"/>
              </w:rPr>
              <w:t xml:space="preserve">Control </w:t>
            </w:r>
            <w:r>
              <w:rPr>
                <w:spacing w:val="-2"/>
                <w:sz w:val="24"/>
                <w:szCs w:val="24"/>
              </w:rPr>
              <w:t>Organization</w:t>
            </w:r>
          </w:p>
        </w:tc>
      </w:tr>
      <w:tr w:rsidR="001D04B0" w14:paraId="2FF0CE30" w14:textId="77777777">
        <w:trPr>
          <w:trHeight w:val="551"/>
        </w:trPr>
        <w:tc>
          <w:tcPr>
            <w:tcW w:w="4269" w:type="dxa"/>
          </w:tcPr>
          <w:p w14:paraId="4500DE54" w14:textId="77777777" w:rsidR="001D04B0" w:rsidRDefault="00000000">
            <w:pPr>
              <w:pStyle w:val="TableParagraph"/>
              <w:spacing w:line="240" w:lineRule="auto"/>
              <w:ind w:left="119"/>
              <w:rPr>
                <w:sz w:val="24"/>
                <w:szCs w:val="24"/>
              </w:rPr>
            </w:pPr>
            <w:r>
              <w:rPr>
                <w:spacing w:val="-4"/>
                <w:sz w:val="24"/>
                <w:szCs w:val="24"/>
              </w:rPr>
              <w:t>HPLC</w:t>
            </w:r>
          </w:p>
        </w:tc>
        <w:tc>
          <w:tcPr>
            <w:tcW w:w="4264" w:type="dxa"/>
          </w:tcPr>
          <w:p w14:paraId="4D5E2651" w14:textId="77777777" w:rsidR="001D04B0" w:rsidRDefault="00000000">
            <w:pPr>
              <w:pStyle w:val="TableParagraph"/>
              <w:tabs>
                <w:tab w:val="left" w:pos="3518"/>
              </w:tabs>
              <w:spacing w:line="240" w:lineRule="auto"/>
              <w:ind w:left="115" w:right="113"/>
              <w:rPr>
                <w:sz w:val="24"/>
                <w:szCs w:val="24"/>
              </w:rPr>
            </w:pPr>
            <w:r>
              <w:rPr>
                <w:spacing w:val="-2"/>
                <w:sz w:val="24"/>
                <w:szCs w:val="24"/>
              </w:rPr>
              <w:t>High-Performance</w:t>
            </w:r>
            <w:r>
              <w:rPr>
                <w:spacing w:val="-2"/>
                <w:sz w:val="24"/>
                <w:szCs w:val="24"/>
                <w:lang w:val="en-IN"/>
              </w:rPr>
              <w:t xml:space="preserve"> </w:t>
            </w:r>
            <w:r>
              <w:rPr>
                <w:spacing w:val="-6"/>
                <w:sz w:val="24"/>
                <w:szCs w:val="24"/>
              </w:rPr>
              <w:t xml:space="preserve">Liquid </w:t>
            </w:r>
            <w:r>
              <w:rPr>
                <w:spacing w:val="-2"/>
                <w:sz w:val="24"/>
                <w:szCs w:val="24"/>
              </w:rPr>
              <w:t>Chromatography</w:t>
            </w:r>
          </w:p>
        </w:tc>
      </w:tr>
      <w:tr w:rsidR="001D04B0" w14:paraId="1E5A8BD7" w14:textId="77777777">
        <w:trPr>
          <w:trHeight w:val="277"/>
        </w:trPr>
        <w:tc>
          <w:tcPr>
            <w:tcW w:w="4269" w:type="dxa"/>
          </w:tcPr>
          <w:p w14:paraId="4422DC55" w14:textId="77777777" w:rsidR="001D04B0" w:rsidRDefault="00000000">
            <w:pPr>
              <w:pStyle w:val="TableParagraph"/>
              <w:spacing w:line="240" w:lineRule="auto"/>
              <w:ind w:left="119"/>
              <w:rPr>
                <w:sz w:val="24"/>
                <w:szCs w:val="24"/>
              </w:rPr>
            </w:pPr>
            <w:r>
              <w:rPr>
                <w:spacing w:val="-5"/>
                <w:sz w:val="24"/>
                <w:szCs w:val="24"/>
              </w:rPr>
              <w:t>GC</w:t>
            </w:r>
          </w:p>
        </w:tc>
        <w:tc>
          <w:tcPr>
            <w:tcW w:w="4264" w:type="dxa"/>
          </w:tcPr>
          <w:p w14:paraId="086B7B01" w14:textId="77777777" w:rsidR="001D04B0" w:rsidRDefault="00000000">
            <w:pPr>
              <w:pStyle w:val="TableParagraph"/>
              <w:spacing w:line="240" w:lineRule="auto"/>
              <w:ind w:left="115"/>
              <w:rPr>
                <w:sz w:val="24"/>
                <w:szCs w:val="24"/>
              </w:rPr>
            </w:pPr>
            <w:r>
              <w:rPr>
                <w:sz w:val="24"/>
                <w:szCs w:val="24"/>
              </w:rPr>
              <w:t>Gas</w:t>
            </w:r>
            <w:r>
              <w:rPr>
                <w:spacing w:val="-4"/>
                <w:sz w:val="24"/>
                <w:szCs w:val="24"/>
              </w:rPr>
              <w:t xml:space="preserve"> </w:t>
            </w:r>
            <w:r>
              <w:rPr>
                <w:spacing w:val="-2"/>
                <w:sz w:val="24"/>
                <w:szCs w:val="24"/>
              </w:rPr>
              <w:t>Chromatography</w:t>
            </w:r>
          </w:p>
        </w:tc>
      </w:tr>
      <w:tr w:rsidR="001D04B0" w14:paraId="09FB67EA" w14:textId="77777777">
        <w:trPr>
          <w:trHeight w:val="273"/>
        </w:trPr>
        <w:tc>
          <w:tcPr>
            <w:tcW w:w="4269" w:type="dxa"/>
          </w:tcPr>
          <w:p w14:paraId="12B36C9B" w14:textId="77777777" w:rsidR="001D04B0" w:rsidRDefault="00000000">
            <w:pPr>
              <w:pStyle w:val="TableParagraph"/>
              <w:spacing w:line="240" w:lineRule="auto"/>
              <w:ind w:left="119"/>
              <w:rPr>
                <w:sz w:val="24"/>
                <w:szCs w:val="24"/>
              </w:rPr>
            </w:pPr>
            <w:r>
              <w:rPr>
                <w:spacing w:val="-5"/>
                <w:sz w:val="24"/>
                <w:szCs w:val="24"/>
              </w:rPr>
              <w:t>R&amp;D</w:t>
            </w:r>
          </w:p>
        </w:tc>
        <w:tc>
          <w:tcPr>
            <w:tcW w:w="4264" w:type="dxa"/>
          </w:tcPr>
          <w:p w14:paraId="085A4450" w14:textId="77777777" w:rsidR="001D04B0" w:rsidRDefault="00000000">
            <w:pPr>
              <w:pStyle w:val="TableParagraph"/>
              <w:spacing w:line="240" w:lineRule="auto"/>
              <w:ind w:left="115"/>
              <w:rPr>
                <w:sz w:val="24"/>
                <w:szCs w:val="24"/>
              </w:rPr>
            </w:pPr>
            <w:r>
              <w:rPr>
                <w:sz w:val="24"/>
                <w:szCs w:val="24"/>
              </w:rPr>
              <w:t>Research</w:t>
            </w:r>
            <w:r>
              <w:rPr>
                <w:spacing w:val="-11"/>
                <w:sz w:val="24"/>
                <w:szCs w:val="24"/>
              </w:rPr>
              <w:t xml:space="preserve"> </w:t>
            </w:r>
            <w:r>
              <w:rPr>
                <w:sz w:val="24"/>
                <w:szCs w:val="24"/>
              </w:rPr>
              <w:t>and</w:t>
            </w:r>
            <w:r>
              <w:rPr>
                <w:spacing w:val="-1"/>
                <w:sz w:val="24"/>
                <w:szCs w:val="24"/>
              </w:rPr>
              <w:t xml:space="preserve"> </w:t>
            </w:r>
            <w:r>
              <w:rPr>
                <w:spacing w:val="-2"/>
                <w:sz w:val="24"/>
                <w:szCs w:val="24"/>
              </w:rPr>
              <w:t>Development</w:t>
            </w:r>
          </w:p>
        </w:tc>
      </w:tr>
      <w:tr w:rsidR="001D04B0" w14:paraId="58CA1B6B" w14:textId="77777777">
        <w:trPr>
          <w:trHeight w:val="272"/>
        </w:trPr>
        <w:tc>
          <w:tcPr>
            <w:tcW w:w="4269" w:type="dxa"/>
          </w:tcPr>
          <w:p w14:paraId="0CCE2DFD" w14:textId="77777777" w:rsidR="001D04B0" w:rsidRDefault="00000000">
            <w:pPr>
              <w:pStyle w:val="TableParagraph"/>
              <w:spacing w:line="240" w:lineRule="auto"/>
              <w:ind w:left="119"/>
              <w:rPr>
                <w:sz w:val="24"/>
                <w:szCs w:val="24"/>
              </w:rPr>
            </w:pPr>
            <w:r>
              <w:rPr>
                <w:spacing w:val="-5"/>
                <w:sz w:val="24"/>
                <w:szCs w:val="24"/>
              </w:rPr>
              <w:t>API</w:t>
            </w:r>
          </w:p>
        </w:tc>
        <w:tc>
          <w:tcPr>
            <w:tcW w:w="4264" w:type="dxa"/>
          </w:tcPr>
          <w:p w14:paraId="5CC6FC4E" w14:textId="77777777" w:rsidR="001D04B0" w:rsidRDefault="00000000">
            <w:pPr>
              <w:pStyle w:val="TableParagraph"/>
              <w:spacing w:line="240" w:lineRule="auto"/>
              <w:ind w:left="115"/>
              <w:rPr>
                <w:sz w:val="24"/>
                <w:szCs w:val="24"/>
              </w:rPr>
            </w:pPr>
            <w:r>
              <w:rPr>
                <w:spacing w:val="-2"/>
                <w:sz w:val="24"/>
                <w:szCs w:val="24"/>
              </w:rPr>
              <w:t>Active</w:t>
            </w:r>
            <w:r>
              <w:rPr>
                <w:spacing w:val="-14"/>
                <w:sz w:val="24"/>
                <w:szCs w:val="24"/>
              </w:rPr>
              <w:t xml:space="preserve"> </w:t>
            </w:r>
            <w:r>
              <w:rPr>
                <w:spacing w:val="-2"/>
                <w:sz w:val="24"/>
                <w:szCs w:val="24"/>
              </w:rPr>
              <w:t>Pharmaceutical</w:t>
            </w:r>
            <w:r>
              <w:rPr>
                <w:spacing w:val="-14"/>
                <w:sz w:val="24"/>
                <w:szCs w:val="24"/>
              </w:rPr>
              <w:t xml:space="preserve"> </w:t>
            </w:r>
            <w:r>
              <w:rPr>
                <w:spacing w:val="-2"/>
                <w:sz w:val="24"/>
                <w:szCs w:val="24"/>
              </w:rPr>
              <w:t>Ingredient</w:t>
            </w:r>
          </w:p>
        </w:tc>
      </w:tr>
      <w:tr w:rsidR="001D04B0" w14:paraId="3D67C0AC" w14:textId="77777777">
        <w:trPr>
          <w:trHeight w:val="273"/>
        </w:trPr>
        <w:tc>
          <w:tcPr>
            <w:tcW w:w="4269" w:type="dxa"/>
          </w:tcPr>
          <w:p w14:paraId="5C8AC4F7" w14:textId="77777777" w:rsidR="001D04B0" w:rsidRDefault="00000000">
            <w:pPr>
              <w:pStyle w:val="TableParagraph"/>
              <w:spacing w:line="240" w:lineRule="auto"/>
              <w:ind w:left="119"/>
              <w:rPr>
                <w:sz w:val="24"/>
                <w:szCs w:val="24"/>
              </w:rPr>
            </w:pPr>
            <w:r>
              <w:rPr>
                <w:spacing w:val="-5"/>
                <w:sz w:val="24"/>
                <w:szCs w:val="24"/>
              </w:rPr>
              <w:t>UV</w:t>
            </w:r>
          </w:p>
        </w:tc>
        <w:tc>
          <w:tcPr>
            <w:tcW w:w="4264" w:type="dxa"/>
          </w:tcPr>
          <w:p w14:paraId="52B3238D" w14:textId="77777777" w:rsidR="001D04B0" w:rsidRDefault="00000000">
            <w:pPr>
              <w:pStyle w:val="TableParagraph"/>
              <w:spacing w:line="240" w:lineRule="auto"/>
              <w:ind w:left="115"/>
              <w:rPr>
                <w:sz w:val="24"/>
                <w:szCs w:val="24"/>
              </w:rPr>
            </w:pPr>
            <w:r>
              <w:rPr>
                <w:spacing w:val="-2"/>
                <w:sz w:val="24"/>
                <w:szCs w:val="24"/>
              </w:rPr>
              <w:t>Ultraviolet</w:t>
            </w:r>
            <w:r>
              <w:rPr>
                <w:spacing w:val="-13"/>
                <w:sz w:val="24"/>
                <w:szCs w:val="24"/>
              </w:rPr>
              <w:t xml:space="preserve"> </w:t>
            </w:r>
            <w:r>
              <w:rPr>
                <w:spacing w:val="-2"/>
                <w:sz w:val="24"/>
                <w:szCs w:val="24"/>
              </w:rPr>
              <w:t>Spectroscopy</w:t>
            </w:r>
          </w:p>
        </w:tc>
      </w:tr>
      <w:tr w:rsidR="001D04B0" w14:paraId="12A14D75" w14:textId="77777777">
        <w:trPr>
          <w:trHeight w:val="277"/>
        </w:trPr>
        <w:tc>
          <w:tcPr>
            <w:tcW w:w="4269" w:type="dxa"/>
          </w:tcPr>
          <w:p w14:paraId="50576844" w14:textId="77777777" w:rsidR="001D04B0" w:rsidRDefault="00000000">
            <w:pPr>
              <w:pStyle w:val="TableParagraph"/>
              <w:spacing w:line="240" w:lineRule="auto"/>
              <w:ind w:left="119"/>
              <w:rPr>
                <w:sz w:val="24"/>
                <w:szCs w:val="24"/>
              </w:rPr>
            </w:pPr>
            <w:r>
              <w:rPr>
                <w:spacing w:val="-5"/>
                <w:sz w:val="24"/>
                <w:szCs w:val="24"/>
              </w:rPr>
              <w:t>IR</w:t>
            </w:r>
          </w:p>
        </w:tc>
        <w:tc>
          <w:tcPr>
            <w:tcW w:w="4264" w:type="dxa"/>
          </w:tcPr>
          <w:p w14:paraId="4447D41E" w14:textId="77777777" w:rsidR="001D04B0" w:rsidRDefault="00000000">
            <w:pPr>
              <w:pStyle w:val="TableParagraph"/>
              <w:spacing w:line="240" w:lineRule="auto"/>
              <w:ind w:left="115"/>
              <w:rPr>
                <w:sz w:val="24"/>
                <w:szCs w:val="24"/>
              </w:rPr>
            </w:pPr>
            <w:r>
              <w:rPr>
                <w:spacing w:val="-2"/>
                <w:sz w:val="24"/>
                <w:szCs w:val="24"/>
              </w:rPr>
              <w:t>Infrared</w:t>
            </w:r>
            <w:r>
              <w:rPr>
                <w:spacing w:val="-4"/>
                <w:sz w:val="24"/>
                <w:szCs w:val="24"/>
              </w:rPr>
              <w:t xml:space="preserve"> </w:t>
            </w:r>
            <w:r>
              <w:rPr>
                <w:spacing w:val="-2"/>
                <w:sz w:val="24"/>
                <w:szCs w:val="24"/>
              </w:rPr>
              <w:t>Spectroscopy</w:t>
            </w:r>
          </w:p>
        </w:tc>
      </w:tr>
      <w:tr w:rsidR="001D04B0" w14:paraId="6EBEC9ED" w14:textId="77777777">
        <w:trPr>
          <w:trHeight w:val="551"/>
        </w:trPr>
        <w:tc>
          <w:tcPr>
            <w:tcW w:w="4269" w:type="dxa"/>
          </w:tcPr>
          <w:p w14:paraId="51252AB7" w14:textId="77777777" w:rsidR="001D04B0" w:rsidRDefault="00000000">
            <w:pPr>
              <w:pStyle w:val="TableParagraph"/>
              <w:spacing w:line="240" w:lineRule="auto"/>
              <w:ind w:left="119"/>
              <w:rPr>
                <w:sz w:val="24"/>
                <w:szCs w:val="24"/>
              </w:rPr>
            </w:pPr>
            <w:r>
              <w:rPr>
                <w:spacing w:val="-2"/>
                <w:sz w:val="24"/>
                <w:szCs w:val="24"/>
              </w:rPr>
              <w:t>NP-</w:t>
            </w:r>
            <w:r>
              <w:rPr>
                <w:spacing w:val="-4"/>
                <w:sz w:val="24"/>
                <w:szCs w:val="24"/>
              </w:rPr>
              <w:t>HPLC</w:t>
            </w:r>
          </w:p>
        </w:tc>
        <w:tc>
          <w:tcPr>
            <w:tcW w:w="4264" w:type="dxa"/>
          </w:tcPr>
          <w:p w14:paraId="19E48493" w14:textId="77777777" w:rsidR="001D04B0" w:rsidRDefault="00000000">
            <w:pPr>
              <w:pStyle w:val="TableParagraph"/>
              <w:spacing w:line="240" w:lineRule="auto"/>
              <w:ind w:left="115"/>
              <w:rPr>
                <w:sz w:val="24"/>
                <w:szCs w:val="24"/>
              </w:rPr>
            </w:pPr>
            <w:r>
              <w:rPr>
                <w:sz w:val="24"/>
                <w:szCs w:val="24"/>
              </w:rPr>
              <w:t>Normal</w:t>
            </w:r>
            <w:r>
              <w:rPr>
                <w:spacing w:val="-9"/>
                <w:sz w:val="24"/>
                <w:szCs w:val="24"/>
              </w:rPr>
              <w:t xml:space="preserve"> </w:t>
            </w:r>
            <w:r>
              <w:rPr>
                <w:sz w:val="24"/>
                <w:szCs w:val="24"/>
              </w:rPr>
              <w:t>Phase</w:t>
            </w:r>
            <w:r>
              <w:rPr>
                <w:spacing w:val="19"/>
                <w:sz w:val="24"/>
                <w:szCs w:val="24"/>
              </w:rPr>
              <w:t xml:space="preserve"> </w:t>
            </w:r>
            <w:r>
              <w:rPr>
                <w:sz w:val="24"/>
                <w:szCs w:val="24"/>
              </w:rPr>
              <w:t xml:space="preserve">High Performance Liquid </w:t>
            </w:r>
            <w:r>
              <w:rPr>
                <w:spacing w:val="-2"/>
                <w:sz w:val="24"/>
                <w:szCs w:val="24"/>
              </w:rPr>
              <w:t>Chromatography</w:t>
            </w:r>
          </w:p>
        </w:tc>
      </w:tr>
      <w:tr w:rsidR="001D04B0" w14:paraId="4E996710" w14:textId="77777777">
        <w:trPr>
          <w:trHeight w:val="551"/>
        </w:trPr>
        <w:tc>
          <w:tcPr>
            <w:tcW w:w="4269" w:type="dxa"/>
          </w:tcPr>
          <w:p w14:paraId="285570BA" w14:textId="77777777" w:rsidR="001D04B0" w:rsidRDefault="00000000">
            <w:pPr>
              <w:pStyle w:val="TableParagraph"/>
              <w:spacing w:line="240" w:lineRule="auto"/>
              <w:ind w:left="119"/>
              <w:rPr>
                <w:sz w:val="24"/>
                <w:szCs w:val="24"/>
              </w:rPr>
            </w:pPr>
            <w:r>
              <w:rPr>
                <w:sz w:val="24"/>
                <w:szCs w:val="24"/>
              </w:rPr>
              <w:t>RP-</w:t>
            </w:r>
            <w:r>
              <w:rPr>
                <w:spacing w:val="-4"/>
                <w:sz w:val="24"/>
                <w:szCs w:val="24"/>
              </w:rPr>
              <w:t>HPLC</w:t>
            </w:r>
          </w:p>
        </w:tc>
        <w:tc>
          <w:tcPr>
            <w:tcW w:w="4264" w:type="dxa"/>
          </w:tcPr>
          <w:p w14:paraId="70D24B23" w14:textId="77777777" w:rsidR="001D04B0" w:rsidRDefault="00000000">
            <w:pPr>
              <w:pStyle w:val="TableParagraph"/>
              <w:spacing w:line="240" w:lineRule="auto"/>
              <w:ind w:left="115"/>
              <w:rPr>
                <w:sz w:val="24"/>
                <w:szCs w:val="24"/>
              </w:rPr>
            </w:pPr>
            <w:r>
              <w:rPr>
                <w:sz w:val="24"/>
                <w:szCs w:val="24"/>
              </w:rPr>
              <w:t>Reverse</w:t>
            </w:r>
            <w:r>
              <w:rPr>
                <w:spacing w:val="-11"/>
                <w:sz w:val="24"/>
                <w:szCs w:val="24"/>
              </w:rPr>
              <w:t xml:space="preserve"> </w:t>
            </w:r>
            <w:r>
              <w:rPr>
                <w:sz w:val="24"/>
                <w:szCs w:val="24"/>
              </w:rPr>
              <w:t>Phase</w:t>
            </w:r>
            <w:r>
              <w:rPr>
                <w:spacing w:val="-8"/>
                <w:sz w:val="24"/>
                <w:szCs w:val="24"/>
              </w:rPr>
              <w:t xml:space="preserve"> </w:t>
            </w:r>
            <w:r>
              <w:rPr>
                <w:sz w:val="24"/>
                <w:szCs w:val="24"/>
              </w:rPr>
              <w:t>High</w:t>
            </w:r>
            <w:r>
              <w:rPr>
                <w:spacing w:val="-9"/>
                <w:sz w:val="24"/>
                <w:szCs w:val="24"/>
              </w:rPr>
              <w:t xml:space="preserve"> </w:t>
            </w:r>
            <w:r>
              <w:rPr>
                <w:sz w:val="24"/>
                <w:szCs w:val="24"/>
              </w:rPr>
              <w:t xml:space="preserve">Performance Liquid </w:t>
            </w:r>
            <w:r>
              <w:rPr>
                <w:spacing w:val="-2"/>
                <w:sz w:val="24"/>
                <w:szCs w:val="24"/>
              </w:rPr>
              <w:t>Chromatography</w:t>
            </w:r>
          </w:p>
        </w:tc>
      </w:tr>
      <w:tr w:rsidR="001D04B0" w14:paraId="04DE8F48" w14:textId="77777777">
        <w:trPr>
          <w:trHeight w:val="276"/>
        </w:trPr>
        <w:tc>
          <w:tcPr>
            <w:tcW w:w="4269" w:type="dxa"/>
          </w:tcPr>
          <w:p w14:paraId="6E13B9A2" w14:textId="77777777" w:rsidR="001D04B0" w:rsidRDefault="00000000">
            <w:pPr>
              <w:pStyle w:val="TableParagraph"/>
              <w:spacing w:line="240" w:lineRule="auto"/>
              <w:ind w:left="119"/>
              <w:rPr>
                <w:sz w:val="24"/>
                <w:szCs w:val="24"/>
              </w:rPr>
            </w:pPr>
            <w:r>
              <w:rPr>
                <w:spacing w:val="-5"/>
                <w:sz w:val="24"/>
                <w:szCs w:val="24"/>
              </w:rPr>
              <w:t>IEC</w:t>
            </w:r>
          </w:p>
        </w:tc>
        <w:tc>
          <w:tcPr>
            <w:tcW w:w="4264" w:type="dxa"/>
          </w:tcPr>
          <w:p w14:paraId="05C5807B" w14:textId="77777777" w:rsidR="001D04B0" w:rsidRDefault="00000000">
            <w:pPr>
              <w:pStyle w:val="TableParagraph"/>
              <w:spacing w:line="240" w:lineRule="auto"/>
              <w:ind w:left="115"/>
              <w:rPr>
                <w:sz w:val="24"/>
                <w:szCs w:val="24"/>
              </w:rPr>
            </w:pPr>
            <w:r>
              <w:rPr>
                <w:spacing w:val="-2"/>
                <w:sz w:val="24"/>
                <w:szCs w:val="24"/>
              </w:rPr>
              <w:t>Ion-Exchange</w:t>
            </w:r>
            <w:r>
              <w:rPr>
                <w:spacing w:val="5"/>
                <w:sz w:val="24"/>
                <w:szCs w:val="24"/>
              </w:rPr>
              <w:t xml:space="preserve"> </w:t>
            </w:r>
            <w:r>
              <w:rPr>
                <w:spacing w:val="-2"/>
                <w:sz w:val="24"/>
                <w:szCs w:val="24"/>
              </w:rPr>
              <w:t>Chromatography</w:t>
            </w:r>
          </w:p>
        </w:tc>
      </w:tr>
      <w:tr w:rsidR="001D04B0" w14:paraId="31E27B4E" w14:textId="77777777">
        <w:trPr>
          <w:trHeight w:val="272"/>
        </w:trPr>
        <w:tc>
          <w:tcPr>
            <w:tcW w:w="4269" w:type="dxa"/>
          </w:tcPr>
          <w:p w14:paraId="692B7128" w14:textId="77777777" w:rsidR="001D04B0" w:rsidRDefault="00000000">
            <w:pPr>
              <w:pStyle w:val="TableParagraph"/>
              <w:spacing w:line="240" w:lineRule="auto"/>
              <w:ind w:left="119"/>
              <w:rPr>
                <w:sz w:val="24"/>
                <w:szCs w:val="24"/>
              </w:rPr>
            </w:pPr>
            <w:r>
              <w:rPr>
                <w:spacing w:val="-5"/>
                <w:sz w:val="24"/>
                <w:szCs w:val="24"/>
              </w:rPr>
              <w:t>SEC</w:t>
            </w:r>
          </w:p>
        </w:tc>
        <w:tc>
          <w:tcPr>
            <w:tcW w:w="4264" w:type="dxa"/>
          </w:tcPr>
          <w:p w14:paraId="42A0E79E" w14:textId="77777777" w:rsidR="001D04B0" w:rsidRDefault="00000000">
            <w:pPr>
              <w:pStyle w:val="TableParagraph"/>
              <w:spacing w:line="240" w:lineRule="auto"/>
              <w:ind w:left="115"/>
              <w:rPr>
                <w:sz w:val="24"/>
                <w:szCs w:val="24"/>
              </w:rPr>
            </w:pPr>
            <w:r>
              <w:rPr>
                <w:spacing w:val="-2"/>
                <w:sz w:val="24"/>
                <w:szCs w:val="24"/>
              </w:rPr>
              <w:t>Size-Exclusion</w:t>
            </w:r>
            <w:r>
              <w:rPr>
                <w:spacing w:val="10"/>
                <w:sz w:val="24"/>
                <w:szCs w:val="24"/>
              </w:rPr>
              <w:t xml:space="preserve"> </w:t>
            </w:r>
            <w:r>
              <w:rPr>
                <w:spacing w:val="-2"/>
                <w:sz w:val="24"/>
                <w:szCs w:val="24"/>
              </w:rPr>
              <w:t>Chromatography</w:t>
            </w:r>
          </w:p>
        </w:tc>
      </w:tr>
      <w:tr w:rsidR="001D04B0" w14:paraId="4C320753" w14:textId="77777777">
        <w:trPr>
          <w:trHeight w:val="278"/>
        </w:trPr>
        <w:tc>
          <w:tcPr>
            <w:tcW w:w="4269" w:type="dxa"/>
          </w:tcPr>
          <w:p w14:paraId="58A1302F" w14:textId="77777777" w:rsidR="001D04B0" w:rsidRDefault="00000000">
            <w:pPr>
              <w:pStyle w:val="TableParagraph"/>
              <w:spacing w:line="240" w:lineRule="auto"/>
              <w:ind w:left="119"/>
              <w:rPr>
                <w:sz w:val="24"/>
                <w:szCs w:val="24"/>
              </w:rPr>
            </w:pPr>
            <w:r>
              <w:rPr>
                <w:spacing w:val="-5"/>
                <w:sz w:val="24"/>
                <w:szCs w:val="24"/>
              </w:rPr>
              <w:t>GPC</w:t>
            </w:r>
          </w:p>
        </w:tc>
        <w:tc>
          <w:tcPr>
            <w:tcW w:w="4264" w:type="dxa"/>
          </w:tcPr>
          <w:p w14:paraId="3AC2548A" w14:textId="77777777" w:rsidR="001D04B0" w:rsidRDefault="00000000">
            <w:pPr>
              <w:pStyle w:val="TableParagraph"/>
              <w:spacing w:line="240" w:lineRule="auto"/>
              <w:ind w:left="115"/>
              <w:rPr>
                <w:sz w:val="24"/>
                <w:szCs w:val="24"/>
              </w:rPr>
            </w:pPr>
            <w:r>
              <w:rPr>
                <w:sz w:val="24"/>
                <w:szCs w:val="24"/>
              </w:rPr>
              <w:t>Gel</w:t>
            </w:r>
            <w:r>
              <w:rPr>
                <w:spacing w:val="-18"/>
                <w:sz w:val="24"/>
                <w:szCs w:val="24"/>
              </w:rPr>
              <w:t xml:space="preserve"> </w:t>
            </w:r>
            <w:r>
              <w:rPr>
                <w:sz w:val="24"/>
                <w:szCs w:val="24"/>
              </w:rPr>
              <w:t>Permeation</w:t>
            </w:r>
            <w:r>
              <w:rPr>
                <w:spacing w:val="-4"/>
                <w:sz w:val="24"/>
                <w:szCs w:val="24"/>
              </w:rPr>
              <w:t xml:space="preserve"> </w:t>
            </w:r>
            <w:r>
              <w:rPr>
                <w:spacing w:val="-2"/>
                <w:sz w:val="24"/>
                <w:szCs w:val="24"/>
              </w:rPr>
              <w:t>Chromatography</w:t>
            </w:r>
          </w:p>
        </w:tc>
      </w:tr>
      <w:tr w:rsidR="001D04B0" w14:paraId="2A4192E5" w14:textId="77777777">
        <w:trPr>
          <w:trHeight w:val="272"/>
        </w:trPr>
        <w:tc>
          <w:tcPr>
            <w:tcW w:w="4269" w:type="dxa"/>
          </w:tcPr>
          <w:p w14:paraId="364FE926" w14:textId="77777777" w:rsidR="001D04B0" w:rsidRDefault="00000000">
            <w:pPr>
              <w:pStyle w:val="TableParagraph"/>
              <w:spacing w:line="240" w:lineRule="auto"/>
              <w:ind w:left="119"/>
              <w:rPr>
                <w:sz w:val="24"/>
                <w:szCs w:val="24"/>
              </w:rPr>
            </w:pPr>
            <w:r>
              <w:rPr>
                <w:spacing w:val="-5"/>
                <w:sz w:val="24"/>
                <w:szCs w:val="24"/>
              </w:rPr>
              <w:t>DAS</w:t>
            </w:r>
          </w:p>
        </w:tc>
        <w:tc>
          <w:tcPr>
            <w:tcW w:w="4264" w:type="dxa"/>
          </w:tcPr>
          <w:p w14:paraId="32B02328" w14:textId="77777777" w:rsidR="001D04B0" w:rsidRDefault="00000000">
            <w:pPr>
              <w:pStyle w:val="TableParagraph"/>
              <w:spacing w:line="240" w:lineRule="auto"/>
              <w:ind w:left="115"/>
              <w:rPr>
                <w:sz w:val="24"/>
                <w:szCs w:val="24"/>
              </w:rPr>
            </w:pPr>
            <w:r>
              <w:rPr>
                <w:sz w:val="24"/>
                <w:szCs w:val="24"/>
              </w:rPr>
              <w:t>Data</w:t>
            </w:r>
            <w:r>
              <w:rPr>
                <w:spacing w:val="-12"/>
                <w:sz w:val="24"/>
                <w:szCs w:val="24"/>
              </w:rPr>
              <w:t xml:space="preserve"> </w:t>
            </w:r>
            <w:r>
              <w:rPr>
                <w:sz w:val="24"/>
                <w:szCs w:val="24"/>
              </w:rPr>
              <w:t>Acquisition</w:t>
            </w:r>
            <w:r>
              <w:rPr>
                <w:spacing w:val="-9"/>
                <w:sz w:val="24"/>
                <w:szCs w:val="24"/>
              </w:rPr>
              <w:t xml:space="preserve"> </w:t>
            </w:r>
            <w:r>
              <w:rPr>
                <w:spacing w:val="-2"/>
                <w:sz w:val="24"/>
                <w:szCs w:val="24"/>
              </w:rPr>
              <w:t>System</w:t>
            </w:r>
          </w:p>
        </w:tc>
      </w:tr>
      <w:tr w:rsidR="001D04B0" w14:paraId="1BC6F9FD" w14:textId="77777777">
        <w:trPr>
          <w:trHeight w:val="277"/>
        </w:trPr>
        <w:tc>
          <w:tcPr>
            <w:tcW w:w="4269" w:type="dxa"/>
          </w:tcPr>
          <w:p w14:paraId="30AD1B1B" w14:textId="77777777" w:rsidR="001D04B0" w:rsidRDefault="00000000">
            <w:pPr>
              <w:pStyle w:val="TableParagraph"/>
              <w:spacing w:line="240" w:lineRule="auto"/>
              <w:ind w:left="119"/>
              <w:rPr>
                <w:sz w:val="24"/>
                <w:szCs w:val="24"/>
              </w:rPr>
            </w:pPr>
            <w:r>
              <w:rPr>
                <w:spacing w:val="-5"/>
                <w:sz w:val="24"/>
                <w:szCs w:val="24"/>
              </w:rPr>
              <w:t>USP</w:t>
            </w:r>
          </w:p>
        </w:tc>
        <w:tc>
          <w:tcPr>
            <w:tcW w:w="4264" w:type="dxa"/>
          </w:tcPr>
          <w:p w14:paraId="7BF5B252" w14:textId="77777777" w:rsidR="001D04B0" w:rsidRDefault="00000000">
            <w:pPr>
              <w:pStyle w:val="TableParagraph"/>
              <w:spacing w:line="240" w:lineRule="auto"/>
              <w:ind w:left="115"/>
              <w:rPr>
                <w:sz w:val="24"/>
                <w:szCs w:val="24"/>
              </w:rPr>
            </w:pPr>
            <w:r>
              <w:rPr>
                <w:sz w:val="24"/>
                <w:szCs w:val="24"/>
              </w:rPr>
              <w:t>United</w:t>
            </w:r>
            <w:r>
              <w:rPr>
                <w:spacing w:val="-1"/>
                <w:sz w:val="24"/>
                <w:szCs w:val="24"/>
              </w:rPr>
              <w:t xml:space="preserve"> </w:t>
            </w:r>
            <w:r>
              <w:rPr>
                <w:sz w:val="24"/>
                <w:szCs w:val="24"/>
              </w:rPr>
              <w:t xml:space="preserve">States </w:t>
            </w:r>
            <w:r>
              <w:rPr>
                <w:spacing w:val="-2"/>
                <w:sz w:val="24"/>
                <w:szCs w:val="24"/>
              </w:rPr>
              <w:t>Pharmacopeia</w:t>
            </w:r>
          </w:p>
        </w:tc>
      </w:tr>
      <w:tr w:rsidR="001D04B0" w14:paraId="4827E9AC" w14:textId="77777777">
        <w:trPr>
          <w:trHeight w:val="277"/>
        </w:trPr>
        <w:tc>
          <w:tcPr>
            <w:tcW w:w="4269" w:type="dxa"/>
          </w:tcPr>
          <w:p w14:paraId="3B711EAD" w14:textId="77777777" w:rsidR="001D04B0" w:rsidRDefault="00000000">
            <w:pPr>
              <w:pStyle w:val="TableParagraph"/>
              <w:spacing w:line="240" w:lineRule="auto"/>
              <w:ind w:left="119"/>
              <w:rPr>
                <w:sz w:val="24"/>
                <w:szCs w:val="24"/>
              </w:rPr>
            </w:pPr>
            <w:r>
              <w:rPr>
                <w:spacing w:val="-5"/>
                <w:sz w:val="24"/>
                <w:szCs w:val="24"/>
              </w:rPr>
              <w:t>IP</w:t>
            </w:r>
          </w:p>
        </w:tc>
        <w:tc>
          <w:tcPr>
            <w:tcW w:w="4264" w:type="dxa"/>
          </w:tcPr>
          <w:p w14:paraId="7DB29C6C" w14:textId="77777777" w:rsidR="001D04B0" w:rsidRDefault="00000000">
            <w:pPr>
              <w:pStyle w:val="TableParagraph"/>
              <w:spacing w:line="240" w:lineRule="auto"/>
              <w:ind w:left="115"/>
              <w:rPr>
                <w:sz w:val="24"/>
                <w:szCs w:val="24"/>
              </w:rPr>
            </w:pPr>
            <w:r>
              <w:rPr>
                <w:sz w:val="24"/>
                <w:szCs w:val="24"/>
              </w:rPr>
              <w:t>Indian</w:t>
            </w:r>
            <w:r>
              <w:rPr>
                <w:spacing w:val="-9"/>
                <w:sz w:val="24"/>
                <w:szCs w:val="24"/>
              </w:rPr>
              <w:t xml:space="preserve"> </w:t>
            </w:r>
            <w:r>
              <w:rPr>
                <w:spacing w:val="-2"/>
                <w:sz w:val="24"/>
                <w:szCs w:val="24"/>
              </w:rPr>
              <w:t>Pharmacopeia</w:t>
            </w:r>
          </w:p>
        </w:tc>
      </w:tr>
      <w:tr w:rsidR="001D04B0" w14:paraId="609DF534" w14:textId="77777777">
        <w:trPr>
          <w:trHeight w:val="272"/>
        </w:trPr>
        <w:tc>
          <w:tcPr>
            <w:tcW w:w="4269" w:type="dxa"/>
          </w:tcPr>
          <w:p w14:paraId="3E3C50DD" w14:textId="77777777" w:rsidR="001D04B0" w:rsidRDefault="00000000">
            <w:pPr>
              <w:pStyle w:val="TableParagraph"/>
              <w:spacing w:line="240" w:lineRule="auto"/>
              <w:ind w:left="119"/>
              <w:rPr>
                <w:sz w:val="24"/>
                <w:szCs w:val="24"/>
              </w:rPr>
            </w:pPr>
            <w:r>
              <w:rPr>
                <w:spacing w:val="-5"/>
                <w:sz w:val="24"/>
                <w:szCs w:val="24"/>
              </w:rPr>
              <w:t>BP</w:t>
            </w:r>
          </w:p>
        </w:tc>
        <w:tc>
          <w:tcPr>
            <w:tcW w:w="4264" w:type="dxa"/>
          </w:tcPr>
          <w:p w14:paraId="2AF6FEE9" w14:textId="77777777" w:rsidR="001D04B0" w:rsidRDefault="00000000">
            <w:pPr>
              <w:pStyle w:val="TableParagraph"/>
              <w:spacing w:line="240" w:lineRule="auto"/>
              <w:ind w:left="115"/>
              <w:rPr>
                <w:sz w:val="24"/>
                <w:szCs w:val="24"/>
              </w:rPr>
            </w:pPr>
            <w:r>
              <w:rPr>
                <w:spacing w:val="-2"/>
                <w:sz w:val="24"/>
                <w:szCs w:val="24"/>
              </w:rPr>
              <w:t>British</w:t>
            </w:r>
            <w:r>
              <w:rPr>
                <w:spacing w:val="-4"/>
                <w:sz w:val="24"/>
                <w:szCs w:val="24"/>
              </w:rPr>
              <w:t xml:space="preserve"> </w:t>
            </w:r>
            <w:r>
              <w:rPr>
                <w:spacing w:val="-2"/>
                <w:sz w:val="24"/>
                <w:szCs w:val="24"/>
              </w:rPr>
              <w:t>Pharmacopoeia</w:t>
            </w:r>
          </w:p>
        </w:tc>
      </w:tr>
      <w:tr w:rsidR="001D04B0" w14:paraId="7CFF566F" w14:textId="77777777">
        <w:trPr>
          <w:trHeight w:val="550"/>
        </w:trPr>
        <w:tc>
          <w:tcPr>
            <w:tcW w:w="4269" w:type="dxa"/>
          </w:tcPr>
          <w:p w14:paraId="26D4AD73" w14:textId="77777777" w:rsidR="001D04B0" w:rsidRDefault="00000000">
            <w:pPr>
              <w:pStyle w:val="TableParagraph"/>
              <w:spacing w:line="240" w:lineRule="auto"/>
              <w:ind w:left="119"/>
              <w:rPr>
                <w:sz w:val="24"/>
                <w:szCs w:val="24"/>
              </w:rPr>
            </w:pPr>
            <w:r>
              <w:rPr>
                <w:spacing w:val="-5"/>
                <w:sz w:val="24"/>
                <w:szCs w:val="24"/>
              </w:rPr>
              <w:t>ICH</w:t>
            </w:r>
          </w:p>
        </w:tc>
        <w:tc>
          <w:tcPr>
            <w:tcW w:w="4264" w:type="dxa"/>
          </w:tcPr>
          <w:p w14:paraId="480EDB49" w14:textId="77777777" w:rsidR="001D04B0" w:rsidRDefault="00000000">
            <w:pPr>
              <w:pStyle w:val="TableParagraph"/>
              <w:tabs>
                <w:tab w:val="left" w:pos="2054"/>
                <w:tab w:val="left" w:pos="3883"/>
              </w:tabs>
              <w:spacing w:line="240" w:lineRule="auto"/>
              <w:ind w:left="115" w:right="104"/>
              <w:rPr>
                <w:sz w:val="24"/>
                <w:szCs w:val="24"/>
              </w:rPr>
            </w:pPr>
            <w:r>
              <w:rPr>
                <w:spacing w:val="-2"/>
                <w:sz w:val="24"/>
                <w:szCs w:val="24"/>
              </w:rPr>
              <w:t>International</w:t>
            </w:r>
            <w:r>
              <w:rPr>
                <w:spacing w:val="-2"/>
                <w:sz w:val="24"/>
                <w:szCs w:val="24"/>
                <w:lang w:val="en-IN"/>
              </w:rPr>
              <w:t xml:space="preserve"> </w:t>
            </w:r>
            <w:r>
              <w:rPr>
                <w:spacing w:val="-2"/>
                <w:sz w:val="24"/>
                <w:szCs w:val="24"/>
              </w:rPr>
              <w:t>Conference</w:t>
            </w:r>
            <w:r>
              <w:rPr>
                <w:spacing w:val="-2"/>
                <w:sz w:val="24"/>
                <w:szCs w:val="24"/>
                <w:lang w:val="en-IN"/>
              </w:rPr>
              <w:t xml:space="preserve"> </w:t>
            </w:r>
            <w:r>
              <w:rPr>
                <w:spacing w:val="-8"/>
                <w:sz w:val="24"/>
                <w:szCs w:val="24"/>
              </w:rPr>
              <w:t xml:space="preserve">for </w:t>
            </w:r>
            <w:r>
              <w:rPr>
                <w:spacing w:val="-2"/>
                <w:sz w:val="24"/>
                <w:szCs w:val="24"/>
              </w:rPr>
              <w:t>Harmonization</w:t>
            </w:r>
          </w:p>
        </w:tc>
      </w:tr>
      <w:tr w:rsidR="001D04B0" w14:paraId="3B30825C" w14:textId="77777777">
        <w:trPr>
          <w:trHeight w:val="277"/>
        </w:trPr>
        <w:tc>
          <w:tcPr>
            <w:tcW w:w="4269" w:type="dxa"/>
          </w:tcPr>
          <w:p w14:paraId="6AA3D523" w14:textId="77777777" w:rsidR="001D04B0" w:rsidRDefault="00000000">
            <w:pPr>
              <w:pStyle w:val="TableParagraph"/>
              <w:spacing w:line="240" w:lineRule="auto"/>
              <w:ind w:left="119"/>
              <w:rPr>
                <w:sz w:val="24"/>
                <w:szCs w:val="24"/>
              </w:rPr>
            </w:pPr>
            <w:r>
              <w:rPr>
                <w:spacing w:val="-5"/>
                <w:sz w:val="24"/>
                <w:szCs w:val="24"/>
              </w:rPr>
              <w:t>WHO</w:t>
            </w:r>
          </w:p>
        </w:tc>
        <w:tc>
          <w:tcPr>
            <w:tcW w:w="4264" w:type="dxa"/>
          </w:tcPr>
          <w:p w14:paraId="2A348073" w14:textId="77777777" w:rsidR="001D04B0" w:rsidRDefault="00000000">
            <w:pPr>
              <w:pStyle w:val="TableParagraph"/>
              <w:spacing w:line="240" w:lineRule="auto"/>
              <w:ind w:left="115"/>
              <w:rPr>
                <w:sz w:val="24"/>
                <w:szCs w:val="24"/>
              </w:rPr>
            </w:pPr>
            <w:r>
              <w:rPr>
                <w:sz w:val="24"/>
                <w:szCs w:val="24"/>
              </w:rPr>
              <w:t>World</w:t>
            </w:r>
            <w:r>
              <w:rPr>
                <w:spacing w:val="-6"/>
                <w:sz w:val="24"/>
                <w:szCs w:val="24"/>
              </w:rPr>
              <w:t xml:space="preserve"> </w:t>
            </w:r>
            <w:r>
              <w:rPr>
                <w:sz w:val="24"/>
                <w:szCs w:val="24"/>
              </w:rPr>
              <w:t>Health</w:t>
            </w:r>
            <w:r>
              <w:rPr>
                <w:spacing w:val="-11"/>
                <w:sz w:val="24"/>
                <w:szCs w:val="24"/>
              </w:rPr>
              <w:t xml:space="preserve"> </w:t>
            </w:r>
            <w:r>
              <w:rPr>
                <w:spacing w:val="-2"/>
                <w:sz w:val="24"/>
                <w:szCs w:val="24"/>
              </w:rPr>
              <w:t>Organization</w:t>
            </w:r>
          </w:p>
        </w:tc>
      </w:tr>
      <w:tr w:rsidR="001D04B0" w14:paraId="5CA11393" w14:textId="77777777">
        <w:trPr>
          <w:trHeight w:val="272"/>
        </w:trPr>
        <w:tc>
          <w:tcPr>
            <w:tcW w:w="4269" w:type="dxa"/>
          </w:tcPr>
          <w:p w14:paraId="4F05E14E" w14:textId="77777777" w:rsidR="001D04B0" w:rsidRDefault="00000000">
            <w:pPr>
              <w:pStyle w:val="TableParagraph"/>
              <w:spacing w:line="240" w:lineRule="auto"/>
              <w:ind w:left="119"/>
              <w:rPr>
                <w:sz w:val="24"/>
                <w:szCs w:val="24"/>
              </w:rPr>
            </w:pPr>
            <w:r>
              <w:rPr>
                <w:spacing w:val="-4"/>
                <w:sz w:val="24"/>
                <w:szCs w:val="24"/>
              </w:rPr>
              <w:t>LLOQ</w:t>
            </w:r>
          </w:p>
        </w:tc>
        <w:tc>
          <w:tcPr>
            <w:tcW w:w="4264" w:type="dxa"/>
          </w:tcPr>
          <w:p w14:paraId="2FA15E08" w14:textId="77777777" w:rsidR="001D04B0" w:rsidRDefault="00000000">
            <w:pPr>
              <w:pStyle w:val="TableParagraph"/>
              <w:spacing w:line="240" w:lineRule="auto"/>
              <w:ind w:left="115"/>
              <w:rPr>
                <w:sz w:val="24"/>
                <w:szCs w:val="24"/>
              </w:rPr>
            </w:pPr>
            <w:r>
              <w:rPr>
                <w:sz w:val="24"/>
                <w:szCs w:val="24"/>
              </w:rPr>
              <w:t>Lower Llimit</w:t>
            </w:r>
            <w:r>
              <w:rPr>
                <w:spacing w:val="7"/>
                <w:sz w:val="24"/>
                <w:szCs w:val="24"/>
              </w:rPr>
              <w:t xml:space="preserve"> </w:t>
            </w:r>
            <w:r>
              <w:rPr>
                <w:sz w:val="24"/>
                <w:szCs w:val="24"/>
              </w:rPr>
              <w:t>of</w:t>
            </w:r>
            <w:r>
              <w:rPr>
                <w:spacing w:val="40"/>
                <w:sz w:val="24"/>
                <w:szCs w:val="24"/>
              </w:rPr>
              <w:t xml:space="preserve"> </w:t>
            </w:r>
            <w:r>
              <w:rPr>
                <w:spacing w:val="-2"/>
                <w:sz w:val="24"/>
                <w:szCs w:val="24"/>
              </w:rPr>
              <w:t>Quantification</w:t>
            </w:r>
          </w:p>
        </w:tc>
      </w:tr>
      <w:tr w:rsidR="001D04B0" w14:paraId="00631CFC" w14:textId="77777777">
        <w:trPr>
          <w:trHeight w:val="273"/>
        </w:trPr>
        <w:tc>
          <w:tcPr>
            <w:tcW w:w="4269" w:type="dxa"/>
          </w:tcPr>
          <w:p w14:paraId="2A78D0DC" w14:textId="77777777" w:rsidR="001D04B0" w:rsidRDefault="00000000">
            <w:pPr>
              <w:pStyle w:val="TableParagraph"/>
              <w:spacing w:line="240" w:lineRule="auto"/>
              <w:ind w:left="119"/>
              <w:rPr>
                <w:sz w:val="24"/>
                <w:szCs w:val="24"/>
              </w:rPr>
            </w:pPr>
            <w:r>
              <w:rPr>
                <w:spacing w:val="-4"/>
                <w:sz w:val="24"/>
                <w:szCs w:val="24"/>
              </w:rPr>
              <w:t>ULOQ</w:t>
            </w:r>
          </w:p>
        </w:tc>
        <w:tc>
          <w:tcPr>
            <w:tcW w:w="4264" w:type="dxa"/>
          </w:tcPr>
          <w:p w14:paraId="77F15552" w14:textId="77777777" w:rsidR="001D04B0" w:rsidRDefault="00000000">
            <w:pPr>
              <w:pStyle w:val="TableParagraph"/>
              <w:spacing w:line="240" w:lineRule="auto"/>
              <w:ind w:left="115"/>
              <w:rPr>
                <w:sz w:val="24"/>
                <w:szCs w:val="24"/>
              </w:rPr>
            </w:pPr>
            <w:r>
              <w:rPr>
                <w:sz w:val="24"/>
                <w:szCs w:val="24"/>
              </w:rPr>
              <w:t>Upper Limit</w:t>
            </w:r>
            <w:r>
              <w:rPr>
                <w:spacing w:val="9"/>
                <w:sz w:val="24"/>
                <w:szCs w:val="24"/>
              </w:rPr>
              <w:t xml:space="preserve"> </w:t>
            </w:r>
            <w:r>
              <w:rPr>
                <w:sz w:val="24"/>
                <w:szCs w:val="24"/>
              </w:rPr>
              <w:t>of</w:t>
            </w:r>
            <w:r>
              <w:rPr>
                <w:spacing w:val="42"/>
                <w:sz w:val="24"/>
                <w:szCs w:val="24"/>
              </w:rPr>
              <w:t xml:space="preserve"> </w:t>
            </w:r>
            <w:r>
              <w:rPr>
                <w:spacing w:val="-2"/>
                <w:sz w:val="24"/>
                <w:szCs w:val="24"/>
              </w:rPr>
              <w:t>Quantification</w:t>
            </w:r>
          </w:p>
        </w:tc>
      </w:tr>
      <w:tr w:rsidR="001D04B0" w14:paraId="404EFB08" w14:textId="77777777">
        <w:trPr>
          <w:trHeight w:val="272"/>
        </w:trPr>
        <w:tc>
          <w:tcPr>
            <w:tcW w:w="4269" w:type="dxa"/>
          </w:tcPr>
          <w:p w14:paraId="755B9C20" w14:textId="77777777" w:rsidR="001D04B0" w:rsidRDefault="00000000">
            <w:pPr>
              <w:pStyle w:val="TableParagraph"/>
              <w:spacing w:line="240" w:lineRule="auto"/>
              <w:ind w:left="119"/>
              <w:rPr>
                <w:sz w:val="24"/>
                <w:szCs w:val="24"/>
              </w:rPr>
            </w:pPr>
            <w:r>
              <w:rPr>
                <w:spacing w:val="-5"/>
                <w:sz w:val="24"/>
                <w:szCs w:val="24"/>
              </w:rPr>
              <w:t>RSD</w:t>
            </w:r>
          </w:p>
        </w:tc>
        <w:tc>
          <w:tcPr>
            <w:tcW w:w="4264" w:type="dxa"/>
          </w:tcPr>
          <w:p w14:paraId="56817AC0" w14:textId="77777777" w:rsidR="001D04B0" w:rsidRDefault="00000000">
            <w:pPr>
              <w:pStyle w:val="TableParagraph"/>
              <w:spacing w:line="240" w:lineRule="auto"/>
              <w:ind w:left="115"/>
              <w:rPr>
                <w:sz w:val="24"/>
                <w:szCs w:val="24"/>
              </w:rPr>
            </w:pPr>
            <w:r>
              <w:rPr>
                <w:sz w:val="24"/>
                <w:szCs w:val="24"/>
              </w:rPr>
              <w:t>Relative</w:t>
            </w:r>
            <w:r>
              <w:rPr>
                <w:spacing w:val="-3"/>
                <w:sz w:val="24"/>
                <w:szCs w:val="24"/>
              </w:rPr>
              <w:t xml:space="preserve"> </w:t>
            </w:r>
            <w:r>
              <w:rPr>
                <w:sz w:val="24"/>
                <w:szCs w:val="24"/>
              </w:rPr>
              <w:t>Standard</w:t>
            </w:r>
            <w:r>
              <w:rPr>
                <w:spacing w:val="1"/>
                <w:sz w:val="24"/>
                <w:szCs w:val="24"/>
              </w:rPr>
              <w:t xml:space="preserve"> </w:t>
            </w:r>
            <w:r>
              <w:rPr>
                <w:spacing w:val="-2"/>
                <w:sz w:val="24"/>
                <w:szCs w:val="24"/>
              </w:rPr>
              <w:t>Deviation</w:t>
            </w:r>
          </w:p>
        </w:tc>
      </w:tr>
      <w:tr w:rsidR="001D04B0" w14:paraId="177A651A" w14:textId="77777777">
        <w:trPr>
          <w:trHeight w:val="277"/>
        </w:trPr>
        <w:tc>
          <w:tcPr>
            <w:tcW w:w="4269" w:type="dxa"/>
          </w:tcPr>
          <w:p w14:paraId="31012F3C" w14:textId="77777777" w:rsidR="001D04B0" w:rsidRDefault="00000000">
            <w:pPr>
              <w:pStyle w:val="TableParagraph"/>
              <w:spacing w:line="240" w:lineRule="auto"/>
              <w:ind w:left="119"/>
              <w:rPr>
                <w:sz w:val="24"/>
                <w:szCs w:val="24"/>
              </w:rPr>
            </w:pPr>
            <w:r>
              <w:rPr>
                <w:spacing w:val="-5"/>
                <w:sz w:val="24"/>
                <w:szCs w:val="24"/>
              </w:rPr>
              <w:t>CV</w:t>
            </w:r>
          </w:p>
        </w:tc>
        <w:tc>
          <w:tcPr>
            <w:tcW w:w="4264" w:type="dxa"/>
          </w:tcPr>
          <w:p w14:paraId="157DD5A9" w14:textId="77777777" w:rsidR="001D04B0" w:rsidRDefault="00000000">
            <w:pPr>
              <w:pStyle w:val="TableParagraph"/>
              <w:spacing w:line="240" w:lineRule="auto"/>
              <w:ind w:left="115"/>
              <w:rPr>
                <w:sz w:val="24"/>
                <w:szCs w:val="24"/>
              </w:rPr>
            </w:pPr>
            <w:r>
              <w:rPr>
                <w:sz w:val="24"/>
                <w:szCs w:val="24"/>
              </w:rPr>
              <w:t>Coefficient</w:t>
            </w:r>
            <w:r>
              <w:rPr>
                <w:spacing w:val="-2"/>
                <w:sz w:val="24"/>
                <w:szCs w:val="24"/>
              </w:rPr>
              <w:t xml:space="preserve"> </w:t>
            </w:r>
            <w:r>
              <w:rPr>
                <w:sz w:val="24"/>
                <w:szCs w:val="24"/>
              </w:rPr>
              <w:t>of</w:t>
            </w:r>
            <w:r>
              <w:rPr>
                <w:spacing w:val="-13"/>
                <w:sz w:val="24"/>
                <w:szCs w:val="24"/>
              </w:rPr>
              <w:t xml:space="preserve"> </w:t>
            </w:r>
            <w:r>
              <w:rPr>
                <w:spacing w:val="-2"/>
                <w:sz w:val="24"/>
                <w:szCs w:val="24"/>
              </w:rPr>
              <w:t>Variation</w:t>
            </w:r>
          </w:p>
        </w:tc>
      </w:tr>
      <w:tr w:rsidR="001D04B0" w14:paraId="037CE375" w14:textId="77777777">
        <w:trPr>
          <w:trHeight w:val="277"/>
        </w:trPr>
        <w:tc>
          <w:tcPr>
            <w:tcW w:w="4269" w:type="dxa"/>
          </w:tcPr>
          <w:p w14:paraId="4D854C78" w14:textId="77777777" w:rsidR="001D04B0" w:rsidRDefault="00000000">
            <w:pPr>
              <w:pStyle w:val="TableParagraph"/>
              <w:spacing w:line="240" w:lineRule="auto"/>
              <w:ind w:left="119"/>
              <w:rPr>
                <w:sz w:val="24"/>
                <w:szCs w:val="24"/>
              </w:rPr>
            </w:pPr>
            <w:r>
              <w:rPr>
                <w:spacing w:val="-5"/>
                <w:sz w:val="24"/>
                <w:szCs w:val="24"/>
              </w:rPr>
              <w:t>LOD</w:t>
            </w:r>
          </w:p>
        </w:tc>
        <w:tc>
          <w:tcPr>
            <w:tcW w:w="4264" w:type="dxa"/>
          </w:tcPr>
          <w:p w14:paraId="0DD37003" w14:textId="77777777" w:rsidR="001D04B0" w:rsidRDefault="00000000">
            <w:pPr>
              <w:pStyle w:val="TableParagraph"/>
              <w:spacing w:line="240" w:lineRule="auto"/>
              <w:ind w:left="115"/>
              <w:rPr>
                <w:sz w:val="24"/>
                <w:szCs w:val="24"/>
              </w:rPr>
            </w:pPr>
            <w:r>
              <w:rPr>
                <w:sz w:val="24"/>
                <w:szCs w:val="24"/>
              </w:rPr>
              <w:t>Limit</w:t>
            </w:r>
            <w:r>
              <w:rPr>
                <w:spacing w:val="-3"/>
                <w:sz w:val="24"/>
                <w:szCs w:val="24"/>
              </w:rPr>
              <w:t xml:space="preserve"> </w:t>
            </w:r>
            <w:r>
              <w:rPr>
                <w:sz w:val="24"/>
                <w:szCs w:val="24"/>
              </w:rPr>
              <w:t>of</w:t>
            </w:r>
            <w:r>
              <w:rPr>
                <w:spacing w:val="-20"/>
                <w:sz w:val="24"/>
                <w:szCs w:val="24"/>
              </w:rPr>
              <w:t xml:space="preserve"> </w:t>
            </w:r>
            <w:r>
              <w:rPr>
                <w:spacing w:val="-2"/>
                <w:sz w:val="24"/>
                <w:szCs w:val="24"/>
              </w:rPr>
              <w:t>Detection</w:t>
            </w:r>
          </w:p>
        </w:tc>
      </w:tr>
      <w:tr w:rsidR="001D04B0" w14:paraId="4C07974F" w14:textId="77777777">
        <w:trPr>
          <w:trHeight w:val="272"/>
        </w:trPr>
        <w:tc>
          <w:tcPr>
            <w:tcW w:w="4269" w:type="dxa"/>
          </w:tcPr>
          <w:p w14:paraId="692EB41A" w14:textId="77777777" w:rsidR="001D04B0" w:rsidRDefault="00000000">
            <w:pPr>
              <w:pStyle w:val="TableParagraph"/>
              <w:spacing w:line="240" w:lineRule="auto"/>
              <w:ind w:left="119"/>
              <w:rPr>
                <w:sz w:val="24"/>
                <w:szCs w:val="24"/>
              </w:rPr>
            </w:pPr>
            <w:r>
              <w:rPr>
                <w:spacing w:val="-5"/>
                <w:sz w:val="24"/>
                <w:szCs w:val="24"/>
              </w:rPr>
              <w:t>LOQ</w:t>
            </w:r>
          </w:p>
        </w:tc>
        <w:tc>
          <w:tcPr>
            <w:tcW w:w="4264" w:type="dxa"/>
          </w:tcPr>
          <w:p w14:paraId="3FC036EA" w14:textId="77777777" w:rsidR="001D04B0" w:rsidRDefault="00000000">
            <w:pPr>
              <w:pStyle w:val="TableParagraph"/>
              <w:spacing w:line="240" w:lineRule="auto"/>
              <w:ind w:left="115"/>
              <w:rPr>
                <w:sz w:val="24"/>
                <w:szCs w:val="24"/>
              </w:rPr>
            </w:pPr>
            <w:r>
              <w:rPr>
                <w:sz w:val="24"/>
                <w:szCs w:val="24"/>
              </w:rPr>
              <w:t>Limit</w:t>
            </w:r>
            <w:r>
              <w:rPr>
                <w:spacing w:val="-3"/>
                <w:sz w:val="24"/>
                <w:szCs w:val="24"/>
              </w:rPr>
              <w:t xml:space="preserve"> </w:t>
            </w:r>
            <w:r>
              <w:rPr>
                <w:sz w:val="24"/>
                <w:szCs w:val="24"/>
              </w:rPr>
              <w:t>of</w:t>
            </w:r>
            <w:r>
              <w:rPr>
                <w:spacing w:val="-20"/>
                <w:sz w:val="24"/>
                <w:szCs w:val="24"/>
              </w:rPr>
              <w:t xml:space="preserve"> </w:t>
            </w:r>
            <w:r>
              <w:rPr>
                <w:spacing w:val="-2"/>
                <w:sz w:val="24"/>
                <w:szCs w:val="24"/>
              </w:rPr>
              <w:t>Quantification</w:t>
            </w:r>
          </w:p>
        </w:tc>
      </w:tr>
      <w:tr w:rsidR="001D04B0" w14:paraId="52BEEB9E" w14:textId="77777777">
        <w:trPr>
          <w:trHeight w:val="550"/>
        </w:trPr>
        <w:tc>
          <w:tcPr>
            <w:tcW w:w="4269" w:type="dxa"/>
          </w:tcPr>
          <w:p w14:paraId="5A44858B" w14:textId="77777777" w:rsidR="001D04B0" w:rsidRDefault="00000000">
            <w:pPr>
              <w:pStyle w:val="TableParagraph"/>
              <w:spacing w:line="240" w:lineRule="auto"/>
              <w:ind w:left="119"/>
              <w:rPr>
                <w:spacing w:val="-2"/>
                <w:sz w:val="24"/>
                <w:szCs w:val="24"/>
              </w:rPr>
            </w:pPr>
            <w:r>
              <w:rPr>
                <w:spacing w:val="-2"/>
                <w:sz w:val="24"/>
                <w:szCs w:val="24"/>
              </w:rPr>
              <w:t>IUPAC</w:t>
            </w:r>
          </w:p>
          <w:p w14:paraId="11C40927" w14:textId="77777777" w:rsidR="001D04B0" w:rsidRDefault="001D04B0">
            <w:pPr>
              <w:pStyle w:val="TableParagraph"/>
              <w:spacing w:line="240" w:lineRule="auto"/>
              <w:ind w:left="119"/>
              <w:rPr>
                <w:spacing w:val="-2"/>
                <w:sz w:val="24"/>
                <w:szCs w:val="24"/>
              </w:rPr>
            </w:pPr>
          </w:p>
          <w:p w14:paraId="289FE6F9" w14:textId="77777777" w:rsidR="001D04B0" w:rsidRDefault="001D04B0">
            <w:pPr>
              <w:pStyle w:val="TableParagraph"/>
              <w:spacing w:line="240" w:lineRule="auto"/>
              <w:ind w:left="119"/>
              <w:rPr>
                <w:spacing w:val="-2"/>
                <w:sz w:val="24"/>
                <w:szCs w:val="24"/>
              </w:rPr>
            </w:pPr>
          </w:p>
          <w:p w14:paraId="196CB514" w14:textId="77777777" w:rsidR="001D04B0" w:rsidRDefault="00000000">
            <w:pPr>
              <w:pStyle w:val="TableParagraph"/>
              <w:spacing w:line="240" w:lineRule="auto"/>
              <w:ind w:left="119"/>
              <w:rPr>
                <w:spacing w:val="-2"/>
                <w:sz w:val="24"/>
                <w:szCs w:val="24"/>
                <w:lang w:val="en-IN"/>
              </w:rPr>
            </w:pPr>
            <w:r>
              <w:rPr>
                <w:spacing w:val="-2"/>
                <w:sz w:val="24"/>
                <w:szCs w:val="24"/>
                <w:lang w:val="en-IN"/>
              </w:rPr>
              <w:t>CAS</w:t>
            </w:r>
          </w:p>
        </w:tc>
        <w:tc>
          <w:tcPr>
            <w:tcW w:w="4264" w:type="dxa"/>
          </w:tcPr>
          <w:p w14:paraId="7A6B72D7" w14:textId="77777777" w:rsidR="001D04B0" w:rsidRDefault="00000000">
            <w:pPr>
              <w:pStyle w:val="TableParagraph"/>
              <w:spacing w:line="240" w:lineRule="auto"/>
              <w:ind w:left="115"/>
              <w:rPr>
                <w:spacing w:val="-2"/>
                <w:sz w:val="24"/>
                <w:szCs w:val="24"/>
              </w:rPr>
            </w:pPr>
            <w:r>
              <w:rPr>
                <w:sz w:val="24"/>
                <w:szCs w:val="24"/>
              </w:rPr>
              <w:t>International</w:t>
            </w:r>
            <w:r>
              <w:rPr>
                <w:spacing w:val="23"/>
                <w:sz w:val="24"/>
                <w:szCs w:val="24"/>
              </w:rPr>
              <w:t xml:space="preserve"> </w:t>
            </w:r>
            <w:r>
              <w:rPr>
                <w:sz w:val="24"/>
                <w:szCs w:val="24"/>
              </w:rPr>
              <w:t>Union of</w:t>
            </w:r>
            <w:r>
              <w:rPr>
                <w:spacing w:val="-4"/>
                <w:sz w:val="24"/>
                <w:szCs w:val="24"/>
              </w:rPr>
              <w:t xml:space="preserve"> </w:t>
            </w:r>
            <w:r>
              <w:rPr>
                <w:sz w:val="24"/>
                <w:szCs w:val="24"/>
              </w:rPr>
              <w:t>Pure and</w:t>
            </w:r>
            <w:r>
              <w:rPr>
                <w:spacing w:val="30"/>
                <w:sz w:val="24"/>
                <w:szCs w:val="24"/>
              </w:rPr>
              <w:t xml:space="preserve"> </w:t>
            </w:r>
            <w:r>
              <w:rPr>
                <w:sz w:val="24"/>
                <w:szCs w:val="24"/>
              </w:rPr>
              <w:t xml:space="preserve">Applied </w:t>
            </w:r>
            <w:r>
              <w:rPr>
                <w:spacing w:val="-2"/>
                <w:sz w:val="24"/>
                <w:szCs w:val="24"/>
              </w:rPr>
              <w:t>Chemistry</w:t>
            </w:r>
          </w:p>
          <w:p w14:paraId="07219340" w14:textId="77777777" w:rsidR="001D04B0" w:rsidRDefault="001D04B0">
            <w:pPr>
              <w:pStyle w:val="TableParagraph"/>
              <w:spacing w:line="240" w:lineRule="auto"/>
              <w:ind w:left="115"/>
              <w:rPr>
                <w:spacing w:val="-2"/>
                <w:sz w:val="24"/>
                <w:szCs w:val="24"/>
              </w:rPr>
            </w:pPr>
          </w:p>
          <w:p w14:paraId="2E1ABC84" w14:textId="77777777" w:rsidR="001D04B0" w:rsidRDefault="00000000">
            <w:pPr>
              <w:pStyle w:val="TableParagraph"/>
              <w:spacing w:line="240" w:lineRule="auto"/>
              <w:ind w:left="115"/>
              <w:rPr>
                <w:spacing w:val="-2"/>
                <w:sz w:val="24"/>
                <w:szCs w:val="24"/>
              </w:rPr>
            </w:pPr>
            <w:r>
              <w:rPr>
                <w:spacing w:val="-4"/>
                <w:sz w:val="24"/>
                <w:szCs w:val="24"/>
              </w:rPr>
              <w:t>Chemical</w:t>
            </w:r>
            <w:r>
              <w:rPr>
                <w:spacing w:val="-5"/>
                <w:sz w:val="24"/>
                <w:szCs w:val="24"/>
              </w:rPr>
              <w:t xml:space="preserve"> </w:t>
            </w:r>
            <w:r>
              <w:rPr>
                <w:spacing w:val="-4"/>
                <w:sz w:val="24"/>
                <w:szCs w:val="24"/>
              </w:rPr>
              <w:t>Abstracts</w:t>
            </w:r>
            <w:r>
              <w:rPr>
                <w:spacing w:val="-21"/>
                <w:sz w:val="24"/>
                <w:szCs w:val="24"/>
              </w:rPr>
              <w:t xml:space="preserve"> </w:t>
            </w:r>
            <w:r>
              <w:rPr>
                <w:spacing w:val="-4"/>
                <w:sz w:val="24"/>
                <w:szCs w:val="24"/>
              </w:rPr>
              <w:t>Service</w:t>
            </w:r>
          </w:p>
        </w:tc>
      </w:tr>
      <w:tr w:rsidR="001D04B0" w14:paraId="405A62B0"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14:paraId="0161FA2C" w14:textId="77777777" w:rsidR="001D04B0" w:rsidRDefault="00000000">
            <w:pPr>
              <w:pStyle w:val="TableParagraph"/>
              <w:spacing w:line="240" w:lineRule="auto"/>
              <w:ind w:left="119"/>
              <w:rPr>
                <w:sz w:val="24"/>
                <w:szCs w:val="24"/>
              </w:rPr>
            </w:pPr>
            <w:r>
              <w:rPr>
                <w:spacing w:val="-5"/>
                <w:sz w:val="24"/>
                <w:szCs w:val="24"/>
              </w:rPr>
              <w:t>FDA</w:t>
            </w:r>
          </w:p>
        </w:tc>
        <w:tc>
          <w:tcPr>
            <w:tcW w:w="4264" w:type="dxa"/>
            <w:tcBorders>
              <w:top w:val="single" w:sz="4" w:space="0" w:color="000000"/>
              <w:left w:val="single" w:sz="4" w:space="0" w:color="000000"/>
              <w:bottom w:val="single" w:sz="4" w:space="0" w:color="000000"/>
              <w:right w:val="single" w:sz="4" w:space="0" w:color="000000"/>
            </w:tcBorders>
          </w:tcPr>
          <w:p w14:paraId="26C7216F" w14:textId="77777777" w:rsidR="001D04B0" w:rsidRDefault="00000000">
            <w:pPr>
              <w:pStyle w:val="TableParagraph"/>
              <w:spacing w:line="240" w:lineRule="auto"/>
              <w:ind w:left="119"/>
              <w:rPr>
                <w:sz w:val="24"/>
                <w:szCs w:val="24"/>
              </w:rPr>
            </w:pPr>
            <w:r>
              <w:rPr>
                <w:sz w:val="24"/>
                <w:szCs w:val="24"/>
              </w:rPr>
              <w:t>Food</w:t>
            </w:r>
            <w:r>
              <w:rPr>
                <w:spacing w:val="-14"/>
                <w:sz w:val="24"/>
                <w:szCs w:val="24"/>
              </w:rPr>
              <w:t xml:space="preserve"> </w:t>
            </w:r>
            <w:r>
              <w:rPr>
                <w:sz w:val="24"/>
                <w:szCs w:val="24"/>
              </w:rPr>
              <w:t>and</w:t>
            </w:r>
            <w:r>
              <w:rPr>
                <w:spacing w:val="-9"/>
                <w:sz w:val="24"/>
                <w:szCs w:val="24"/>
              </w:rPr>
              <w:t xml:space="preserve"> </w:t>
            </w:r>
            <w:r>
              <w:rPr>
                <w:sz w:val="24"/>
                <w:szCs w:val="24"/>
              </w:rPr>
              <w:t>Drug</w:t>
            </w:r>
            <w:r>
              <w:rPr>
                <w:spacing w:val="-9"/>
                <w:sz w:val="24"/>
                <w:szCs w:val="24"/>
              </w:rPr>
              <w:t xml:space="preserve"> </w:t>
            </w:r>
            <w:r>
              <w:rPr>
                <w:spacing w:val="-2"/>
                <w:sz w:val="24"/>
                <w:szCs w:val="24"/>
              </w:rPr>
              <w:t>Administration</w:t>
            </w:r>
          </w:p>
        </w:tc>
      </w:tr>
      <w:tr w:rsidR="001D04B0" w14:paraId="5E017ADF"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14:paraId="6688C43A" w14:textId="77777777" w:rsidR="001D04B0" w:rsidRDefault="00000000">
            <w:pPr>
              <w:pStyle w:val="TableParagraph"/>
              <w:spacing w:line="240" w:lineRule="auto"/>
              <w:ind w:left="119"/>
              <w:rPr>
                <w:sz w:val="24"/>
                <w:szCs w:val="24"/>
              </w:rPr>
            </w:pPr>
            <w:r>
              <w:rPr>
                <w:spacing w:val="-5"/>
                <w:sz w:val="24"/>
                <w:szCs w:val="24"/>
              </w:rPr>
              <w:t>BCS</w:t>
            </w:r>
          </w:p>
        </w:tc>
        <w:tc>
          <w:tcPr>
            <w:tcW w:w="4264" w:type="dxa"/>
            <w:tcBorders>
              <w:top w:val="single" w:sz="4" w:space="0" w:color="000000"/>
              <w:left w:val="single" w:sz="4" w:space="0" w:color="000000"/>
              <w:bottom w:val="single" w:sz="4" w:space="0" w:color="000000"/>
              <w:right w:val="single" w:sz="4" w:space="0" w:color="000000"/>
            </w:tcBorders>
          </w:tcPr>
          <w:p w14:paraId="27DCD5C4" w14:textId="77777777" w:rsidR="001D04B0" w:rsidRDefault="00000000">
            <w:pPr>
              <w:pStyle w:val="TableParagraph"/>
              <w:spacing w:line="240" w:lineRule="auto"/>
              <w:ind w:left="119"/>
              <w:rPr>
                <w:sz w:val="24"/>
                <w:szCs w:val="24"/>
              </w:rPr>
            </w:pPr>
            <w:r>
              <w:rPr>
                <w:spacing w:val="-2"/>
                <w:sz w:val="24"/>
                <w:szCs w:val="24"/>
              </w:rPr>
              <w:t>Biopharmaceutics</w:t>
            </w:r>
            <w:r>
              <w:rPr>
                <w:spacing w:val="-14"/>
                <w:sz w:val="24"/>
                <w:szCs w:val="24"/>
              </w:rPr>
              <w:t xml:space="preserve"> </w:t>
            </w:r>
            <w:r>
              <w:rPr>
                <w:spacing w:val="-2"/>
                <w:sz w:val="24"/>
                <w:szCs w:val="24"/>
              </w:rPr>
              <w:t>Classification</w:t>
            </w:r>
            <w:r>
              <w:rPr>
                <w:spacing w:val="-18"/>
                <w:sz w:val="24"/>
                <w:szCs w:val="24"/>
              </w:rPr>
              <w:t xml:space="preserve"> </w:t>
            </w:r>
            <w:r>
              <w:rPr>
                <w:spacing w:val="-2"/>
                <w:sz w:val="24"/>
                <w:szCs w:val="24"/>
              </w:rPr>
              <w:t>System</w:t>
            </w:r>
          </w:p>
        </w:tc>
      </w:tr>
      <w:tr w:rsidR="001D04B0" w14:paraId="0B9C818B"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14:paraId="79D39F77" w14:textId="77777777" w:rsidR="001D04B0" w:rsidRDefault="00000000">
            <w:pPr>
              <w:pStyle w:val="TableParagraph"/>
              <w:spacing w:line="240" w:lineRule="auto"/>
              <w:ind w:left="119"/>
              <w:rPr>
                <w:sz w:val="24"/>
                <w:szCs w:val="24"/>
              </w:rPr>
            </w:pPr>
            <w:r>
              <w:rPr>
                <w:spacing w:val="-4"/>
                <w:sz w:val="24"/>
                <w:szCs w:val="24"/>
              </w:rPr>
              <w:lastRenderedPageBreak/>
              <w:t>DMSO</w:t>
            </w:r>
          </w:p>
        </w:tc>
        <w:tc>
          <w:tcPr>
            <w:tcW w:w="4264" w:type="dxa"/>
            <w:tcBorders>
              <w:top w:val="single" w:sz="4" w:space="0" w:color="000000"/>
              <w:left w:val="single" w:sz="4" w:space="0" w:color="000000"/>
              <w:bottom w:val="single" w:sz="4" w:space="0" w:color="000000"/>
              <w:right w:val="single" w:sz="4" w:space="0" w:color="000000"/>
            </w:tcBorders>
          </w:tcPr>
          <w:p w14:paraId="46998BFF" w14:textId="77777777" w:rsidR="001D04B0" w:rsidRDefault="00000000">
            <w:pPr>
              <w:pStyle w:val="TableParagraph"/>
              <w:spacing w:line="240" w:lineRule="auto"/>
              <w:ind w:left="119"/>
              <w:rPr>
                <w:sz w:val="24"/>
                <w:szCs w:val="24"/>
              </w:rPr>
            </w:pPr>
            <w:r>
              <w:rPr>
                <w:spacing w:val="-2"/>
                <w:sz w:val="24"/>
                <w:szCs w:val="24"/>
              </w:rPr>
              <w:t>Dimethyl</w:t>
            </w:r>
            <w:r>
              <w:rPr>
                <w:spacing w:val="-13"/>
                <w:sz w:val="24"/>
                <w:szCs w:val="24"/>
              </w:rPr>
              <w:t xml:space="preserve"> </w:t>
            </w:r>
            <w:r>
              <w:rPr>
                <w:spacing w:val="-2"/>
                <w:sz w:val="24"/>
                <w:szCs w:val="24"/>
              </w:rPr>
              <w:t>sulfoxide</w:t>
            </w:r>
          </w:p>
        </w:tc>
      </w:tr>
      <w:tr w:rsidR="001D04B0" w14:paraId="746F1344"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0E22650D" w14:textId="77777777" w:rsidR="001D04B0" w:rsidRDefault="00000000">
            <w:pPr>
              <w:pStyle w:val="TableParagraph"/>
              <w:spacing w:line="240" w:lineRule="auto"/>
              <w:ind w:left="119"/>
              <w:rPr>
                <w:sz w:val="24"/>
                <w:szCs w:val="24"/>
              </w:rPr>
            </w:pPr>
            <w:r>
              <w:rPr>
                <w:spacing w:val="-4"/>
                <w:sz w:val="24"/>
                <w:szCs w:val="24"/>
              </w:rPr>
              <w:t>RAAS</w:t>
            </w:r>
          </w:p>
        </w:tc>
        <w:tc>
          <w:tcPr>
            <w:tcW w:w="4264" w:type="dxa"/>
            <w:tcBorders>
              <w:top w:val="single" w:sz="4" w:space="0" w:color="000000"/>
              <w:left w:val="single" w:sz="4" w:space="0" w:color="000000"/>
              <w:bottom w:val="single" w:sz="4" w:space="0" w:color="000000"/>
              <w:right w:val="single" w:sz="4" w:space="0" w:color="000000"/>
            </w:tcBorders>
          </w:tcPr>
          <w:p w14:paraId="588B5600" w14:textId="77777777" w:rsidR="001D04B0" w:rsidRDefault="00000000">
            <w:pPr>
              <w:pStyle w:val="TableParagraph"/>
              <w:spacing w:line="240" w:lineRule="auto"/>
              <w:ind w:left="115"/>
              <w:rPr>
                <w:sz w:val="24"/>
                <w:szCs w:val="24"/>
              </w:rPr>
            </w:pPr>
            <w:r>
              <w:rPr>
                <w:spacing w:val="-2"/>
                <w:sz w:val="24"/>
                <w:szCs w:val="24"/>
              </w:rPr>
              <w:t>Renin-Angiotensin-</w:t>
            </w:r>
            <w:r>
              <w:rPr>
                <w:spacing w:val="35"/>
                <w:sz w:val="24"/>
                <w:szCs w:val="24"/>
              </w:rPr>
              <w:t xml:space="preserve"> </w:t>
            </w:r>
            <w:r>
              <w:rPr>
                <w:spacing w:val="-2"/>
                <w:sz w:val="24"/>
                <w:szCs w:val="24"/>
              </w:rPr>
              <w:t>Aldosterone-System</w:t>
            </w:r>
          </w:p>
        </w:tc>
      </w:tr>
      <w:tr w:rsidR="001D04B0" w14:paraId="58016E4D"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14:paraId="64430CAA" w14:textId="77777777" w:rsidR="001D04B0" w:rsidRDefault="00000000">
            <w:pPr>
              <w:pStyle w:val="TableParagraph"/>
              <w:spacing w:line="240" w:lineRule="auto"/>
              <w:ind w:left="119"/>
              <w:rPr>
                <w:sz w:val="24"/>
                <w:szCs w:val="24"/>
              </w:rPr>
            </w:pPr>
            <w:r>
              <w:rPr>
                <w:spacing w:val="-4"/>
                <w:sz w:val="24"/>
                <w:szCs w:val="24"/>
              </w:rPr>
              <w:t>DAPA</w:t>
            </w:r>
          </w:p>
        </w:tc>
        <w:tc>
          <w:tcPr>
            <w:tcW w:w="4264" w:type="dxa"/>
            <w:tcBorders>
              <w:top w:val="single" w:sz="4" w:space="0" w:color="000000"/>
              <w:left w:val="single" w:sz="4" w:space="0" w:color="000000"/>
              <w:bottom w:val="single" w:sz="4" w:space="0" w:color="000000"/>
              <w:right w:val="single" w:sz="4" w:space="0" w:color="000000"/>
            </w:tcBorders>
          </w:tcPr>
          <w:p w14:paraId="7B49C46C" w14:textId="77777777" w:rsidR="001D04B0" w:rsidRDefault="00000000">
            <w:pPr>
              <w:pStyle w:val="TableParagraph"/>
              <w:spacing w:line="240" w:lineRule="auto"/>
              <w:ind w:left="115"/>
              <w:rPr>
                <w:sz w:val="24"/>
                <w:szCs w:val="24"/>
              </w:rPr>
            </w:pPr>
            <w:r>
              <w:rPr>
                <w:sz w:val="24"/>
                <w:szCs w:val="24"/>
              </w:rPr>
              <w:t>Dapagliflozin</w:t>
            </w:r>
            <w:r>
              <w:rPr>
                <w:spacing w:val="-12"/>
                <w:sz w:val="24"/>
                <w:szCs w:val="24"/>
              </w:rPr>
              <w:t xml:space="preserve"> </w:t>
            </w:r>
            <w:r>
              <w:rPr>
                <w:sz w:val="24"/>
                <w:szCs w:val="24"/>
              </w:rPr>
              <w:t>Propanediol</w:t>
            </w:r>
            <w:r>
              <w:rPr>
                <w:spacing w:val="23"/>
                <w:sz w:val="24"/>
                <w:szCs w:val="24"/>
              </w:rPr>
              <w:t xml:space="preserve"> </w:t>
            </w:r>
            <w:r>
              <w:rPr>
                <w:spacing w:val="-2"/>
                <w:sz w:val="24"/>
                <w:szCs w:val="24"/>
              </w:rPr>
              <w:t>Monohydrate</w:t>
            </w:r>
          </w:p>
        </w:tc>
      </w:tr>
      <w:tr w:rsidR="001D04B0" w14:paraId="376D1A31"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49F15E9B" w14:textId="77777777" w:rsidR="001D04B0" w:rsidRDefault="00000000">
            <w:pPr>
              <w:pStyle w:val="TableParagraph"/>
              <w:spacing w:line="240" w:lineRule="auto"/>
              <w:ind w:left="119"/>
              <w:rPr>
                <w:sz w:val="24"/>
                <w:szCs w:val="24"/>
              </w:rPr>
            </w:pPr>
            <w:r>
              <w:rPr>
                <w:spacing w:val="-4"/>
                <w:sz w:val="24"/>
                <w:szCs w:val="24"/>
              </w:rPr>
              <w:t>EPLE</w:t>
            </w:r>
          </w:p>
        </w:tc>
        <w:tc>
          <w:tcPr>
            <w:tcW w:w="4264" w:type="dxa"/>
            <w:tcBorders>
              <w:top w:val="single" w:sz="4" w:space="0" w:color="000000"/>
              <w:left w:val="single" w:sz="4" w:space="0" w:color="000000"/>
              <w:bottom w:val="single" w:sz="4" w:space="0" w:color="000000"/>
              <w:right w:val="single" w:sz="4" w:space="0" w:color="000000"/>
            </w:tcBorders>
          </w:tcPr>
          <w:p w14:paraId="4BC749F5" w14:textId="77777777" w:rsidR="001D04B0" w:rsidRDefault="00000000">
            <w:pPr>
              <w:pStyle w:val="TableParagraph"/>
              <w:spacing w:line="240" w:lineRule="auto"/>
              <w:ind w:left="115"/>
              <w:rPr>
                <w:sz w:val="24"/>
                <w:szCs w:val="24"/>
              </w:rPr>
            </w:pPr>
            <w:r>
              <w:rPr>
                <w:spacing w:val="-2"/>
                <w:sz w:val="24"/>
                <w:szCs w:val="24"/>
              </w:rPr>
              <w:t>Eplerenone</w:t>
            </w:r>
          </w:p>
        </w:tc>
      </w:tr>
      <w:tr w:rsidR="001D04B0" w14:paraId="04B194A9"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6F9289A3" w14:textId="77777777" w:rsidR="001D04B0" w:rsidRDefault="00000000">
            <w:pPr>
              <w:pStyle w:val="TableParagraph"/>
              <w:spacing w:line="240" w:lineRule="auto"/>
              <w:ind w:left="119"/>
              <w:rPr>
                <w:sz w:val="24"/>
                <w:szCs w:val="24"/>
              </w:rPr>
            </w:pPr>
            <w:r>
              <w:rPr>
                <w:spacing w:val="-5"/>
                <w:sz w:val="24"/>
                <w:szCs w:val="24"/>
              </w:rPr>
              <w:t>ACN</w:t>
            </w:r>
          </w:p>
        </w:tc>
        <w:tc>
          <w:tcPr>
            <w:tcW w:w="4264" w:type="dxa"/>
            <w:tcBorders>
              <w:top w:val="single" w:sz="4" w:space="0" w:color="000000"/>
              <w:left w:val="single" w:sz="4" w:space="0" w:color="000000"/>
              <w:bottom w:val="single" w:sz="4" w:space="0" w:color="000000"/>
              <w:right w:val="single" w:sz="4" w:space="0" w:color="000000"/>
            </w:tcBorders>
          </w:tcPr>
          <w:p w14:paraId="63B72920" w14:textId="77777777" w:rsidR="001D04B0" w:rsidRDefault="00000000">
            <w:pPr>
              <w:pStyle w:val="TableParagraph"/>
              <w:spacing w:line="240" w:lineRule="auto"/>
              <w:ind w:left="115"/>
              <w:rPr>
                <w:sz w:val="24"/>
                <w:szCs w:val="24"/>
              </w:rPr>
            </w:pPr>
            <w:r>
              <w:rPr>
                <w:spacing w:val="-2"/>
                <w:sz w:val="24"/>
                <w:szCs w:val="24"/>
              </w:rPr>
              <w:t>Acetonitrile</w:t>
            </w:r>
          </w:p>
        </w:tc>
      </w:tr>
      <w:tr w:rsidR="001D04B0" w14:paraId="16718381"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14:paraId="2BA0B751" w14:textId="77777777" w:rsidR="001D04B0" w:rsidRDefault="00000000">
            <w:pPr>
              <w:pStyle w:val="TableParagraph"/>
              <w:spacing w:line="240" w:lineRule="auto"/>
              <w:ind w:left="119"/>
              <w:rPr>
                <w:sz w:val="24"/>
                <w:szCs w:val="24"/>
              </w:rPr>
            </w:pPr>
            <w:r>
              <w:rPr>
                <w:spacing w:val="-5"/>
                <w:sz w:val="24"/>
                <w:szCs w:val="24"/>
              </w:rPr>
              <w:t>QbD</w:t>
            </w:r>
          </w:p>
        </w:tc>
        <w:tc>
          <w:tcPr>
            <w:tcW w:w="4264" w:type="dxa"/>
            <w:tcBorders>
              <w:top w:val="single" w:sz="4" w:space="0" w:color="000000"/>
              <w:left w:val="single" w:sz="4" w:space="0" w:color="000000"/>
              <w:bottom w:val="single" w:sz="4" w:space="0" w:color="000000"/>
              <w:right w:val="single" w:sz="4" w:space="0" w:color="000000"/>
            </w:tcBorders>
          </w:tcPr>
          <w:p w14:paraId="4FA56070" w14:textId="77777777" w:rsidR="001D04B0" w:rsidRDefault="00000000">
            <w:pPr>
              <w:pStyle w:val="TableParagraph"/>
              <w:spacing w:line="240" w:lineRule="auto"/>
              <w:ind w:left="115"/>
              <w:rPr>
                <w:sz w:val="24"/>
                <w:szCs w:val="24"/>
              </w:rPr>
            </w:pPr>
            <w:r>
              <w:rPr>
                <w:sz w:val="24"/>
                <w:szCs w:val="24"/>
              </w:rPr>
              <w:t>Quality</w:t>
            </w:r>
            <w:r>
              <w:rPr>
                <w:spacing w:val="-10"/>
                <w:sz w:val="24"/>
                <w:szCs w:val="24"/>
              </w:rPr>
              <w:t xml:space="preserve"> </w:t>
            </w:r>
            <w:r>
              <w:rPr>
                <w:sz w:val="24"/>
                <w:szCs w:val="24"/>
              </w:rPr>
              <w:t>by</w:t>
            </w:r>
            <w:r>
              <w:rPr>
                <w:spacing w:val="-10"/>
                <w:sz w:val="24"/>
                <w:szCs w:val="24"/>
              </w:rPr>
              <w:t xml:space="preserve"> </w:t>
            </w:r>
            <w:r>
              <w:rPr>
                <w:spacing w:val="-2"/>
                <w:sz w:val="24"/>
                <w:szCs w:val="24"/>
              </w:rPr>
              <w:t>Design</w:t>
            </w:r>
          </w:p>
        </w:tc>
      </w:tr>
      <w:tr w:rsidR="001D04B0" w14:paraId="088352E0"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8"/>
        </w:trPr>
        <w:tc>
          <w:tcPr>
            <w:tcW w:w="4269" w:type="dxa"/>
            <w:tcBorders>
              <w:top w:val="single" w:sz="4" w:space="0" w:color="000000"/>
              <w:left w:val="single" w:sz="4" w:space="0" w:color="000000"/>
              <w:bottom w:val="single" w:sz="4" w:space="0" w:color="000000"/>
              <w:right w:val="single" w:sz="4" w:space="0" w:color="000000"/>
            </w:tcBorders>
          </w:tcPr>
          <w:p w14:paraId="1BCEA509" w14:textId="77777777" w:rsidR="001D04B0" w:rsidRDefault="00000000">
            <w:pPr>
              <w:pStyle w:val="TableParagraph"/>
              <w:spacing w:line="240" w:lineRule="auto"/>
              <w:ind w:left="119"/>
              <w:rPr>
                <w:sz w:val="24"/>
                <w:szCs w:val="24"/>
              </w:rPr>
            </w:pPr>
            <w:r>
              <w:rPr>
                <w:spacing w:val="-5"/>
                <w:sz w:val="24"/>
                <w:szCs w:val="24"/>
              </w:rPr>
              <w:t>MET</w:t>
            </w:r>
          </w:p>
        </w:tc>
        <w:tc>
          <w:tcPr>
            <w:tcW w:w="4264" w:type="dxa"/>
            <w:tcBorders>
              <w:top w:val="single" w:sz="4" w:space="0" w:color="000000"/>
              <w:left w:val="single" w:sz="4" w:space="0" w:color="000000"/>
              <w:bottom w:val="single" w:sz="4" w:space="0" w:color="000000"/>
              <w:right w:val="single" w:sz="4" w:space="0" w:color="000000"/>
            </w:tcBorders>
          </w:tcPr>
          <w:p w14:paraId="619E1472" w14:textId="77777777" w:rsidR="001D04B0" w:rsidRDefault="00000000">
            <w:pPr>
              <w:pStyle w:val="TableParagraph"/>
              <w:spacing w:line="240" w:lineRule="auto"/>
              <w:ind w:left="115"/>
              <w:rPr>
                <w:sz w:val="24"/>
                <w:szCs w:val="24"/>
              </w:rPr>
            </w:pPr>
            <w:r>
              <w:rPr>
                <w:spacing w:val="-2"/>
                <w:sz w:val="24"/>
                <w:szCs w:val="24"/>
              </w:rPr>
              <w:t>Metformin</w:t>
            </w:r>
          </w:p>
        </w:tc>
      </w:tr>
      <w:tr w:rsidR="001D04B0" w14:paraId="3B273970"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14:paraId="310F1FB6" w14:textId="77777777" w:rsidR="001D04B0" w:rsidRDefault="00000000">
            <w:pPr>
              <w:pStyle w:val="TableParagraph"/>
              <w:spacing w:line="240" w:lineRule="auto"/>
              <w:ind w:left="119"/>
              <w:rPr>
                <w:sz w:val="24"/>
                <w:szCs w:val="24"/>
              </w:rPr>
            </w:pPr>
            <w:r>
              <w:rPr>
                <w:spacing w:val="-5"/>
                <w:sz w:val="24"/>
                <w:szCs w:val="24"/>
              </w:rPr>
              <w:t>BDS</w:t>
            </w:r>
          </w:p>
        </w:tc>
        <w:tc>
          <w:tcPr>
            <w:tcW w:w="4264" w:type="dxa"/>
            <w:tcBorders>
              <w:top w:val="single" w:sz="4" w:space="0" w:color="000000"/>
              <w:left w:val="single" w:sz="4" w:space="0" w:color="000000"/>
              <w:bottom w:val="single" w:sz="4" w:space="0" w:color="000000"/>
              <w:right w:val="single" w:sz="4" w:space="0" w:color="000000"/>
            </w:tcBorders>
          </w:tcPr>
          <w:p w14:paraId="2C4055C5" w14:textId="77777777" w:rsidR="001D04B0" w:rsidRDefault="00000000">
            <w:pPr>
              <w:pStyle w:val="TableParagraph"/>
              <w:spacing w:line="240" w:lineRule="auto"/>
              <w:ind w:left="115"/>
              <w:rPr>
                <w:sz w:val="24"/>
                <w:szCs w:val="24"/>
              </w:rPr>
            </w:pPr>
            <w:r>
              <w:rPr>
                <w:sz w:val="24"/>
                <w:szCs w:val="24"/>
              </w:rPr>
              <w:t>Base</w:t>
            </w:r>
            <w:r>
              <w:rPr>
                <w:spacing w:val="-6"/>
                <w:sz w:val="24"/>
                <w:szCs w:val="24"/>
              </w:rPr>
              <w:t xml:space="preserve"> </w:t>
            </w:r>
            <w:r>
              <w:rPr>
                <w:sz w:val="24"/>
                <w:szCs w:val="24"/>
              </w:rPr>
              <w:t>Deactivated</w:t>
            </w:r>
            <w:r>
              <w:rPr>
                <w:spacing w:val="-4"/>
                <w:sz w:val="24"/>
                <w:szCs w:val="24"/>
              </w:rPr>
              <w:t xml:space="preserve"> </w:t>
            </w:r>
            <w:r>
              <w:rPr>
                <w:spacing w:val="-2"/>
                <w:sz w:val="24"/>
                <w:szCs w:val="24"/>
              </w:rPr>
              <w:t>Silica</w:t>
            </w:r>
          </w:p>
        </w:tc>
      </w:tr>
      <w:tr w:rsidR="001D04B0" w14:paraId="6B419AC6"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6AD3537A" w14:textId="77777777" w:rsidR="001D04B0" w:rsidRDefault="00000000">
            <w:pPr>
              <w:pStyle w:val="TableParagraph"/>
              <w:spacing w:line="240" w:lineRule="auto"/>
              <w:ind w:left="119"/>
              <w:rPr>
                <w:sz w:val="24"/>
                <w:szCs w:val="24"/>
              </w:rPr>
            </w:pPr>
            <w:r>
              <w:rPr>
                <w:spacing w:val="-5"/>
                <w:sz w:val="24"/>
                <w:szCs w:val="24"/>
              </w:rPr>
              <w:t>OPA</w:t>
            </w:r>
          </w:p>
        </w:tc>
        <w:tc>
          <w:tcPr>
            <w:tcW w:w="4264" w:type="dxa"/>
            <w:tcBorders>
              <w:top w:val="single" w:sz="4" w:space="0" w:color="000000"/>
              <w:left w:val="single" w:sz="4" w:space="0" w:color="000000"/>
              <w:bottom w:val="single" w:sz="4" w:space="0" w:color="000000"/>
              <w:right w:val="single" w:sz="4" w:space="0" w:color="000000"/>
            </w:tcBorders>
          </w:tcPr>
          <w:p w14:paraId="48366EB3" w14:textId="77777777" w:rsidR="001D04B0" w:rsidRDefault="00000000">
            <w:pPr>
              <w:pStyle w:val="TableParagraph"/>
              <w:spacing w:line="240" w:lineRule="auto"/>
              <w:ind w:left="115"/>
              <w:rPr>
                <w:sz w:val="24"/>
                <w:szCs w:val="24"/>
              </w:rPr>
            </w:pPr>
            <w:r>
              <w:rPr>
                <w:sz w:val="24"/>
                <w:szCs w:val="24"/>
              </w:rPr>
              <w:t>Ortho</w:t>
            </w:r>
            <w:r>
              <w:rPr>
                <w:spacing w:val="-16"/>
                <w:sz w:val="24"/>
                <w:szCs w:val="24"/>
              </w:rPr>
              <w:t xml:space="preserve"> </w:t>
            </w:r>
            <w:r>
              <w:rPr>
                <w:sz w:val="24"/>
                <w:szCs w:val="24"/>
              </w:rPr>
              <w:t>Phosphoric</w:t>
            </w:r>
            <w:r>
              <w:rPr>
                <w:spacing w:val="-3"/>
                <w:sz w:val="24"/>
                <w:szCs w:val="24"/>
              </w:rPr>
              <w:t xml:space="preserve"> </w:t>
            </w:r>
            <w:r>
              <w:rPr>
                <w:spacing w:val="-4"/>
                <w:sz w:val="24"/>
                <w:szCs w:val="24"/>
              </w:rPr>
              <w:t>Acid</w:t>
            </w:r>
          </w:p>
        </w:tc>
      </w:tr>
      <w:tr w:rsidR="001D04B0" w14:paraId="7680C3C7"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545"/>
        </w:trPr>
        <w:tc>
          <w:tcPr>
            <w:tcW w:w="4269" w:type="dxa"/>
            <w:tcBorders>
              <w:top w:val="single" w:sz="4" w:space="0" w:color="000000"/>
              <w:left w:val="single" w:sz="4" w:space="0" w:color="000000"/>
              <w:bottom w:val="single" w:sz="4" w:space="0" w:color="000000"/>
              <w:right w:val="single" w:sz="4" w:space="0" w:color="000000"/>
            </w:tcBorders>
          </w:tcPr>
          <w:p w14:paraId="4EDB7E49" w14:textId="77777777" w:rsidR="001D04B0" w:rsidRDefault="00000000">
            <w:pPr>
              <w:pStyle w:val="TableParagraph"/>
              <w:spacing w:line="240" w:lineRule="auto"/>
              <w:ind w:left="119"/>
              <w:rPr>
                <w:sz w:val="24"/>
                <w:szCs w:val="24"/>
              </w:rPr>
            </w:pPr>
            <w:r>
              <w:rPr>
                <w:spacing w:val="-4"/>
                <w:sz w:val="24"/>
                <w:szCs w:val="24"/>
              </w:rPr>
              <w:t>LC-</w:t>
            </w:r>
            <w:r>
              <w:rPr>
                <w:spacing w:val="-5"/>
                <w:sz w:val="24"/>
                <w:szCs w:val="24"/>
              </w:rPr>
              <w:t>MS</w:t>
            </w:r>
          </w:p>
        </w:tc>
        <w:tc>
          <w:tcPr>
            <w:tcW w:w="4264" w:type="dxa"/>
            <w:tcBorders>
              <w:top w:val="single" w:sz="4" w:space="0" w:color="000000"/>
              <w:left w:val="single" w:sz="4" w:space="0" w:color="000000"/>
              <w:bottom w:val="single" w:sz="4" w:space="0" w:color="000000"/>
              <w:right w:val="single" w:sz="4" w:space="0" w:color="000000"/>
            </w:tcBorders>
          </w:tcPr>
          <w:p w14:paraId="5588A723" w14:textId="77777777" w:rsidR="001D04B0" w:rsidRDefault="00000000">
            <w:pPr>
              <w:pStyle w:val="TableParagraph"/>
              <w:tabs>
                <w:tab w:val="left" w:pos="1943"/>
              </w:tabs>
              <w:spacing w:line="240" w:lineRule="auto"/>
              <w:ind w:left="115" w:right="167"/>
              <w:rPr>
                <w:sz w:val="24"/>
                <w:szCs w:val="24"/>
              </w:rPr>
            </w:pPr>
            <w:r>
              <w:rPr>
                <w:spacing w:val="-2"/>
                <w:sz w:val="24"/>
                <w:szCs w:val="24"/>
              </w:rPr>
              <w:t>Liquid</w:t>
            </w:r>
            <w:r>
              <w:rPr>
                <w:spacing w:val="-2"/>
                <w:sz w:val="24"/>
                <w:szCs w:val="24"/>
                <w:lang w:val="en-IN"/>
              </w:rPr>
              <w:t xml:space="preserve"> </w:t>
            </w:r>
            <w:r>
              <w:rPr>
                <w:spacing w:val="-6"/>
                <w:sz w:val="24"/>
                <w:szCs w:val="24"/>
              </w:rPr>
              <w:t xml:space="preserve">Chromatography-Mass </w:t>
            </w:r>
            <w:r>
              <w:rPr>
                <w:spacing w:val="-2"/>
                <w:sz w:val="24"/>
                <w:szCs w:val="24"/>
              </w:rPr>
              <w:t>Spectrometry</w:t>
            </w:r>
          </w:p>
        </w:tc>
      </w:tr>
      <w:tr w:rsidR="001D04B0" w14:paraId="390B07A0"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552"/>
        </w:trPr>
        <w:tc>
          <w:tcPr>
            <w:tcW w:w="4269" w:type="dxa"/>
            <w:tcBorders>
              <w:top w:val="single" w:sz="4" w:space="0" w:color="000000"/>
              <w:left w:val="single" w:sz="4" w:space="0" w:color="000000"/>
              <w:bottom w:val="single" w:sz="4" w:space="0" w:color="000000"/>
              <w:right w:val="single" w:sz="4" w:space="0" w:color="000000"/>
            </w:tcBorders>
          </w:tcPr>
          <w:p w14:paraId="44E38FDF" w14:textId="77777777" w:rsidR="001D04B0" w:rsidRDefault="00000000">
            <w:pPr>
              <w:pStyle w:val="TableParagraph"/>
              <w:spacing w:line="240" w:lineRule="auto"/>
              <w:ind w:left="119"/>
              <w:rPr>
                <w:sz w:val="24"/>
                <w:szCs w:val="24"/>
              </w:rPr>
            </w:pPr>
            <w:r>
              <w:rPr>
                <w:spacing w:val="-4"/>
                <w:sz w:val="24"/>
                <w:szCs w:val="24"/>
              </w:rPr>
              <w:t>UPLC</w:t>
            </w:r>
          </w:p>
        </w:tc>
        <w:tc>
          <w:tcPr>
            <w:tcW w:w="4264" w:type="dxa"/>
            <w:tcBorders>
              <w:top w:val="single" w:sz="4" w:space="0" w:color="000000"/>
              <w:left w:val="single" w:sz="4" w:space="0" w:color="000000"/>
              <w:bottom w:val="single" w:sz="4" w:space="0" w:color="000000"/>
              <w:right w:val="single" w:sz="4" w:space="0" w:color="000000"/>
            </w:tcBorders>
          </w:tcPr>
          <w:p w14:paraId="69132B1C" w14:textId="77777777" w:rsidR="001D04B0" w:rsidRDefault="00000000">
            <w:pPr>
              <w:pStyle w:val="TableParagraph"/>
              <w:tabs>
                <w:tab w:val="left" w:pos="1454"/>
                <w:tab w:val="left" w:pos="3513"/>
              </w:tabs>
              <w:spacing w:line="240" w:lineRule="auto"/>
              <w:ind w:left="115"/>
              <w:rPr>
                <w:sz w:val="24"/>
                <w:szCs w:val="24"/>
              </w:rPr>
            </w:pPr>
            <w:r>
              <w:rPr>
                <w:spacing w:val="-2"/>
                <w:sz w:val="24"/>
                <w:szCs w:val="24"/>
              </w:rPr>
              <w:t>Ultra</w:t>
            </w:r>
            <w:r>
              <w:rPr>
                <w:spacing w:val="-2"/>
                <w:sz w:val="24"/>
                <w:szCs w:val="24"/>
                <w:lang w:val="en-IN"/>
              </w:rPr>
              <w:t xml:space="preserve"> </w:t>
            </w:r>
            <w:r>
              <w:rPr>
                <w:spacing w:val="-2"/>
                <w:sz w:val="24"/>
                <w:szCs w:val="24"/>
              </w:rPr>
              <w:t>Performance</w:t>
            </w:r>
            <w:r>
              <w:rPr>
                <w:spacing w:val="-2"/>
                <w:sz w:val="24"/>
                <w:szCs w:val="24"/>
                <w:lang w:val="en-IN"/>
              </w:rPr>
              <w:t xml:space="preserve"> </w:t>
            </w:r>
            <w:r>
              <w:rPr>
                <w:spacing w:val="-2"/>
                <w:sz w:val="24"/>
                <w:szCs w:val="24"/>
              </w:rPr>
              <w:t>Liquid</w:t>
            </w:r>
          </w:p>
          <w:p w14:paraId="1F69CDDB" w14:textId="77777777" w:rsidR="001D04B0" w:rsidRDefault="00000000">
            <w:pPr>
              <w:pStyle w:val="TableParagraph"/>
              <w:spacing w:line="240" w:lineRule="auto"/>
              <w:ind w:left="115"/>
              <w:rPr>
                <w:sz w:val="24"/>
                <w:szCs w:val="24"/>
              </w:rPr>
            </w:pPr>
            <w:r>
              <w:rPr>
                <w:spacing w:val="-2"/>
                <w:sz w:val="24"/>
                <w:szCs w:val="24"/>
              </w:rPr>
              <w:t>Chromatography</w:t>
            </w:r>
          </w:p>
        </w:tc>
      </w:tr>
      <w:tr w:rsidR="001D04B0" w14:paraId="7D6E53CD"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77306062" w14:textId="77777777" w:rsidR="001D04B0" w:rsidRDefault="00000000">
            <w:pPr>
              <w:pStyle w:val="TableParagraph"/>
              <w:spacing w:line="240" w:lineRule="auto"/>
              <w:ind w:left="119"/>
              <w:rPr>
                <w:sz w:val="24"/>
                <w:szCs w:val="24"/>
              </w:rPr>
            </w:pPr>
            <w:r>
              <w:rPr>
                <w:sz w:val="24"/>
                <w:szCs w:val="24"/>
              </w:rPr>
              <w:t>AR</w:t>
            </w:r>
            <w:r>
              <w:rPr>
                <w:spacing w:val="-10"/>
                <w:sz w:val="24"/>
                <w:szCs w:val="24"/>
              </w:rPr>
              <w:t xml:space="preserve"> </w:t>
            </w:r>
            <w:r>
              <w:rPr>
                <w:spacing w:val="-2"/>
                <w:sz w:val="24"/>
                <w:szCs w:val="24"/>
              </w:rPr>
              <w:t>Grade</w:t>
            </w:r>
          </w:p>
        </w:tc>
        <w:tc>
          <w:tcPr>
            <w:tcW w:w="4264" w:type="dxa"/>
            <w:tcBorders>
              <w:top w:val="single" w:sz="4" w:space="0" w:color="000000"/>
              <w:left w:val="single" w:sz="4" w:space="0" w:color="000000"/>
              <w:bottom w:val="single" w:sz="4" w:space="0" w:color="000000"/>
              <w:right w:val="single" w:sz="4" w:space="0" w:color="000000"/>
            </w:tcBorders>
          </w:tcPr>
          <w:p w14:paraId="15EE98F3" w14:textId="77777777" w:rsidR="001D04B0" w:rsidRDefault="00000000">
            <w:pPr>
              <w:pStyle w:val="TableParagraph"/>
              <w:spacing w:line="240" w:lineRule="auto"/>
              <w:ind w:left="115"/>
              <w:rPr>
                <w:sz w:val="24"/>
                <w:szCs w:val="24"/>
              </w:rPr>
            </w:pPr>
            <w:r>
              <w:rPr>
                <w:sz w:val="24"/>
                <w:szCs w:val="24"/>
              </w:rPr>
              <w:t>Analytical</w:t>
            </w:r>
            <w:r>
              <w:rPr>
                <w:spacing w:val="-16"/>
                <w:sz w:val="24"/>
                <w:szCs w:val="24"/>
              </w:rPr>
              <w:t xml:space="preserve"> </w:t>
            </w:r>
            <w:r>
              <w:rPr>
                <w:sz w:val="24"/>
                <w:szCs w:val="24"/>
              </w:rPr>
              <w:t>Reagent</w:t>
            </w:r>
            <w:r>
              <w:rPr>
                <w:spacing w:val="8"/>
                <w:sz w:val="24"/>
                <w:szCs w:val="24"/>
              </w:rPr>
              <w:t xml:space="preserve"> </w:t>
            </w:r>
            <w:r>
              <w:rPr>
                <w:spacing w:val="-4"/>
                <w:sz w:val="24"/>
                <w:szCs w:val="24"/>
              </w:rPr>
              <w:t>Grade</w:t>
            </w:r>
          </w:p>
        </w:tc>
      </w:tr>
      <w:tr w:rsidR="001D04B0" w14:paraId="60A68B19"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14:paraId="0C91E227" w14:textId="77777777" w:rsidR="001D04B0" w:rsidRDefault="00000000">
            <w:pPr>
              <w:pStyle w:val="TableParagraph"/>
              <w:spacing w:line="240" w:lineRule="auto"/>
              <w:ind w:left="119"/>
              <w:rPr>
                <w:sz w:val="24"/>
                <w:szCs w:val="24"/>
              </w:rPr>
            </w:pPr>
            <w:r>
              <w:rPr>
                <w:spacing w:val="-4"/>
                <w:sz w:val="24"/>
                <w:szCs w:val="24"/>
              </w:rPr>
              <w:t>PVDF</w:t>
            </w:r>
          </w:p>
        </w:tc>
        <w:tc>
          <w:tcPr>
            <w:tcW w:w="4264" w:type="dxa"/>
            <w:tcBorders>
              <w:top w:val="single" w:sz="4" w:space="0" w:color="000000"/>
              <w:left w:val="single" w:sz="4" w:space="0" w:color="000000"/>
              <w:bottom w:val="single" w:sz="4" w:space="0" w:color="000000"/>
              <w:right w:val="single" w:sz="4" w:space="0" w:color="000000"/>
            </w:tcBorders>
          </w:tcPr>
          <w:p w14:paraId="539D9D40" w14:textId="77777777" w:rsidR="001D04B0" w:rsidRDefault="00000000">
            <w:pPr>
              <w:pStyle w:val="TableParagraph"/>
              <w:spacing w:line="240" w:lineRule="auto"/>
              <w:ind w:left="115"/>
              <w:rPr>
                <w:sz w:val="24"/>
                <w:szCs w:val="24"/>
              </w:rPr>
            </w:pPr>
            <w:r>
              <w:rPr>
                <w:sz w:val="24"/>
                <w:szCs w:val="24"/>
              </w:rPr>
              <w:t>Polyvinylidene</w:t>
            </w:r>
            <w:r>
              <w:rPr>
                <w:spacing w:val="-16"/>
                <w:sz w:val="24"/>
                <w:szCs w:val="24"/>
              </w:rPr>
              <w:t xml:space="preserve"> </w:t>
            </w:r>
            <w:r>
              <w:rPr>
                <w:sz w:val="24"/>
                <w:szCs w:val="24"/>
              </w:rPr>
              <w:t>Fluoride</w:t>
            </w:r>
            <w:r>
              <w:rPr>
                <w:spacing w:val="-10"/>
                <w:sz w:val="24"/>
                <w:szCs w:val="24"/>
              </w:rPr>
              <w:t xml:space="preserve"> </w:t>
            </w:r>
            <w:r>
              <w:rPr>
                <w:spacing w:val="-2"/>
                <w:sz w:val="24"/>
                <w:szCs w:val="24"/>
              </w:rPr>
              <w:t>Filter</w:t>
            </w:r>
          </w:p>
        </w:tc>
      </w:tr>
      <w:tr w:rsidR="001D04B0" w14:paraId="6A6FB413"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703318AB" w14:textId="77777777" w:rsidR="001D04B0" w:rsidRDefault="00000000">
            <w:pPr>
              <w:pStyle w:val="TableParagraph"/>
              <w:spacing w:line="240" w:lineRule="auto"/>
              <w:ind w:left="119"/>
              <w:rPr>
                <w:sz w:val="24"/>
                <w:szCs w:val="24"/>
              </w:rPr>
            </w:pPr>
            <w:r>
              <w:rPr>
                <w:spacing w:val="-5"/>
                <w:sz w:val="24"/>
                <w:szCs w:val="24"/>
              </w:rPr>
              <w:t>SST</w:t>
            </w:r>
          </w:p>
        </w:tc>
        <w:tc>
          <w:tcPr>
            <w:tcW w:w="4264" w:type="dxa"/>
            <w:tcBorders>
              <w:top w:val="single" w:sz="4" w:space="0" w:color="000000"/>
              <w:left w:val="single" w:sz="4" w:space="0" w:color="000000"/>
              <w:bottom w:val="single" w:sz="4" w:space="0" w:color="000000"/>
              <w:right w:val="single" w:sz="4" w:space="0" w:color="000000"/>
            </w:tcBorders>
          </w:tcPr>
          <w:p w14:paraId="7346491C" w14:textId="77777777" w:rsidR="001D04B0" w:rsidRDefault="00000000">
            <w:pPr>
              <w:pStyle w:val="TableParagraph"/>
              <w:spacing w:line="240" w:lineRule="auto"/>
              <w:ind w:left="177"/>
              <w:rPr>
                <w:sz w:val="24"/>
                <w:szCs w:val="24"/>
              </w:rPr>
            </w:pPr>
            <w:r>
              <w:rPr>
                <w:sz w:val="24"/>
                <w:szCs w:val="24"/>
              </w:rPr>
              <w:t>System</w:t>
            </w:r>
            <w:r>
              <w:rPr>
                <w:spacing w:val="-18"/>
                <w:sz w:val="24"/>
                <w:szCs w:val="24"/>
              </w:rPr>
              <w:t xml:space="preserve"> </w:t>
            </w:r>
            <w:r>
              <w:rPr>
                <w:sz w:val="24"/>
                <w:szCs w:val="24"/>
              </w:rPr>
              <w:t>Suitability</w:t>
            </w:r>
            <w:r>
              <w:rPr>
                <w:spacing w:val="-14"/>
                <w:sz w:val="24"/>
                <w:szCs w:val="24"/>
              </w:rPr>
              <w:t xml:space="preserve"> </w:t>
            </w:r>
            <w:r>
              <w:rPr>
                <w:spacing w:val="-4"/>
                <w:sz w:val="24"/>
                <w:szCs w:val="24"/>
              </w:rPr>
              <w:t>Test</w:t>
            </w:r>
          </w:p>
        </w:tc>
      </w:tr>
      <w:tr w:rsidR="001D04B0" w14:paraId="32E77172"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14:paraId="5A5C3550" w14:textId="77777777" w:rsidR="001D04B0" w:rsidRDefault="00000000">
            <w:pPr>
              <w:pStyle w:val="TableParagraph"/>
              <w:spacing w:line="240" w:lineRule="auto"/>
              <w:ind w:left="119"/>
              <w:rPr>
                <w:sz w:val="24"/>
                <w:szCs w:val="24"/>
              </w:rPr>
            </w:pPr>
            <w:r>
              <w:rPr>
                <w:spacing w:val="-5"/>
                <w:sz w:val="24"/>
                <w:szCs w:val="24"/>
              </w:rPr>
              <w:t>RT</w:t>
            </w:r>
          </w:p>
        </w:tc>
        <w:tc>
          <w:tcPr>
            <w:tcW w:w="4264" w:type="dxa"/>
            <w:tcBorders>
              <w:top w:val="single" w:sz="4" w:space="0" w:color="000000"/>
              <w:left w:val="single" w:sz="4" w:space="0" w:color="000000"/>
              <w:bottom w:val="single" w:sz="4" w:space="0" w:color="000000"/>
              <w:right w:val="single" w:sz="4" w:space="0" w:color="000000"/>
            </w:tcBorders>
          </w:tcPr>
          <w:p w14:paraId="1E7613EF" w14:textId="77777777" w:rsidR="001D04B0" w:rsidRDefault="00000000">
            <w:pPr>
              <w:pStyle w:val="TableParagraph"/>
              <w:spacing w:line="240" w:lineRule="auto"/>
              <w:ind w:left="115"/>
              <w:rPr>
                <w:sz w:val="24"/>
                <w:szCs w:val="24"/>
              </w:rPr>
            </w:pPr>
            <w:r>
              <w:rPr>
                <w:spacing w:val="-2"/>
                <w:sz w:val="24"/>
                <w:szCs w:val="24"/>
              </w:rPr>
              <w:t>Retention</w:t>
            </w:r>
            <w:r>
              <w:rPr>
                <w:spacing w:val="1"/>
                <w:sz w:val="24"/>
                <w:szCs w:val="24"/>
              </w:rPr>
              <w:t xml:space="preserve"> </w:t>
            </w:r>
            <w:r>
              <w:rPr>
                <w:spacing w:val="-4"/>
                <w:sz w:val="24"/>
                <w:szCs w:val="24"/>
              </w:rPr>
              <w:t>Time</w:t>
            </w:r>
          </w:p>
        </w:tc>
      </w:tr>
      <w:tr w:rsidR="001D04B0" w14:paraId="3B6F2CCE"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73F7F009" w14:textId="77777777" w:rsidR="001D04B0" w:rsidRDefault="00000000">
            <w:pPr>
              <w:pStyle w:val="TableParagraph"/>
              <w:spacing w:line="240" w:lineRule="auto"/>
              <w:ind w:left="119"/>
              <w:rPr>
                <w:sz w:val="24"/>
                <w:szCs w:val="24"/>
              </w:rPr>
            </w:pPr>
            <w:r>
              <w:rPr>
                <w:spacing w:val="-5"/>
                <w:sz w:val="24"/>
                <w:szCs w:val="24"/>
              </w:rPr>
              <w:t>Rs</w:t>
            </w:r>
          </w:p>
        </w:tc>
        <w:tc>
          <w:tcPr>
            <w:tcW w:w="4264" w:type="dxa"/>
            <w:tcBorders>
              <w:top w:val="single" w:sz="4" w:space="0" w:color="000000"/>
              <w:left w:val="single" w:sz="4" w:space="0" w:color="000000"/>
              <w:bottom w:val="single" w:sz="4" w:space="0" w:color="000000"/>
              <w:right w:val="single" w:sz="4" w:space="0" w:color="000000"/>
            </w:tcBorders>
          </w:tcPr>
          <w:p w14:paraId="09C0905E" w14:textId="77777777" w:rsidR="001D04B0" w:rsidRDefault="00000000">
            <w:pPr>
              <w:pStyle w:val="TableParagraph"/>
              <w:spacing w:line="240" w:lineRule="auto"/>
              <w:ind w:left="115"/>
              <w:rPr>
                <w:sz w:val="24"/>
                <w:szCs w:val="24"/>
              </w:rPr>
            </w:pPr>
            <w:r>
              <w:rPr>
                <w:spacing w:val="-2"/>
                <w:sz w:val="24"/>
                <w:szCs w:val="24"/>
              </w:rPr>
              <w:t>Resolution</w:t>
            </w:r>
          </w:p>
        </w:tc>
      </w:tr>
      <w:tr w:rsidR="001D04B0" w14:paraId="368DEFA2"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3316BFB1" w14:textId="77777777" w:rsidR="001D04B0" w:rsidRDefault="00000000">
            <w:pPr>
              <w:pStyle w:val="TableParagraph"/>
              <w:spacing w:line="240" w:lineRule="auto"/>
              <w:ind w:left="119"/>
              <w:rPr>
                <w:sz w:val="24"/>
                <w:szCs w:val="24"/>
              </w:rPr>
            </w:pPr>
            <w:r>
              <w:rPr>
                <w:spacing w:val="-10"/>
                <w:sz w:val="24"/>
                <w:szCs w:val="24"/>
              </w:rPr>
              <w:t>%</w:t>
            </w:r>
          </w:p>
        </w:tc>
        <w:tc>
          <w:tcPr>
            <w:tcW w:w="4264" w:type="dxa"/>
            <w:tcBorders>
              <w:top w:val="single" w:sz="4" w:space="0" w:color="000000"/>
              <w:left w:val="single" w:sz="4" w:space="0" w:color="000000"/>
              <w:bottom w:val="single" w:sz="4" w:space="0" w:color="000000"/>
              <w:right w:val="single" w:sz="4" w:space="0" w:color="000000"/>
            </w:tcBorders>
          </w:tcPr>
          <w:p w14:paraId="0AC4AF83" w14:textId="77777777" w:rsidR="001D04B0" w:rsidRDefault="00000000">
            <w:pPr>
              <w:pStyle w:val="TableParagraph"/>
              <w:spacing w:line="240" w:lineRule="auto"/>
              <w:ind w:left="115"/>
              <w:rPr>
                <w:sz w:val="24"/>
                <w:szCs w:val="24"/>
              </w:rPr>
            </w:pPr>
            <w:r>
              <w:rPr>
                <w:spacing w:val="-2"/>
                <w:sz w:val="24"/>
                <w:szCs w:val="24"/>
              </w:rPr>
              <w:t>Percentage</w:t>
            </w:r>
          </w:p>
        </w:tc>
      </w:tr>
      <w:tr w:rsidR="001D04B0" w14:paraId="235EB090"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14:paraId="7E2EF8C8" w14:textId="77777777" w:rsidR="001D04B0" w:rsidRDefault="00000000">
            <w:pPr>
              <w:pStyle w:val="TableParagraph"/>
              <w:spacing w:line="240" w:lineRule="auto"/>
              <w:ind w:left="119"/>
              <w:rPr>
                <w:sz w:val="24"/>
                <w:szCs w:val="24"/>
              </w:rPr>
            </w:pPr>
            <w:r>
              <w:rPr>
                <w:spacing w:val="-5"/>
                <w:sz w:val="24"/>
                <w:szCs w:val="24"/>
              </w:rPr>
              <w:t>°C</w:t>
            </w:r>
          </w:p>
        </w:tc>
        <w:tc>
          <w:tcPr>
            <w:tcW w:w="4264" w:type="dxa"/>
            <w:tcBorders>
              <w:top w:val="single" w:sz="4" w:space="0" w:color="000000"/>
              <w:left w:val="single" w:sz="4" w:space="0" w:color="000000"/>
              <w:bottom w:val="single" w:sz="4" w:space="0" w:color="000000"/>
              <w:right w:val="single" w:sz="4" w:space="0" w:color="000000"/>
            </w:tcBorders>
          </w:tcPr>
          <w:p w14:paraId="6B0B162D" w14:textId="77777777" w:rsidR="001D04B0" w:rsidRDefault="00000000">
            <w:pPr>
              <w:pStyle w:val="TableParagraph"/>
              <w:spacing w:line="240" w:lineRule="auto"/>
              <w:ind w:left="115"/>
              <w:rPr>
                <w:sz w:val="24"/>
                <w:szCs w:val="24"/>
              </w:rPr>
            </w:pPr>
            <w:r>
              <w:rPr>
                <w:sz w:val="24"/>
                <w:szCs w:val="24"/>
              </w:rPr>
              <w:t>Degree</w:t>
            </w:r>
            <w:r>
              <w:rPr>
                <w:spacing w:val="-2"/>
                <w:sz w:val="24"/>
                <w:szCs w:val="24"/>
              </w:rPr>
              <w:t xml:space="preserve"> Celsius</w:t>
            </w:r>
          </w:p>
        </w:tc>
      </w:tr>
      <w:tr w:rsidR="001D04B0" w14:paraId="6D205BCD"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6"/>
        </w:trPr>
        <w:tc>
          <w:tcPr>
            <w:tcW w:w="4269" w:type="dxa"/>
            <w:tcBorders>
              <w:top w:val="single" w:sz="4" w:space="0" w:color="000000"/>
              <w:left w:val="single" w:sz="4" w:space="0" w:color="000000"/>
              <w:bottom w:val="single" w:sz="4" w:space="0" w:color="000000"/>
              <w:right w:val="single" w:sz="4" w:space="0" w:color="000000"/>
            </w:tcBorders>
          </w:tcPr>
          <w:p w14:paraId="02A853AA" w14:textId="77777777" w:rsidR="001D04B0" w:rsidRDefault="00000000">
            <w:pPr>
              <w:pStyle w:val="TableParagraph"/>
              <w:spacing w:line="240" w:lineRule="auto"/>
              <w:ind w:left="119"/>
              <w:rPr>
                <w:sz w:val="24"/>
                <w:szCs w:val="24"/>
              </w:rPr>
            </w:pPr>
            <w:r>
              <w:rPr>
                <w:spacing w:val="-2"/>
                <w:sz w:val="24"/>
                <w:szCs w:val="24"/>
              </w:rPr>
              <w:t>µg/mL.</w:t>
            </w:r>
          </w:p>
        </w:tc>
        <w:tc>
          <w:tcPr>
            <w:tcW w:w="4264" w:type="dxa"/>
            <w:tcBorders>
              <w:top w:val="single" w:sz="4" w:space="0" w:color="000000"/>
              <w:left w:val="single" w:sz="4" w:space="0" w:color="000000"/>
              <w:bottom w:val="single" w:sz="4" w:space="0" w:color="000000"/>
              <w:right w:val="single" w:sz="4" w:space="0" w:color="000000"/>
            </w:tcBorders>
          </w:tcPr>
          <w:p w14:paraId="0E9E61F3" w14:textId="77777777" w:rsidR="001D04B0" w:rsidRDefault="00000000">
            <w:pPr>
              <w:pStyle w:val="TableParagraph"/>
              <w:spacing w:line="240" w:lineRule="auto"/>
              <w:ind w:left="115"/>
              <w:rPr>
                <w:sz w:val="24"/>
                <w:szCs w:val="24"/>
              </w:rPr>
            </w:pPr>
            <w:r>
              <w:rPr>
                <w:sz w:val="24"/>
                <w:szCs w:val="24"/>
              </w:rPr>
              <w:t>Microgram</w:t>
            </w:r>
            <w:r>
              <w:rPr>
                <w:spacing w:val="-12"/>
                <w:sz w:val="24"/>
                <w:szCs w:val="24"/>
              </w:rPr>
              <w:t xml:space="preserve"> </w:t>
            </w:r>
            <w:r>
              <w:rPr>
                <w:sz w:val="24"/>
                <w:szCs w:val="24"/>
              </w:rPr>
              <w:t>Per</w:t>
            </w:r>
            <w:r>
              <w:rPr>
                <w:spacing w:val="8"/>
                <w:sz w:val="24"/>
                <w:szCs w:val="24"/>
              </w:rPr>
              <w:t xml:space="preserve"> </w:t>
            </w:r>
            <w:r>
              <w:rPr>
                <w:spacing w:val="-2"/>
                <w:sz w:val="24"/>
                <w:szCs w:val="24"/>
              </w:rPr>
              <w:t>Millilitre</w:t>
            </w:r>
          </w:p>
        </w:tc>
      </w:tr>
      <w:tr w:rsidR="001D04B0" w14:paraId="04690884"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14:paraId="0D6EC4FB" w14:textId="77777777" w:rsidR="001D04B0" w:rsidRDefault="00000000">
            <w:pPr>
              <w:pStyle w:val="TableParagraph"/>
              <w:spacing w:line="240" w:lineRule="auto"/>
              <w:ind w:left="119"/>
              <w:rPr>
                <w:sz w:val="24"/>
                <w:szCs w:val="24"/>
              </w:rPr>
            </w:pPr>
            <w:r>
              <w:rPr>
                <w:spacing w:val="-5"/>
                <w:sz w:val="24"/>
                <w:szCs w:val="24"/>
              </w:rPr>
              <w:t>µg</w:t>
            </w:r>
          </w:p>
        </w:tc>
        <w:tc>
          <w:tcPr>
            <w:tcW w:w="4264" w:type="dxa"/>
            <w:tcBorders>
              <w:top w:val="single" w:sz="4" w:space="0" w:color="000000"/>
              <w:left w:val="single" w:sz="4" w:space="0" w:color="000000"/>
              <w:bottom w:val="single" w:sz="4" w:space="0" w:color="000000"/>
              <w:right w:val="single" w:sz="4" w:space="0" w:color="000000"/>
            </w:tcBorders>
          </w:tcPr>
          <w:p w14:paraId="6D878E3F" w14:textId="77777777" w:rsidR="001D04B0" w:rsidRDefault="00000000">
            <w:pPr>
              <w:pStyle w:val="TableParagraph"/>
              <w:spacing w:line="240" w:lineRule="auto"/>
              <w:ind w:left="115"/>
              <w:rPr>
                <w:sz w:val="24"/>
                <w:szCs w:val="24"/>
              </w:rPr>
            </w:pPr>
            <w:r>
              <w:rPr>
                <w:spacing w:val="-2"/>
                <w:sz w:val="24"/>
                <w:szCs w:val="24"/>
              </w:rPr>
              <w:t>Microlitre</w:t>
            </w:r>
          </w:p>
        </w:tc>
      </w:tr>
      <w:tr w:rsidR="001D04B0" w14:paraId="00F01EB0"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6"/>
        </w:trPr>
        <w:tc>
          <w:tcPr>
            <w:tcW w:w="4269" w:type="dxa"/>
            <w:tcBorders>
              <w:top w:val="single" w:sz="4" w:space="0" w:color="000000"/>
              <w:left w:val="single" w:sz="4" w:space="0" w:color="000000"/>
              <w:bottom w:val="single" w:sz="4" w:space="0" w:color="000000"/>
              <w:right w:val="single" w:sz="4" w:space="0" w:color="000000"/>
            </w:tcBorders>
          </w:tcPr>
          <w:p w14:paraId="4C786CB8" w14:textId="77777777" w:rsidR="001D04B0" w:rsidRDefault="00000000">
            <w:pPr>
              <w:pStyle w:val="TableParagraph"/>
              <w:spacing w:line="240" w:lineRule="auto"/>
              <w:ind w:left="119"/>
              <w:rPr>
                <w:sz w:val="24"/>
                <w:szCs w:val="24"/>
              </w:rPr>
            </w:pPr>
            <w:r>
              <w:rPr>
                <w:spacing w:val="-5"/>
                <w:sz w:val="24"/>
                <w:szCs w:val="24"/>
              </w:rPr>
              <w:t>Pka</w:t>
            </w:r>
          </w:p>
        </w:tc>
        <w:tc>
          <w:tcPr>
            <w:tcW w:w="4264" w:type="dxa"/>
            <w:tcBorders>
              <w:top w:val="single" w:sz="4" w:space="0" w:color="000000"/>
              <w:left w:val="single" w:sz="4" w:space="0" w:color="000000"/>
              <w:bottom w:val="single" w:sz="4" w:space="0" w:color="000000"/>
              <w:right w:val="single" w:sz="4" w:space="0" w:color="000000"/>
            </w:tcBorders>
          </w:tcPr>
          <w:p w14:paraId="42EFB499" w14:textId="77777777" w:rsidR="001D04B0" w:rsidRDefault="00000000">
            <w:pPr>
              <w:pStyle w:val="TableParagraph"/>
              <w:spacing w:line="240" w:lineRule="auto"/>
              <w:ind w:left="115"/>
              <w:rPr>
                <w:sz w:val="24"/>
                <w:szCs w:val="24"/>
              </w:rPr>
            </w:pPr>
            <w:r>
              <w:rPr>
                <w:spacing w:val="-2"/>
                <w:sz w:val="24"/>
                <w:szCs w:val="24"/>
              </w:rPr>
              <w:t>Dissociation</w:t>
            </w:r>
            <w:r>
              <w:rPr>
                <w:spacing w:val="2"/>
                <w:sz w:val="24"/>
                <w:szCs w:val="24"/>
              </w:rPr>
              <w:t xml:space="preserve"> </w:t>
            </w:r>
            <w:r>
              <w:rPr>
                <w:spacing w:val="-2"/>
                <w:sz w:val="24"/>
                <w:szCs w:val="24"/>
              </w:rPr>
              <w:t>Constant</w:t>
            </w:r>
          </w:p>
        </w:tc>
      </w:tr>
      <w:tr w:rsidR="001D04B0" w14:paraId="26213DBE"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14:paraId="16D5F5E5" w14:textId="77777777" w:rsidR="001D04B0" w:rsidRDefault="00000000">
            <w:pPr>
              <w:pStyle w:val="TableParagraph"/>
              <w:spacing w:line="240" w:lineRule="auto"/>
              <w:ind w:left="119"/>
              <w:rPr>
                <w:sz w:val="24"/>
                <w:szCs w:val="24"/>
              </w:rPr>
            </w:pPr>
            <w:r>
              <w:rPr>
                <w:sz w:val="24"/>
                <w:szCs w:val="24"/>
              </w:rPr>
              <w:t>Log</w:t>
            </w:r>
            <w:r>
              <w:rPr>
                <w:spacing w:val="2"/>
                <w:sz w:val="24"/>
                <w:szCs w:val="24"/>
              </w:rPr>
              <w:t xml:space="preserve"> </w:t>
            </w:r>
            <w:r>
              <w:rPr>
                <w:spacing w:val="-10"/>
                <w:sz w:val="24"/>
                <w:szCs w:val="24"/>
              </w:rPr>
              <w:t>P</w:t>
            </w:r>
          </w:p>
        </w:tc>
        <w:tc>
          <w:tcPr>
            <w:tcW w:w="4264" w:type="dxa"/>
            <w:tcBorders>
              <w:top w:val="single" w:sz="4" w:space="0" w:color="000000"/>
              <w:left w:val="single" w:sz="4" w:space="0" w:color="000000"/>
              <w:bottom w:val="single" w:sz="4" w:space="0" w:color="000000"/>
              <w:right w:val="single" w:sz="4" w:space="0" w:color="000000"/>
            </w:tcBorders>
          </w:tcPr>
          <w:p w14:paraId="29470F43" w14:textId="77777777" w:rsidR="001D04B0" w:rsidRDefault="00000000">
            <w:pPr>
              <w:pStyle w:val="TableParagraph"/>
              <w:spacing w:line="240" w:lineRule="auto"/>
              <w:ind w:left="115"/>
              <w:rPr>
                <w:sz w:val="24"/>
                <w:szCs w:val="24"/>
              </w:rPr>
            </w:pPr>
            <w:r>
              <w:rPr>
                <w:sz w:val="24"/>
                <w:szCs w:val="24"/>
              </w:rPr>
              <w:t>Partition</w:t>
            </w:r>
            <w:r>
              <w:rPr>
                <w:spacing w:val="-11"/>
                <w:sz w:val="24"/>
                <w:szCs w:val="24"/>
              </w:rPr>
              <w:t xml:space="preserve"> </w:t>
            </w:r>
            <w:r>
              <w:rPr>
                <w:sz w:val="24"/>
                <w:szCs w:val="24"/>
              </w:rPr>
              <w:t>Co-</w:t>
            </w:r>
            <w:r>
              <w:rPr>
                <w:spacing w:val="-2"/>
                <w:sz w:val="24"/>
                <w:szCs w:val="24"/>
              </w:rPr>
              <w:t>efficient</w:t>
            </w:r>
          </w:p>
        </w:tc>
      </w:tr>
      <w:tr w:rsidR="001D04B0" w14:paraId="042582A0" w14:textId="77777777">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14:paraId="644A6D49" w14:textId="77777777" w:rsidR="001D04B0" w:rsidRDefault="00000000">
            <w:pPr>
              <w:pStyle w:val="TableParagraph"/>
              <w:spacing w:line="240" w:lineRule="auto"/>
              <w:ind w:left="119"/>
              <w:rPr>
                <w:sz w:val="24"/>
                <w:szCs w:val="24"/>
              </w:rPr>
            </w:pPr>
            <w:r>
              <w:rPr>
                <w:spacing w:val="-5"/>
                <w:sz w:val="24"/>
                <w:szCs w:val="24"/>
              </w:rPr>
              <w:t>Tf</w:t>
            </w:r>
          </w:p>
        </w:tc>
        <w:tc>
          <w:tcPr>
            <w:tcW w:w="4264" w:type="dxa"/>
            <w:tcBorders>
              <w:top w:val="single" w:sz="4" w:space="0" w:color="000000"/>
              <w:left w:val="single" w:sz="4" w:space="0" w:color="000000"/>
              <w:bottom w:val="single" w:sz="4" w:space="0" w:color="000000"/>
              <w:right w:val="single" w:sz="4" w:space="0" w:color="000000"/>
            </w:tcBorders>
          </w:tcPr>
          <w:p w14:paraId="164F881D" w14:textId="77777777" w:rsidR="001D04B0" w:rsidRDefault="00000000">
            <w:pPr>
              <w:pStyle w:val="TableParagraph"/>
              <w:spacing w:line="240" w:lineRule="auto"/>
              <w:ind w:left="115"/>
              <w:rPr>
                <w:sz w:val="24"/>
                <w:szCs w:val="24"/>
              </w:rPr>
            </w:pPr>
            <w:r>
              <w:rPr>
                <w:sz w:val="24"/>
                <w:szCs w:val="24"/>
              </w:rPr>
              <w:t>Tailing</w:t>
            </w:r>
            <w:r>
              <w:rPr>
                <w:spacing w:val="-14"/>
                <w:sz w:val="24"/>
                <w:szCs w:val="24"/>
              </w:rPr>
              <w:t xml:space="preserve"> </w:t>
            </w:r>
            <w:r>
              <w:rPr>
                <w:spacing w:val="-2"/>
                <w:sz w:val="24"/>
                <w:szCs w:val="24"/>
              </w:rPr>
              <w:t>Factor</w:t>
            </w:r>
          </w:p>
        </w:tc>
      </w:tr>
    </w:tbl>
    <w:p w14:paraId="2E10EF8B" w14:textId="77777777" w:rsidR="001D04B0" w:rsidRDefault="00000000">
      <w:pPr>
        <w:spacing w:line="240" w:lineRule="auto"/>
        <w:rPr>
          <w:rFonts w:ascii="Times New Roman" w:hAnsi="Times New Roman" w:cs="Times New Roman"/>
          <w:b/>
          <w:bCs/>
          <w:sz w:val="24"/>
          <w:szCs w:val="24"/>
        </w:rPr>
        <w:sectPr w:rsidR="001D04B0">
          <w:headerReference w:type="default" r:id="rId64"/>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r>
        <w:rPr>
          <w:rFonts w:ascii="Times New Roman" w:hAnsi="Times New Roman" w:cs="Times New Roman"/>
          <w:b/>
          <w:bCs/>
          <w:sz w:val="24"/>
          <w:szCs w:val="24"/>
        </w:rPr>
        <w:t xml:space="preserve"> </w:t>
      </w:r>
    </w:p>
    <w:p w14:paraId="5AC282E8" w14:textId="77777777" w:rsidR="001D04B0" w:rsidRDefault="00000000">
      <w:pPr>
        <w:spacing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7324EF3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1.Olokoba, A. B., Obateru, O. A., &amp; Olokoba, L. B. (2012). Type 2 diabetes mellitus: A review of current trends. Oman Medical Journal, 27(4), 269–273.</w:t>
      </w:r>
    </w:p>
    <w:p w14:paraId="6AF94719"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2.Provenzano, M., Puchades, M. J., Garofalo, C., Jongs, N., D’Marco, L., Andreucci, M., De Nicola, L., &amp; Gorriz, J. L. (2022). Albuminuria-lowering effect of dapagliflozin, eplerenone, and their combination in patients with chronic kidney disease: A randomized crossover clinical trial. Journal of the American Society of Nephrology, 33(8), 1569–1580.</w:t>
      </w:r>
    </w:p>
    <w:p w14:paraId="782986AF"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3.Soulié, M., Stephan, Y., Durand, M., Lima-Posada, I., Palacios-Ramírez, R., Nicol, L., Lopez-Andres, N., Mulder, P., &amp; Jaisser, F. (2024). Benefit of combination therapy with dapagliflozin and eplerenone on cardiac function and fibrosis in rats with non-diabetic chronic kidney disease. Scientific Reports, 14(1), 23955.</w:t>
      </w:r>
    </w:p>
    <w:p w14:paraId="6C20EA79"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4.CDSCO. (2024). FDC of dapagliflozin and eplerenone. Retrieved August 28, 2025, from https://www.cdsco.gov.in/opencms/resources/UploadCDSCOWeb/2018/UploadCTApprovals/FDC_MA_24_000133_Exemed.pdf</w:t>
      </w:r>
    </w:p>
    <w:p w14:paraId="45D00A6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5.Rajamahanti, S. G. (2017). Analytical method development and validation of a few drugs by RP-HPLC in pharmaceutical dosage forms (PhD thesis). Andhra University.</w:t>
      </w:r>
    </w:p>
    <w:p w14:paraId="592B3721"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6.Braun, R. D. (2012). Introduction to instrumental analysis (2nd ed.). PharmaMed Press/BSP Books.</w:t>
      </w:r>
    </w:p>
    <w:p w14:paraId="69EECB8C"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7.Bose, A. (2014). HPLC calibration process parameters in terms of system suitability test. Austin Chromatography, 1(2), 1–4.</w:t>
      </w:r>
    </w:p>
    <w:p w14:paraId="09039C8B"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8.Patil, P. S., &amp; Kavita, D. (2022). High-performance liquid chromatography (HPLC) method development and validation. International Journal of Pharmaceutical Sciences Review and Research, 74(2), 23–29.</w:t>
      </w:r>
    </w:p>
    <w:p w14:paraId="6A993C70"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9.International Council for Harmonisation (ICH). (2022). Validation of analytical procedures: Text and methodology Q2(R2).Retrieved from https://database.ich.org/sites/default/files/ICH_Q2-R2_Document_Step2_Guideline_2022_0324.pdf</w:t>
      </w:r>
    </w:p>
    <w:p w14:paraId="13B07A85"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10.Vidushi, Y., Meenakshi, B., &amp; Bharkatiya, M. (2017). A review on HPLC method development and validation. Research Journal of Life Sciences, Bioinformatics, Pharmaceutical and Chemical Sciences, 2(6), 166–178.</w:t>
      </w:r>
    </w:p>
    <w:p w14:paraId="7458EE05"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11.DrugBank. (2025). Dapagliflozin propanediol monohydrate. Retrieved September 2, 2025, from https://go.drugbank.com/drugs/DB06292</w:t>
      </w:r>
    </w:p>
    <w:p w14:paraId="12B02E61"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12.DrugBank. (2025). Eplerenone. Retrieved September 3, 2025, from https://go.drugbank.com/drugs/DB00700</w:t>
      </w:r>
    </w:p>
    <w:p w14:paraId="0BEFFCC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13.PubChem. (2025). Eplerenone. Retrieved September 3, 2025, from https://pubchem.ncbi.nlm.nih.gov/compound/Eplerenone</w:t>
      </w:r>
    </w:p>
    <w:p w14:paraId="10C056D3"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14.United States Pharmacopeia. (2024). United States pharmacopeia and national formulary (pp. 1364–1365).</w:t>
      </w:r>
    </w:p>
    <w:p w14:paraId="3DCFA6E8"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Mante, G. V., Gupta, K. R., &amp; Hemke, A. T. (2017). Estimation of dapagliflozin from its tablet formulation by UV-spectrophotometry. Pharmaceutical Methods, 8(2), 102–107.</w:t>
      </w:r>
    </w:p>
    <w:p w14:paraId="6242EC58"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16.Vadla, S., Putta, V., Nadipudi, S., Bilakanti, S., &amp; Kudumula, N. (2023). Estimation method for dapagliflozin in bulk and marketed dosage form. International Journal of Pharmaceutical and Phytopharmacological Research, 13(4), 1–6.</w:t>
      </w:r>
    </w:p>
    <w:p w14:paraId="3C71D28C"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17.Debata, J., Kumar, S., Jha, S. K., &amp; Khan, A. (2017). A new RP-HPLC method development and validation of dapagliflozin. International Journal of Drug Development and Research, 9(2), 48–51.</w:t>
      </w:r>
    </w:p>
    <w:p w14:paraId="75A711E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18.Mante, G. V., Hemke, A. T., &amp; Umekar, M. J. (2018). RP-HPLC method for estimation of dapagliflozin. International Journal of ChemTech Research, 11(1), 242–248.</w:t>
      </w:r>
    </w:p>
    <w:p w14:paraId="256600D1"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19.Manoharan, G., Ismaiel, A. M., &amp; Ahmed, Z. M. (2018). Stability-indicating RP-HPLC method development. Chemical Research Journal, 3(2), 159–164.</w:t>
      </w:r>
    </w:p>
    <w:p w14:paraId="553A1330"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20.Verma, M. V., Patel, C. J., &amp; Patel, M. M. (2017). Development and stability indicating HPLC method. </w:t>
      </w:r>
    </w:p>
    <w:p w14:paraId="2FFEFA4C" w14:textId="77777777" w:rsidR="001D04B0" w:rsidRDefault="001D04B0">
      <w:pPr>
        <w:tabs>
          <w:tab w:val="left" w:pos="720"/>
          <w:tab w:val="left" w:pos="2595"/>
        </w:tabs>
        <w:spacing w:line="240" w:lineRule="auto"/>
        <w:jc w:val="both"/>
        <w:rPr>
          <w:rFonts w:ascii="Times New Roman" w:hAnsi="Times New Roman"/>
          <w:sz w:val="24"/>
          <w:szCs w:val="24"/>
        </w:rPr>
      </w:pPr>
    </w:p>
    <w:p w14:paraId="63D4F1A0" w14:textId="77777777" w:rsidR="001D04B0" w:rsidRDefault="001D04B0">
      <w:pPr>
        <w:tabs>
          <w:tab w:val="left" w:pos="720"/>
          <w:tab w:val="left" w:pos="2595"/>
        </w:tabs>
        <w:spacing w:line="240" w:lineRule="auto"/>
        <w:jc w:val="both"/>
        <w:rPr>
          <w:rFonts w:ascii="Times New Roman" w:hAnsi="Times New Roman"/>
          <w:sz w:val="24"/>
          <w:szCs w:val="24"/>
        </w:rPr>
      </w:pPr>
    </w:p>
    <w:p w14:paraId="7B4673EB"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lastRenderedPageBreak/>
        <w:t>International Journal of Applied Pharmaceutics, 9(5), 33–41.</w:t>
      </w:r>
    </w:p>
    <w:p w14:paraId="58D9F4AF"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21.Rao, B. R., Rao, V. V., &amp; Venkateswarlu, B. S. (2019). RP-HPLC method for simultaneous estimation of dapagliflozin and saxagliptin in bulk samples. Journal of Pharmaceutical Sciences and Research, 11(1), 254–257.</w:t>
      </w:r>
    </w:p>
    <w:p w14:paraId="3C8CB038"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22.Deepan, T., &amp; Dhanaraju, M. D. (2018). Stability indicating HPLC method for the simultaneous determination of dapagliflozin and saxagliptin. Current Issues in Pharmacy and Medical Sciences, 31(1), 39–43.</w:t>
      </w:r>
    </w:p>
    <w:p w14:paraId="7C513B97"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23.Sharif, S., Bashir, R., Adnan, A., Mansoor, S., Ahmad, I., Ch, A. R., &amp; Tahir, M. S. (2020). Stability indicating, pH and pKa dependent HPLC–DAD method for simultaneous determination of SGLT2 inhibitors. Chromatographia, 83(12), 1453–1465.</w:t>
      </w:r>
    </w:p>
    <w:p w14:paraId="53681B99"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24.Siddique, W., Zulcaif, Umar, H., Usmani, S. J., Waqas, M., Gul, M., &amp; Gul, M. (2025). Method development and validation of metformin HCl and dapagliflozin by RP-HPLC. Acta Chromatographica, 37(2), 176–182.</w:t>
      </w:r>
    </w:p>
    <w:p w14:paraId="5BF78D47"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25.Kladi, E., Zerva, M., &amp; Dotsikas, Y. (2024). A novel HPLC method for the simultaneous determination of empagliflozin and dapagliflozin. Archives of Pharmacy, 74(2), 267–280.</w:t>
      </w:r>
    </w:p>
    <w:p w14:paraId="42F3CEAF"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26.Prajapati, P., Rana, B., Pulusu, V. S., &amp; Shah, S. (2024). Simultaneous chromatographic estimation of vildagliptin and dapagliflozin. Journal of AOAC International, 107(1), 212–222.</w:t>
      </w:r>
    </w:p>
    <w:p w14:paraId="1E4CED03"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27.Indian Pharmacopoeia Commission. (2022). Indian pharmacopoeia (Vol. 2, pp. 2250–2251). Ghaziabad, India.</w:t>
      </w:r>
    </w:p>
    <w:p w14:paraId="082D52FA"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28.British Pharmacopoeia Commission. (2024). British pharmacopoeia.</w:t>
      </w:r>
    </w:p>
    <w:p w14:paraId="4DD4EDDA"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29.Shailaja, B., Swarna, K., Afreen, M., &amp; Kumar, A. (2015). A rapid assay method development and validation for </w:t>
      </w:r>
    </w:p>
    <w:p w14:paraId="7CB5A466"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estimation of eplerenone. International Journal of Pharmacy and Pharmaceutical Sciences, 7(9), 327–330.</w:t>
      </w:r>
    </w:p>
    <w:p w14:paraId="5F70E5F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30.Manasa, P., Jaffer, S. K., Ashwini, M., &amp; Kumar, A. A. (2015). A simple UV assay method development for estimation of eplerenone. International Journal of Pharmacy and Pharmaceutical Sciences, 7(10), 348–351.</w:t>
      </w:r>
    </w:p>
    <w:p w14:paraId="09326FBA"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31.Rane, V. P., Patil, K. R., Sangshetti, J. N., Yeole, R. D., &amp; Shinde, D. B. (2009). Stability-indicating RP-HPLC method for analysis of eplerenone. Acta Chromatographica, 21(4), 619–629.</w:t>
      </w:r>
    </w:p>
    <w:p w14:paraId="6EF4DAE1"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32.Gide, P., Sonawane, S., &amp; Chitnis, A. (2012). Development and validation of RP-HPLC method for estimation of eplerenone in spiked human plasma. Journal of Pharmaceutical Analysis, 2(5), 390–393.</w:t>
      </w:r>
    </w:p>
    <w:p w14:paraId="427DDF4D"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33.Zhang, J. Y., Fast, D. M., &amp; Breau, A. P. (2003). Development and validation of LC–MS/MS assay for eplerenone in plasma. Journal of Chromatography B, 787(2), 333–344.</w:t>
      </w:r>
    </w:p>
    <w:p w14:paraId="71EC66A9"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34.Du, M., Pan, C., Chen, J., Song, M., Zhu, T., &amp; Hang, T. (2016). Stability-indicating UPLC method for impurities in eplerenone. Journal of Separation Science, 39(15), 2907–2918.</w:t>
      </w:r>
    </w:p>
    <w:p w14:paraId="152B4B7F"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35.Zhang, J. Y., Fast, D. M., &amp; Breau, A. P. (2003). SPE–LC-MS/MS assay for eplerenone in human urine. Journal of Pharmaceutical and Biomedical Analysis, 31(1), 103–115.</w:t>
      </w:r>
    </w:p>
    <w:p w14:paraId="38FC0268"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36.Kumar, D. V., Srinivas, S., &amp; Kumar, A. A. (2015). RP-HPLC method development and validation for estimation of eplerenone in tablets. International Journal of Pharmacy and Pharmaceutical Sciences, 360–364.</w:t>
      </w:r>
    </w:p>
    <w:p w14:paraId="36F51D4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37.Sangshetti, J. N., Shinde, D., &amp; Ma, B. A. (2009). Stability-indicating RP-HPLC method for eplerenone. Acta Chromatographica, 21(4), 619–629.</w:t>
      </w:r>
    </w:p>
    <w:p w14:paraId="74703FC5"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38.Sonawane, S., &amp; Gide, P. (2011). Experimental design approach for forced degradation studies of eplerenone. Journal of Liquid Chromatography &amp; Related Technologies, 34(17), 2020–2031.</w:t>
      </w:r>
    </w:p>
    <w:p w14:paraId="114B5DC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39.Patel, K. S., Bendale, A., Luhar, S. V., &amp; Narkhede, S. B. (2016). RP-HPLC method for simultaneous estimation of eplerenone and torsemide. Journal of Pharmaceutical Science and Bio-Scientific Research, 6(3), 283–290.</w:t>
      </w:r>
    </w:p>
    <w:p w14:paraId="13589241"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40.Hinge, M. A., &amp; Patel, D. (2022). Optimization of HPLC method using central composite design. Brazilian Journal of Pharmaceutical Sciences, 58, e20219.</w:t>
      </w:r>
    </w:p>
    <w:p w14:paraId="47EF729F"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41.Thosar, S., Gokhale, R., &amp; Tolbert, D. (2003). Immediate release eplerenone compositions (U.S. Patent No. 6,558,707).</w:t>
      </w:r>
    </w:p>
    <w:p w14:paraId="480D21A4" w14:textId="77777777" w:rsidR="001D04B0" w:rsidRDefault="001D04B0">
      <w:pPr>
        <w:tabs>
          <w:tab w:val="left" w:pos="720"/>
          <w:tab w:val="left" w:pos="2595"/>
        </w:tabs>
        <w:spacing w:line="240" w:lineRule="auto"/>
        <w:jc w:val="both"/>
        <w:rPr>
          <w:rFonts w:ascii="Times New Roman" w:hAnsi="Times New Roman"/>
          <w:sz w:val="24"/>
          <w:szCs w:val="24"/>
        </w:rPr>
      </w:pPr>
    </w:p>
    <w:p w14:paraId="3AD06F4A" w14:textId="77777777" w:rsidR="001D04B0" w:rsidRDefault="001D04B0">
      <w:pPr>
        <w:tabs>
          <w:tab w:val="left" w:pos="720"/>
          <w:tab w:val="left" w:pos="2595"/>
        </w:tabs>
        <w:spacing w:line="240" w:lineRule="auto"/>
        <w:jc w:val="both"/>
        <w:rPr>
          <w:rFonts w:ascii="Times New Roman" w:hAnsi="Times New Roman"/>
          <w:sz w:val="24"/>
          <w:szCs w:val="24"/>
        </w:rPr>
      </w:pPr>
    </w:p>
    <w:p w14:paraId="694A342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42.Bian, Z. (2008). Eplerenone pharmaceutical composition (China Patent No. CN101152187A).</w:t>
      </w:r>
    </w:p>
    <w:p w14:paraId="5EBEFCC7"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43.Shah, V., Redasani, V., &amp; Ghongade, A. (2023). Pharmaceutical composition comprising dapagliflozin (U.S. Patent No. 11,660,308 B2).</w:t>
      </w:r>
    </w:p>
    <w:p w14:paraId="5FF444DE"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44.Staric, R., &amp; Berglez, S. (2019). Formulations containing amorphous dapagliflozin (U.S. Patent No. </w:t>
      </w:r>
    </w:p>
    <w:p w14:paraId="3902EC0A"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US20190175543A1).</w:t>
      </w:r>
    </w:p>
    <w:p w14:paraId="40260AFB"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45.Chivukula, K. R. (2020). Co-crystals of SGLT2 inhibitors and pharmaceutical compositions (U.S. Patent No. 10,738,038 B2).</w:t>
      </w:r>
    </w:p>
    <w:p w14:paraId="0E8026BD"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46.Joshi, I., Jawarkar, S., &amp; Sawale, A. (2022). Formulation and evaluation of pulsatile drug release tablets. International Journal of Creative Research Thoughts, 10(5), 872–885.</w:t>
      </w:r>
    </w:p>
    <w:p w14:paraId="655AD52F"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47.TCI Chemicals. (2026). Eplerenone. Retrieved January 1, 2026, from https://www.tcichemicals.com/IN/en/p/E0905</w:t>
      </w:r>
    </w:p>
    <w:p w14:paraId="68B15293"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48.Hinge, M., Patel, D., &amp; Patel, A. (2019). Development and validation of UV spectrophotometric method for estimation of torsemide and eplerenone. International Journal of Pharmaceutical Sciences Review and Research, 56(2), 63–67.</w:t>
      </w:r>
    </w:p>
    <w:p w14:paraId="75B9BDD2"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49.Indian Pharmacopoeia Commission. (2022). Indian pharmacopoeia (Vol. 1, p. 618). Ghaziabad, India.</w:t>
      </w:r>
    </w:p>
    <w:p w14:paraId="71B41B1F" w14:textId="77777777" w:rsidR="001D04B0" w:rsidRDefault="00000000">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50.Kaczmarek, M., Przerada, S., Hrakovsky, J., &amp; Dzik, J. (2022). Pharmaceutical composition comprising dapagliflozin (WO Patent No. WO2021165316A1).</w:t>
      </w:r>
    </w:p>
    <w:sectPr w:rsidR="001D04B0">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EC57A" w14:textId="77777777" w:rsidR="00CF70D3" w:rsidRDefault="00CF70D3">
      <w:pPr>
        <w:spacing w:line="240" w:lineRule="auto"/>
      </w:pPr>
      <w:r>
        <w:separator/>
      </w:r>
    </w:p>
  </w:endnote>
  <w:endnote w:type="continuationSeparator" w:id="0">
    <w:p w14:paraId="34192616" w14:textId="77777777" w:rsidR="00CF70D3" w:rsidRDefault="00CF7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F233" w14:textId="77777777" w:rsidR="001D04B0" w:rsidRDefault="00000000">
    <w:pPr>
      <w:pStyle w:val="Footer"/>
    </w:pPr>
    <w:r>
      <w:rPr>
        <w:noProof/>
        <w:lang w:eastAsia="en-IN"/>
      </w:rPr>
      <mc:AlternateContent>
        <mc:Choice Requires="wps">
          <w:drawing>
            <wp:anchor distT="45720" distB="45720" distL="114300" distR="114300" simplePos="0" relativeHeight="251660288" behindDoc="0" locked="0" layoutInCell="1" allowOverlap="1" wp14:anchorId="768ADC9C" wp14:editId="483E4A8D">
              <wp:simplePos x="0" y="0"/>
              <wp:positionH relativeFrom="column">
                <wp:posOffset>-101600</wp:posOffset>
              </wp:positionH>
              <wp:positionV relativeFrom="paragraph">
                <wp:posOffset>266700</wp:posOffset>
              </wp:positionV>
              <wp:extent cx="5534025" cy="534670"/>
              <wp:effectExtent l="0" t="0" r="9525" b="0"/>
              <wp:wrapSquare wrapText="bothSides"/>
              <wp:docPr id="1130369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534670"/>
                      </a:xfrm>
                      <a:prstGeom prst="rect">
                        <a:avLst/>
                      </a:prstGeom>
                      <a:solidFill>
                        <a:srgbClr val="FFFFFF"/>
                      </a:solidFill>
                      <a:ln w="9525">
                        <a:noFill/>
                        <a:miter lim="800000"/>
                      </a:ln>
                    </wps:spPr>
                    <wps:txbx>
                      <w:txbxContent>
                        <w:p w14:paraId="246519FC" w14:textId="77777777" w:rsidR="001D04B0" w:rsidRDefault="00000000">
                          <w:pPr>
                            <w:ind w:firstLine="720"/>
                            <w:jc w:val="center"/>
                            <w:rPr>
                              <w:rFonts w:ascii="Times New Roman" w:hAnsi="Times New Roman" w:cs="Times New Roman"/>
                            </w:rPr>
                          </w:pPr>
                          <w:r>
                            <w:rPr>
                              <w:rStyle w:val="fontstyle01"/>
                              <w:rFonts w:ascii="Times New Roman" w:hAnsi="Times New Roman" w:cs="Times New Roman"/>
                              <w:b/>
                            </w:rPr>
                            <w:fldChar w:fldCharType="begin"/>
                          </w:r>
                          <w:r>
                            <w:rPr>
                              <w:rStyle w:val="fontstyle01"/>
                              <w:rFonts w:ascii="Times New Roman" w:hAnsi="Times New Roman" w:cs="Times New Roman"/>
                              <w:b/>
                            </w:rPr>
                            <w:instrText xml:space="preserve"> PAGE   \* MERGEFORMAT </w:instrText>
                          </w:r>
                          <w:r>
                            <w:rPr>
                              <w:rStyle w:val="fontstyle01"/>
                              <w:rFonts w:ascii="Times New Roman" w:hAnsi="Times New Roman" w:cs="Times New Roman"/>
                              <w:b/>
                            </w:rPr>
                            <w:fldChar w:fldCharType="separate"/>
                          </w:r>
                          <w:r>
                            <w:rPr>
                              <w:rStyle w:val="fontstyle01"/>
                              <w:rFonts w:ascii="Times New Roman" w:hAnsi="Times New Roman" w:cs="Times New Roman"/>
                              <w:b/>
                            </w:rPr>
                            <w:t>43</w:t>
                          </w:r>
                          <w:r>
                            <w:rPr>
                              <w:rStyle w:val="fontstyle01"/>
                              <w:rFonts w:ascii="Times New Roman" w:hAnsi="Times New Roman" w:cs="Times New Roman"/>
                              <w:b/>
                            </w:rPr>
                            <w:fldChar w:fldCharType="end"/>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pt;margin-top:21pt;height:42.1pt;width:435.75pt;mso-wrap-distance-bottom:3.6pt;mso-wrap-distance-left:9pt;mso-wrap-distance-right:9pt;mso-wrap-distance-top:3.6pt;z-index:251659264;mso-width-relative:page;mso-height-relative:page;" fillcolor="#FFFFFF" filled="t" stroked="f" coordsize="21600,21600" o:gfxdata="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drJY2AAAAAoBAAAPAAAAAAAAAAEAIAAAACIAAABkcnMvZG93bnJldi54bWxQSwEC&#10;FAAUAAAACACHTuJAy6TAGy0CAABaBAAADgAAAAAAAAABACAAAAAnAQAAZHJzL2Uyb0RvYy54bWxQ&#10;SwUGAAAAAAYABgBZAQAAxgUAAAAA&#10;">
              <v:fill on="t" focussize="0,0"/>
              <v:stroke on="f" miterlimit="8" joinstyle="miter"/>
              <v:imagedata o:title=""/>
              <o:lock v:ext="edit" aspectratio="f"/>
              <v:textbox>
                <w:txbxContent>
                  <w:p w14:paraId="4290F059">
                    <w:pPr>
                      <w:ind w:firstLine="720"/>
                      <w:jc w:val="center"/>
                      <w:rPr>
                        <w:rFonts w:ascii="Times New Roman" w:hAnsi="Times New Roman" w:cs="Times New Roman"/>
                      </w:rPr>
                    </w:pPr>
                    <w:r>
                      <w:rPr>
                        <w:rStyle w:val="18"/>
                        <w:rFonts w:ascii="Times New Roman" w:hAnsi="Times New Roman" w:cs="Times New Roman"/>
                        <w:b/>
                      </w:rPr>
                      <w:fldChar w:fldCharType="begin"/>
                    </w:r>
                    <w:r>
                      <w:rPr>
                        <w:rStyle w:val="18"/>
                        <w:rFonts w:ascii="Times New Roman" w:hAnsi="Times New Roman" w:cs="Times New Roman"/>
                        <w:b/>
                      </w:rPr>
                      <w:instrText xml:space="preserve"> PAGE   \* MERGEFORMAT </w:instrText>
                    </w:r>
                    <w:r>
                      <w:rPr>
                        <w:rStyle w:val="18"/>
                        <w:rFonts w:ascii="Times New Roman" w:hAnsi="Times New Roman" w:cs="Times New Roman"/>
                        <w:b/>
                      </w:rPr>
                      <w:fldChar w:fldCharType="separate"/>
                    </w:r>
                    <w:r>
                      <w:rPr>
                        <w:rStyle w:val="18"/>
                        <w:rFonts w:ascii="Times New Roman" w:hAnsi="Times New Roman" w:cs="Times New Roman"/>
                        <w:b/>
                      </w:rPr>
                      <w:t>43</w:t>
                    </w:r>
                    <w:r>
                      <w:rPr>
                        <w:rStyle w:val="18"/>
                        <w:rFonts w:ascii="Times New Roman" w:hAnsi="Times New Roman" w:cs="Times New Roman"/>
                        <w:b/>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38C93" w14:textId="77777777" w:rsidR="00CF70D3" w:rsidRDefault="00CF70D3">
      <w:pPr>
        <w:spacing w:after="0"/>
      </w:pPr>
      <w:r>
        <w:separator/>
      </w:r>
    </w:p>
  </w:footnote>
  <w:footnote w:type="continuationSeparator" w:id="0">
    <w:p w14:paraId="7B177D94" w14:textId="77777777" w:rsidR="00CF70D3" w:rsidRDefault="00CF70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65E1" w14:textId="77777777" w:rsidR="001D04B0" w:rsidRDefault="00000000">
    <w:pPr>
      <w:pStyle w:val="Header"/>
    </w:pPr>
    <w:r>
      <w:rPr>
        <w:noProof/>
        <w:lang w:eastAsia="en-IN"/>
      </w:rPr>
      <mc:AlternateContent>
        <mc:Choice Requires="wps">
          <w:drawing>
            <wp:anchor distT="45720" distB="45720" distL="114300" distR="114300" simplePos="0" relativeHeight="251656192" behindDoc="0" locked="0" layoutInCell="1" allowOverlap="1" wp14:anchorId="29CB8969" wp14:editId="00634D93">
              <wp:simplePos x="0" y="0"/>
              <wp:positionH relativeFrom="column">
                <wp:posOffset>2908300</wp:posOffset>
              </wp:positionH>
              <wp:positionV relativeFrom="paragraph">
                <wp:posOffset>-329565</wp:posOffset>
              </wp:positionV>
              <wp:extent cx="2409825" cy="28765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87655"/>
                      </a:xfrm>
                      <a:prstGeom prst="rect">
                        <a:avLst/>
                      </a:prstGeom>
                      <a:solidFill>
                        <a:srgbClr val="FFFFFF"/>
                      </a:solidFill>
                      <a:ln w="9525">
                        <a:noFill/>
                        <a:miter lim="800000"/>
                      </a:ln>
                    </wps:spPr>
                    <wps:txbx>
                      <w:txbxContent>
                        <w:p w14:paraId="59717C07"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9pt;margin-top:-25.95pt;height:22.65pt;width:189.75pt;mso-wrap-distance-bottom:3.6pt;mso-wrap-distance-left:9pt;mso-wrap-distance-right:9pt;mso-wrap-distance-top:3.6pt;z-index:251659264;mso-width-relative:page;mso-height-relative:page;" fillcolor="#FFFFFF" filled="t" stroked="f" coordsize="21600,21600" o:gfxdata="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3N89kAAAAKAQAADwAAAAAAAAABACAAAAAiAAAAZHJzL2Rvd25yZXYueG1sUEsBAhQA&#10;FAAAAAgAh07iQFVIKrIqAgAAUwQAAA4AAAAAAAAAAQAgAAAAKAEAAGRycy9lMm9Eb2MueG1sUEsF&#10;BgAAAAAGAAYAWQEAAMQFAAAAAA==&#10;">
              <v:fill on="t" focussize="0,0"/>
              <v:stroke on="f" miterlimit="8" joinstyle="miter"/>
              <v:imagedata o:title=""/>
              <o:lock v:ext="edit" aspectratio="f"/>
              <v:textbox>
                <w:txbxContent>
                  <w:p w14:paraId="1B749C01">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48000" behindDoc="0" locked="0" layoutInCell="1" allowOverlap="1" wp14:anchorId="7CA3BE5D" wp14:editId="30CAFE4F">
              <wp:simplePos x="0" y="0"/>
              <wp:positionH relativeFrom="column">
                <wp:posOffset>0</wp:posOffset>
              </wp:positionH>
              <wp:positionV relativeFrom="paragraph">
                <wp:posOffset>-326390</wp:posOffset>
              </wp:positionV>
              <wp:extent cx="2430780" cy="287655"/>
              <wp:effectExtent l="0" t="0" r="762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87655"/>
                      </a:xfrm>
                      <a:prstGeom prst="rect">
                        <a:avLst/>
                      </a:prstGeom>
                      <a:solidFill>
                        <a:srgbClr val="FFFFFF"/>
                      </a:solidFill>
                      <a:ln w="9525">
                        <a:noFill/>
                        <a:miter lim="800000"/>
                      </a:ln>
                    </wps:spPr>
                    <wps:txbx>
                      <w:txbxContent>
                        <w:p w14:paraId="0A873683"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25.7pt;height:22.65pt;width:191.4pt;mso-wrap-distance-bottom:3.6pt;mso-wrap-distance-left:9pt;mso-wrap-distance-right:9pt;mso-wrap-distance-top:3.6pt;z-index:251659264;mso-width-relative:page;mso-height-relative:page;" fillcolor="#FFFFFF" filled="t" stroked="f" coordsize="21600,21600" o:gfxdata="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ZcJF1gAAAAcBAAAPAAAAAAAAAAEAIAAAACIAAABkcnMvZG93bnJldi54bWxQSwECFAAUAAAA&#10;CACHTuJAX7gP1SkCAABRBAAADgAAAAAAAAABACAAAAAlAQAAZHJzL2Uyb0RvYy54bWxQSwUGAAAA&#10;AAYABgBZAQAAwAUAAAAA&#10;">
              <v:fill on="t" focussize="0,0"/>
              <v:stroke on="f" miterlimit="8" joinstyle="miter"/>
              <v:imagedata o:title=""/>
              <o:lock v:ext="edit" aspectratio="f"/>
              <v:textbox>
                <w:txbxContent>
                  <w:p w14:paraId="3D61E1BC">
                    <w:pPr>
                      <w:rPr>
                        <w:rFonts w:ascii="Times New Roman" w:hAnsi="Times New Roman" w:cs="Times New Roman"/>
                        <w:b/>
                        <w:bCs/>
                        <w:sz w:val="24"/>
                        <w:szCs w:val="24"/>
                      </w:rPr>
                    </w:pP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B3D9" w14:textId="77777777" w:rsidR="001D04B0" w:rsidRDefault="00000000">
    <w:pPr>
      <w:pStyle w:val="Header"/>
    </w:pPr>
    <w:r>
      <w:rPr>
        <w:noProof/>
        <w:lang w:eastAsia="en-IN"/>
      </w:rPr>
      <mc:AlternateContent>
        <mc:Choice Requires="wps">
          <w:drawing>
            <wp:anchor distT="45720" distB="45720" distL="114300" distR="114300" simplePos="0" relativeHeight="251664384" behindDoc="0" locked="0" layoutInCell="1" allowOverlap="1" wp14:anchorId="18BEE30F" wp14:editId="6E197623">
              <wp:simplePos x="0" y="0"/>
              <wp:positionH relativeFrom="column">
                <wp:posOffset>2994025</wp:posOffset>
              </wp:positionH>
              <wp:positionV relativeFrom="paragraph">
                <wp:posOffset>-329565</wp:posOffset>
              </wp:positionV>
              <wp:extent cx="2326005" cy="287655"/>
              <wp:effectExtent l="0" t="0" r="0" b="0"/>
              <wp:wrapSquare wrapText="bothSides"/>
              <wp:docPr id="1876034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87655"/>
                      </a:xfrm>
                      <a:prstGeom prst="rect">
                        <a:avLst/>
                      </a:prstGeom>
                      <a:solidFill>
                        <a:srgbClr val="FFFFFF"/>
                      </a:solidFill>
                      <a:ln w="9525">
                        <a:noFill/>
                        <a:miter lim="800000"/>
                      </a:ln>
                    </wps:spPr>
                    <wps:txbx>
                      <w:txbxContent>
                        <w:p w14:paraId="5D6EA259"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5.75pt;margin-top:-25.95pt;height:22.65pt;width:183.15pt;mso-wrap-distance-bottom:3.6pt;mso-wrap-distance-left:9pt;mso-wrap-distance-right:9pt;mso-wrap-distance-top:3.6pt;z-index:251659264;mso-width-relative:page;mso-height-relative:page;" fillcolor="#FFFFFF" filled="t" stroked="f" coordsize="21600,21600" o:gfxdata="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ZUqb2AAAAAoBAAAPAAAAAAAAAAEAIAAAACIAAABkcnMvZG93bnJldi54bWxQ&#10;SwECFAAUAAAACACHTuJAXG6pQTACAABaBAAADgAAAAAAAAABACAAAAAnAQAAZHJzL2Uyb0RvYy54&#10;bWxQSwUGAAAAAAYABgBZAQAAyQUAAAAA&#10;">
              <v:fill on="t" focussize="0,0"/>
              <v:stroke on="f" miterlimit="8" joinstyle="miter"/>
              <v:imagedata o:title=""/>
              <o:lock v:ext="edit" aspectratio="f"/>
              <v:textbox>
                <w:txbxContent>
                  <w:p w14:paraId="2EC5B0C9">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49024" behindDoc="0" locked="0" layoutInCell="1" allowOverlap="1" wp14:anchorId="61D605B0" wp14:editId="6AA51D35">
              <wp:simplePos x="0" y="0"/>
              <wp:positionH relativeFrom="column">
                <wp:posOffset>3175</wp:posOffset>
              </wp:positionH>
              <wp:positionV relativeFrom="paragraph">
                <wp:posOffset>-329565</wp:posOffset>
              </wp:positionV>
              <wp:extent cx="2181225" cy="287655"/>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87655"/>
                      </a:xfrm>
                      <a:prstGeom prst="rect">
                        <a:avLst/>
                      </a:prstGeom>
                      <a:solidFill>
                        <a:srgbClr val="FFFFFF"/>
                      </a:solidFill>
                      <a:ln w="9525">
                        <a:noFill/>
                        <a:miter lim="800000"/>
                      </a:ln>
                    </wps:spPr>
                    <wps:txbx>
                      <w:txbxContent>
                        <w:p w14:paraId="42C2D6E4"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25pt;margin-top:-25.95pt;height:22.65pt;width:171.75pt;mso-wrap-distance-bottom:3.6pt;mso-wrap-distance-left:9pt;mso-wrap-distance-right:9pt;mso-wrap-distance-top:3.6pt;z-index:251659264;mso-width-relative:page;mso-height-relative:page;" fillcolor="#FFFFFF" filled="t" stroked="f" coordsize="21600,21600" o:gfxdata="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L62s1QAAAAcBAAAPAAAAAAAAAAEAIAAAACIAAABkcnMvZG93bnJldi54bWxQSwECFAAUAAAACACH&#10;TuJAySlfZycCAABRBAAADgAAAAAAAAABACAAAAAkAQAAZHJzL2Uyb0RvYy54bWxQSwUGAAAAAAYA&#10;BgBZAQAAvQUAAAAA&#10;">
              <v:fill on="t" focussize="0,0"/>
              <v:stroke on="f" miterlimit="8" joinstyle="miter"/>
              <v:imagedata o:title=""/>
              <o:lock v:ext="edit" aspectratio="f"/>
              <v:textbox>
                <w:txbxContent>
                  <w:p w14:paraId="75B68B1A">
                    <w:pPr>
                      <w:rPr>
                        <w:rFonts w:ascii="Times New Roman" w:hAnsi="Times New Roman" w:cs="Times New Roman"/>
                        <w:b/>
                        <w:bCs/>
                        <w:sz w:val="24"/>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EAC8" w14:textId="77777777" w:rsidR="001D04B0" w:rsidRDefault="00000000">
    <w:pPr>
      <w:pStyle w:val="Header"/>
    </w:pPr>
    <w:r>
      <w:rPr>
        <w:noProof/>
        <w:lang w:eastAsia="en-IN"/>
      </w:rPr>
      <mc:AlternateContent>
        <mc:Choice Requires="wps">
          <w:drawing>
            <wp:anchor distT="45720" distB="45720" distL="114300" distR="114300" simplePos="0" relativeHeight="251657216" behindDoc="0" locked="0" layoutInCell="1" allowOverlap="1" wp14:anchorId="5B5E6626" wp14:editId="4F81AF39">
              <wp:simplePos x="0" y="0"/>
              <wp:positionH relativeFrom="column">
                <wp:posOffset>2222500</wp:posOffset>
              </wp:positionH>
              <wp:positionV relativeFrom="paragraph">
                <wp:posOffset>-329565</wp:posOffset>
              </wp:positionV>
              <wp:extent cx="3097530" cy="287655"/>
              <wp:effectExtent l="0" t="0" r="7620" b="0"/>
              <wp:wrapSquare wrapText="bothSides"/>
              <wp:docPr id="17550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87655"/>
                      </a:xfrm>
                      <a:prstGeom prst="rect">
                        <a:avLst/>
                      </a:prstGeom>
                      <a:solidFill>
                        <a:srgbClr val="FFFFFF"/>
                      </a:solidFill>
                      <a:ln w="9525">
                        <a:noFill/>
                        <a:miter lim="800000"/>
                      </a:ln>
                    </wps:spPr>
                    <wps:txbx>
                      <w:txbxContent>
                        <w:p w14:paraId="63BC60ED"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75pt;margin-top:-25.95pt;height:22.65pt;width:243.9pt;mso-wrap-distance-bottom:3.6pt;mso-wrap-distance-left:9pt;mso-wrap-distance-right:9pt;mso-wrap-distance-top:3.6pt;z-index:251659264;mso-width-relative:page;mso-height-relative:page;" fillcolor="#FFFFFF" filled="t" stroked="f" coordsize="21600,21600" o:gfxdata="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05xtgAAAAKAQAADwAAAAAAAAABACAAAAAiAAAAZHJzL2Rvd25yZXYueG1sUEsB&#10;AhQAFAAAAAgAh07iQFUQTSguAgAAWQQAAA4AAAAAAAAAAQAgAAAAJwEAAGRycy9lMm9Eb2MueG1s&#10;UEsFBgAAAAAGAAYAWQEAAMcFAAAAAA==&#10;">
              <v:fill on="t" focussize="0,0"/>
              <v:stroke on="f" miterlimit="8" joinstyle="miter"/>
              <v:imagedata o:title=""/>
              <o:lock v:ext="edit" aspectratio="f"/>
              <v:textbox>
                <w:txbxContent>
                  <w:p w14:paraId="028A657B">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0048" behindDoc="0" locked="0" layoutInCell="1" allowOverlap="1" wp14:anchorId="3D2BFB5E" wp14:editId="5B5720EF">
              <wp:simplePos x="0" y="0"/>
              <wp:positionH relativeFrom="column">
                <wp:posOffset>3175</wp:posOffset>
              </wp:positionH>
              <wp:positionV relativeFrom="paragraph">
                <wp:posOffset>-339090</wp:posOffset>
              </wp:positionV>
              <wp:extent cx="1876425" cy="28765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30E3F1F9"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25pt;margin-top:-26.7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ncRd1gAAAAcBAAAPAAAAAAAAAAEAIAAAACIAAABkcnMvZG93bnJldi54bWxQSwECFAAUAAAACACH&#10;TuJAarjxhSYCAABSBAAADgAAAAAAAAABACAAAAAlAQAAZHJzL2Uyb0RvYy54bWxQSwUGAAAAAAYA&#10;BgBZAQAAvQUAAAAA&#10;">
              <v:fill on="t" focussize="0,0"/>
              <v:stroke on="f" miterlimit="8" joinstyle="miter"/>
              <v:imagedata o:title=""/>
              <o:lock v:ext="edit" aspectratio="f"/>
              <v:textbox>
                <w:txbxContent>
                  <w:p w14:paraId="7DF48A8D">
                    <w:pPr>
                      <w:rPr>
                        <w:rFonts w:ascii="Times New Roman" w:hAnsi="Times New Roman" w:cs="Times New Roman"/>
                        <w:b/>
                        <w:bCs/>
                        <w:sz w:val="24"/>
                        <w:szCs w:val="24"/>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A233D" w14:textId="77777777" w:rsidR="001D04B0" w:rsidRDefault="00000000">
    <w:pPr>
      <w:pStyle w:val="Header"/>
    </w:pPr>
    <w:r>
      <w:rPr>
        <w:noProof/>
        <w:lang w:eastAsia="en-IN"/>
      </w:rPr>
      <mc:AlternateContent>
        <mc:Choice Requires="wps">
          <w:drawing>
            <wp:anchor distT="45720" distB="45720" distL="114300" distR="114300" simplePos="0" relativeHeight="251652096" behindDoc="0" locked="0" layoutInCell="1" allowOverlap="1" wp14:anchorId="38975E38" wp14:editId="22066BAE">
              <wp:simplePos x="0" y="0"/>
              <wp:positionH relativeFrom="column">
                <wp:posOffset>2257425</wp:posOffset>
              </wp:positionH>
              <wp:positionV relativeFrom="paragraph">
                <wp:posOffset>-326390</wp:posOffset>
              </wp:positionV>
              <wp:extent cx="3097530" cy="287655"/>
              <wp:effectExtent l="0" t="0" r="762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87655"/>
                      </a:xfrm>
                      <a:prstGeom prst="rect">
                        <a:avLst/>
                      </a:prstGeom>
                      <a:solidFill>
                        <a:srgbClr val="FFFFFF"/>
                      </a:solidFill>
                      <a:ln w="9525">
                        <a:noFill/>
                        <a:miter lim="800000"/>
                      </a:ln>
                    </wps:spPr>
                    <wps:txbx>
                      <w:txbxContent>
                        <w:p w14:paraId="68FFB574"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77.75pt;margin-top:-25.7pt;height:22.65pt;width:243.9pt;mso-wrap-distance-bottom:3.6pt;mso-wrap-distance-left:9pt;mso-wrap-distance-right:9pt;mso-wrap-distance-top:3.6pt;z-index:251659264;mso-width-relative:page;mso-height-relative:page;" fillcolor="#FFFFFF" filled="t" stroked="f" coordsize="21600,21600" o:gfxdata="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LePP2QAAAAoBAAAPAAAAAAAAAAEAIAAAACIAAABkcnMvZG93bnJldi54bWxQSwECFAAU&#10;AAAACACHTuJAp9+W4CkCAABSBAAADgAAAAAAAAABACAAAAAoAQAAZHJzL2Uyb0RvYy54bWxQSwUG&#10;AAAAAAYABgBZAQAAwwUAAAAA&#10;">
              <v:fill on="t" focussize="0,0"/>
              <v:stroke on="f" miterlimit="8" joinstyle="miter"/>
              <v:imagedata o:title=""/>
              <o:lock v:ext="edit" aspectratio="f"/>
              <v:textbox>
                <w:txbxContent>
                  <w:p w14:paraId="4FE44679">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1072" behindDoc="0" locked="0" layoutInCell="1" allowOverlap="1" wp14:anchorId="6B5DA3D0" wp14:editId="026245D9">
              <wp:simplePos x="0" y="0"/>
              <wp:positionH relativeFrom="column">
                <wp:posOffset>-104775</wp:posOffset>
              </wp:positionH>
              <wp:positionV relativeFrom="paragraph">
                <wp:posOffset>-326390</wp:posOffset>
              </wp:positionV>
              <wp:extent cx="1876425" cy="287655"/>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37F9A7FA"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25pt;margin-top:-25.7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7tZb/YAAAACgEAAA8AAAAAAAAAAQAgAAAAIgAAAGRycy9kb3ducmV2LnhtbFBLAQIUABQAAAAI&#10;AIdO4kDyFFkDJgIAAFIEAAAOAAAAAAAAAAEAIAAAACcBAABkcnMvZTJvRG9jLnhtbFBLBQYAAAAA&#10;BgAGAFkBAAC/BQAAAAA=&#10;">
              <v:fill on="t" focussize="0,0"/>
              <v:stroke on="f" miterlimit="8" joinstyle="miter"/>
              <v:imagedata o:title=""/>
              <o:lock v:ext="edit" aspectratio="f"/>
              <v:textbox>
                <w:txbxContent>
                  <w:p w14:paraId="776D7924">
                    <w:pPr>
                      <w:rPr>
                        <w:rFonts w:ascii="Times New Roman" w:hAnsi="Times New Roman" w:cs="Times New Roman"/>
                        <w:b/>
                        <w:bCs/>
                        <w:sz w:val="24"/>
                        <w:szCs w:val="24"/>
                      </w:rPr>
                    </w:pP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7190" w14:textId="77777777" w:rsidR="001D04B0" w:rsidRDefault="00000000">
    <w:pPr>
      <w:pStyle w:val="Header"/>
    </w:pPr>
    <w:r>
      <w:rPr>
        <w:noProof/>
        <w:lang w:eastAsia="en-IN"/>
      </w:rPr>
      <mc:AlternateContent>
        <mc:Choice Requires="wps">
          <w:drawing>
            <wp:anchor distT="45720" distB="45720" distL="114300" distR="114300" simplePos="0" relativeHeight="251667456" behindDoc="0" locked="0" layoutInCell="1" allowOverlap="1" wp14:anchorId="0F1E3CDF" wp14:editId="161202D8">
              <wp:simplePos x="0" y="0"/>
              <wp:positionH relativeFrom="column">
                <wp:posOffset>3241675</wp:posOffset>
              </wp:positionH>
              <wp:positionV relativeFrom="paragraph">
                <wp:posOffset>-329565</wp:posOffset>
              </wp:positionV>
              <wp:extent cx="2078355" cy="287655"/>
              <wp:effectExtent l="0" t="0" r="17145" b="17145"/>
              <wp:wrapSquare wrapText="bothSides"/>
              <wp:docPr id="760531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87655"/>
                      </a:xfrm>
                      <a:prstGeom prst="rect">
                        <a:avLst/>
                      </a:prstGeom>
                      <a:solidFill>
                        <a:srgbClr val="FFFFFF"/>
                      </a:solidFill>
                      <a:ln w="9525">
                        <a:noFill/>
                        <a:miter lim="800000"/>
                      </a:ln>
                    </wps:spPr>
                    <wps:txbx>
                      <w:txbxContent>
                        <w:p w14:paraId="4C9D021B"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5.25pt;margin-top:-25.95pt;height:22.65pt;width:163.65pt;mso-wrap-distance-bottom:3.6pt;mso-wrap-distance-left:9pt;mso-wrap-distance-right:9pt;mso-wrap-distance-top:3.6pt;z-index:251662336;mso-width-relative:page;mso-height-relative:page;" fillcolor="#FFFFFF" filled="t" stroked="f" coordsize="21600,21600" o:gfxdata="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S9VddgAAAAKAQAADwAAAAAAAAABACAAAAAiAAAAZHJzL2Rvd25yZXYueG1sUEsB&#10;AhQAFAAAAAgAh07iQA0I558uAgAAWQQAAA4AAAAAAAAAAQAgAAAAJwEAAGRycy9lMm9Eb2MueG1s&#10;UEsFBgAAAAAGAAYAWQEAAMcFAAAAAA==&#10;">
              <v:fill on="t" focussize="0,0"/>
              <v:stroke on="f" miterlimit="8" joinstyle="miter"/>
              <v:imagedata o:title=""/>
              <o:lock v:ext="edit" aspectratio="f"/>
              <v:textbox>
                <w:txbxContent>
                  <w:p w14:paraId="13E4FB21">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6432" behindDoc="0" locked="0" layoutInCell="1" allowOverlap="1" wp14:anchorId="4C03DC0E" wp14:editId="4B1DD8C8">
              <wp:simplePos x="0" y="0"/>
              <wp:positionH relativeFrom="column">
                <wp:posOffset>-57150</wp:posOffset>
              </wp:positionH>
              <wp:positionV relativeFrom="paragraph">
                <wp:posOffset>-326390</wp:posOffset>
              </wp:positionV>
              <wp:extent cx="1876425" cy="287655"/>
              <wp:effectExtent l="0" t="0" r="9525"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03606576"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5pt;margin-top:-25.7pt;height:22.65pt;width:147.75pt;mso-wrap-distance-bottom:3.6pt;mso-wrap-distance-left:9pt;mso-wrap-distance-right:9pt;mso-wrap-distance-top:3.6pt;z-index:251662336;mso-width-relative:page;mso-height-relative:page;" fillcolor="#FFFFFF" filled="t" stroked="f" coordsize="21600,21600" o:gfxdata="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2JocbYAAAACQEAAA8AAAAAAAAAAQAgAAAAIgAAAGRycy9kb3ducmV2LnhtbFBLAQIUABQAAAAI&#10;AIdO4kBXsYUQJgIAAFIEAAAOAAAAAAAAAAEAIAAAACcBAABkcnMvZTJvRG9jLnhtbFBLBQYAAAAA&#10;BgAGAFkBAAC/BQAAAAA=&#10;">
              <v:fill on="t" focussize="0,0"/>
              <v:stroke on="f" miterlimit="8" joinstyle="miter"/>
              <v:imagedata o:title=""/>
              <o:lock v:ext="edit" aspectratio="f"/>
              <v:textbox>
                <w:txbxContent>
                  <w:p w14:paraId="6AE9F13C">
                    <w:pPr>
                      <w:rPr>
                        <w:rFonts w:ascii="Times New Roman" w:hAnsi="Times New Roman" w:cs="Times New Roman"/>
                        <w:b/>
                        <w:bCs/>
                        <w:sz w:val="24"/>
                        <w:szCs w:val="24"/>
                      </w:rPr>
                    </w:pP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F883" w14:textId="77777777" w:rsidR="001D04B0" w:rsidRDefault="00000000">
    <w:pPr>
      <w:pStyle w:val="Header"/>
    </w:pPr>
    <w:r>
      <w:rPr>
        <w:noProof/>
        <w:lang w:eastAsia="en-IN"/>
      </w:rPr>
      <mc:AlternateContent>
        <mc:Choice Requires="wps">
          <w:drawing>
            <wp:anchor distT="45720" distB="45720" distL="114300" distR="114300" simplePos="0" relativeHeight="251661312" behindDoc="0" locked="0" layoutInCell="1" allowOverlap="1" wp14:anchorId="53124660" wp14:editId="7F22A2EB">
              <wp:simplePos x="0" y="0"/>
              <wp:positionH relativeFrom="column">
                <wp:posOffset>1969135</wp:posOffset>
              </wp:positionH>
              <wp:positionV relativeFrom="paragraph">
                <wp:posOffset>-377190</wp:posOffset>
              </wp:positionV>
              <wp:extent cx="3246120" cy="1404620"/>
              <wp:effectExtent l="0" t="0" r="0" b="8890"/>
              <wp:wrapSquare wrapText="bothSides"/>
              <wp:docPr id="1226463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404620"/>
                      </a:xfrm>
                      <a:prstGeom prst="rect">
                        <a:avLst/>
                      </a:prstGeom>
                      <a:solidFill>
                        <a:srgbClr val="FFFFFF"/>
                      </a:solidFill>
                      <a:ln w="9525">
                        <a:noFill/>
                        <a:miter lim="800000"/>
                      </a:ln>
                    </wps:spPr>
                    <wps:txbx>
                      <w:txbxContent>
                        <w:p w14:paraId="247FA22D"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Text Box 2" o:spid="_x0000_s1026" o:spt="202" type="#_x0000_t202" style="position:absolute;left:0pt;margin-left:155.05pt;margin-top:-29.7pt;height:110.6pt;width:255.6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qUw7ZAAAACwEAAA8AAAAAAAAAAQAgAAAAIgAAAGRycy9kb3ducmV2LnhtbFBL&#10;AQIUABQAAAAIAIdO4kDMvRt0LgIAAFsEAAAOAAAAAAAAAAEAIAAAACgBAABkcnMvZTJvRG9jLnht&#10;bFBLBQYAAAAABgAGAFkBAADIBQAAAAA=&#10;">
              <v:fill on="t" focussize="0,0"/>
              <v:stroke on="f" miterlimit="8" joinstyle="miter"/>
              <v:imagedata o:title=""/>
              <o:lock v:ext="edit" aspectratio="f"/>
              <v:textbox style="mso-fit-shape-to-text:t;">
                <w:txbxContent>
                  <w:p w14:paraId="22071977">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8240" behindDoc="0" locked="0" layoutInCell="1" allowOverlap="1" wp14:anchorId="6ED10D9A" wp14:editId="6503AD14">
              <wp:simplePos x="0" y="0"/>
              <wp:positionH relativeFrom="column">
                <wp:posOffset>-104775</wp:posOffset>
              </wp:positionH>
              <wp:positionV relativeFrom="paragraph">
                <wp:posOffset>-345440</wp:posOffset>
              </wp:positionV>
              <wp:extent cx="1876425" cy="287655"/>
              <wp:effectExtent l="0" t="0" r="9525" b="0"/>
              <wp:wrapSquare wrapText="bothSides"/>
              <wp:docPr id="563247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185F0676"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WS3YAAAACgEAAA8AAAAAAAAAAQAgAAAAIgAAAGRycy9kb3ducmV2LnhtbFBLAQIU&#10;ABQAAAAIAIdO4kC3rzFhLAIAAFkEAAAOAAAAAAAAAAEAIAAAACcBAABkcnMvZTJvRG9jLnhtbFBL&#10;BQYAAAAABgAGAFkBAADFBQAAAAA=&#10;">
              <v:fill on="t" focussize="0,0"/>
              <v:stroke on="f" miterlimit="8" joinstyle="miter"/>
              <v:imagedata o:title=""/>
              <o:lock v:ext="edit" aspectratio="f"/>
              <v:textbox>
                <w:txbxContent>
                  <w:p w14:paraId="193A9D25">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2336" behindDoc="0" locked="0" layoutInCell="1" allowOverlap="1" wp14:anchorId="5913B3E7" wp14:editId="63E98460">
              <wp:simplePos x="0" y="0"/>
              <wp:positionH relativeFrom="column">
                <wp:posOffset>6632575</wp:posOffset>
              </wp:positionH>
              <wp:positionV relativeFrom="paragraph">
                <wp:posOffset>-348615</wp:posOffset>
              </wp:positionV>
              <wp:extent cx="2354580" cy="287655"/>
              <wp:effectExtent l="0" t="0" r="7620" b="0"/>
              <wp:wrapSquare wrapText="bothSides"/>
              <wp:docPr id="1697663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14:paraId="3BF88ECC"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Iht0tkAAAAMAQAADwAAAAAAAAABACAAAAAiAAAAZHJzL2Rvd25yZXYueG1s&#10;UEsBAhQAFAAAAAgAh07iQI+GrKIwAgAAWgQAAA4AAAAAAAAAAQAgAAAAKAEAAGRycy9lMm9Eb2Mu&#10;eG1sUEsFBgAAAAAGAAYAWQEAAMoFAAAAAA==&#10;">
              <v:fill on="t" focussize="0,0"/>
              <v:stroke on="f" miterlimit="8" joinstyle="miter"/>
              <v:imagedata o:title=""/>
              <o:lock v:ext="edit" aspectratio="f"/>
              <v:textbox>
                <w:txbxContent>
                  <w:p w14:paraId="5F5A23E0">
                    <w:pPr>
                      <w:rPr>
                        <w:rFonts w:ascii="Times New Roman" w:hAnsi="Times New Roman" w:cs="Times New Roman"/>
                        <w:b/>
                        <w:bCs/>
                        <w:sz w:val="24"/>
                        <w:szCs w:val="24"/>
                      </w:rPr>
                    </w:pP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6E0E" w14:textId="77777777" w:rsidR="001D04B0" w:rsidRDefault="00000000">
    <w:pPr>
      <w:pStyle w:val="Header"/>
    </w:pPr>
    <w:r>
      <w:rPr>
        <w:noProof/>
        <w:lang w:eastAsia="en-IN"/>
      </w:rPr>
      <mc:AlternateContent>
        <mc:Choice Requires="wps">
          <w:drawing>
            <wp:anchor distT="45720" distB="45720" distL="114300" distR="114300" simplePos="0" relativeHeight="251665408" behindDoc="0" locked="0" layoutInCell="1" allowOverlap="1" wp14:anchorId="10884074" wp14:editId="561D52FE">
              <wp:simplePos x="0" y="0"/>
              <wp:positionH relativeFrom="column">
                <wp:posOffset>2906395</wp:posOffset>
              </wp:positionH>
              <wp:positionV relativeFrom="paragraph">
                <wp:posOffset>-377190</wp:posOffset>
              </wp:positionV>
              <wp:extent cx="2308860" cy="1404620"/>
              <wp:effectExtent l="0" t="0" r="0" b="8890"/>
              <wp:wrapSquare wrapText="bothSides"/>
              <wp:docPr id="2132198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404620"/>
                      </a:xfrm>
                      <a:prstGeom prst="rect">
                        <a:avLst/>
                      </a:prstGeom>
                      <a:solidFill>
                        <a:srgbClr val="FFFFFF"/>
                      </a:solidFill>
                      <a:ln w="9525">
                        <a:noFill/>
                        <a:miter lim="800000"/>
                      </a:ln>
                    </wps:spPr>
                    <wps:txbx>
                      <w:txbxContent>
                        <w:p w14:paraId="72AEB1C7"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Text Box 2" o:spid="_x0000_s1026" o:spt="202" type="#_x0000_t202" style="position:absolute;left:0pt;margin-left:228.85pt;margin-top:-29.7pt;height:110.6pt;width:181.8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sST82gAAAAsBAAAPAAAAAAAAAAEAIAAAACIAAABkcnMvZG93bnJldi54&#10;bWxQSwECFAAUAAAACACHTuJA8oDqozECAABbBAAADgAAAAAAAAABACAAAAApAQAAZHJzL2Uyb0Rv&#10;Yy54bWxQSwUGAAAAAAYABgBZAQAAzAUAAAAA&#10;">
              <v:fill on="t" focussize="0,0"/>
              <v:stroke on="f" miterlimit="8" joinstyle="miter"/>
              <v:imagedata o:title=""/>
              <o:lock v:ext="edit" aspectratio="f"/>
              <v:textbox style="mso-fit-shape-to-text:t;">
                <w:txbxContent>
                  <w:p w14:paraId="0491A9B6">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3360" behindDoc="0" locked="0" layoutInCell="1" allowOverlap="1" wp14:anchorId="3E05C499" wp14:editId="7E53F1C0">
              <wp:simplePos x="0" y="0"/>
              <wp:positionH relativeFrom="column">
                <wp:posOffset>-104775</wp:posOffset>
              </wp:positionH>
              <wp:positionV relativeFrom="paragraph">
                <wp:posOffset>-345440</wp:posOffset>
              </wp:positionV>
              <wp:extent cx="1876425" cy="287655"/>
              <wp:effectExtent l="0" t="0" r="9525" b="0"/>
              <wp:wrapSquare wrapText="bothSides"/>
              <wp:docPr id="176069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6576F67D"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WS3YAAAACgEAAA8AAAAAAAAAAQAgAAAAIgAAAGRycy9kb3ducmV2LnhtbFBLAQIU&#10;ABQAAAAIAIdO4kDLQry4LAIAAFoEAAAOAAAAAAAAAAEAIAAAACcBAABkcnMvZTJvRG9jLnhtbFBL&#10;BQYAAAAABgAGAFkBAADFBQAAAAA=&#10;">
              <v:fill on="t" focussize="0,0"/>
              <v:stroke on="f" miterlimit="8" joinstyle="miter"/>
              <v:imagedata o:title=""/>
              <o:lock v:ext="edit" aspectratio="f"/>
              <v:textbox>
                <w:txbxContent>
                  <w:p w14:paraId="1F995532">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9264" behindDoc="0" locked="0" layoutInCell="1" allowOverlap="1" wp14:anchorId="756E6096" wp14:editId="267C54DA">
              <wp:simplePos x="0" y="0"/>
              <wp:positionH relativeFrom="column">
                <wp:posOffset>6632575</wp:posOffset>
              </wp:positionH>
              <wp:positionV relativeFrom="paragraph">
                <wp:posOffset>-348615</wp:posOffset>
              </wp:positionV>
              <wp:extent cx="2354580" cy="287655"/>
              <wp:effectExtent l="0" t="0" r="7620" b="0"/>
              <wp:wrapSquare wrapText="bothSides"/>
              <wp:docPr id="742194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14:paraId="303972D3"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Iht0tkAAAAMAQAADwAAAAAAAAABACAAAAAiAAAAZHJzL2Rvd25yZXYueG1s&#10;UEsBAhQAFAAAAAgAh07iQDLwRfcwAgAAWQQAAA4AAAAAAAAAAQAgAAAAKAEAAGRycy9lMm9Eb2Mu&#10;eG1sUEsFBgAAAAAGAAYAWQEAAMoFAAAAAA==&#10;">
              <v:fill on="t" focussize="0,0"/>
              <v:stroke on="f" miterlimit="8" joinstyle="miter"/>
              <v:imagedata o:title=""/>
              <o:lock v:ext="edit" aspectratio="f"/>
              <v:textbox>
                <w:txbxContent>
                  <w:p w14:paraId="5E8153C6">
                    <w:pPr>
                      <w:rPr>
                        <w:rFonts w:ascii="Times New Roman" w:hAnsi="Times New Roman" w:cs="Times New Roman"/>
                        <w:b/>
                        <w:bCs/>
                        <w:sz w:val="24"/>
                        <w:szCs w:val="24"/>
                      </w:rPr>
                    </w:pP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4F2B9" w14:textId="77777777" w:rsidR="001D04B0" w:rsidRDefault="00000000">
    <w:pPr>
      <w:pStyle w:val="Header"/>
    </w:pPr>
    <w:r>
      <w:rPr>
        <w:noProof/>
        <w:lang w:eastAsia="en-IN"/>
      </w:rPr>
      <mc:AlternateContent>
        <mc:Choice Requires="wps">
          <w:drawing>
            <wp:anchor distT="45720" distB="45720" distL="114300" distR="114300" simplePos="0" relativeHeight="251653120" behindDoc="0" locked="0" layoutInCell="1" allowOverlap="1" wp14:anchorId="0ACFFA80" wp14:editId="67C9C907">
              <wp:simplePos x="0" y="0"/>
              <wp:positionH relativeFrom="column">
                <wp:posOffset>2875915</wp:posOffset>
              </wp:positionH>
              <wp:positionV relativeFrom="paragraph">
                <wp:posOffset>-377190</wp:posOffset>
              </wp:positionV>
              <wp:extent cx="2341245" cy="1404620"/>
              <wp:effectExtent l="0" t="0" r="1905" b="88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404620"/>
                      </a:xfrm>
                      <a:prstGeom prst="rect">
                        <a:avLst/>
                      </a:prstGeom>
                      <a:solidFill>
                        <a:srgbClr val="FFFFFF"/>
                      </a:solidFill>
                      <a:ln w="9525">
                        <a:noFill/>
                        <a:miter lim="800000"/>
                      </a:ln>
                    </wps:spPr>
                    <wps:txbx>
                      <w:txbxContent>
                        <w:p w14:paraId="67507978"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Text Box 2" o:spid="_x0000_s1026" o:spt="202" type="#_x0000_t202" style="position:absolute;left:0pt;margin-left:226.45pt;margin-top:-29.7pt;height:110.6pt;width:184.35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hfAf9kAAAALAQAADwAAAAAAAAABACAAAAAiAAAAZHJzL2Rvd25yZXYueG1sUEsBAhQA&#10;FAAAAAgAh07iQPpEI/EqAgAAUwQAAA4AAAAAAAAAAQAgAAAAKAEAAGRycy9lMm9Eb2MueG1sUEsF&#10;BgAAAAAGAAYAWQEAAMQFAAAAAA==&#10;">
              <v:fill on="t" focussize="0,0"/>
              <v:stroke on="f" miterlimit="8" joinstyle="miter"/>
              <v:imagedata o:title=""/>
              <o:lock v:ext="edit" aspectratio="f"/>
              <v:textbox style="mso-fit-shape-to-text:t;">
                <w:txbxContent>
                  <w:p w14:paraId="710915E0">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4144" behindDoc="0" locked="0" layoutInCell="1" allowOverlap="1" wp14:anchorId="43320B27" wp14:editId="71E2A970">
              <wp:simplePos x="0" y="0"/>
              <wp:positionH relativeFrom="column">
                <wp:posOffset>-104775</wp:posOffset>
              </wp:positionH>
              <wp:positionV relativeFrom="paragraph">
                <wp:posOffset>-345440</wp:posOffset>
              </wp:positionV>
              <wp:extent cx="1876425" cy="287655"/>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5D12F534"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f3Fkt2AAAAAoBAAAPAAAAAAAAAAEAIAAAACIAAABkcnMvZG93bnJldi54bWxQSwECFAAUAAAA&#10;CACHTuJA7ZwmmCcCAABSBAAADgAAAAAAAAABACAAAAAnAQAAZHJzL2Uyb0RvYy54bWxQSwUGAAAA&#10;AAYABgBZAQAAwAUAAAAA&#10;">
              <v:fill on="t" focussize="0,0"/>
              <v:stroke on="f" miterlimit="8" joinstyle="miter"/>
              <v:imagedata o:title=""/>
              <o:lock v:ext="edit" aspectratio="f"/>
              <v:textbox>
                <w:txbxContent>
                  <w:p w14:paraId="04C8C2FF">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5168" behindDoc="0" locked="0" layoutInCell="1" allowOverlap="1" wp14:anchorId="1F8B1876" wp14:editId="36363A90">
              <wp:simplePos x="0" y="0"/>
              <wp:positionH relativeFrom="column">
                <wp:posOffset>6632575</wp:posOffset>
              </wp:positionH>
              <wp:positionV relativeFrom="paragraph">
                <wp:posOffset>-348615</wp:posOffset>
              </wp:positionV>
              <wp:extent cx="2354580" cy="287655"/>
              <wp:effectExtent l="0" t="0" r="762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14:paraId="60BDDD5A" w14:textId="77777777" w:rsidR="001D04B0" w:rsidRDefault="001D04B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QiG3S2QAAAAwBAAAPAAAAAAAAAAEAIAAAACIAAABkcnMvZG93bnJldi54bWxQSwECFAAU&#10;AAAACACHTuJAdQsYKSkCAABSBAAADgAAAAAAAAABACAAAAAoAQAAZHJzL2Uyb0RvYy54bWxQSwUG&#10;AAAAAAYABgBZAQAAwwUAAAAA&#10;">
              <v:fill on="t" focussize="0,0"/>
              <v:stroke on="f" miterlimit="8" joinstyle="miter"/>
              <v:imagedata o:title=""/>
              <o:lock v:ext="edit" aspectratio="f"/>
              <v:textbox>
                <w:txbxContent>
                  <w:p w14:paraId="416BA69D">
                    <w:pPr>
                      <w:rPr>
                        <w:rFonts w:ascii="Times New Roman" w:hAnsi="Times New Roman" w:cs="Times New Roman"/>
                        <w:b/>
                        <w:bCs/>
                        <w:sz w:val="24"/>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D22"/>
    <w:multiLevelType w:val="multilevel"/>
    <w:tmpl w:val="000E4D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2971236"/>
    <w:multiLevelType w:val="multilevel"/>
    <w:tmpl w:val="029712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41F55CE"/>
    <w:multiLevelType w:val="multilevel"/>
    <w:tmpl w:val="041F55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7B67EF6"/>
    <w:multiLevelType w:val="multilevel"/>
    <w:tmpl w:val="07B67EF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8F1267E"/>
    <w:multiLevelType w:val="multilevel"/>
    <w:tmpl w:val="08F1267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A092273"/>
    <w:multiLevelType w:val="multilevel"/>
    <w:tmpl w:val="0A0922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4B05C4E"/>
    <w:multiLevelType w:val="multilevel"/>
    <w:tmpl w:val="14B05C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1BA5509E"/>
    <w:multiLevelType w:val="multilevel"/>
    <w:tmpl w:val="1BA5509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E416020"/>
    <w:multiLevelType w:val="multilevel"/>
    <w:tmpl w:val="1E4160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F215A0D"/>
    <w:multiLevelType w:val="multilevel"/>
    <w:tmpl w:val="1F215A0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0382F9A"/>
    <w:multiLevelType w:val="multilevel"/>
    <w:tmpl w:val="20382F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21282591"/>
    <w:multiLevelType w:val="multilevel"/>
    <w:tmpl w:val="2128259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24202B25"/>
    <w:multiLevelType w:val="multilevel"/>
    <w:tmpl w:val="24202B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25294179"/>
    <w:multiLevelType w:val="multilevel"/>
    <w:tmpl w:val="2529417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7A066A3"/>
    <w:multiLevelType w:val="multilevel"/>
    <w:tmpl w:val="27A066A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666D92"/>
    <w:multiLevelType w:val="multilevel"/>
    <w:tmpl w:val="29666D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625ACD"/>
    <w:multiLevelType w:val="multilevel"/>
    <w:tmpl w:val="2C625AC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D5F63D0"/>
    <w:multiLevelType w:val="multilevel"/>
    <w:tmpl w:val="2D5F63D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346C55BC"/>
    <w:multiLevelType w:val="multilevel"/>
    <w:tmpl w:val="346C55B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353020EE"/>
    <w:multiLevelType w:val="multilevel"/>
    <w:tmpl w:val="353020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379343E2"/>
    <w:multiLevelType w:val="multilevel"/>
    <w:tmpl w:val="379343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39CF00C8"/>
    <w:multiLevelType w:val="multilevel"/>
    <w:tmpl w:val="39CF00C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3BCD5C99"/>
    <w:multiLevelType w:val="multilevel"/>
    <w:tmpl w:val="3BCD5C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3E876ED5"/>
    <w:multiLevelType w:val="multilevel"/>
    <w:tmpl w:val="3E876E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40A24DBA"/>
    <w:multiLevelType w:val="multilevel"/>
    <w:tmpl w:val="40A24DBA"/>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2F20C60"/>
    <w:multiLevelType w:val="multilevel"/>
    <w:tmpl w:val="42F20C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44291A2B"/>
    <w:multiLevelType w:val="multilevel"/>
    <w:tmpl w:val="44291A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45150069"/>
    <w:multiLevelType w:val="multilevel"/>
    <w:tmpl w:val="451500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480B0265"/>
    <w:multiLevelType w:val="multilevel"/>
    <w:tmpl w:val="480B0265"/>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4D236AC3"/>
    <w:multiLevelType w:val="multilevel"/>
    <w:tmpl w:val="4D236A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51822D0C"/>
    <w:multiLevelType w:val="multilevel"/>
    <w:tmpl w:val="51822D0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55665FDE"/>
    <w:multiLevelType w:val="multilevel"/>
    <w:tmpl w:val="55665F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5AB22BA3"/>
    <w:multiLevelType w:val="multilevel"/>
    <w:tmpl w:val="5AB22B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5B6200DA"/>
    <w:multiLevelType w:val="multilevel"/>
    <w:tmpl w:val="5B6200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5C450F3F"/>
    <w:multiLevelType w:val="multilevel"/>
    <w:tmpl w:val="5C450F3F"/>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35042C"/>
    <w:multiLevelType w:val="multilevel"/>
    <w:tmpl w:val="6435042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643B7AF3"/>
    <w:multiLevelType w:val="multilevel"/>
    <w:tmpl w:val="643B7AF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7" w15:restartNumberingAfterBreak="0">
    <w:nsid w:val="6859675F"/>
    <w:multiLevelType w:val="multilevel"/>
    <w:tmpl w:val="685967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68C100C5"/>
    <w:multiLevelType w:val="multilevel"/>
    <w:tmpl w:val="68C100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695D5649"/>
    <w:multiLevelType w:val="multilevel"/>
    <w:tmpl w:val="695D564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6BD46F01"/>
    <w:multiLevelType w:val="multilevel"/>
    <w:tmpl w:val="6BD46F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70E011FC"/>
    <w:multiLevelType w:val="multilevel"/>
    <w:tmpl w:val="70E011F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769451A6"/>
    <w:multiLevelType w:val="multilevel"/>
    <w:tmpl w:val="769451A6"/>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1D4CF0"/>
    <w:multiLevelType w:val="multilevel"/>
    <w:tmpl w:val="7B1D4C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7BEB44FE"/>
    <w:multiLevelType w:val="multilevel"/>
    <w:tmpl w:val="7BEB44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5864602">
    <w:abstractNumId w:val="40"/>
  </w:num>
  <w:num w:numId="2" w16cid:durableId="211696551">
    <w:abstractNumId w:val="16"/>
  </w:num>
  <w:num w:numId="3" w16cid:durableId="1264877060">
    <w:abstractNumId w:val="19"/>
  </w:num>
  <w:num w:numId="4" w16cid:durableId="172300211">
    <w:abstractNumId w:val="44"/>
  </w:num>
  <w:num w:numId="5" w16cid:durableId="156117503">
    <w:abstractNumId w:val="9"/>
  </w:num>
  <w:num w:numId="6" w16cid:durableId="1337265561">
    <w:abstractNumId w:val="38"/>
  </w:num>
  <w:num w:numId="7" w16cid:durableId="1298101040">
    <w:abstractNumId w:val="6"/>
  </w:num>
  <w:num w:numId="8" w16cid:durableId="1961841595">
    <w:abstractNumId w:val="5"/>
  </w:num>
  <w:num w:numId="9" w16cid:durableId="6641967">
    <w:abstractNumId w:val="32"/>
  </w:num>
  <w:num w:numId="10" w16cid:durableId="1857229486">
    <w:abstractNumId w:val="11"/>
  </w:num>
  <w:num w:numId="11" w16cid:durableId="986321647">
    <w:abstractNumId w:val="1"/>
  </w:num>
  <w:num w:numId="12" w16cid:durableId="2040081272">
    <w:abstractNumId w:val="29"/>
  </w:num>
  <w:num w:numId="13" w16cid:durableId="1016230180">
    <w:abstractNumId w:val="12"/>
  </w:num>
  <w:num w:numId="14" w16cid:durableId="979503754">
    <w:abstractNumId w:val="7"/>
  </w:num>
  <w:num w:numId="15" w16cid:durableId="1317608202">
    <w:abstractNumId w:val="39"/>
  </w:num>
  <w:num w:numId="16" w16cid:durableId="1636450257">
    <w:abstractNumId w:val="0"/>
  </w:num>
  <w:num w:numId="17" w16cid:durableId="489758835">
    <w:abstractNumId w:val="20"/>
  </w:num>
  <w:num w:numId="18" w16cid:durableId="281159654">
    <w:abstractNumId w:val="2"/>
  </w:num>
  <w:num w:numId="19" w16cid:durableId="1517815964">
    <w:abstractNumId w:val="23"/>
  </w:num>
  <w:num w:numId="20" w16cid:durableId="1792048024">
    <w:abstractNumId w:val="25"/>
  </w:num>
  <w:num w:numId="21" w16cid:durableId="2070348444">
    <w:abstractNumId w:val="10"/>
  </w:num>
  <w:num w:numId="22" w16cid:durableId="1132091919">
    <w:abstractNumId w:val="33"/>
  </w:num>
  <w:num w:numId="23" w16cid:durableId="1511412802">
    <w:abstractNumId w:val="3"/>
  </w:num>
  <w:num w:numId="24" w16cid:durableId="736048549">
    <w:abstractNumId w:val="37"/>
  </w:num>
  <w:num w:numId="25" w16cid:durableId="1178929653">
    <w:abstractNumId w:val="43"/>
  </w:num>
  <w:num w:numId="26" w16cid:durableId="129783654">
    <w:abstractNumId w:val="28"/>
  </w:num>
  <w:num w:numId="27" w16cid:durableId="108282919">
    <w:abstractNumId w:val="22"/>
  </w:num>
  <w:num w:numId="28" w16cid:durableId="1412316445">
    <w:abstractNumId w:val="4"/>
  </w:num>
  <w:num w:numId="29" w16cid:durableId="1712683697">
    <w:abstractNumId w:val="36"/>
  </w:num>
  <w:num w:numId="30" w16cid:durableId="2130859732">
    <w:abstractNumId w:val="41"/>
  </w:num>
  <w:num w:numId="31" w16cid:durableId="2007898108">
    <w:abstractNumId w:val="13"/>
  </w:num>
  <w:num w:numId="32" w16cid:durableId="519515371">
    <w:abstractNumId w:val="14"/>
  </w:num>
  <w:num w:numId="33" w16cid:durableId="1480346950">
    <w:abstractNumId w:val="42"/>
  </w:num>
  <w:num w:numId="34" w16cid:durableId="2088722207">
    <w:abstractNumId w:val="34"/>
  </w:num>
  <w:num w:numId="35" w16cid:durableId="1308050872">
    <w:abstractNumId w:val="24"/>
  </w:num>
  <w:num w:numId="36" w16cid:durableId="1603688441">
    <w:abstractNumId w:val="15"/>
  </w:num>
  <w:num w:numId="37" w16cid:durableId="175314417">
    <w:abstractNumId w:val="30"/>
  </w:num>
  <w:num w:numId="38" w16cid:durableId="506293921">
    <w:abstractNumId w:val="35"/>
  </w:num>
  <w:num w:numId="39" w16cid:durableId="1760906106">
    <w:abstractNumId w:val="18"/>
  </w:num>
  <w:num w:numId="40" w16cid:durableId="831457771">
    <w:abstractNumId w:val="21"/>
  </w:num>
  <w:num w:numId="41" w16cid:durableId="1448545378">
    <w:abstractNumId w:val="17"/>
  </w:num>
  <w:num w:numId="42" w16cid:durableId="2007853144">
    <w:abstractNumId w:val="8"/>
  </w:num>
  <w:num w:numId="43" w16cid:durableId="1209495517">
    <w:abstractNumId w:val="26"/>
  </w:num>
  <w:num w:numId="44" w16cid:durableId="1232347719">
    <w:abstractNumId w:val="31"/>
  </w:num>
  <w:num w:numId="45" w16cid:durableId="48755368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lignBordersAndEdge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20F"/>
    <w:rsid w:val="00006A33"/>
    <w:rsid w:val="000074C7"/>
    <w:rsid w:val="00011635"/>
    <w:rsid w:val="000162BA"/>
    <w:rsid w:val="00021C26"/>
    <w:rsid w:val="00064A7C"/>
    <w:rsid w:val="0008683E"/>
    <w:rsid w:val="000C1B47"/>
    <w:rsid w:val="000D0792"/>
    <w:rsid w:val="000D3B03"/>
    <w:rsid w:val="000D7713"/>
    <w:rsid w:val="000E0751"/>
    <w:rsid w:val="00106887"/>
    <w:rsid w:val="0013160A"/>
    <w:rsid w:val="00132A20"/>
    <w:rsid w:val="00175ECD"/>
    <w:rsid w:val="0018137C"/>
    <w:rsid w:val="001822B5"/>
    <w:rsid w:val="0018784E"/>
    <w:rsid w:val="00187DAD"/>
    <w:rsid w:val="00187FA4"/>
    <w:rsid w:val="00190305"/>
    <w:rsid w:val="001938CD"/>
    <w:rsid w:val="00196F49"/>
    <w:rsid w:val="001A196F"/>
    <w:rsid w:val="001A349A"/>
    <w:rsid w:val="001A7F6D"/>
    <w:rsid w:val="001C4D0E"/>
    <w:rsid w:val="001C7D10"/>
    <w:rsid w:val="001D04B0"/>
    <w:rsid w:val="001D391B"/>
    <w:rsid w:val="001E05EC"/>
    <w:rsid w:val="00204551"/>
    <w:rsid w:val="002049C4"/>
    <w:rsid w:val="00211C9E"/>
    <w:rsid w:val="00215CF9"/>
    <w:rsid w:val="00223B8C"/>
    <w:rsid w:val="00232F1F"/>
    <w:rsid w:val="00236505"/>
    <w:rsid w:val="00260ADC"/>
    <w:rsid w:val="002623E9"/>
    <w:rsid w:val="00270118"/>
    <w:rsid w:val="00282FFA"/>
    <w:rsid w:val="0029240B"/>
    <w:rsid w:val="00292FD9"/>
    <w:rsid w:val="002A036B"/>
    <w:rsid w:val="002A5C7A"/>
    <w:rsid w:val="002A7879"/>
    <w:rsid w:val="002B0F02"/>
    <w:rsid w:val="002B3F67"/>
    <w:rsid w:val="002B72CC"/>
    <w:rsid w:val="002D3150"/>
    <w:rsid w:val="002D4733"/>
    <w:rsid w:val="002D772D"/>
    <w:rsid w:val="002E7F7D"/>
    <w:rsid w:val="002F74BF"/>
    <w:rsid w:val="00301BB5"/>
    <w:rsid w:val="003325C7"/>
    <w:rsid w:val="00333424"/>
    <w:rsid w:val="00335275"/>
    <w:rsid w:val="00337BDC"/>
    <w:rsid w:val="00341D51"/>
    <w:rsid w:val="003437A5"/>
    <w:rsid w:val="00346901"/>
    <w:rsid w:val="003661AF"/>
    <w:rsid w:val="003702CF"/>
    <w:rsid w:val="0038434B"/>
    <w:rsid w:val="003B1B72"/>
    <w:rsid w:val="003C0EE4"/>
    <w:rsid w:val="003C5F01"/>
    <w:rsid w:val="003D5CF9"/>
    <w:rsid w:val="003E2E16"/>
    <w:rsid w:val="003E5CB0"/>
    <w:rsid w:val="003F500B"/>
    <w:rsid w:val="003F6B41"/>
    <w:rsid w:val="004213FC"/>
    <w:rsid w:val="00433F16"/>
    <w:rsid w:val="004366A5"/>
    <w:rsid w:val="00442B3B"/>
    <w:rsid w:val="00451ACB"/>
    <w:rsid w:val="004553FF"/>
    <w:rsid w:val="00456B44"/>
    <w:rsid w:val="00456DF6"/>
    <w:rsid w:val="00460A6C"/>
    <w:rsid w:val="00460B57"/>
    <w:rsid w:val="00462282"/>
    <w:rsid w:val="00465D35"/>
    <w:rsid w:val="004713E4"/>
    <w:rsid w:val="00473D9A"/>
    <w:rsid w:val="00484223"/>
    <w:rsid w:val="004845B4"/>
    <w:rsid w:val="00492F61"/>
    <w:rsid w:val="004A24B4"/>
    <w:rsid w:val="004A65BB"/>
    <w:rsid w:val="004C05D5"/>
    <w:rsid w:val="004D1FD0"/>
    <w:rsid w:val="004D5A28"/>
    <w:rsid w:val="004E7A2E"/>
    <w:rsid w:val="004F013F"/>
    <w:rsid w:val="00510DC0"/>
    <w:rsid w:val="00513E43"/>
    <w:rsid w:val="00515876"/>
    <w:rsid w:val="00520C48"/>
    <w:rsid w:val="00521145"/>
    <w:rsid w:val="00523A6E"/>
    <w:rsid w:val="00525FD8"/>
    <w:rsid w:val="0053259F"/>
    <w:rsid w:val="005426D5"/>
    <w:rsid w:val="00572AE3"/>
    <w:rsid w:val="005820FA"/>
    <w:rsid w:val="00591A13"/>
    <w:rsid w:val="00592CA0"/>
    <w:rsid w:val="005948E5"/>
    <w:rsid w:val="005A4C3C"/>
    <w:rsid w:val="005A594C"/>
    <w:rsid w:val="005B0067"/>
    <w:rsid w:val="005D6463"/>
    <w:rsid w:val="005E120F"/>
    <w:rsid w:val="005F4898"/>
    <w:rsid w:val="0061167B"/>
    <w:rsid w:val="00623B95"/>
    <w:rsid w:val="00624613"/>
    <w:rsid w:val="0062580C"/>
    <w:rsid w:val="0063374C"/>
    <w:rsid w:val="00635B7D"/>
    <w:rsid w:val="00646B2F"/>
    <w:rsid w:val="00657E9B"/>
    <w:rsid w:val="00661D15"/>
    <w:rsid w:val="00682F9A"/>
    <w:rsid w:val="006901BF"/>
    <w:rsid w:val="006B6779"/>
    <w:rsid w:val="006C2662"/>
    <w:rsid w:val="006C4B10"/>
    <w:rsid w:val="006C5FD2"/>
    <w:rsid w:val="006E1EE1"/>
    <w:rsid w:val="006F7928"/>
    <w:rsid w:val="007031EC"/>
    <w:rsid w:val="00703EF1"/>
    <w:rsid w:val="00705FC3"/>
    <w:rsid w:val="00710B20"/>
    <w:rsid w:val="00714B71"/>
    <w:rsid w:val="00715608"/>
    <w:rsid w:val="00716073"/>
    <w:rsid w:val="00716E16"/>
    <w:rsid w:val="0073019F"/>
    <w:rsid w:val="00742837"/>
    <w:rsid w:val="007429AF"/>
    <w:rsid w:val="007437EB"/>
    <w:rsid w:val="00746FD3"/>
    <w:rsid w:val="0076162A"/>
    <w:rsid w:val="0077232E"/>
    <w:rsid w:val="00772404"/>
    <w:rsid w:val="00774604"/>
    <w:rsid w:val="00774DC9"/>
    <w:rsid w:val="007770B0"/>
    <w:rsid w:val="00787ADA"/>
    <w:rsid w:val="007905AF"/>
    <w:rsid w:val="0079249C"/>
    <w:rsid w:val="007B0415"/>
    <w:rsid w:val="007B102A"/>
    <w:rsid w:val="007D1FE2"/>
    <w:rsid w:val="007D25E5"/>
    <w:rsid w:val="007E1CA8"/>
    <w:rsid w:val="007E1E0F"/>
    <w:rsid w:val="007E71A6"/>
    <w:rsid w:val="007F53A4"/>
    <w:rsid w:val="0080534D"/>
    <w:rsid w:val="00814687"/>
    <w:rsid w:val="00814C68"/>
    <w:rsid w:val="0082043F"/>
    <w:rsid w:val="00821341"/>
    <w:rsid w:val="008235D4"/>
    <w:rsid w:val="00851E13"/>
    <w:rsid w:val="008558B4"/>
    <w:rsid w:val="008572CF"/>
    <w:rsid w:val="00875A7C"/>
    <w:rsid w:val="00890C44"/>
    <w:rsid w:val="00891B62"/>
    <w:rsid w:val="008A769D"/>
    <w:rsid w:val="008A7BA6"/>
    <w:rsid w:val="008B44C8"/>
    <w:rsid w:val="008B4FFA"/>
    <w:rsid w:val="008C3DB6"/>
    <w:rsid w:val="008E23A8"/>
    <w:rsid w:val="008E7B59"/>
    <w:rsid w:val="008F02F6"/>
    <w:rsid w:val="0090454A"/>
    <w:rsid w:val="009070B6"/>
    <w:rsid w:val="00937FAB"/>
    <w:rsid w:val="00941579"/>
    <w:rsid w:val="00966F47"/>
    <w:rsid w:val="00971018"/>
    <w:rsid w:val="00980187"/>
    <w:rsid w:val="00985BA8"/>
    <w:rsid w:val="00987C4B"/>
    <w:rsid w:val="009A0E3E"/>
    <w:rsid w:val="009A0E5B"/>
    <w:rsid w:val="009A1FD0"/>
    <w:rsid w:val="009A6B55"/>
    <w:rsid w:val="009A7838"/>
    <w:rsid w:val="009B171C"/>
    <w:rsid w:val="009B43AC"/>
    <w:rsid w:val="009C2793"/>
    <w:rsid w:val="009D1322"/>
    <w:rsid w:val="009D440C"/>
    <w:rsid w:val="009E1B8F"/>
    <w:rsid w:val="009E6054"/>
    <w:rsid w:val="009E711E"/>
    <w:rsid w:val="009F162B"/>
    <w:rsid w:val="009F329B"/>
    <w:rsid w:val="00A01C47"/>
    <w:rsid w:val="00A07F90"/>
    <w:rsid w:val="00A13989"/>
    <w:rsid w:val="00A246DA"/>
    <w:rsid w:val="00A40D41"/>
    <w:rsid w:val="00A41CF8"/>
    <w:rsid w:val="00A46D59"/>
    <w:rsid w:val="00A6072E"/>
    <w:rsid w:val="00A66CB5"/>
    <w:rsid w:val="00A72E80"/>
    <w:rsid w:val="00A73D51"/>
    <w:rsid w:val="00A777BE"/>
    <w:rsid w:val="00A86A62"/>
    <w:rsid w:val="00A97D86"/>
    <w:rsid w:val="00AB1FEC"/>
    <w:rsid w:val="00AB7EB3"/>
    <w:rsid w:val="00AC1D2A"/>
    <w:rsid w:val="00AC299B"/>
    <w:rsid w:val="00AC5DA2"/>
    <w:rsid w:val="00AD1C2E"/>
    <w:rsid w:val="00AE7BBD"/>
    <w:rsid w:val="00AF0AF0"/>
    <w:rsid w:val="00AF59C3"/>
    <w:rsid w:val="00B03713"/>
    <w:rsid w:val="00B129BB"/>
    <w:rsid w:val="00B22597"/>
    <w:rsid w:val="00B3002D"/>
    <w:rsid w:val="00B34F1F"/>
    <w:rsid w:val="00B81CAC"/>
    <w:rsid w:val="00B946FB"/>
    <w:rsid w:val="00BA6884"/>
    <w:rsid w:val="00BB33E4"/>
    <w:rsid w:val="00BB7F97"/>
    <w:rsid w:val="00BC2064"/>
    <w:rsid w:val="00BD31C4"/>
    <w:rsid w:val="00BD3A6B"/>
    <w:rsid w:val="00BD4359"/>
    <w:rsid w:val="00BD54C2"/>
    <w:rsid w:val="00BE0252"/>
    <w:rsid w:val="00BE6028"/>
    <w:rsid w:val="00BF2082"/>
    <w:rsid w:val="00BF751C"/>
    <w:rsid w:val="00C01D51"/>
    <w:rsid w:val="00C03C00"/>
    <w:rsid w:val="00C055FD"/>
    <w:rsid w:val="00C07CF2"/>
    <w:rsid w:val="00C21E25"/>
    <w:rsid w:val="00C22222"/>
    <w:rsid w:val="00C24148"/>
    <w:rsid w:val="00C32A0C"/>
    <w:rsid w:val="00C509EE"/>
    <w:rsid w:val="00C540EF"/>
    <w:rsid w:val="00C5507D"/>
    <w:rsid w:val="00C916E9"/>
    <w:rsid w:val="00CA1C1C"/>
    <w:rsid w:val="00CA767E"/>
    <w:rsid w:val="00CB6FD7"/>
    <w:rsid w:val="00CB7BE4"/>
    <w:rsid w:val="00CC3D86"/>
    <w:rsid w:val="00CE1019"/>
    <w:rsid w:val="00CE35AD"/>
    <w:rsid w:val="00CE4933"/>
    <w:rsid w:val="00CF70D3"/>
    <w:rsid w:val="00CF78C4"/>
    <w:rsid w:val="00D0181C"/>
    <w:rsid w:val="00D1286B"/>
    <w:rsid w:val="00D14016"/>
    <w:rsid w:val="00D15E54"/>
    <w:rsid w:val="00D23590"/>
    <w:rsid w:val="00D23719"/>
    <w:rsid w:val="00D24727"/>
    <w:rsid w:val="00D315EE"/>
    <w:rsid w:val="00D62B68"/>
    <w:rsid w:val="00D6344F"/>
    <w:rsid w:val="00D70AC7"/>
    <w:rsid w:val="00D80C6C"/>
    <w:rsid w:val="00D83F3D"/>
    <w:rsid w:val="00DB0EB3"/>
    <w:rsid w:val="00DC0078"/>
    <w:rsid w:val="00DC6739"/>
    <w:rsid w:val="00DD0532"/>
    <w:rsid w:val="00DF18A2"/>
    <w:rsid w:val="00DF1A3A"/>
    <w:rsid w:val="00DF5251"/>
    <w:rsid w:val="00E0239D"/>
    <w:rsid w:val="00E06101"/>
    <w:rsid w:val="00E126A4"/>
    <w:rsid w:val="00E13846"/>
    <w:rsid w:val="00E31682"/>
    <w:rsid w:val="00E368C4"/>
    <w:rsid w:val="00E370CE"/>
    <w:rsid w:val="00E45270"/>
    <w:rsid w:val="00E5144F"/>
    <w:rsid w:val="00E873B5"/>
    <w:rsid w:val="00E94647"/>
    <w:rsid w:val="00E96642"/>
    <w:rsid w:val="00E968CC"/>
    <w:rsid w:val="00E97B3D"/>
    <w:rsid w:val="00EA3603"/>
    <w:rsid w:val="00EA3638"/>
    <w:rsid w:val="00EA6ED4"/>
    <w:rsid w:val="00EB2B1A"/>
    <w:rsid w:val="00EB2F32"/>
    <w:rsid w:val="00EC0DBE"/>
    <w:rsid w:val="00EC4BCD"/>
    <w:rsid w:val="00EC5AB8"/>
    <w:rsid w:val="00EC6D86"/>
    <w:rsid w:val="00ED47E1"/>
    <w:rsid w:val="00ED7BF9"/>
    <w:rsid w:val="00EE1CC3"/>
    <w:rsid w:val="00EF5664"/>
    <w:rsid w:val="00EF6F3D"/>
    <w:rsid w:val="00F03D69"/>
    <w:rsid w:val="00F10B7E"/>
    <w:rsid w:val="00F22255"/>
    <w:rsid w:val="00F24E9E"/>
    <w:rsid w:val="00F451BC"/>
    <w:rsid w:val="00F476B0"/>
    <w:rsid w:val="00F52492"/>
    <w:rsid w:val="00F66429"/>
    <w:rsid w:val="00F66F47"/>
    <w:rsid w:val="00F84FF8"/>
    <w:rsid w:val="00F85A96"/>
    <w:rsid w:val="00F879D3"/>
    <w:rsid w:val="00F96E0D"/>
    <w:rsid w:val="00FA57CD"/>
    <w:rsid w:val="00FB6D12"/>
    <w:rsid w:val="00FC1E93"/>
    <w:rsid w:val="00FE4848"/>
    <w:rsid w:val="00FF0745"/>
    <w:rsid w:val="00FF07B3"/>
    <w:rsid w:val="0393495F"/>
    <w:rsid w:val="11E3767B"/>
    <w:rsid w:val="144678D7"/>
    <w:rsid w:val="15001A96"/>
    <w:rsid w:val="19DD7B82"/>
    <w:rsid w:val="1C0D3CF2"/>
    <w:rsid w:val="25321BB8"/>
    <w:rsid w:val="2A667397"/>
    <w:rsid w:val="393206E7"/>
    <w:rsid w:val="3EFE4A10"/>
    <w:rsid w:val="47F30E12"/>
    <w:rsid w:val="4CD930F7"/>
    <w:rsid w:val="57382FC5"/>
    <w:rsid w:val="5BEB077B"/>
    <w:rsid w:val="6D413EDF"/>
    <w:rsid w:val="708B3573"/>
    <w:rsid w:val="728947DB"/>
    <w:rsid w:val="7BAF1DA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816E21"/>
  <w15:docId w15:val="{45EA4CA1-D1BC-4AF0-8C0A-534B1FCD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NewRomanPSMT" w:hAnsi="TimesNewRomanPSMT" w:hint="default"/>
      <w:color w:val="000000"/>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paragraph" w:customStyle="1" w:styleId="TableParagraph">
    <w:name w:val="Table Paragraph"/>
    <w:basedOn w:val="Normal"/>
    <w:uiPriority w:val="1"/>
    <w:qFormat/>
    <w:pPr>
      <w:widowControl w:val="0"/>
      <w:autoSpaceDE w:val="0"/>
      <w:autoSpaceDN w:val="0"/>
      <w:spacing w:after="0" w:line="275" w:lineRule="exact"/>
      <w:ind w:left="107"/>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ntstyle21">
    <w:name w:val="fontstyle21"/>
    <w:basedOn w:val="DefaultParagraphFont"/>
    <w:qFormat/>
    <w:rPr>
      <w:rFonts w:ascii="Times New Roman" w:hAnsi="Times New Roman" w:cs="Times New Roman" w:hint="default"/>
      <w:color w:val="000000"/>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eastAsiaTheme="minorHAnsi"/>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1.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jpeg"/><Relationship Id="rId18" Type="http://schemas.microsoft.com/office/2007/relationships/hdphoto" Target="media/hdphoto1.wdp"/><Relationship Id="rId3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E:\Insight%20projects\2025-26%20Projects\Ushma%20Jani-Sharda%20College\Data\trial%20in%20thesis\Data%20calculation-Ushm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Insight%20projects\2025-26%20Projects\Ushma%20Jani-Sharda%20College\Data\trial%20in%20thesis\Data%20calculation-Ushm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Dapagliflozin</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validation!$I$4:$I$8</c:f>
              <c:numCache>
                <c:formatCode>General</c:formatCode>
                <c:ptCount val="5"/>
                <c:pt idx="0">
                  <c:v>10</c:v>
                </c:pt>
                <c:pt idx="1">
                  <c:v>15</c:v>
                </c:pt>
                <c:pt idx="2">
                  <c:v>20</c:v>
                </c:pt>
                <c:pt idx="3">
                  <c:v>25</c:v>
                </c:pt>
                <c:pt idx="4">
                  <c:v>30</c:v>
                </c:pt>
              </c:numCache>
            </c:numRef>
          </c:xVal>
          <c:yVal>
            <c:numRef>
              <c:f>validation!$J$4:$J$8</c:f>
              <c:numCache>
                <c:formatCode>0.00</c:formatCode>
                <c:ptCount val="5"/>
                <c:pt idx="0">
                  <c:v>55587</c:v>
                </c:pt>
                <c:pt idx="1">
                  <c:v>82281.333333333299</c:v>
                </c:pt>
                <c:pt idx="2">
                  <c:v>111883.33333333299</c:v>
                </c:pt>
                <c:pt idx="3">
                  <c:v>137306</c:v>
                </c:pt>
                <c:pt idx="4">
                  <c:v>166461.66666666701</c:v>
                </c:pt>
              </c:numCache>
            </c:numRef>
          </c:yVal>
          <c:smooth val="0"/>
          <c:extLst>
            <c:ext xmlns:c16="http://schemas.microsoft.com/office/drawing/2014/chart" uri="{C3380CC4-5D6E-409C-BE32-E72D297353CC}">
              <c16:uniqueId val="{00000001-1CB4-4B46-95E1-5B94D151FA5F}"/>
            </c:ext>
          </c:extLst>
        </c:ser>
        <c:dLbls>
          <c:showLegendKey val="0"/>
          <c:showVal val="0"/>
          <c:showCatName val="0"/>
          <c:showSerName val="0"/>
          <c:showPercent val="0"/>
          <c:showBubbleSize val="0"/>
        </c:dLbls>
        <c:axId val="1355619248"/>
        <c:axId val="1355619728"/>
      </c:scatterChart>
      <c:valAx>
        <c:axId val="135561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Concnetration</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55619728"/>
        <c:crosses val="autoZero"/>
        <c:crossBetween val="midCat"/>
      </c:valAx>
      <c:valAx>
        <c:axId val="135561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Area</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55619248"/>
        <c:crosses val="autoZero"/>
        <c:crossBetween val="midCat"/>
      </c:valAx>
      <c:spPr>
        <a:noFill/>
        <a:ln>
          <a:noFill/>
        </a:ln>
        <a:effectLst/>
      </c:spPr>
    </c:plotArea>
    <c:plotVisOnly val="1"/>
    <c:dispBlanksAs val="gap"/>
    <c:showDLblsOverMax val="0"/>
    <c:extLst>
      <c:ext uri="{0b15fc19-7d7d-44ad-8c2d-2c3a37ce22c3}">
        <chartProps xmlns="https://web.wps.cn/et/2018/main" chartId="{a4c20628-2e5c-4ffd-a174-6ff2d0001e27}"/>
      </c:ext>
    </c:extLst>
  </c:chart>
  <c:spPr>
    <a:solidFill>
      <a:schemeClr val="bg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Eplerenone</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validation!$AA$4:$AA$8</c:f>
              <c:numCache>
                <c:formatCode>General</c:formatCode>
                <c:ptCount val="5"/>
                <c:pt idx="0">
                  <c:v>25</c:v>
                </c:pt>
                <c:pt idx="1">
                  <c:v>37.5</c:v>
                </c:pt>
                <c:pt idx="2">
                  <c:v>50</c:v>
                </c:pt>
                <c:pt idx="3">
                  <c:v>62.5</c:v>
                </c:pt>
                <c:pt idx="4">
                  <c:v>75</c:v>
                </c:pt>
              </c:numCache>
            </c:numRef>
          </c:xVal>
          <c:yVal>
            <c:numRef>
              <c:f>validation!$AB$4:$AB$8</c:f>
              <c:numCache>
                <c:formatCode>0.00</c:formatCode>
                <c:ptCount val="5"/>
                <c:pt idx="0">
                  <c:v>68450.333333333299</c:v>
                </c:pt>
                <c:pt idx="1">
                  <c:v>100577</c:v>
                </c:pt>
                <c:pt idx="2">
                  <c:v>137406.32999999999</c:v>
                </c:pt>
                <c:pt idx="3">
                  <c:v>169586</c:v>
                </c:pt>
                <c:pt idx="4">
                  <c:v>199353.66666666701</c:v>
                </c:pt>
              </c:numCache>
            </c:numRef>
          </c:yVal>
          <c:smooth val="0"/>
          <c:extLst>
            <c:ext xmlns:c16="http://schemas.microsoft.com/office/drawing/2014/chart" uri="{C3380CC4-5D6E-409C-BE32-E72D297353CC}">
              <c16:uniqueId val="{00000001-9706-4D09-B45E-EF34C4E844AC}"/>
            </c:ext>
          </c:extLst>
        </c:ser>
        <c:dLbls>
          <c:showLegendKey val="0"/>
          <c:showVal val="0"/>
          <c:showCatName val="0"/>
          <c:showSerName val="0"/>
          <c:showPercent val="0"/>
          <c:showBubbleSize val="0"/>
        </c:dLbls>
        <c:axId val="1186453664"/>
        <c:axId val="1186457024"/>
      </c:scatterChart>
      <c:valAx>
        <c:axId val="1186453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Concentration</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86457024"/>
        <c:crosses val="autoZero"/>
        <c:crossBetween val="midCat"/>
      </c:valAx>
      <c:valAx>
        <c:axId val="118645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Area</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86453664"/>
        <c:crosses val="autoZero"/>
        <c:crossBetween val="midCat"/>
      </c:valAx>
      <c:spPr>
        <a:noFill/>
        <a:ln>
          <a:noFill/>
        </a:ln>
        <a:effectLst/>
      </c:spPr>
    </c:plotArea>
    <c:plotVisOnly val="1"/>
    <c:dispBlanksAs val="gap"/>
    <c:showDLblsOverMax val="0"/>
    <c:extLst>
      <c:ext uri="{0b15fc19-7d7d-44ad-8c2d-2c3a37ce22c3}">
        <chartProps xmlns="https://web.wps.cn/et/2018/main" chartId="{eda61f75-0e9b-458f-8a48-305cb1a2fbfa}"/>
      </c:ext>
    </c:extLst>
  </c:chart>
  <c:spPr>
    <a:solidFill>
      <a:schemeClr val="bg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DA917DE-6451-409E-A634-44066CA354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17116</Words>
  <Characters>97563</Characters>
  <Application>Microsoft Office Word</Application>
  <DocSecurity>0</DocSecurity>
  <Lines>813</Lines>
  <Paragraphs>228</Paragraphs>
  <ScaleCrop>false</ScaleCrop>
  <Company/>
  <LinksUpToDate>false</LinksUpToDate>
  <CharactersWithSpaces>114451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SHIVANI JANI</dc:creator>
  <cp:lastModifiedBy>theaisha1707@gmail.com</cp:lastModifiedBy>
  <cp:revision>4</cp:revision>
  <cp:lastPrinted>2026-03-23T03:14:00Z</cp:lastPrinted>
  <dcterms:created xsi:type="dcterms:W3CDTF">2026-03-24T04:21:00Z</dcterms:created>
  <dcterms:modified xsi:type="dcterms:W3CDTF">2026-04-06T09:22:00Z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469D09028A2244A5BDC39C2E97EFA410_13</vt:lpwstr>
  </property>
</Properties>
</file>