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E1BE17" w14:textId="4852300C" w:rsidR="0088485C" w:rsidRPr="006A2976" w:rsidRDefault="006A2976" w:rsidP="0079230E">
      <w:pPr>
        <w:spacing w:after="0"/>
        <w:jc w:val="center"/>
        <w:rPr>
          <w:rFonts w:cs="Times New Roman"/>
          <w:b/>
          <w:bCs/>
          <w:szCs w:val="24"/>
        </w:rPr>
      </w:pPr>
      <w:r>
        <w:rPr>
          <w:rFonts w:cs="Times New Roman"/>
          <w:b/>
          <w:szCs w:val="24"/>
        </w:rPr>
        <w:t>Knowledge of Abortion Laws a</w:t>
      </w:r>
      <w:r w:rsidRPr="006A2976">
        <w:rPr>
          <w:rFonts w:cs="Times New Roman"/>
          <w:b/>
          <w:szCs w:val="24"/>
        </w:rPr>
        <w:t>nd Policies</w:t>
      </w:r>
      <w:r>
        <w:rPr>
          <w:rFonts w:cs="Times New Roman"/>
          <w:b/>
          <w:bCs/>
          <w:szCs w:val="24"/>
        </w:rPr>
        <w:t xml:space="preserve"> and Abortion Choices a</w:t>
      </w:r>
      <w:r w:rsidRPr="006A2976">
        <w:rPr>
          <w:rFonts w:cs="Times New Roman"/>
          <w:b/>
          <w:bCs/>
          <w:szCs w:val="24"/>
        </w:rPr>
        <w:t>mong Women</w:t>
      </w:r>
      <w:r>
        <w:rPr>
          <w:rFonts w:cs="Times New Roman"/>
          <w:b/>
          <w:bCs/>
          <w:szCs w:val="24"/>
        </w:rPr>
        <w:t xml:space="preserve"> in Bungoma County, Kenya</w:t>
      </w:r>
    </w:p>
    <w:p w14:paraId="351158CB" w14:textId="77777777" w:rsidR="007C02CD" w:rsidRPr="006F45A4" w:rsidRDefault="007C02CD" w:rsidP="007C02CD">
      <w:pPr>
        <w:pBdr>
          <w:top w:val="single" w:sz="4" w:space="1" w:color="auto"/>
          <w:bottom w:val="single" w:sz="4" w:space="1" w:color="auto"/>
        </w:pBdr>
        <w:spacing w:after="0" w:line="240" w:lineRule="auto"/>
        <w:rPr>
          <w:rFonts w:cs="Times New Roman"/>
          <w:b/>
          <w:szCs w:val="24"/>
        </w:rPr>
      </w:pPr>
      <w:bookmarkStart w:id="0" w:name="_GoBack"/>
      <w:bookmarkEnd w:id="0"/>
      <w:r w:rsidRPr="006F45A4">
        <w:rPr>
          <w:rFonts w:cs="Times New Roman"/>
          <w:b/>
          <w:szCs w:val="24"/>
        </w:rPr>
        <w:t>Abstract</w:t>
      </w:r>
    </w:p>
    <w:p w14:paraId="7588447A" w14:textId="03D2C2C1" w:rsidR="007C02CD" w:rsidRPr="006F45A4" w:rsidRDefault="0079230E" w:rsidP="007C02CD">
      <w:pPr>
        <w:spacing w:after="0" w:line="240" w:lineRule="auto"/>
        <w:rPr>
          <w:rFonts w:cs="Times New Roman"/>
          <w:color w:val="FF0000"/>
          <w:szCs w:val="24"/>
        </w:rPr>
      </w:pPr>
      <w:r>
        <w:t xml:space="preserve">Access to accurate information on abortion laws and policies plays a critical role in shaping women’s reproductive health decisions. In Kenya, uncertainty and misconceptions regarding the legal provisions governing abortion continue to influence women’s choices, often resulting in unsafe abortion practices. This study sought to examine the effect of knowledge of abortion laws and policies on abortion choices among women in Bungoma County. The study was guided by the Health Belief Model, which emphasizes the influence of perceived knowledge and awareness on individual health-related decisions. A descriptive research design was adopted, targeting 78 young women aged 18–24 years, 10 Kenya Registered Nurses, and 10 gynecologists. Data from the women were collected using structured questionnaires administered through snowball sampling, while key informant interviews were conducted with nurses and gynecologists. Quantitative data were analyzed using the Statistical Package for Social Sciences, while qualitative data were analyzed thematically using </w:t>
      </w:r>
      <w:proofErr w:type="spellStart"/>
      <w:r>
        <w:t>Nvivo</w:t>
      </w:r>
      <w:proofErr w:type="spellEnd"/>
      <w:r>
        <w:t>. The findings revealed that knowledge of abortion laws and policies had a strong positive influence on abortion choices among young women, with those possessing accurate legal awareness more likely to seek safe and medically supervised abortion services. Limited knowledge and prevailing misinformation, however, contributed to continued reliance on unsafe abortion methods driven by fear of legal repercussions, stigma, and social pressure. The study concludes that enhancing women’s knowledge of abortion laws is essential in promoting informed, safe, and health-conscious reproductive choices. It recommends that health facilities, county reproductive health programs, and community actors intensify targeted awareness campaigns, youth-friendly counseling, and policy dissemination to reduce unsafe abortion practices and improve reproductive health outcomes.</w:t>
      </w:r>
      <w:r w:rsidR="007C02CD" w:rsidRPr="006F45A4">
        <w:rPr>
          <w:rFonts w:eastAsia="Calibri" w:cs="Times New Roman"/>
          <w:szCs w:val="24"/>
        </w:rPr>
        <w:t xml:space="preserve"> </w:t>
      </w:r>
    </w:p>
    <w:p w14:paraId="07B7E945" w14:textId="1B118D98" w:rsidR="007C02CD" w:rsidRPr="006F45A4" w:rsidRDefault="007C02CD" w:rsidP="007C02CD">
      <w:pPr>
        <w:pBdr>
          <w:top w:val="single" w:sz="4" w:space="1" w:color="auto"/>
          <w:bottom w:val="single" w:sz="4" w:space="1" w:color="auto"/>
        </w:pBdr>
        <w:spacing w:after="0" w:line="240" w:lineRule="auto"/>
        <w:ind w:left="1276" w:hanging="1276"/>
        <w:rPr>
          <w:rFonts w:cs="Times New Roman"/>
          <w:b/>
          <w:szCs w:val="24"/>
        </w:rPr>
      </w:pPr>
      <w:r w:rsidRPr="006F45A4">
        <w:rPr>
          <w:rFonts w:cs="Times New Roman"/>
          <w:b/>
          <w:szCs w:val="24"/>
        </w:rPr>
        <w:t xml:space="preserve">Keywords: </w:t>
      </w:r>
      <w:r w:rsidR="0079230E">
        <w:t>Abortion Laws, Reproductive Health, Abortion Choices, Women, Bungoma County</w:t>
      </w:r>
    </w:p>
    <w:p w14:paraId="00B3CD9F" w14:textId="77777777" w:rsidR="0079230E" w:rsidRDefault="0079230E" w:rsidP="007C02CD">
      <w:pPr>
        <w:spacing w:after="0" w:line="240" w:lineRule="auto"/>
        <w:rPr>
          <w:rFonts w:cs="Times New Roman"/>
          <w:b/>
          <w:szCs w:val="24"/>
        </w:rPr>
      </w:pPr>
    </w:p>
    <w:p w14:paraId="357CB397" w14:textId="2342E651" w:rsidR="007C02CD" w:rsidRPr="00267512" w:rsidRDefault="007C02CD" w:rsidP="00267512">
      <w:pPr>
        <w:pStyle w:val="ListParagraph"/>
        <w:numPr>
          <w:ilvl w:val="0"/>
          <w:numId w:val="15"/>
        </w:numPr>
        <w:spacing w:after="0" w:line="276" w:lineRule="auto"/>
        <w:rPr>
          <w:rFonts w:cs="Times New Roman"/>
          <w:b/>
          <w:szCs w:val="24"/>
        </w:rPr>
      </w:pPr>
      <w:r w:rsidRPr="00267512">
        <w:rPr>
          <w:rFonts w:cs="Times New Roman"/>
          <w:b/>
          <w:szCs w:val="24"/>
        </w:rPr>
        <w:t>Introduction</w:t>
      </w:r>
    </w:p>
    <w:p w14:paraId="09EE3EFE" w14:textId="36005AA6" w:rsidR="0079230E" w:rsidRPr="00267512" w:rsidRDefault="0079230E" w:rsidP="00267512">
      <w:pPr>
        <w:pStyle w:val="NormalWeb"/>
        <w:spacing w:line="360" w:lineRule="auto"/>
      </w:pPr>
      <w:r w:rsidRPr="00267512">
        <w:t xml:space="preserve">Reproductive health forms a fundamental component of human well-being and social development, contributing significantly to women's autonomy, education, productivity, and economic participation. Safe reproductive healthcare systems ensure that women have access to accurate information, skilled health personnel, and supportive policy environments that enable informed decisions regarding pregnancy and abortion care (WHO, 2023; Liang et al., 2019). However, the dynamics surrounding abortion are highly sensitive because of cultural norms, religious beliefs, legal restrictions, and moral perceptions that vary from one society to another. Where clarity in legal frameworks and awareness levels remain low, women are likely to face significant barriers that influence their abortion choices and health outcomes (Aftab et al., 2020). Globally, effective reproductive health systems emphasize awareness creation, legal literacy, and </w:t>
      </w:r>
      <w:r w:rsidRPr="00267512">
        <w:lastRenderedPageBreak/>
        <w:t>youth-friendly services to prevent unsafe abortions and reduce maternal morbidity and mortality (UNFPA, 2022).</w:t>
      </w:r>
    </w:p>
    <w:p w14:paraId="13F350CC" w14:textId="77777777" w:rsidR="0079230E" w:rsidRPr="00267512" w:rsidRDefault="0079230E" w:rsidP="00267512">
      <w:pPr>
        <w:pStyle w:val="NormalWeb"/>
        <w:spacing w:line="360" w:lineRule="auto"/>
      </w:pPr>
      <w:r w:rsidRPr="00267512">
        <w:t>At the regional level, Sub-Saharan Africa continues to face high rates of unintended pregnancies and unsafe abortions, largely attributed to stigma, limited access to contraceptive services, weak policy enforcement, and poor dissemination of legal information (</w:t>
      </w:r>
      <w:proofErr w:type="spellStart"/>
      <w:r w:rsidRPr="00267512">
        <w:t>Munakampe</w:t>
      </w:r>
      <w:proofErr w:type="spellEnd"/>
      <w:r w:rsidRPr="00267512">
        <w:t xml:space="preserve">, Zulu &amp; </w:t>
      </w:r>
      <w:proofErr w:type="spellStart"/>
      <w:r w:rsidRPr="00267512">
        <w:t>Michelo</w:t>
      </w:r>
      <w:proofErr w:type="spellEnd"/>
      <w:r w:rsidRPr="00267512">
        <w:t xml:space="preserve">, 2018). In countries such as Uganda, Tanzania, and Nigeria, restrictive abortion laws combined with socio-cultural silence around reproductive health have contributed to high incidences of clandestine abortion attempts that compromise women’s safety (Paul &amp; </w:t>
      </w:r>
      <w:proofErr w:type="spellStart"/>
      <w:r w:rsidRPr="00267512">
        <w:t>Ofuebe</w:t>
      </w:r>
      <w:proofErr w:type="spellEnd"/>
      <w:r w:rsidRPr="00267512">
        <w:t xml:space="preserve">, 2024; Miller, </w:t>
      </w:r>
      <w:proofErr w:type="spellStart"/>
      <w:r w:rsidRPr="00267512">
        <w:t>Wherry</w:t>
      </w:r>
      <w:proofErr w:type="spellEnd"/>
      <w:r w:rsidRPr="00267512">
        <w:t xml:space="preserve"> &amp; Foster, 2023). These challenges underscore the importance of improving awareness on abortion rights and safe health service access pathways, particularly among young women who are disproportionately affected by unintended pregnancies.</w:t>
      </w:r>
    </w:p>
    <w:p w14:paraId="786F5043" w14:textId="77777777" w:rsidR="0079230E" w:rsidRPr="00267512" w:rsidRDefault="0079230E" w:rsidP="00267512">
      <w:pPr>
        <w:pStyle w:val="NormalWeb"/>
        <w:spacing w:line="360" w:lineRule="auto"/>
      </w:pPr>
      <w:r w:rsidRPr="00267512">
        <w:t>In Kenya, abortion laws are outlined under Article 26 (4) of the Constitution, permitting abortion only when the life or health of the mother is at risk, or in cases of emergency as determined by a trained medical practitioner. Despite this legal provision, studies show that many women, especially youth aged 18–24, lack adequate awareness of the circumstances under which abortion is legally permitted (Mwongeli, 2022; KNCHR, 2021). In Bungoma County, reproductive health challenges persist, with a high prevalence of teenage pregnancies, peer influence, and limited access to reproductive health education. This has contributed to increased cases of unsafe abortion attempts, leading to preventable reproductive complications, infections, and maternal mortality in local health facilities (County Health Report, 2023). These outcomes indicate a critical gap between legal policy provisions and awareness among women of reproductive age.</w:t>
      </w:r>
    </w:p>
    <w:p w14:paraId="61671658" w14:textId="77777777" w:rsidR="0079230E" w:rsidRPr="00267512" w:rsidRDefault="0079230E" w:rsidP="00267512">
      <w:pPr>
        <w:pStyle w:val="NormalWeb"/>
        <w:spacing w:line="360" w:lineRule="auto"/>
      </w:pPr>
      <w:r w:rsidRPr="00267512">
        <w:t>Knowledge of abortion laws refers to a woman’s understanding of the legal conditions, rights, medical procedures, and health service access points regarding safe abortion care (</w:t>
      </w:r>
      <w:proofErr w:type="spellStart"/>
      <w:r w:rsidRPr="00267512">
        <w:t>Denno</w:t>
      </w:r>
      <w:proofErr w:type="spellEnd"/>
      <w:r w:rsidRPr="00267512">
        <w:t xml:space="preserve">, </w:t>
      </w:r>
      <w:proofErr w:type="spellStart"/>
      <w:r w:rsidRPr="00267512">
        <w:t>Plesons</w:t>
      </w:r>
      <w:proofErr w:type="spellEnd"/>
      <w:r w:rsidRPr="00267512">
        <w:t xml:space="preserve"> &amp; Chandra-</w:t>
      </w:r>
      <w:proofErr w:type="spellStart"/>
      <w:r w:rsidRPr="00267512">
        <w:t>Mouli</w:t>
      </w:r>
      <w:proofErr w:type="spellEnd"/>
      <w:r w:rsidRPr="00267512">
        <w:t>, 2021; Wahed et al., 2017). When women are aware of legal provisions and available safe abortion services, they are more likely to make informed and safer reproductive decisions. However, where awareness is low, women often resort to unsafe and unregulated methods, exposing them to severe health risks. Strengthening awareness and service accessibility therefore plays an essential role in safeguarding reproductive health outcomes.</w:t>
      </w:r>
    </w:p>
    <w:p w14:paraId="4AD11F7C" w14:textId="77777777" w:rsidR="0079230E" w:rsidRPr="00267512" w:rsidRDefault="0079230E" w:rsidP="00267512">
      <w:pPr>
        <w:pStyle w:val="NormalWeb"/>
        <w:spacing w:line="360" w:lineRule="auto"/>
      </w:pPr>
      <w:r w:rsidRPr="00267512">
        <w:lastRenderedPageBreak/>
        <w:t>Despite the significance of knowledge on abortion laws in shaping women’s abortion choices, empirical studies focusing specifically on young women aged 18–24 in Bungoma County are limited. Existing research has focused broadly on reproductive health behavior, leaving gaps in understanding how awareness levels directly influence abortion decision-making among this group. Thus, this study seeks to assess how knowledge of abortion laws and policies influences abortion choices among women aged 18–24 years in Bungoma County.</w:t>
      </w:r>
    </w:p>
    <w:p w14:paraId="46D61628" w14:textId="53C8E724" w:rsidR="00BB044F" w:rsidRPr="00267512" w:rsidRDefault="0079230E" w:rsidP="00267512">
      <w:pPr>
        <w:pStyle w:val="NormalWeb"/>
        <w:numPr>
          <w:ilvl w:val="0"/>
          <w:numId w:val="15"/>
        </w:numPr>
        <w:spacing w:line="360" w:lineRule="auto"/>
        <w:rPr>
          <w:b/>
        </w:rPr>
      </w:pPr>
      <w:r w:rsidRPr="00267512">
        <w:rPr>
          <w:b/>
        </w:rPr>
        <w:t>Statement of the Problem</w:t>
      </w:r>
    </w:p>
    <w:p w14:paraId="641336D9" w14:textId="5D582233" w:rsidR="0079230E" w:rsidRPr="00267512" w:rsidRDefault="0079230E" w:rsidP="00267512">
      <w:pPr>
        <w:pStyle w:val="NormalWeb"/>
        <w:spacing w:line="360" w:lineRule="auto"/>
      </w:pPr>
      <w:r w:rsidRPr="00267512">
        <w:t>Bungoma County continues to report increasing cases of unintended pregnancies and unsafe abortion-related complications among young women, especially those aged between 18 and 24 years. Health facility data from the County Department of Health (2023) indicates rising admissions due to septic abortion, heavy bleeding, infections, and fertility-related complications linked to unsafe abortion practices. Despite the Kenyan Constitution permitting abortion under specific medical circumstances, awareness of these legal provisions remains low among young women in Bungoma County (KNCHR, 2021). The absence of consistent reproductive health education, combined with cultural silence and stigma, has contributed to misinformation and fear of seeking legal safe abortion care. Consequently, many young women resort to self-induced abortions, unlicensed providers, or unregulated herbal and chemical methods, heightening the risk of death and long-term reproductive health complications (Mwongeli, 2022). The lack of research examining how awareness of abortion laws influences abortion choices among women in Bungoma County presents a significant knowledge gap that this study aims to address.</w:t>
      </w:r>
    </w:p>
    <w:p w14:paraId="3273BCF6" w14:textId="5EBC277B" w:rsidR="00BB044F" w:rsidRPr="00267512" w:rsidRDefault="00BB044F" w:rsidP="00267512">
      <w:pPr>
        <w:pStyle w:val="NormalWeb"/>
        <w:spacing w:line="360" w:lineRule="auto"/>
        <w:rPr>
          <w:b/>
        </w:rPr>
      </w:pPr>
      <w:r w:rsidRPr="00267512">
        <w:rPr>
          <w:b/>
        </w:rPr>
        <w:t>2.1</w:t>
      </w:r>
      <w:r w:rsidR="0079230E" w:rsidRPr="00267512">
        <w:rPr>
          <w:b/>
        </w:rPr>
        <w:t xml:space="preserve"> Research Objective</w:t>
      </w:r>
    </w:p>
    <w:p w14:paraId="4709D04C" w14:textId="31014E07" w:rsidR="0079230E" w:rsidRDefault="0079230E" w:rsidP="00267512">
      <w:pPr>
        <w:pStyle w:val="NormalWeb"/>
        <w:spacing w:line="360" w:lineRule="auto"/>
      </w:pPr>
      <w:r w:rsidRPr="00267512">
        <w:t>i) To assess the effect of knowledge of abortion laws and policies on abortion choices among women aged 18–24 years in Bungoma County, Kenya.</w:t>
      </w:r>
    </w:p>
    <w:p w14:paraId="46243A4F" w14:textId="77777777" w:rsidR="00267512" w:rsidRDefault="00267512" w:rsidP="00267512">
      <w:pPr>
        <w:pStyle w:val="NormalWeb"/>
        <w:spacing w:line="360" w:lineRule="auto"/>
      </w:pPr>
    </w:p>
    <w:p w14:paraId="76DDC3A9" w14:textId="77777777" w:rsidR="00267512" w:rsidRPr="00267512" w:rsidRDefault="00267512" w:rsidP="00267512">
      <w:pPr>
        <w:pStyle w:val="NormalWeb"/>
        <w:spacing w:line="360" w:lineRule="auto"/>
      </w:pPr>
    </w:p>
    <w:p w14:paraId="1A1B406E" w14:textId="37EEFCEB" w:rsidR="00BB044F" w:rsidRPr="00267512" w:rsidRDefault="00BB044F" w:rsidP="00267512">
      <w:pPr>
        <w:pStyle w:val="NormalWeb"/>
        <w:spacing w:line="360" w:lineRule="auto"/>
        <w:rPr>
          <w:b/>
        </w:rPr>
      </w:pPr>
      <w:r w:rsidRPr="00267512">
        <w:rPr>
          <w:b/>
        </w:rPr>
        <w:t xml:space="preserve">2.2 </w:t>
      </w:r>
      <w:r w:rsidR="0079230E" w:rsidRPr="00267512">
        <w:rPr>
          <w:b/>
        </w:rPr>
        <w:t>Research Question</w:t>
      </w:r>
    </w:p>
    <w:p w14:paraId="34582617" w14:textId="390976A2" w:rsidR="0079230E" w:rsidRPr="00267512" w:rsidRDefault="0079230E" w:rsidP="00267512">
      <w:pPr>
        <w:pStyle w:val="NormalWeb"/>
        <w:spacing w:line="360" w:lineRule="auto"/>
      </w:pPr>
      <w:r w:rsidRPr="00267512">
        <w:t xml:space="preserve">i) What is the effect of knowledge of abortion laws and policies on abortion choices among </w:t>
      </w:r>
      <w:r w:rsidR="00BB044F" w:rsidRPr="00267512">
        <w:t>women aged 18–24 years in Bungoma County, Kenya.</w:t>
      </w:r>
    </w:p>
    <w:p w14:paraId="7645347E" w14:textId="72AF2B86" w:rsidR="00BB044F" w:rsidRPr="00BB044F" w:rsidRDefault="00BB044F" w:rsidP="00267512">
      <w:pPr>
        <w:spacing w:before="100" w:beforeAutospacing="1" w:after="100" w:afterAutospacing="1" w:line="360" w:lineRule="auto"/>
        <w:rPr>
          <w:rFonts w:eastAsia="Times New Roman" w:cs="Times New Roman"/>
          <w:b/>
          <w:szCs w:val="24"/>
        </w:rPr>
      </w:pPr>
      <w:r w:rsidRPr="00267512">
        <w:rPr>
          <w:rFonts w:eastAsia="Times New Roman" w:cs="Times New Roman"/>
          <w:b/>
          <w:szCs w:val="24"/>
        </w:rPr>
        <w:lastRenderedPageBreak/>
        <w:t>3</w:t>
      </w:r>
      <w:r w:rsidRPr="00BB044F">
        <w:rPr>
          <w:rFonts w:eastAsia="Times New Roman" w:cs="Times New Roman"/>
          <w:b/>
          <w:szCs w:val="24"/>
        </w:rPr>
        <w:t>.0 Theoretical Literature Review</w:t>
      </w:r>
    </w:p>
    <w:p w14:paraId="7C1D1F71" w14:textId="77777777" w:rsidR="00BB044F" w:rsidRPr="00267512" w:rsidRDefault="00BB044F" w:rsidP="00267512">
      <w:pPr>
        <w:spacing w:before="100" w:beforeAutospacing="1" w:after="100" w:afterAutospacing="1" w:line="360" w:lineRule="auto"/>
        <w:rPr>
          <w:rFonts w:eastAsia="Times New Roman" w:cs="Times New Roman"/>
          <w:b/>
          <w:szCs w:val="24"/>
        </w:rPr>
      </w:pPr>
      <w:r w:rsidRPr="00267512">
        <w:rPr>
          <w:rFonts w:eastAsia="Times New Roman" w:cs="Times New Roman"/>
          <w:b/>
          <w:szCs w:val="24"/>
        </w:rPr>
        <w:t>3</w:t>
      </w:r>
      <w:r w:rsidRPr="00BB044F">
        <w:rPr>
          <w:rFonts w:eastAsia="Times New Roman" w:cs="Times New Roman"/>
          <w:b/>
          <w:szCs w:val="24"/>
        </w:rPr>
        <w:t>.1 Social Cognitive Theory (SCT)</w:t>
      </w:r>
    </w:p>
    <w:p w14:paraId="57FBB724" w14:textId="77ACD653" w:rsidR="00BB044F" w:rsidRPr="00BB044F" w:rsidRDefault="00BB044F" w:rsidP="00267512">
      <w:pPr>
        <w:spacing w:before="100" w:beforeAutospacing="1" w:after="100" w:afterAutospacing="1" w:line="360" w:lineRule="auto"/>
        <w:rPr>
          <w:rFonts w:eastAsia="Times New Roman" w:cs="Times New Roman"/>
          <w:szCs w:val="24"/>
        </w:rPr>
      </w:pPr>
      <w:r w:rsidRPr="00BB044F">
        <w:rPr>
          <w:rFonts w:eastAsia="Times New Roman" w:cs="Times New Roman"/>
          <w:szCs w:val="24"/>
        </w:rPr>
        <w:t xml:space="preserve">Social Cognitive Theory (SCT), advanced principally by Albert Bandura, posits that human behavior is the result of reciprocal interactions among personal cognitive factors, behavioral patterns, and environmental influences (Bandura, 1986). Central constructs of SCT — observational learning (modelling), outcome expectations, self-efficacy, and reciprocal determinism — explain how individuals acquire, maintain, or change </w:t>
      </w:r>
      <w:proofErr w:type="spellStart"/>
      <w:r w:rsidRPr="00BB044F">
        <w:rPr>
          <w:rFonts w:eastAsia="Times New Roman" w:cs="Times New Roman"/>
          <w:szCs w:val="24"/>
        </w:rPr>
        <w:t>behaviours</w:t>
      </w:r>
      <w:proofErr w:type="spellEnd"/>
      <w:r w:rsidRPr="00BB044F">
        <w:rPr>
          <w:rFonts w:eastAsia="Times New Roman" w:cs="Times New Roman"/>
          <w:szCs w:val="24"/>
        </w:rPr>
        <w:t xml:space="preserve"> through the interplay of information, social influences, and perceived capability. In the context of reproductive health and abortion choices, SCT helps explain how young women’s knowledge of laws and policies (cognitive factor), the </w:t>
      </w:r>
      <w:proofErr w:type="spellStart"/>
      <w:r w:rsidRPr="00BB044F">
        <w:rPr>
          <w:rFonts w:eastAsia="Times New Roman" w:cs="Times New Roman"/>
          <w:szCs w:val="24"/>
        </w:rPr>
        <w:t>behaviour</w:t>
      </w:r>
      <w:proofErr w:type="spellEnd"/>
      <w:r w:rsidRPr="00BB044F">
        <w:rPr>
          <w:rFonts w:eastAsia="Times New Roman" w:cs="Times New Roman"/>
          <w:szCs w:val="24"/>
        </w:rPr>
        <w:t xml:space="preserve"> of peers and health providers (environmental factors), and their perceived ability to access and navigate safe services (self-efficacy) jointly shape decision-making processes (</w:t>
      </w:r>
      <w:proofErr w:type="spellStart"/>
      <w:r w:rsidRPr="00BB044F">
        <w:rPr>
          <w:rFonts w:eastAsia="Times New Roman" w:cs="Times New Roman"/>
          <w:szCs w:val="24"/>
        </w:rPr>
        <w:t>Denno</w:t>
      </w:r>
      <w:proofErr w:type="spellEnd"/>
      <w:r w:rsidRPr="00BB044F">
        <w:rPr>
          <w:rFonts w:eastAsia="Times New Roman" w:cs="Times New Roman"/>
          <w:szCs w:val="24"/>
        </w:rPr>
        <w:t xml:space="preserve">, </w:t>
      </w:r>
      <w:proofErr w:type="spellStart"/>
      <w:r w:rsidRPr="00BB044F">
        <w:rPr>
          <w:rFonts w:eastAsia="Times New Roman" w:cs="Times New Roman"/>
          <w:szCs w:val="24"/>
        </w:rPr>
        <w:t>Plesons</w:t>
      </w:r>
      <w:proofErr w:type="spellEnd"/>
      <w:r w:rsidRPr="00BB044F">
        <w:rPr>
          <w:rFonts w:eastAsia="Times New Roman" w:cs="Times New Roman"/>
          <w:szCs w:val="24"/>
        </w:rPr>
        <w:t xml:space="preserve"> &amp; Chandra-</w:t>
      </w:r>
      <w:proofErr w:type="spellStart"/>
      <w:r w:rsidRPr="00BB044F">
        <w:rPr>
          <w:rFonts w:eastAsia="Times New Roman" w:cs="Times New Roman"/>
          <w:szCs w:val="24"/>
        </w:rPr>
        <w:t>Mouli</w:t>
      </w:r>
      <w:proofErr w:type="spellEnd"/>
      <w:r w:rsidRPr="00BB044F">
        <w:rPr>
          <w:rFonts w:eastAsia="Times New Roman" w:cs="Times New Roman"/>
          <w:szCs w:val="24"/>
        </w:rPr>
        <w:t>, 2021).</w:t>
      </w:r>
    </w:p>
    <w:p w14:paraId="6EADB32C" w14:textId="77777777" w:rsidR="00BB044F" w:rsidRPr="00BB044F" w:rsidRDefault="00BB044F" w:rsidP="00267512">
      <w:pPr>
        <w:spacing w:before="100" w:beforeAutospacing="1" w:after="100" w:afterAutospacing="1" w:line="360" w:lineRule="auto"/>
        <w:rPr>
          <w:rFonts w:eastAsia="Times New Roman" w:cs="Times New Roman"/>
          <w:szCs w:val="24"/>
        </w:rPr>
      </w:pPr>
      <w:r w:rsidRPr="00BB044F">
        <w:rPr>
          <w:rFonts w:eastAsia="Times New Roman" w:cs="Times New Roman"/>
          <w:szCs w:val="24"/>
        </w:rPr>
        <w:t xml:space="preserve">Applying SCT to Bungoma County suggests that exposure to accurate legal information and positive models (for example, healthcare workers offering non-judgmental counselling) can raise outcome expectations about safe care and strengthen self-efficacy to seek legal services. Conversely, modelling of secrecy, stigma, or misinformation within social networks can lower perceived benefits and reduce the likelihood of choosing safe, facility-based abortion care. SCT therefore provides a robust explanatory framework for investigating how knowledge of abortion laws interacts with social norms, provider </w:t>
      </w:r>
      <w:proofErr w:type="spellStart"/>
      <w:r w:rsidRPr="00BB044F">
        <w:rPr>
          <w:rFonts w:eastAsia="Times New Roman" w:cs="Times New Roman"/>
          <w:szCs w:val="24"/>
        </w:rPr>
        <w:t>behaviour</w:t>
      </w:r>
      <w:proofErr w:type="spellEnd"/>
      <w:r w:rsidRPr="00BB044F">
        <w:rPr>
          <w:rFonts w:eastAsia="Times New Roman" w:cs="Times New Roman"/>
          <w:szCs w:val="24"/>
        </w:rPr>
        <w:t>, and individual confidence to influence abortion choices among young women aged 18–24 in Bungoma County.</w:t>
      </w:r>
    </w:p>
    <w:p w14:paraId="18BF89AF" w14:textId="130D30FD" w:rsidR="00BB044F" w:rsidRPr="00BB044F" w:rsidRDefault="00BB044F" w:rsidP="00267512">
      <w:pPr>
        <w:spacing w:before="100" w:beforeAutospacing="1" w:after="100" w:afterAutospacing="1" w:line="360" w:lineRule="auto"/>
        <w:rPr>
          <w:rFonts w:eastAsia="Times New Roman" w:cs="Times New Roman"/>
          <w:b/>
          <w:szCs w:val="24"/>
        </w:rPr>
      </w:pPr>
      <w:r w:rsidRPr="00267512">
        <w:rPr>
          <w:rFonts w:eastAsia="Times New Roman" w:cs="Times New Roman"/>
          <w:b/>
          <w:szCs w:val="24"/>
        </w:rPr>
        <w:t>4</w:t>
      </w:r>
      <w:r w:rsidRPr="00BB044F">
        <w:rPr>
          <w:rFonts w:eastAsia="Times New Roman" w:cs="Times New Roman"/>
          <w:b/>
          <w:szCs w:val="24"/>
        </w:rPr>
        <w:t>.0 Empirical Review</w:t>
      </w:r>
    </w:p>
    <w:p w14:paraId="0711CB3B" w14:textId="77777777" w:rsidR="00BB044F" w:rsidRPr="00BB044F" w:rsidRDefault="00BB044F" w:rsidP="00267512">
      <w:pPr>
        <w:spacing w:before="100" w:beforeAutospacing="1" w:after="100" w:afterAutospacing="1" w:line="360" w:lineRule="auto"/>
        <w:rPr>
          <w:rFonts w:eastAsia="Times New Roman" w:cs="Times New Roman"/>
          <w:szCs w:val="24"/>
        </w:rPr>
      </w:pPr>
      <w:proofErr w:type="spellStart"/>
      <w:r w:rsidRPr="00BB044F">
        <w:rPr>
          <w:rFonts w:eastAsia="Times New Roman" w:cs="Times New Roman"/>
          <w:szCs w:val="24"/>
        </w:rPr>
        <w:t>Denno</w:t>
      </w:r>
      <w:proofErr w:type="spellEnd"/>
      <w:r w:rsidRPr="00BB044F">
        <w:rPr>
          <w:rFonts w:eastAsia="Times New Roman" w:cs="Times New Roman"/>
          <w:szCs w:val="24"/>
        </w:rPr>
        <w:t xml:space="preserve">, </w:t>
      </w:r>
      <w:proofErr w:type="spellStart"/>
      <w:r w:rsidRPr="00BB044F">
        <w:rPr>
          <w:rFonts w:eastAsia="Times New Roman" w:cs="Times New Roman"/>
          <w:szCs w:val="24"/>
        </w:rPr>
        <w:t>Plesons</w:t>
      </w:r>
      <w:proofErr w:type="spellEnd"/>
      <w:r w:rsidRPr="00BB044F">
        <w:rPr>
          <w:rFonts w:eastAsia="Times New Roman" w:cs="Times New Roman"/>
          <w:szCs w:val="24"/>
        </w:rPr>
        <w:t xml:space="preserve"> &amp; Chandra-</w:t>
      </w:r>
      <w:proofErr w:type="spellStart"/>
      <w:r w:rsidRPr="00BB044F">
        <w:rPr>
          <w:rFonts w:eastAsia="Times New Roman" w:cs="Times New Roman"/>
          <w:szCs w:val="24"/>
        </w:rPr>
        <w:t>Mouli</w:t>
      </w:r>
      <w:proofErr w:type="spellEnd"/>
      <w:r w:rsidRPr="00BB044F">
        <w:rPr>
          <w:rFonts w:eastAsia="Times New Roman" w:cs="Times New Roman"/>
          <w:szCs w:val="24"/>
        </w:rPr>
        <w:t xml:space="preserve"> (2021) investigated strategies to improve health worker performance in delivering adolescent-friendly sexual and reproductive health services, synthesizing evidence from multiple programs. The study highlighted that training, supervision, and availability of essential supplies can enhance service delivery quality and adolescents’ access to information, which in turn can inform safer reproductive choices. However, the review primarily focused on health worker interventions rather than directly measuring young women’s legal knowledge or the downstream effect of that knowledge on abortion decisions. The study </w:t>
      </w:r>
      <w:r w:rsidRPr="00BB044F">
        <w:rPr>
          <w:rFonts w:eastAsia="Times New Roman" w:cs="Times New Roman"/>
          <w:szCs w:val="24"/>
        </w:rPr>
        <w:lastRenderedPageBreak/>
        <w:t xml:space="preserve">presents a conceptual gap by addressing supply-side capacity without directly linking provider-facilitated legal literacy to actual abortion choices among adolescents. Methodologically, the synthesis relied on heterogeneous program evaluations, limiting causal inference about which components most effectively change youth </w:t>
      </w:r>
      <w:proofErr w:type="spellStart"/>
      <w:r w:rsidRPr="00BB044F">
        <w:rPr>
          <w:rFonts w:eastAsia="Times New Roman" w:cs="Times New Roman"/>
          <w:szCs w:val="24"/>
        </w:rPr>
        <w:t>behaviour</w:t>
      </w:r>
      <w:proofErr w:type="spellEnd"/>
      <w:r w:rsidRPr="00BB044F">
        <w:rPr>
          <w:rFonts w:eastAsia="Times New Roman" w:cs="Times New Roman"/>
          <w:szCs w:val="24"/>
        </w:rPr>
        <w:t>. Contextually, the programs reviewed were diverse and not specific to Bungoma or to Kenyan legal frameworks, leaving transferability to the study area uncertain.</w:t>
      </w:r>
    </w:p>
    <w:p w14:paraId="50AE42F1" w14:textId="77777777" w:rsidR="00BB044F" w:rsidRPr="00BB044F" w:rsidRDefault="00BB044F" w:rsidP="00267512">
      <w:pPr>
        <w:spacing w:before="100" w:beforeAutospacing="1" w:after="100" w:afterAutospacing="1" w:line="360" w:lineRule="auto"/>
        <w:rPr>
          <w:rFonts w:eastAsia="Times New Roman" w:cs="Times New Roman"/>
          <w:szCs w:val="24"/>
        </w:rPr>
      </w:pPr>
      <w:r w:rsidRPr="00BB044F">
        <w:rPr>
          <w:rFonts w:eastAsia="Times New Roman" w:cs="Times New Roman"/>
          <w:szCs w:val="24"/>
        </w:rPr>
        <w:t>Wahed et al. (2017) examined barriers to sexual and reproductive healthcare among female sex workers in Dhaka, identifying financial constraints, fear of victimization, poor provider attitudes, and distance as major access barriers. Their findings underscore how environmental and structural obstacles restrict access to accurate information and legal services, thus increasing reliance on unsafe alternatives. Conceptually, the study emphasizes access barriers but does not disaggregate how legal knowledge specifically mediates choices about abortion among different youth groups. The contextual gap is clear: the study population (female sex workers in Bangladesh) differs from young women in Bungoma County, limiting direct applicability. Methodologically, while rich in qualitative detail, the study’s focus on a high-risk group means its conclusions may not generalize to broader youth populations who experience different socio-cultural pressures.</w:t>
      </w:r>
    </w:p>
    <w:p w14:paraId="484AED58" w14:textId="77777777" w:rsidR="00BB044F" w:rsidRPr="00BB044F" w:rsidRDefault="00BB044F" w:rsidP="00267512">
      <w:pPr>
        <w:spacing w:before="100" w:beforeAutospacing="1" w:after="100" w:afterAutospacing="1" w:line="360" w:lineRule="auto"/>
        <w:rPr>
          <w:rFonts w:eastAsia="Times New Roman" w:cs="Times New Roman"/>
          <w:szCs w:val="24"/>
        </w:rPr>
      </w:pPr>
      <w:r w:rsidRPr="00BB044F">
        <w:rPr>
          <w:rFonts w:eastAsia="Times New Roman" w:cs="Times New Roman"/>
          <w:szCs w:val="24"/>
        </w:rPr>
        <w:t>Munakampe, Zulu &amp; Michelo (2018) explored how adolescents and young women in sub-Saharan Africa respond to unintended pregnancies, showing a strong association between lack of access to safe, affordable abortion care and resort to unsafe methods. Their work identifies limited contraception access and weak service availability as drivers of unsafe abortion among youth. Conceptually, the study links service access to unsafe outcomes but does not isolate the independent effect of legal knowledge or legal literacy on abortion choices. The contextual gap is that the study covers multiple countries in sub-Saharan Africa, producing generalizable patterns but masking local legal nuances — particularly Kenya’s constitutional wording under Article 26 (4). Methodologically, aggregated cross-country data limit the ability to pinpoint the pathways through which knowledge of law influences decisions in a single county such as Bungoma.</w:t>
      </w:r>
    </w:p>
    <w:p w14:paraId="7D8021FB" w14:textId="77777777" w:rsidR="00BB044F" w:rsidRPr="00BB044F" w:rsidRDefault="00BB044F" w:rsidP="00267512">
      <w:pPr>
        <w:spacing w:before="100" w:beforeAutospacing="1" w:after="100" w:afterAutospacing="1" w:line="360" w:lineRule="auto"/>
        <w:rPr>
          <w:rFonts w:eastAsia="Times New Roman" w:cs="Times New Roman"/>
          <w:szCs w:val="24"/>
        </w:rPr>
      </w:pPr>
      <w:r w:rsidRPr="00BB044F">
        <w:rPr>
          <w:rFonts w:eastAsia="Times New Roman" w:cs="Times New Roman"/>
          <w:szCs w:val="24"/>
        </w:rPr>
        <w:lastRenderedPageBreak/>
        <w:t>Mwongeli (2022) and local health reports on Bungoma (County Health Report, 2023; Miller, Wherry &amp; Foster, 2023) document high rates of teenage pregnancies, peer pressure, and consequent abortion attempts in Bungoma County. These local sources highlight the prevalence of unsafe and complicated abortions presenting at health facilities, and point to poverty and social pressures as major drivers. While they provide crucial contextual grounding for the present study, these reports often do not employ rigorous measures of legal knowledge or experimentally test how increased awareness would alter abortion choices. The conceptual gap involves limited empirical measurement of the causal link between legal knowledge and choice-making; methodologically many reports are descriptive or facility-based, lacking representative sampling of young women aged 18–24. Consequently, there remains a need for focused, county-level studies that quantitatively and qualitatively assess how knowledge of abortion laws and policies specifically shapes abortion choices among young women in Bungoma.</w:t>
      </w:r>
    </w:p>
    <w:p w14:paraId="1A3A97DA" w14:textId="56D7ED72" w:rsidR="00BB044F" w:rsidRPr="00BB044F" w:rsidRDefault="00BB044F" w:rsidP="00267512">
      <w:pPr>
        <w:spacing w:before="100" w:beforeAutospacing="1" w:after="100" w:afterAutospacing="1" w:line="360" w:lineRule="auto"/>
        <w:rPr>
          <w:rFonts w:eastAsia="Times New Roman" w:cs="Times New Roman"/>
          <w:szCs w:val="24"/>
        </w:rPr>
      </w:pPr>
      <w:r w:rsidRPr="00267512">
        <w:rPr>
          <w:rFonts w:cs="Times New Roman"/>
          <w:b/>
          <w:szCs w:val="24"/>
        </w:rPr>
        <w:t>5</w:t>
      </w:r>
      <w:r w:rsidRPr="00267512">
        <w:rPr>
          <w:rFonts w:eastAsia="Times New Roman" w:cs="Times New Roman"/>
          <w:b/>
          <w:bCs/>
          <w:szCs w:val="24"/>
        </w:rPr>
        <w:t>.0 Research Methodology</w:t>
      </w:r>
    </w:p>
    <w:p w14:paraId="54E038B2" w14:textId="77777777" w:rsidR="00BB044F" w:rsidRPr="00BB044F" w:rsidRDefault="00BB044F" w:rsidP="00267512">
      <w:pPr>
        <w:spacing w:before="100" w:beforeAutospacing="1" w:after="100" w:afterAutospacing="1" w:line="360" w:lineRule="auto"/>
        <w:rPr>
          <w:rFonts w:eastAsia="Times New Roman" w:cs="Times New Roman"/>
          <w:szCs w:val="24"/>
        </w:rPr>
      </w:pPr>
      <w:r w:rsidRPr="00BB044F">
        <w:rPr>
          <w:rFonts w:eastAsia="Times New Roman" w:cs="Times New Roman"/>
          <w:szCs w:val="24"/>
        </w:rPr>
        <w:t xml:space="preserve">The study adopted a descriptive research design to examine how knowledge of abortion laws and policies influences abortion choices among young women in Bungoma County. This design was appropriate as it enabled the researcher to document and assess existing levels of knowledge, perceptions, and practices without manipulating any variables, while capturing the natural attitudes and </w:t>
      </w:r>
      <w:proofErr w:type="spellStart"/>
      <w:r w:rsidRPr="00BB044F">
        <w:rPr>
          <w:rFonts w:eastAsia="Times New Roman" w:cs="Times New Roman"/>
          <w:szCs w:val="24"/>
        </w:rPr>
        <w:t>behaviours</w:t>
      </w:r>
      <w:proofErr w:type="spellEnd"/>
      <w:r w:rsidRPr="00BB044F">
        <w:rPr>
          <w:rFonts w:eastAsia="Times New Roman" w:cs="Times New Roman"/>
          <w:szCs w:val="24"/>
        </w:rPr>
        <w:t xml:space="preserve"> of the participants.</w:t>
      </w:r>
    </w:p>
    <w:p w14:paraId="38EBEED7" w14:textId="77777777" w:rsidR="00BB044F" w:rsidRPr="00BB044F" w:rsidRDefault="00BB044F" w:rsidP="00267512">
      <w:pPr>
        <w:spacing w:before="100" w:beforeAutospacing="1" w:after="100" w:afterAutospacing="1" w:line="360" w:lineRule="auto"/>
        <w:rPr>
          <w:rFonts w:eastAsia="Times New Roman" w:cs="Times New Roman"/>
          <w:szCs w:val="24"/>
        </w:rPr>
      </w:pPr>
      <w:r w:rsidRPr="00BB044F">
        <w:rPr>
          <w:rFonts w:eastAsia="Times New Roman" w:cs="Times New Roman"/>
          <w:szCs w:val="24"/>
        </w:rPr>
        <w:t>The target population consisted of 414 young women aged 18–24 years who accessed Post-Abortion Care services in the ten sub-counties of Bungoma County between January and September 2024. Using Kothari’s (2004) sampling formula at a 10% margin of error, a sample size of 78 young women was obtained. Snowball sampling was used due to the sensitive nature of the topic and the need to identify respondents through trusted referral networks. Additionally, 10 Kenya Registered Nurses and 10 gynecologists (one from each sub-county) were purposively selected as key informants based on their involvement in abortion care. The total sample size was therefore 98 participants.</w:t>
      </w:r>
    </w:p>
    <w:p w14:paraId="4E367057" w14:textId="77777777" w:rsidR="00BB044F" w:rsidRPr="00BB044F" w:rsidRDefault="00BB044F" w:rsidP="00267512">
      <w:pPr>
        <w:spacing w:after="0" w:line="360" w:lineRule="auto"/>
        <w:rPr>
          <w:rFonts w:eastAsia="Times New Roman" w:cs="Times New Roman"/>
          <w:szCs w:val="24"/>
        </w:rPr>
      </w:pPr>
      <w:r w:rsidRPr="00BB044F">
        <w:rPr>
          <w:rFonts w:eastAsia="Times New Roman" w:cs="Times New Roman"/>
          <w:szCs w:val="24"/>
        </w:rPr>
        <w:t xml:space="preserve">Data were collected using structured, close-ended questionnaires administered to the 78 young women, while in-depth key informant interviews were conducted with the nurses and </w:t>
      </w:r>
      <w:r w:rsidRPr="00BB044F">
        <w:rPr>
          <w:rFonts w:eastAsia="Times New Roman" w:cs="Times New Roman"/>
          <w:szCs w:val="24"/>
        </w:rPr>
        <w:lastRenderedPageBreak/>
        <w:t>gynecologists. A pilot study involving 20 young women in Nairobi County was conducted to enhance clarity and test feasibility of the instruments. Content validity was ensured through expert review and continuous supervision, while instrument reliability was confirmed using correlation coefficients within the acceptable threshold of 0.7 to 1.0.</w:t>
      </w:r>
    </w:p>
    <w:p w14:paraId="1980A954" w14:textId="77777777" w:rsidR="00BB044F" w:rsidRPr="00BB044F" w:rsidRDefault="00BB044F" w:rsidP="00267512">
      <w:pPr>
        <w:spacing w:after="0" w:line="360" w:lineRule="auto"/>
        <w:rPr>
          <w:rFonts w:eastAsia="Times New Roman" w:cs="Times New Roman"/>
          <w:szCs w:val="24"/>
        </w:rPr>
      </w:pPr>
      <w:r w:rsidRPr="00BB044F">
        <w:rPr>
          <w:rFonts w:eastAsia="Times New Roman" w:cs="Times New Roman"/>
          <w:szCs w:val="24"/>
        </w:rPr>
        <w:t>Quantitative data from questionnaires were analyzed using SPSS through descriptive (frequencies, percentages, means and standard deviations) and inferential statistics. Qualitative data from interviews were analyzed thematically using NVivo software. The regression model used was:</w:t>
      </w:r>
    </w:p>
    <w:p w14:paraId="69B76B35" w14:textId="77777777" w:rsidR="00267512" w:rsidRDefault="00BB044F" w:rsidP="00267512">
      <w:pPr>
        <w:spacing w:after="0" w:line="360" w:lineRule="auto"/>
        <w:rPr>
          <w:rFonts w:eastAsia="Times New Roman" w:cs="Times New Roman"/>
          <w:b/>
          <w:bCs/>
          <w:szCs w:val="24"/>
        </w:rPr>
      </w:pPr>
      <w:r w:rsidRPr="00267512">
        <w:rPr>
          <w:rFonts w:eastAsia="Times New Roman" w:cs="Times New Roman"/>
          <w:b/>
          <w:bCs/>
          <w:szCs w:val="24"/>
        </w:rPr>
        <w:t xml:space="preserve">Y = β₀ + </w:t>
      </w:r>
      <w:proofErr w:type="gramStart"/>
      <w:r w:rsidRPr="00267512">
        <w:rPr>
          <w:rFonts w:eastAsia="Times New Roman" w:cs="Times New Roman"/>
          <w:b/>
          <w:bCs/>
          <w:szCs w:val="24"/>
        </w:rPr>
        <w:t>β₁X₁  +</w:t>
      </w:r>
      <w:proofErr w:type="gramEnd"/>
      <w:r w:rsidRPr="00267512">
        <w:rPr>
          <w:rFonts w:eastAsia="Times New Roman" w:cs="Times New Roman"/>
          <w:b/>
          <w:bCs/>
          <w:szCs w:val="24"/>
        </w:rPr>
        <w:t xml:space="preserve"> ε</w:t>
      </w:r>
    </w:p>
    <w:p w14:paraId="167B1D7B" w14:textId="77777777" w:rsidR="00267512" w:rsidRDefault="00BB044F" w:rsidP="00267512">
      <w:pPr>
        <w:spacing w:after="0" w:line="360" w:lineRule="auto"/>
        <w:rPr>
          <w:rFonts w:eastAsia="Times New Roman" w:cs="Times New Roman"/>
          <w:szCs w:val="24"/>
        </w:rPr>
      </w:pPr>
      <w:r w:rsidRPr="00BB044F">
        <w:rPr>
          <w:rFonts w:eastAsia="Times New Roman" w:cs="Times New Roman"/>
          <w:szCs w:val="24"/>
        </w:rPr>
        <w:t>Where:</w:t>
      </w:r>
      <w:r w:rsidRPr="00BB044F">
        <w:rPr>
          <w:rFonts w:eastAsia="Times New Roman" w:cs="Times New Roman"/>
          <w:szCs w:val="24"/>
        </w:rPr>
        <w:br/>
        <w:t>Y = Abortion Choices</w:t>
      </w:r>
    </w:p>
    <w:p w14:paraId="29903054" w14:textId="77777777" w:rsidR="00267512" w:rsidRDefault="00BB044F" w:rsidP="00267512">
      <w:pPr>
        <w:spacing w:after="0" w:line="360" w:lineRule="auto"/>
        <w:rPr>
          <w:rFonts w:eastAsia="Times New Roman" w:cs="Times New Roman"/>
          <w:szCs w:val="24"/>
        </w:rPr>
      </w:pPr>
      <w:r w:rsidRPr="00BB044F">
        <w:rPr>
          <w:rFonts w:eastAsia="Times New Roman" w:cs="Times New Roman"/>
          <w:szCs w:val="24"/>
        </w:rPr>
        <w:t>X₁ = Knowledge of Abortion Laws and Policies</w:t>
      </w:r>
    </w:p>
    <w:p w14:paraId="4D024374" w14:textId="5DEE9D0E" w:rsidR="00BB044F" w:rsidRPr="00BB044F" w:rsidRDefault="00BB044F" w:rsidP="00267512">
      <w:pPr>
        <w:spacing w:after="0" w:line="360" w:lineRule="auto"/>
        <w:rPr>
          <w:rFonts w:eastAsia="Times New Roman" w:cs="Times New Roman"/>
          <w:szCs w:val="24"/>
        </w:rPr>
      </w:pPr>
      <w:r w:rsidRPr="00BB044F">
        <w:rPr>
          <w:rFonts w:eastAsia="Times New Roman" w:cs="Times New Roman"/>
          <w:szCs w:val="24"/>
        </w:rPr>
        <w:t>Ethical considerations included obtaining approval from Kenyatta University Ethics Committee, ensuring voluntary participation, anonymity, confidentiality, and secure handling and disposal of data. All respondents were informed of their right to withdraw at any stage, and data collected were used strictly for academic purposes.</w:t>
      </w:r>
    </w:p>
    <w:p w14:paraId="6C6CE9E6" w14:textId="479F9446" w:rsidR="00452738" w:rsidRPr="00267512" w:rsidRDefault="00BB044F" w:rsidP="00267512">
      <w:pPr>
        <w:pStyle w:val="Heading2"/>
        <w:spacing w:after="0" w:line="360" w:lineRule="auto"/>
      </w:pPr>
      <w:bookmarkStart w:id="1" w:name="_Toc208234106"/>
      <w:proofErr w:type="gramStart"/>
      <w:r w:rsidRPr="00267512">
        <w:t>6.0</w:t>
      </w:r>
      <w:r w:rsidR="00452738" w:rsidRPr="00267512">
        <w:t xml:space="preserve"> </w:t>
      </w:r>
      <w:bookmarkEnd w:id="1"/>
      <w:r w:rsidRPr="00267512">
        <w:t xml:space="preserve"> Descriptive</w:t>
      </w:r>
      <w:proofErr w:type="gramEnd"/>
      <w:r w:rsidRPr="00267512">
        <w:t xml:space="preserve"> Results</w:t>
      </w:r>
    </w:p>
    <w:p w14:paraId="32DDDEA6" w14:textId="753D4798" w:rsidR="00452738" w:rsidRPr="00267512" w:rsidRDefault="00452738" w:rsidP="00267512">
      <w:pPr>
        <w:spacing w:after="0" w:line="360" w:lineRule="auto"/>
        <w:rPr>
          <w:rFonts w:cs="Times New Roman"/>
          <w:szCs w:val="24"/>
        </w:rPr>
      </w:pPr>
      <w:r w:rsidRPr="00267512">
        <w:rPr>
          <w:rFonts w:cs="Times New Roman"/>
          <w:szCs w:val="24"/>
        </w:rPr>
        <w:t>The structure of the analysis is built around the study objectives which aimed to m</w:t>
      </w:r>
      <w:r w:rsidR="00BB044F" w:rsidRPr="00267512">
        <w:rPr>
          <w:rFonts w:cs="Times New Roman"/>
          <w:szCs w:val="24"/>
        </w:rPr>
        <w:t xml:space="preserve">easure the impact of knowledge </w:t>
      </w:r>
      <w:r w:rsidRPr="00267512">
        <w:rPr>
          <w:rFonts w:cs="Times New Roman"/>
          <w:szCs w:val="24"/>
        </w:rPr>
        <w:t xml:space="preserve">on the reproductive health policy regarding abortion options. These results have been discussed in terms of descriptive statistics, inferential statistics, and inferences which relate the findings to the available literature and the study conceptual framework. </w:t>
      </w:r>
    </w:p>
    <w:p w14:paraId="1358A4C4" w14:textId="7469DA2F" w:rsidR="00452738" w:rsidRPr="00267512" w:rsidRDefault="00BB044F" w:rsidP="00267512">
      <w:pPr>
        <w:pStyle w:val="Heading2"/>
        <w:spacing w:line="360" w:lineRule="auto"/>
      </w:pPr>
      <w:bookmarkStart w:id="2" w:name="_Toc208234107"/>
      <w:r w:rsidRPr="00267512">
        <w:t>6.1</w:t>
      </w:r>
      <w:r w:rsidR="00452738" w:rsidRPr="00267512">
        <w:t xml:space="preserve"> </w:t>
      </w:r>
      <w:r w:rsidR="00B11AFD" w:rsidRPr="00267512">
        <w:t>Response Rate</w:t>
      </w:r>
      <w:bookmarkEnd w:id="2"/>
      <w:r w:rsidR="00B11AFD" w:rsidRPr="00267512">
        <w:t xml:space="preserve"> </w:t>
      </w:r>
    </w:p>
    <w:p w14:paraId="5165CC39" w14:textId="2697F225" w:rsidR="00B11AFD" w:rsidRPr="00267512" w:rsidRDefault="00B11AFD" w:rsidP="00267512">
      <w:pPr>
        <w:spacing w:line="360" w:lineRule="auto"/>
        <w:rPr>
          <w:szCs w:val="24"/>
        </w:rPr>
      </w:pPr>
      <w:r w:rsidRPr="00267512">
        <w:rPr>
          <w:szCs w:val="24"/>
        </w:rPr>
        <w:t>The response rate of the</w:t>
      </w:r>
      <w:r w:rsidR="00BB044F" w:rsidRPr="00267512">
        <w:rPr>
          <w:szCs w:val="24"/>
        </w:rPr>
        <w:t xml:space="preserve"> study is available in Table 1</w:t>
      </w:r>
      <w:r w:rsidRPr="00267512">
        <w:rPr>
          <w:szCs w:val="24"/>
        </w:rPr>
        <w:t xml:space="preserve"> and indicates the ratio of respondents that were able to complete and submit the questionnaires to the intended sample. </w:t>
      </w:r>
    </w:p>
    <w:p w14:paraId="77E4315E" w14:textId="4339765A" w:rsidR="00B11AFD" w:rsidRPr="00267512" w:rsidRDefault="00BB044F" w:rsidP="00267512">
      <w:pPr>
        <w:pStyle w:val="Heading2"/>
        <w:spacing w:line="360" w:lineRule="auto"/>
        <w:rPr>
          <w:lang w:val="en-GB"/>
        </w:rPr>
      </w:pPr>
      <w:bookmarkStart w:id="3" w:name="_Toc208233865"/>
      <w:bookmarkStart w:id="4" w:name="_Toc208234108"/>
      <w:r w:rsidRPr="00267512">
        <w:rPr>
          <w:lang w:val="en-GB"/>
        </w:rPr>
        <w:t>Table 1</w:t>
      </w:r>
      <w:r w:rsidR="00B11AFD" w:rsidRPr="00267512">
        <w:rPr>
          <w:lang w:val="en-GB"/>
        </w:rPr>
        <w:t xml:space="preserve"> Response Rate</w:t>
      </w:r>
      <w:bookmarkEnd w:id="3"/>
      <w:bookmarkEnd w:id="4"/>
      <w:r w:rsidR="00C6030B" w:rsidRPr="00267512">
        <w:rPr>
          <w:lang w:val="en-GB"/>
        </w:rPr>
        <w:t xml:space="preserve"> on </w:t>
      </w:r>
      <w:proofErr w:type="spellStart"/>
      <w:r w:rsidR="00C6030B" w:rsidRPr="00267512">
        <w:rPr>
          <w:lang w:val="en-GB"/>
        </w:rPr>
        <w:t>Questionnairre</w:t>
      </w:r>
      <w:proofErr w:type="spellEnd"/>
      <w:r w:rsidR="00F42458" w:rsidRPr="00267512">
        <w:rPr>
          <w:lang w:val="en-GB"/>
        </w:rPr>
        <w:t xml:space="preserve"> and Interviews</w:t>
      </w:r>
    </w:p>
    <w:tbl>
      <w:tblPr>
        <w:tblStyle w:val="TableGrid"/>
        <w:tblW w:w="9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8"/>
        <w:gridCol w:w="2790"/>
        <w:gridCol w:w="2880"/>
      </w:tblGrid>
      <w:tr w:rsidR="00B11AFD" w:rsidRPr="00267512" w14:paraId="14DDD642" w14:textId="77777777" w:rsidTr="00B11AFD">
        <w:tc>
          <w:tcPr>
            <w:tcW w:w="3348" w:type="dxa"/>
            <w:tcBorders>
              <w:top w:val="single" w:sz="4" w:space="0" w:color="auto"/>
              <w:bottom w:val="single" w:sz="4" w:space="0" w:color="auto"/>
            </w:tcBorders>
          </w:tcPr>
          <w:p w14:paraId="0846DB30" w14:textId="77777777" w:rsidR="00B11AFD" w:rsidRPr="00267512" w:rsidRDefault="00B11AFD" w:rsidP="00267512">
            <w:pPr>
              <w:spacing w:line="360" w:lineRule="auto"/>
              <w:rPr>
                <w:rFonts w:cs="Times New Roman"/>
                <w:b/>
                <w:szCs w:val="24"/>
              </w:rPr>
            </w:pPr>
          </w:p>
        </w:tc>
        <w:tc>
          <w:tcPr>
            <w:tcW w:w="2790" w:type="dxa"/>
            <w:tcBorders>
              <w:top w:val="single" w:sz="4" w:space="0" w:color="auto"/>
              <w:bottom w:val="single" w:sz="4" w:space="0" w:color="auto"/>
            </w:tcBorders>
          </w:tcPr>
          <w:p w14:paraId="21537377" w14:textId="77777777" w:rsidR="00B11AFD" w:rsidRPr="00267512" w:rsidRDefault="00B11AFD" w:rsidP="00267512">
            <w:pPr>
              <w:spacing w:line="360" w:lineRule="auto"/>
              <w:rPr>
                <w:rFonts w:cs="Times New Roman"/>
                <w:szCs w:val="24"/>
              </w:rPr>
            </w:pPr>
            <w:r w:rsidRPr="00267512">
              <w:rPr>
                <w:rFonts w:cs="Times New Roman"/>
                <w:szCs w:val="24"/>
              </w:rPr>
              <w:t>Frequency</w:t>
            </w:r>
          </w:p>
        </w:tc>
        <w:tc>
          <w:tcPr>
            <w:tcW w:w="2880" w:type="dxa"/>
            <w:tcBorders>
              <w:top w:val="single" w:sz="4" w:space="0" w:color="auto"/>
              <w:bottom w:val="single" w:sz="4" w:space="0" w:color="auto"/>
            </w:tcBorders>
          </w:tcPr>
          <w:p w14:paraId="19816A75" w14:textId="77777777" w:rsidR="00B11AFD" w:rsidRPr="00267512" w:rsidRDefault="00B11AFD" w:rsidP="00267512">
            <w:pPr>
              <w:spacing w:line="360" w:lineRule="auto"/>
              <w:rPr>
                <w:rFonts w:cs="Times New Roman"/>
                <w:szCs w:val="24"/>
              </w:rPr>
            </w:pPr>
            <w:r w:rsidRPr="00267512">
              <w:rPr>
                <w:rFonts w:cs="Times New Roman"/>
                <w:szCs w:val="24"/>
              </w:rPr>
              <w:t>Percentages</w:t>
            </w:r>
          </w:p>
        </w:tc>
      </w:tr>
      <w:tr w:rsidR="00B11AFD" w:rsidRPr="00267512" w14:paraId="093CF92D" w14:textId="77777777" w:rsidTr="00B11AFD">
        <w:tc>
          <w:tcPr>
            <w:tcW w:w="3348" w:type="dxa"/>
            <w:tcBorders>
              <w:top w:val="single" w:sz="4" w:space="0" w:color="auto"/>
            </w:tcBorders>
          </w:tcPr>
          <w:p w14:paraId="1D716DF5" w14:textId="30012BD9" w:rsidR="00B11AFD" w:rsidRPr="00267512" w:rsidRDefault="00B11AFD" w:rsidP="00267512">
            <w:pPr>
              <w:spacing w:line="360" w:lineRule="auto"/>
              <w:rPr>
                <w:rFonts w:cs="Times New Roman"/>
                <w:szCs w:val="24"/>
              </w:rPr>
            </w:pPr>
            <w:r w:rsidRPr="00267512">
              <w:rPr>
                <w:rFonts w:cs="Times New Roman"/>
                <w:szCs w:val="24"/>
              </w:rPr>
              <w:t xml:space="preserve">Completed Questionnaires </w:t>
            </w:r>
          </w:p>
        </w:tc>
        <w:tc>
          <w:tcPr>
            <w:tcW w:w="2790" w:type="dxa"/>
            <w:tcBorders>
              <w:top w:val="single" w:sz="4" w:space="0" w:color="auto"/>
            </w:tcBorders>
          </w:tcPr>
          <w:p w14:paraId="23940A86" w14:textId="469B43CF" w:rsidR="00B11AFD" w:rsidRPr="00267512" w:rsidRDefault="00B11AFD" w:rsidP="00267512">
            <w:pPr>
              <w:spacing w:line="360" w:lineRule="auto"/>
              <w:rPr>
                <w:rFonts w:cs="Times New Roman"/>
                <w:szCs w:val="24"/>
              </w:rPr>
            </w:pPr>
            <w:r w:rsidRPr="00267512">
              <w:rPr>
                <w:rFonts w:cs="Times New Roman"/>
                <w:szCs w:val="24"/>
              </w:rPr>
              <w:t>64</w:t>
            </w:r>
          </w:p>
        </w:tc>
        <w:tc>
          <w:tcPr>
            <w:tcW w:w="2880" w:type="dxa"/>
            <w:tcBorders>
              <w:top w:val="single" w:sz="4" w:space="0" w:color="auto"/>
            </w:tcBorders>
          </w:tcPr>
          <w:p w14:paraId="01648B34" w14:textId="49F5A791" w:rsidR="00B11AFD" w:rsidRPr="00267512" w:rsidRDefault="00B11AFD" w:rsidP="00267512">
            <w:pPr>
              <w:spacing w:line="360" w:lineRule="auto"/>
              <w:rPr>
                <w:rFonts w:cs="Times New Roman"/>
                <w:szCs w:val="24"/>
              </w:rPr>
            </w:pPr>
            <w:r w:rsidRPr="00267512">
              <w:rPr>
                <w:rFonts w:cs="Times New Roman"/>
                <w:szCs w:val="24"/>
              </w:rPr>
              <w:t>82%</w:t>
            </w:r>
          </w:p>
        </w:tc>
      </w:tr>
      <w:tr w:rsidR="00B11AFD" w:rsidRPr="00267512" w14:paraId="0BD972F6" w14:textId="77777777" w:rsidTr="00B11AFD">
        <w:tc>
          <w:tcPr>
            <w:tcW w:w="3348" w:type="dxa"/>
          </w:tcPr>
          <w:p w14:paraId="032FD811" w14:textId="37FBFF18" w:rsidR="00B11AFD" w:rsidRPr="00267512" w:rsidRDefault="00B11AFD" w:rsidP="00267512">
            <w:pPr>
              <w:spacing w:line="360" w:lineRule="auto"/>
              <w:rPr>
                <w:rFonts w:cs="Times New Roman"/>
                <w:szCs w:val="24"/>
              </w:rPr>
            </w:pPr>
            <w:r w:rsidRPr="00267512">
              <w:rPr>
                <w:rFonts w:cs="Times New Roman"/>
                <w:szCs w:val="24"/>
              </w:rPr>
              <w:t>Un complete Questionnaires</w:t>
            </w:r>
          </w:p>
        </w:tc>
        <w:tc>
          <w:tcPr>
            <w:tcW w:w="2790" w:type="dxa"/>
          </w:tcPr>
          <w:p w14:paraId="5D80C34D" w14:textId="4D853537" w:rsidR="00B11AFD" w:rsidRPr="00267512" w:rsidRDefault="00B11AFD" w:rsidP="00267512">
            <w:pPr>
              <w:spacing w:line="360" w:lineRule="auto"/>
              <w:rPr>
                <w:rFonts w:cs="Times New Roman"/>
                <w:szCs w:val="24"/>
              </w:rPr>
            </w:pPr>
            <w:r w:rsidRPr="00267512">
              <w:rPr>
                <w:rFonts w:cs="Times New Roman"/>
                <w:szCs w:val="24"/>
              </w:rPr>
              <w:t>14</w:t>
            </w:r>
          </w:p>
        </w:tc>
        <w:tc>
          <w:tcPr>
            <w:tcW w:w="2880" w:type="dxa"/>
          </w:tcPr>
          <w:p w14:paraId="2FD14F3C" w14:textId="3B0B2D99" w:rsidR="00B11AFD" w:rsidRPr="00267512" w:rsidRDefault="00B11AFD" w:rsidP="00267512">
            <w:pPr>
              <w:spacing w:line="360" w:lineRule="auto"/>
              <w:rPr>
                <w:rFonts w:cs="Times New Roman"/>
                <w:szCs w:val="24"/>
              </w:rPr>
            </w:pPr>
            <w:r w:rsidRPr="00267512">
              <w:rPr>
                <w:rFonts w:cs="Times New Roman"/>
                <w:szCs w:val="24"/>
              </w:rPr>
              <w:t>18%</w:t>
            </w:r>
          </w:p>
        </w:tc>
      </w:tr>
      <w:tr w:rsidR="00B11AFD" w:rsidRPr="00267512" w14:paraId="130C3A2C" w14:textId="77777777" w:rsidTr="00C6030B">
        <w:tc>
          <w:tcPr>
            <w:tcW w:w="3348" w:type="dxa"/>
          </w:tcPr>
          <w:p w14:paraId="301C09C1" w14:textId="77777777" w:rsidR="00B11AFD" w:rsidRPr="00267512" w:rsidRDefault="00B11AFD" w:rsidP="00267512">
            <w:pPr>
              <w:spacing w:line="360" w:lineRule="auto"/>
              <w:rPr>
                <w:rFonts w:cs="Times New Roman"/>
                <w:szCs w:val="24"/>
              </w:rPr>
            </w:pPr>
            <w:r w:rsidRPr="00267512">
              <w:rPr>
                <w:rFonts w:cs="Times New Roman"/>
                <w:szCs w:val="24"/>
              </w:rPr>
              <w:t xml:space="preserve">Total </w:t>
            </w:r>
          </w:p>
        </w:tc>
        <w:tc>
          <w:tcPr>
            <w:tcW w:w="2790" w:type="dxa"/>
          </w:tcPr>
          <w:p w14:paraId="3EAF0868" w14:textId="6ADB8DEE" w:rsidR="00B11AFD" w:rsidRPr="00267512" w:rsidRDefault="00B11AFD" w:rsidP="00267512">
            <w:pPr>
              <w:spacing w:line="360" w:lineRule="auto"/>
              <w:rPr>
                <w:rFonts w:cs="Times New Roman"/>
                <w:szCs w:val="24"/>
              </w:rPr>
            </w:pPr>
            <w:r w:rsidRPr="00267512">
              <w:rPr>
                <w:rFonts w:cs="Times New Roman"/>
                <w:szCs w:val="24"/>
              </w:rPr>
              <w:t>78</w:t>
            </w:r>
          </w:p>
        </w:tc>
        <w:tc>
          <w:tcPr>
            <w:tcW w:w="2880" w:type="dxa"/>
          </w:tcPr>
          <w:p w14:paraId="5BE248B5" w14:textId="77777777" w:rsidR="00B11AFD" w:rsidRPr="00267512" w:rsidRDefault="00B11AFD" w:rsidP="00267512">
            <w:pPr>
              <w:spacing w:line="360" w:lineRule="auto"/>
              <w:rPr>
                <w:rFonts w:cs="Times New Roman"/>
                <w:szCs w:val="24"/>
              </w:rPr>
            </w:pPr>
            <w:r w:rsidRPr="00267512">
              <w:rPr>
                <w:rFonts w:cs="Times New Roman"/>
                <w:szCs w:val="24"/>
              </w:rPr>
              <w:t>100%</w:t>
            </w:r>
          </w:p>
        </w:tc>
      </w:tr>
      <w:tr w:rsidR="00C6030B" w:rsidRPr="00267512" w14:paraId="30DEA0E0" w14:textId="77777777" w:rsidTr="00C6030B">
        <w:tc>
          <w:tcPr>
            <w:tcW w:w="3348" w:type="dxa"/>
          </w:tcPr>
          <w:p w14:paraId="7BDADE83" w14:textId="47C80A4B" w:rsidR="00C6030B" w:rsidRPr="00267512" w:rsidRDefault="00F42458" w:rsidP="00267512">
            <w:pPr>
              <w:spacing w:line="360" w:lineRule="auto"/>
              <w:rPr>
                <w:rFonts w:cs="Times New Roman"/>
                <w:b/>
                <w:szCs w:val="24"/>
              </w:rPr>
            </w:pPr>
            <w:r w:rsidRPr="00267512">
              <w:rPr>
                <w:rFonts w:cs="Times New Roman"/>
                <w:b/>
                <w:szCs w:val="24"/>
              </w:rPr>
              <w:t>Interview Schedule</w:t>
            </w:r>
          </w:p>
        </w:tc>
        <w:tc>
          <w:tcPr>
            <w:tcW w:w="2790" w:type="dxa"/>
          </w:tcPr>
          <w:p w14:paraId="16973836" w14:textId="77777777" w:rsidR="00C6030B" w:rsidRPr="00267512" w:rsidRDefault="00C6030B" w:rsidP="00267512">
            <w:pPr>
              <w:spacing w:line="360" w:lineRule="auto"/>
              <w:rPr>
                <w:rFonts w:cs="Times New Roman"/>
                <w:szCs w:val="24"/>
              </w:rPr>
            </w:pPr>
          </w:p>
        </w:tc>
        <w:tc>
          <w:tcPr>
            <w:tcW w:w="2880" w:type="dxa"/>
          </w:tcPr>
          <w:p w14:paraId="42542365" w14:textId="77777777" w:rsidR="00C6030B" w:rsidRPr="00267512" w:rsidRDefault="00C6030B" w:rsidP="00267512">
            <w:pPr>
              <w:spacing w:line="360" w:lineRule="auto"/>
              <w:rPr>
                <w:rFonts w:cs="Times New Roman"/>
                <w:szCs w:val="24"/>
              </w:rPr>
            </w:pPr>
          </w:p>
        </w:tc>
      </w:tr>
      <w:tr w:rsidR="00C6030B" w:rsidRPr="00267512" w14:paraId="22EF1DED" w14:textId="77777777" w:rsidTr="00C6030B">
        <w:tc>
          <w:tcPr>
            <w:tcW w:w="3348" w:type="dxa"/>
          </w:tcPr>
          <w:p w14:paraId="67CE7A47" w14:textId="5DDF9E33" w:rsidR="00C6030B" w:rsidRPr="00267512" w:rsidRDefault="00F42458" w:rsidP="00267512">
            <w:pPr>
              <w:spacing w:line="360" w:lineRule="auto"/>
              <w:rPr>
                <w:rFonts w:cs="Times New Roman"/>
                <w:szCs w:val="24"/>
              </w:rPr>
            </w:pPr>
            <w:r w:rsidRPr="00267512">
              <w:rPr>
                <w:rFonts w:cs="Times New Roman"/>
                <w:szCs w:val="24"/>
              </w:rPr>
              <w:lastRenderedPageBreak/>
              <w:t>Nurses Interviewed</w:t>
            </w:r>
          </w:p>
        </w:tc>
        <w:tc>
          <w:tcPr>
            <w:tcW w:w="2790" w:type="dxa"/>
          </w:tcPr>
          <w:p w14:paraId="7735EBE0" w14:textId="1AC05D64" w:rsidR="00C6030B" w:rsidRPr="00267512" w:rsidRDefault="00F42458" w:rsidP="00267512">
            <w:pPr>
              <w:spacing w:line="360" w:lineRule="auto"/>
              <w:rPr>
                <w:rFonts w:cs="Times New Roman"/>
                <w:szCs w:val="24"/>
              </w:rPr>
            </w:pPr>
            <w:r w:rsidRPr="00267512">
              <w:rPr>
                <w:rFonts w:cs="Times New Roman"/>
                <w:szCs w:val="24"/>
              </w:rPr>
              <w:t>8</w:t>
            </w:r>
          </w:p>
        </w:tc>
        <w:tc>
          <w:tcPr>
            <w:tcW w:w="2880" w:type="dxa"/>
          </w:tcPr>
          <w:p w14:paraId="6AA6FAC4" w14:textId="1D2651DB" w:rsidR="00C6030B" w:rsidRPr="00267512" w:rsidRDefault="00F42458" w:rsidP="00267512">
            <w:pPr>
              <w:spacing w:line="360" w:lineRule="auto"/>
              <w:rPr>
                <w:rFonts w:cs="Times New Roman"/>
                <w:szCs w:val="24"/>
              </w:rPr>
            </w:pPr>
            <w:r w:rsidRPr="00267512">
              <w:rPr>
                <w:rFonts w:cs="Times New Roman"/>
                <w:szCs w:val="24"/>
              </w:rPr>
              <w:t>80%</w:t>
            </w:r>
          </w:p>
        </w:tc>
      </w:tr>
      <w:tr w:rsidR="00C6030B" w:rsidRPr="00267512" w14:paraId="4821C0AA" w14:textId="77777777" w:rsidTr="00C6030B">
        <w:tc>
          <w:tcPr>
            <w:tcW w:w="3348" w:type="dxa"/>
          </w:tcPr>
          <w:p w14:paraId="4A5BD614" w14:textId="5D705F3F" w:rsidR="00C6030B" w:rsidRPr="00267512" w:rsidRDefault="00F42458" w:rsidP="00267512">
            <w:pPr>
              <w:spacing w:line="360" w:lineRule="auto"/>
              <w:rPr>
                <w:rFonts w:cs="Times New Roman"/>
                <w:szCs w:val="24"/>
              </w:rPr>
            </w:pPr>
            <w:r w:rsidRPr="00267512">
              <w:rPr>
                <w:szCs w:val="24"/>
              </w:rPr>
              <w:t>Gynecologists Interviewed</w:t>
            </w:r>
          </w:p>
        </w:tc>
        <w:tc>
          <w:tcPr>
            <w:tcW w:w="2790" w:type="dxa"/>
          </w:tcPr>
          <w:p w14:paraId="403093F5" w14:textId="60CB7881" w:rsidR="00C6030B" w:rsidRPr="00267512" w:rsidRDefault="00F42458" w:rsidP="00267512">
            <w:pPr>
              <w:spacing w:line="360" w:lineRule="auto"/>
              <w:rPr>
                <w:rFonts w:cs="Times New Roman"/>
                <w:szCs w:val="24"/>
              </w:rPr>
            </w:pPr>
            <w:r w:rsidRPr="00267512">
              <w:rPr>
                <w:rFonts w:cs="Times New Roman"/>
                <w:szCs w:val="24"/>
              </w:rPr>
              <w:t>9</w:t>
            </w:r>
          </w:p>
        </w:tc>
        <w:tc>
          <w:tcPr>
            <w:tcW w:w="2880" w:type="dxa"/>
          </w:tcPr>
          <w:p w14:paraId="22A8FDEA" w14:textId="5B211110" w:rsidR="00C6030B" w:rsidRPr="00267512" w:rsidRDefault="00F42458" w:rsidP="00267512">
            <w:pPr>
              <w:spacing w:line="360" w:lineRule="auto"/>
              <w:rPr>
                <w:rFonts w:cs="Times New Roman"/>
                <w:szCs w:val="24"/>
              </w:rPr>
            </w:pPr>
            <w:r w:rsidRPr="00267512">
              <w:rPr>
                <w:rFonts w:cs="Times New Roman"/>
                <w:szCs w:val="24"/>
              </w:rPr>
              <w:t>90%</w:t>
            </w:r>
          </w:p>
        </w:tc>
      </w:tr>
      <w:tr w:rsidR="00C6030B" w:rsidRPr="00267512" w14:paraId="1908A627" w14:textId="77777777" w:rsidTr="00B11AFD">
        <w:tc>
          <w:tcPr>
            <w:tcW w:w="3348" w:type="dxa"/>
            <w:tcBorders>
              <w:bottom w:val="single" w:sz="4" w:space="0" w:color="auto"/>
            </w:tcBorders>
          </w:tcPr>
          <w:p w14:paraId="592A01DB" w14:textId="7A72A211" w:rsidR="00C6030B" w:rsidRPr="00267512" w:rsidRDefault="00F42458" w:rsidP="00267512">
            <w:pPr>
              <w:spacing w:line="360" w:lineRule="auto"/>
              <w:rPr>
                <w:rFonts w:cs="Times New Roman"/>
                <w:b/>
                <w:szCs w:val="24"/>
              </w:rPr>
            </w:pPr>
            <w:r w:rsidRPr="00267512">
              <w:rPr>
                <w:rFonts w:cs="Times New Roman"/>
                <w:b/>
                <w:szCs w:val="24"/>
              </w:rPr>
              <w:t>Total Interviewee</w:t>
            </w:r>
          </w:p>
        </w:tc>
        <w:tc>
          <w:tcPr>
            <w:tcW w:w="2790" w:type="dxa"/>
            <w:tcBorders>
              <w:bottom w:val="single" w:sz="4" w:space="0" w:color="auto"/>
            </w:tcBorders>
          </w:tcPr>
          <w:p w14:paraId="3B960BB2" w14:textId="77777777" w:rsidR="00C6030B" w:rsidRPr="00267512" w:rsidRDefault="00C6030B" w:rsidP="00267512">
            <w:pPr>
              <w:spacing w:line="360" w:lineRule="auto"/>
              <w:rPr>
                <w:rFonts w:cs="Times New Roman"/>
                <w:szCs w:val="24"/>
              </w:rPr>
            </w:pPr>
          </w:p>
        </w:tc>
        <w:tc>
          <w:tcPr>
            <w:tcW w:w="2880" w:type="dxa"/>
            <w:tcBorders>
              <w:bottom w:val="single" w:sz="4" w:space="0" w:color="auto"/>
            </w:tcBorders>
          </w:tcPr>
          <w:p w14:paraId="064B7D0A" w14:textId="77777777" w:rsidR="00C6030B" w:rsidRPr="00267512" w:rsidRDefault="00C6030B" w:rsidP="00267512">
            <w:pPr>
              <w:spacing w:line="360" w:lineRule="auto"/>
              <w:rPr>
                <w:rFonts w:cs="Times New Roman"/>
                <w:szCs w:val="24"/>
              </w:rPr>
            </w:pPr>
          </w:p>
        </w:tc>
      </w:tr>
    </w:tbl>
    <w:p w14:paraId="0E7E40E7" w14:textId="77777777" w:rsidR="00BB044F" w:rsidRPr="00267512" w:rsidRDefault="00BB044F" w:rsidP="00267512">
      <w:pPr>
        <w:spacing w:line="360" w:lineRule="auto"/>
        <w:rPr>
          <w:rFonts w:cs="Times New Roman"/>
          <w:b/>
          <w:szCs w:val="24"/>
        </w:rPr>
      </w:pPr>
    </w:p>
    <w:p w14:paraId="331FBCF2" w14:textId="4B33EDE1" w:rsidR="00B11AFD" w:rsidRPr="00267512" w:rsidRDefault="00B11AFD" w:rsidP="00267512">
      <w:pPr>
        <w:spacing w:line="360" w:lineRule="auto"/>
        <w:rPr>
          <w:szCs w:val="24"/>
        </w:rPr>
      </w:pPr>
      <w:r w:rsidRPr="00267512">
        <w:rPr>
          <w:szCs w:val="24"/>
        </w:rPr>
        <w:t xml:space="preserve">The respondents that completed the questionnaires returned them in full, and those who did not complete it returned them incompletely out of 78 questionnaires distributed to young women in the age group of 18-24 years in Bungoma County. This amounts to </w:t>
      </w:r>
      <w:proofErr w:type="gramStart"/>
      <w:r w:rsidRPr="00267512">
        <w:rPr>
          <w:szCs w:val="24"/>
        </w:rPr>
        <w:t>a</w:t>
      </w:r>
      <w:proofErr w:type="gramEnd"/>
      <w:r w:rsidRPr="00267512">
        <w:rPr>
          <w:szCs w:val="24"/>
        </w:rPr>
        <w:t xml:space="preserve"> 82 percent completion rate and 18 percent incompletion rate. The obtained response rate is deemed sufficient to conduct statistical analysis and interpretation because it is higher than 70 percent that is usually recommended by social science research (Mugenda &amp; Mugenda, 2013). The response rate of 82 percent boosts the validity and representativeness of the results and eliminates the probability of non-response bias. The 18 percent incomplete responses, however, indicate the possibility that a small proportion of the respondents might have faced the difficulty of the topic being sensitive or lacked time or were not comfortable in revealing all the details about their experiences regarding abortions. Nevertheless, the large response rate proves that the research was able to represent different viewpoints among the target population, which enhanced the validity of further analysis and discussions related to the topic.</w:t>
      </w:r>
    </w:p>
    <w:p w14:paraId="58B7F433" w14:textId="329E8346" w:rsidR="00F42458" w:rsidRPr="00267512" w:rsidRDefault="00F42458" w:rsidP="00267512">
      <w:pPr>
        <w:spacing w:line="360" w:lineRule="auto"/>
        <w:rPr>
          <w:szCs w:val="24"/>
        </w:rPr>
      </w:pPr>
      <w:r w:rsidRPr="00267512">
        <w:rPr>
          <w:szCs w:val="24"/>
        </w:rPr>
        <w:t>In the case of the interview schedule, the involvement was also good with 80% nurses out of the targeted population and 90% gynecologists also interviewed successfully. Such a high rate of involvement among medical practitioners indicates that they found the research to be related to their practice and were ready to give feedback. Triangulation of the data was achieved through the combined responses of women, nurses, and gynecologists and, therefore, this increased the validity and depth of the research results.</w:t>
      </w:r>
    </w:p>
    <w:p w14:paraId="290839D8" w14:textId="163E834E" w:rsidR="00CB5A8E" w:rsidRPr="00267512" w:rsidRDefault="00BB044F" w:rsidP="00267512">
      <w:pPr>
        <w:pStyle w:val="Heading2"/>
        <w:spacing w:line="360" w:lineRule="auto"/>
        <w:rPr>
          <w:rFonts w:eastAsia="Times New Roman"/>
        </w:rPr>
      </w:pPr>
      <w:bookmarkStart w:id="5" w:name="_Toc208234121"/>
      <w:r w:rsidRPr="00267512">
        <w:rPr>
          <w:rFonts w:eastAsia="Times New Roman"/>
        </w:rPr>
        <w:t>6</w:t>
      </w:r>
      <w:r w:rsidR="00CB5A8E" w:rsidRPr="00267512">
        <w:t xml:space="preserve">.1 </w:t>
      </w:r>
      <w:r w:rsidR="00CB5A8E" w:rsidRPr="00267512">
        <w:rPr>
          <w:rFonts w:eastAsia="Times New Roman"/>
        </w:rPr>
        <w:t>Knowledge of Abortion Laws and Policies</w:t>
      </w:r>
      <w:bookmarkEnd w:id="5"/>
    </w:p>
    <w:p w14:paraId="55B0339B" w14:textId="4A1F238E" w:rsidR="00CB5A8E" w:rsidRPr="00267512" w:rsidRDefault="00CB5A8E" w:rsidP="00267512">
      <w:pPr>
        <w:spacing w:line="360" w:lineRule="auto"/>
        <w:rPr>
          <w:szCs w:val="24"/>
        </w:rPr>
      </w:pPr>
      <w:r w:rsidRPr="00267512">
        <w:rPr>
          <w:szCs w:val="24"/>
        </w:rPr>
        <w:t>This subsection gives the results of the respondents on their awareness and understanding of abortion laws and policies in Bungoma County. The findings emphasize the levels of awareness of young women and health workers in relation to the legal framework that governs abortion. The analysis offers insights on the role played by knowledge gaps in creating unsafe practices and also in shaping reproductive health choices.</w:t>
      </w:r>
    </w:p>
    <w:p w14:paraId="68C06201" w14:textId="6C72BFE6" w:rsidR="00CB5A8E" w:rsidRPr="00267512" w:rsidRDefault="00267512" w:rsidP="00267512">
      <w:pPr>
        <w:pStyle w:val="Heading2"/>
        <w:spacing w:line="360" w:lineRule="auto"/>
        <w:rPr>
          <w:rFonts w:eastAsia="Times New Roman"/>
        </w:rPr>
      </w:pPr>
      <w:r w:rsidRPr="00267512">
        <w:rPr>
          <w:rFonts w:eastAsia="Times New Roman"/>
        </w:rPr>
        <w:t>Table 2</w:t>
      </w:r>
      <w:r w:rsidR="00BA1DF4" w:rsidRPr="00267512">
        <w:rPr>
          <w:rFonts w:eastAsia="Times New Roman"/>
        </w:rPr>
        <w:t xml:space="preserve"> </w:t>
      </w:r>
      <w:r w:rsidR="00CB5A8E" w:rsidRPr="00267512">
        <w:rPr>
          <w:rFonts w:eastAsia="Times New Roman"/>
        </w:rPr>
        <w:t>Analysis o</w:t>
      </w:r>
      <w:r w:rsidR="00BA1DF4" w:rsidRPr="00267512">
        <w:rPr>
          <w:rFonts w:eastAsia="Times New Roman"/>
        </w:rPr>
        <w:t>n</w:t>
      </w:r>
      <w:r w:rsidR="00CB5A8E" w:rsidRPr="00267512">
        <w:rPr>
          <w:rFonts w:eastAsia="Times New Roman"/>
        </w:rPr>
        <w:t xml:space="preserve"> Knowledge of Abortion Laws and Policies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040"/>
        <w:gridCol w:w="647"/>
        <w:gridCol w:w="763"/>
      </w:tblGrid>
      <w:tr w:rsidR="00CB5A8E" w:rsidRPr="00267512" w14:paraId="37BB54EC" w14:textId="77777777" w:rsidTr="00CB5A8E">
        <w:trPr>
          <w:tblHeader/>
          <w:tblCellSpacing w:w="15" w:type="dxa"/>
        </w:trPr>
        <w:tc>
          <w:tcPr>
            <w:tcW w:w="0" w:type="auto"/>
            <w:tcBorders>
              <w:top w:val="single" w:sz="4" w:space="0" w:color="auto"/>
            </w:tcBorders>
            <w:vAlign w:val="center"/>
            <w:hideMark/>
          </w:tcPr>
          <w:p w14:paraId="377CA272" w14:textId="77777777" w:rsidR="00CB5A8E" w:rsidRPr="00267512" w:rsidRDefault="00CB5A8E" w:rsidP="00267512">
            <w:pPr>
              <w:spacing w:after="0" w:line="360" w:lineRule="auto"/>
              <w:rPr>
                <w:rFonts w:eastAsia="Times New Roman" w:cs="Times New Roman"/>
                <w:b/>
                <w:bCs/>
                <w:szCs w:val="24"/>
              </w:rPr>
            </w:pPr>
            <w:r w:rsidRPr="00267512">
              <w:rPr>
                <w:rFonts w:eastAsia="Times New Roman" w:cs="Times New Roman"/>
                <w:b/>
                <w:bCs/>
                <w:szCs w:val="24"/>
              </w:rPr>
              <w:lastRenderedPageBreak/>
              <w:t>Statement</w:t>
            </w:r>
          </w:p>
        </w:tc>
        <w:tc>
          <w:tcPr>
            <w:tcW w:w="0" w:type="auto"/>
            <w:tcBorders>
              <w:top w:val="single" w:sz="4" w:space="0" w:color="auto"/>
            </w:tcBorders>
            <w:vAlign w:val="center"/>
            <w:hideMark/>
          </w:tcPr>
          <w:p w14:paraId="4370C056" w14:textId="77777777" w:rsidR="00CB5A8E" w:rsidRPr="00267512" w:rsidRDefault="00CB5A8E" w:rsidP="00267512">
            <w:pPr>
              <w:spacing w:after="0" w:line="360" w:lineRule="auto"/>
              <w:rPr>
                <w:rFonts w:eastAsia="Times New Roman" w:cs="Times New Roman"/>
                <w:b/>
                <w:bCs/>
                <w:szCs w:val="24"/>
              </w:rPr>
            </w:pPr>
            <w:r w:rsidRPr="00267512">
              <w:rPr>
                <w:rFonts w:eastAsia="Times New Roman" w:cs="Times New Roman"/>
                <w:b/>
                <w:bCs/>
                <w:szCs w:val="24"/>
              </w:rPr>
              <w:t>Mean</w:t>
            </w:r>
          </w:p>
        </w:tc>
        <w:tc>
          <w:tcPr>
            <w:tcW w:w="0" w:type="auto"/>
            <w:tcBorders>
              <w:top w:val="single" w:sz="4" w:space="0" w:color="auto"/>
            </w:tcBorders>
            <w:vAlign w:val="center"/>
            <w:hideMark/>
          </w:tcPr>
          <w:p w14:paraId="578F83AC" w14:textId="77777777" w:rsidR="00CB5A8E" w:rsidRPr="00267512" w:rsidRDefault="00CB5A8E" w:rsidP="00267512">
            <w:pPr>
              <w:spacing w:after="0" w:line="360" w:lineRule="auto"/>
              <w:rPr>
                <w:rFonts w:eastAsia="Times New Roman" w:cs="Times New Roman"/>
                <w:b/>
                <w:bCs/>
                <w:szCs w:val="24"/>
              </w:rPr>
            </w:pPr>
            <w:r w:rsidRPr="00267512">
              <w:rPr>
                <w:rFonts w:eastAsia="Times New Roman" w:cs="Times New Roman"/>
                <w:b/>
                <w:bCs/>
                <w:szCs w:val="24"/>
              </w:rPr>
              <w:t>Std. Dev</w:t>
            </w:r>
          </w:p>
        </w:tc>
      </w:tr>
      <w:tr w:rsidR="00CB5A8E" w:rsidRPr="00267512" w14:paraId="097B2D37" w14:textId="77777777" w:rsidTr="00CB5A8E">
        <w:trPr>
          <w:tblCellSpacing w:w="15" w:type="dxa"/>
        </w:trPr>
        <w:tc>
          <w:tcPr>
            <w:tcW w:w="0" w:type="auto"/>
            <w:tcBorders>
              <w:top w:val="single" w:sz="4" w:space="0" w:color="auto"/>
            </w:tcBorders>
            <w:vAlign w:val="center"/>
            <w:hideMark/>
          </w:tcPr>
          <w:p w14:paraId="28B5A9BE" w14:textId="77777777" w:rsidR="00CB5A8E" w:rsidRPr="00267512" w:rsidRDefault="00CB5A8E" w:rsidP="00267512">
            <w:pPr>
              <w:spacing w:after="0" w:line="360" w:lineRule="auto"/>
              <w:rPr>
                <w:rFonts w:eastAsia="Times New Roman" w:cs="Times New Roman"/>
                <w:szCs w:val="24"/>
              </w:rPr>
            </w:pPr>
            <w:r w:rsidRPr="00267512">
              <w:rPr>
                <w:rFonts w:eastAsia="Times New Roman" w:cs="Times New Roman"/>
                <w:szCs w:val="24"/>
              </w:rPr>
              <w:t>Women in Bungoma County are well informed about national laws governing abortion and their application in real-life situations</w:t>
            </w:r>
          </w:p>
        </w:tc>
        <w:tc>
          <w:tcPr>
            <w:tcW w:w="0" w:type="auto"/>
            <w:tcBorders>
              <w:top w:val="single" w:sz="4" w:space="0" w:color="auto"/>
            </w:tcBorders>
            <w:vAlign w:val="center"/>
            <w:hideMark/>
          </w:tcPr>
          <w:p w14:paraId="5C3DA6DA" w14:textId="77777777" w:rsidR="00CB5A8E" w:rsidRPr="00267512" w:rsidRDefault="00CB5A8E" w:rsidP="00267512">
            <w:pPr>
              <w:spacing w:after="0" w:line="360" w:lineRule="auto"/>
              <w:rPr>
                <w:rFonts w:eastAsia="Times New Roman" w:cs="Times New Roman"/>
                <w:szCs w:val="24"/>
              </w:rPr>
            </w:pPr>
            <w:r w:rsidRPr="00267512">
              <w:rPr>
                <w:rFonts w:eastAsia="Times New Roman" w:cs="Times New Roman"/>
                <w:szCs w:val="24"/>
              </w:rPr>
              <w:t>2.312</w:t>
            </w:r>
          </w:p>
        </w:tc>
        <w:tc>
          <w:tcPr>
            <w:tcW w:w="0" w:type="auto"/>
            <w:tcBorders>
              <w:top w:val="single" w:sz="4" w:space="0" w:color="auto"/>
            </w:tcBorders>
            <w:vAlign w:val="center"/>
            <w:hideMark/>
          </w:tcPr>
          <w:p w14:paraId="4436E850" w14:textId="77777777" w:rsidR="00CB5A8E" w:rsidRPr="00267512" w:rsidRDefault="00CB5A8E" w:rsidP="00267512">
            <w:pPr>
              <w:spacing w:after="0" w:line="360" w:lineRule="auto"/>
              <w:rPr>
                <w:rFonts w:eastAsia="Times New Roman" w:cs="Times New Roman"/>
                <w:szCs w:val="24"/>
              </w:rPr>
            </w:pPr>
            <w:r w:rsidRPr="00267512">
              <w:rPr>
                <w:rFonts w:eastAsia="Times New Roman" w:cs="Times New Roman"/>
                <w:szCs w:val="24"/>
              </w:rPr>
              <w:t>.721</w:t>
            </w:r>
          </w:p>
        </w:tc>
      </w:tr>
      <w:tr w:rsidR="00CB5A8E" w:rsidRPr="00267512" w14:paraId="51A829C4" w14:textId="77777777" w:rsidTr="00CB5A8E">
        <w:trPr>
          <w:tblCellSpacing w:w="15" w:type="dxa"/>
        </w:trPr>
        <w:tc>
          <w:tcPr>
            <w:tcW w:w="0" w:type="auto"/>
            <w:vAlign w:val="center"/>
            <w:hideMark/>
          </w:tcPr>
          <w:p w14:paraId="55825CE3" w14:textId="77777777" w:rsidR="00CB5A8E" w:rsidRPr="00267512" w:rsidRDefault="00CB5A8E" w:rsidP="00267512">
            <w:pPr>
              <w:spacing w:after="0" w:line="360" w:lineRule="auto"/>
              <w:rPr>
                <w:rFonts w:eastAsia="Times New Roman" w:cs="Times New Roman"/>
                <w:szCs w:val="24"/>
              </w:rPr>
            </w:pPr>
            <w:r w:rsidRPr="00267512">
              <w:rPr>
                <w:rFonts w:eastAsia="Times New Roman" w:cs="Times New Roman"/>
                <w:szCs w:val="24"/>
              </w:rPr>
              <w:t>Most young women can correctly identify the conditions under which abortion is legally allowed in Kenya</w:t>
            </w:r>
          </w:p>
        </w:tc>
        <w:tc>
          <w:tcPr>
            <w:tcW w:w="0" w:type="auto"/>
            <w:vAlign w:val="center"/>
            <w:hideMark/>
          </w:tcPr>
          <w:p w14:paraId="05325C5E" w14:textId="77777777" w:rsidR="00CB5A8E" w:rsidRPr="00267512" w:rsidRDefault="00CB5A8E" w:rsidP="00267512">
            <w:pPr>
              <w:spacing w:after="0" w:line="360" w:lineRule="auto"/>
              <w:rPr>
                <w:rFonts w:eastAsia="Times New Roman" w:cs="Times New Roman"/>
                <w:szCs w:val="24"/>
              </w:rPr>
            </w:pPr>
            <w:r w:rsidRPr="00267512">
              <w:rPr>
                <w:rFonts w:eastAsia="Times New Roman" w:cs="Times New Roman"/>
                <w:szCs w:val="24"/>
              </w:rPr>
              <w:t>2.485</w:t>
            </w:r>
          </w:p>
        </w:tc>
        <w:tc>
          <w:tcPr>
            <w:tcW w:w="0" w:type="auto"/>
            <w:vAlign w:val="center"/>
            <w:hideMark/>
          </w:tcPr>
          <w:p w14:paraId="780E24D6" w14:textId="77777777" w:rsidR="00CB5A8E" w:rsidRPr="00267512" w:rsidRDefault="00CB5A8E" w:rsidP="00267512">
            <w:pPr>
              <w:spacing w:after="0" w:line="360" w:lineRule="auto"/>
              <w:rPr>
                <w:rFonts w:eastAsia="Times New Roman" w:cs="Times New Roman"/>
                <w:szCs w:val="24"/>
              </w:rPr>
            </w:pPr>
            <w:r w:rsidRPr="00267512">
              <w:rPr>
                <w:rFonts w:eastAsia="Times New Roman" w:cs="Times New Roman"/>
                <w:szCs w:val="24"/>
              </w:rPr>
              <w:t>.684</w:t>
            </w:r>
          </w:p>
        </w:tc>
      </w:tr>
      <w:tr w:rsidR="00CB5A8E" w:rsidRPr="00267512" w14:paraId="2B2A8F17" w14:textId="77777777" w:rsidTr="00CB5A8E">
        <w:trPr>
          <w:tblCellSpacing w:w="15" w:type="dxa"/>
        </w:trPr>
        <w:tc>
          <w:tcPr>
            <w:tcW w:w="0" w:type="auto"/>
            <w:vAlign w:val="center"/>
            <w:hideMark/>
          </w:tcPr>
          <w:p w14:paraId="3B571FFE" w14:textId="77777777" w:rsidR="00CB5A8E" w:rsidRPr="00267512" w:rsidRDefault="00CB5A8E" w:rsidP="00267512">
            <w:pPr>
              <w:spacing w:after="0" w:line="360" w:lineRule="auto"/>
              <w:rPr>
                <w:rFonts w:eastAsia="Times New Roman" w:cs="Times New Roman"/>
                <w:szCs w:val="24"/>
              </w:rPr>
            </w:pPr>
            <w:r w:rsidRPr="00267512">
              <w:rPr>
                <w:rFonts w:eastAsia="Times New Roman" w:cs="Times New Roman"/>
                <w:szCs w:val="24"/>
              </w:rPr>
              <w:t>Healthcare providers in Bungoma County have adequate awareness of abortion laws and communicate them clearly to patients</w:t>
            </w:r>
          </w:p>
        </w:tc>
        <w:tc>
          <w:tcPr>
            <w:tcW w:w="0" w:type="auto"/>
            <w:vAlign w:val="center"/>
            <w:hideMark/>
          </w:tcPr>
          <w:p w14:paraId="18731A4F" w14:textId="77777777" w:rsidR="00CB5A8E" w:rsidRPr="00267512" w:rsidRDefault="00CB5A8E" w:rsidP="00267512">
            <w:pPr>
              <w:spacing w:after="0" w:line="360" w:lineRule="auto"/>
              <w:rPr>
                <w:rFonts w:eastAsia="Times New Roman" w:cs="Times New Roman"/>
                <w:szCs w:val="24"/>
              </w:rPr>
            </w:pPr>
            <w:r w:rsidRPr="00267512">
              <w:rPr>
                <w:rFonts w:eastAsia="Times New Roman" w:cs="Times New Roman"/>
                <w:szCs w:val="24"/>
              </w:rPr>
              <w:t>2.624</w:t>
            </w:r>
          </w:p>
        </w:tc>
        <w:tc>
          <w:tcPr>
            <w:tcW w:w="0" w:type="auto"/>
            <w:vAlign w:val="center"/>
            <w:hideMark/>
          </w:tcPr>
          <w:p w14:paraId="12C503AC" w14:textId="77777777" w:rsidR="00CB5A8E" w:rsidRPr="00267512" w:rsidRDefault="00CB5A8E" w:rsidP="00267512">
            <w:pPr>
              <w:spacing w:after="0" w:line="360" w:lineRule="auto"/>
              <w:rPr>
                <w:rFonts w:eastAsia="Times New Roman" w:cs="Times New Roman"/>
                <w:szCs w:val="24"/>
              </w:rPr>
            </w:pPr>
            <w:r w:rsidRPr="00267512">
              <w:rPr>
                <w:rFonts w:eastAsia="Times New Roman" w:cs="Times New Roman"/>
                <w:szCs w:val="24"/>
              </w:rPr>
              <w:t>.703</w:t>
            </w:r>
          </w:p>
        </w:tc>
      </w:tr>
      <w:tr w:rsidR="00CB5A8E" w:rsidRPr="00267512" w14:paraId="02729950" w14:textId="77777777" w:rsidTr="00CB5A8E">
        <w:trPr>
          <w:tblCellSpacing w:w="15" w:type="dxa"/>
        </w:trPr>
        <w:tc>
          <w:tcPr>
            <w:tcW w:w="0" w:type="auto"/>
            <w:vAlign w:val="center"/>
            <w:hideMark/>
          </w:tcPr>
          <w:p w14:paraId="1AC02246" w14:textId="77777777" w:rsidR="00CB5A8E" w:rsidRPr="00267512" w:rsidRDefault="00CB5A8E" w:rsidP="00267512">
            <w:pPr>
              <w:spacing w:after="0" w:line="360" w:lineRule="auto"/>
              <w:rPr>
                <w:rFonts w:eastAsia="Times New Roman" w:cs="Times New Roman"/>
                <w:szCs w:val="24"/>
              </w:rPr>
            </w:pPr>
            <w:r w:rsidRPr="00267512">
              <w:rPr>
                <w:rFonts w:eastAsia="Times New Roman" w:cs="Times New Roman"/>
                <w:szCs w:val="24"/>
              </w:rPr>
              <w:t>Lack of accurate knowledge about abortion laws contributes to unsafe decisions and harmful practices among young women</w:t>
            </w:r>
          </w:p>
        </w:tc>
        <w:tc>
          <w:tcPr>
            <w:tcW w:w="0" w:type="auto"/>
            <w:vAlign w:val="center"/>
            <w:hideMark/>
          </w:tcPr>
          <w:p w14:paraId="57EFA4C1" w14:textId="77777777" w:rsidR="00CB5A8E" w:rsidRPr="00267512" w:rsidRDefault="00CB5A8E" w:rsidP="00267512">
            <w:pPr>
              <w:spacing w:after="0" w:line="360" w:lineRule="auto"/>
              <w:rPr>
                <w:rFonts w:eastAsia="Times New Roman" w:cs="Times New Roman"/>
                <w:szCs w:val="24"/>
              </w:rPr>
            </w:pPr>
            <w:r w:rsidRPr="00267512">
              <w:rPr>
                <w:rFonts w:eastAsia="Times New Roman" w:cs="Times New Roman"/>
                <w:szCs w:val="24"/>
              </w:rPr>
              <w:t>2.552</w:t>
            </w:r>
          </w:p>
        </w:tc>
        <w:tc>
          <w:tcPr>
            <w:tcW w:w="0" w:type="auto"/>
            <w:vAlign w:val="center"/>
            <w:hideMark/>
          </w:tcPr>
          <w:p w14:paraId="1F906B57" w14:textId="77777777" w:rsidR="00CB5A8E" w:rsidRPr="00267512" w:rsidRDefault="00CB5A8E" w:rsidP="00267512">
            <w:pPr>
              <w:spacing w:after="0" w:line="360" w:lineRule="auto"/>
              <w:rPr>
                <w:rFonts w:eastAsia="Times New Roman" w:cs="Times New Roman"/>
                <w:szCs w:val="24"/>
              </w:rPr>
            </w:pPr>
            <w:r w:rsidRPr="00267512">
              <w:rPr>
                <w:rFonts w:eastAsia="Times New Roman" w:cs="Times New Roman"/>
                <w:szCs w:val="24"/>
              </w:rPr>
              <w:t>.662</w:t>
            </w:r>
          </w:p>
        </w:tc>
      </w:tr>
      <w:tr w:rsidR="00CB5A8E" w:rsidRPr="00267512" w14:paraId="50054D04" w14:textId="77777777" w:rsidTr="00CB5A8E">
        <w:trPr>
          <w:tblCellSpacing w:w="15" w:type="dxa"/>
        </w:trPr>
        <w:tc>
          <w:tcPr>
            <w:tcW w:w="0" w:type="auto"/>
            <w:vAlign w:val="center"/>
            <w:hideMark/>
          </w:tcPr>
          <w:p w14:paraId="01704817" w14:textId="77777777" w:rsidR="00CB5A8E" w:rsidRPr="00267512" w:rsidRDefault="00CB5A8E" w:rsidP="00267512">
            <w:pPr>
              <w:spacing w:after="0" w:line="360" w:lineRule="auto"/>
              <w:rPr>
                <w:rFonts w:eastAsia="Times New Roman" w:cs="Times New Roman"/>
                <w:szCs w:val="24"/>
              </w:rPr>
            </w:pPr>
            <w:r w:rsidRPr="00267512">
              <w:rPr>
                <w:rFonts w:eastAsia="Times New Roman" w:cs="Times New Roman"/>
                <w:szCs w:val="24"/>
              </w:rPr>
              <w:t>Community sensitization programs have effectively increased knowledge about reproductive health policies among adolescents</w:t>
            </w:r>
          </w:p>
        </w:tc>
        <w:tc>
          <w:tcPr>
            <w:tcW w:w="0" w:type="auto"/>
            <w:vAlign w:val="center"/>
            <w:hideMark/>
          </w:tcPr>
          <w:p w14:paraId="4B8A4C69" w14:textId="77777777" w:rsidR="00CB5A8E" w:rsidRPr="00267512" w:rsidRDefault="00CB5A8E" w:rsidP="00267512">
            <w:pPr>
              <w:spacing w:after="0" w:line="360" w:lineRule="auto"/>
              <w:rPr>
                <w:rFonts w:eastAsia="Times New Roman" w:cs="Times New Roman"/>
                <w:szCs w:val="24"/>
              </w:rPr>
            </w:pPr>
            <w:r w:rsidRPr="00267512">
              <w:rPr>
                <w:rFonts w:eastAsia="Times New Roman" w:cs="Times New Roman"/>
                <w:szCs w:val="24"/>
              </w:rPr>
              <w:t>2.367</w:t>
            </w:r>
          </w:p>
        </w:tc>
        <w:tc>
          <w:tcPr>
            <w:tcW w:w="0" w:type="auto"/>
            <w:vAlign w:val="center"/>
            <w:hideMark/>
          </w:tcPr>
          <w:p w14:paraId="13A22F82" w14:textId="77777777" w:rsidR="00CB5A8E" w:rsidRPr="00267512" w:rsidRDefault="00CB5A8E" w:rsidP="00267512">
            <w:pPr>
              <w:spacing w:after="0" w:line="360" w:lineRule="auto"/>
              <w:rPr>
                <w:rFonts w:eastAsia="Times New Roman" w:cs="Times New Roman"/>
                <w:szCs w:val="24"/>
              </w:rPr>
            </w:pPr>
            <w:r w:rsidRPr="00267512">
              <w:rPr>
                <w:rFonts w:eastAsia="Times New Roman" w:cs="Times New Roman"/>
                <w:szCs w:val="24"/>
              </w:rPr>
              <w:t>.694</w:t>
            </w:r>
          </w:p>
        </w:tc>
      </w:tr>
      <w:tr w:rsidR="00CB5A8E" w:rsidRPr="00267512" w14:paraId="6B6D675E" w14:textId="77777777" w:rsidTr="00CB5A8E">
        <w:trPr>
          <w:tblCellSpacing w:w="15" w:type="dxa"/>
        </w:trPr>
        <w:tc>
          <w:tcPr>
            <w:tcW w:w="0" w:type="auto"/>
            <w:vAlign w:val="center"/>
            <w:hideMark/>
          </w:tcPr>
          <w:p w14:paraId="76687488" w14:textId="77777777" w:rsidR="00CB5A8E" w:rsidRPr="00267512" w:rsidRDefault="00CB5A8E" w:rsidP="00267512">
            <w:pPr>
              <w:spacing w:after="0" w:line="360" w:lineRule="auto"/>
              <w:rPr>
                <w:rFonts w:eastAsia="Times New Roman" w:cs="Times New Roman"/>
                <w:szCs w:val="24"/>
              </w:rPr>
            </w:pPr>
            <w:r w:rsidRPr="00267512">
              <w:rPr>
                <w:rFonts w:eastAsia="Times New Roman" w:cs="Times New Roman"/>
                <w:szCs w:val="24"/>
              </w:rPr>
              <w:t>Access to correct legal information on abortion empowers young women to make informed reproductive health decisions</w:t>
            </w:r>
          </w:p>
        </w:tc>
        <w:tc>
          <w:tcPr>
            <w:tcW w:w="0" w:type="auto"/>
            <w:vAlign w:val="center"/>
            <w:hideMark/>
          </w:tcPr>
          <w:p w14:paraId="204B7CB2" w14:textId="77777777" w:rsidR="00CB5A8E" w:rsidRPr="00267512" w:rsidRDefault="00CB5A8E" w:rsidP="00267512">
            <w:pPr>
              <w:spacing w:after="0" w:line="360" w:lineRule="auto"/>
              <w:rPr>
                <w:rFonts w:eastAsia="Times New Roman" w:cs="Times New Roman"/>
                <w:szCs w:val="24"/>
              </w:rPr>
            </w:pPr>
            <w:r w:rsidRPr="00267512">
              <w:rPr>
                <w:rFonts w:eastAsia="Times New Roman" w:cs="Times New Roman"/>
                <w:szCs w:val="24"/>
              </w:rPr>
              <w:t>2.428</w:t>
            </w:r>
          </w:p>
        </w:tc>
        <w:tc>
          <w:tcPr>
            <w:tcW w:w="0" w:type="auto"/>
            <w:vAlign w:val="center"/>
            <w:hideMark/>
          </w:tcPr>
          <w:p w14:paraId="0AFB72BD" w14:textId="77777777" w:rsidR="00CB5A8E" w:rsidRPr="00267512" w:rsidRDefault="00CB5A8E" w:rsidP="00267512">
            <w:pPr>
              <w:spacing w:after="0" w:line="360" w:lineRule="auto"/>
              <w:rPr>
                <w:rFonts w:eastAsia="Times New Roman" w:cs="Times New Roman"/>
                <w:szCs w:val="24"/>
              </w:rPr>
            </w:pPr>
            <w:r w:rsidRPr="00267512">
              <w:rPr>
                <w:rFonts w:eastAsia="Times New Roman" w:cs="Times New Roman"/>
                <w:szCs w:val="24"/>
              </w:rPr>
              <w:t>.675</w:t>
            </w:r>
          </w:p>
        </w:tc>
      </w:tr>
      <w:tr w:rsidR="00CB5A8E" w:rsidRPr="00267512" w14:paraId="216EEBFE" w14:textId="77777777" w:rsidTr="00CB5A8E">
        <w:trPr>
          <w:tblCellSpacing w:w="15" w:type="dxa"/>
        </w:trPr>
        <w:tc>
          <w:tcPr>
            <w:tcW w:w="0" w:type="auto"/>
            <w:vAlign w:val="center"/>
            <w:hideMark/>
          </w:tcPr>
          <w:p w14:paraId="5F236F84" w14:textId="77777777" w:rsidR="00CB5A8E" w:rsidRPr="00267512" w:rsidRDefault="00CB5A8E" w:rsidP="00267512">
            <w:pPr>
              <w:spacing w:after="0" w:line="360" w:lineRule="auto"/>
              <w:rPr>
                <w:rFonts w:eastAsia="Times New Roman" w:cs="Times New Roman"/>
                <w:szCs w:val="24"/>
              </w:rPr>
            </w:pPr>
            <w:r w:rsidRPr="00267512">
              <w:rPr>
                <w:rFonts w:eastAsia="Times New Roman" w:cs="Times New Roman"/>
                <w:b/>
                <w:bCs/>
                <w:szCs w:val="24"/>
              </w:rPr>
              <w:t>Aggregate Score</w:t>
            </w:r>
          </w:p>
        </w:tc>
        <w:tc>
          <w:tcPr>
            <w:tcW w:w="0" w:type="auto"/>
            <w:vAlign w:val="center"/>
            <w:hideMark/>
          </w:tcPr>
          <w:p w14:paraId="6D7A0A38" w14:textId="77777777" w:rsidR="00CB5A8E" w:rsidRPr="00267512" w:rsidRDefault="00CB5A8E" w:rsidP="00267512">
            <w:pPr>
              <w:spacing w:after="0" w:line="360" w:lineRule="auto"/>
              <w:rPr>
                <w:rFonts w:eastAsia="Times New Roman" w:cs="Times New Roman"/>
                <w:szCs w:val="24"/>
              </w:rPr>
            </w:pPr>
            <w:r w:rsidRPr="00267512">
              <w:rPr>
                <w:rFonts w:eastAsia="Times New Roman" w:cs="Times New Roman"/>
                <w:b/>
                <w:bCs/>
                <w:szCs w:val="24"/>
              </w:rPr>
              <w:t>2.461</w:t>
            </w:r>
          </w:p>
        </w:tc>
        <w:tc>
          <w:tcPr>
            <w:tcW w:w="0" w:type="auto"/>
            <w:vAlign w:val="center"/>
            <w:hideMark/>
          </w:tcPr>
          <w:p w14:paraId="7DE6FC6D" w14:textId="77777777" w:rsidR="00CB5A8E" w:rsidRPr="00267512" w:rsidRDefault="00CB5A8E" w:rsidP="00267512">
            <w:pPr>
              <w:spacing w:after="0" w:line="360" w:lineRule="auto"/>
              <w:rPr>
                <w:rFonts w:eastAsia="Times New Roman" w:cs="Times New Roman"/>
                <w:szCs w:val="24"/>
              </w:rPr>
            </w:pPr>
            <w:r w:rsidRPr="00267512">
              <w:rPr>
                <w:rFonts w:eastAsia="Times New Roman" w:cs="Times New Roman"/>
                <w:b/>
                <w:bCs/>
                <w:szCs w:val="24"/>
              </w:rPr>
              <w:t>.690</w:t>
            </w:r>
          </w:p>
        </w:tc>
      </w:tr>
      <w:tr w:rsidR="00CB5A8E" w:rsidRPr="00267512" w14:paraId="6992DC72" w14:textId="77777777" w:rsidTr="00CB5A8E">
        <w:trPr>
          <w:tblCellSpacing w:w="15" w:type="dxa"/>
        </w:trPr>
        <w:tc>
          <w:tcPr>
            <w:tcW w:w="0" w:type="auto"/>
            <w:tcBorders>
              <w:top w:val="single" w:sz="4" w:space="0" w:color="auto"/>
            </w:tcBorders>
            <w:vAlign w:val="center"/>
            <w:hideMark/>
          </w:tcPr>
          <w:p w14:paraId="376035A2" w14:textId="77777777" w:rsidR="0081596D" w:rsidRPr="00267512" w:rsidRDefault="0081596D" w:rsidP="00267512">
            <w:pPr>
              <w:spacing w:after="0" w:line="360" w:lineRule="auto"/>
              <w:rPr>
                <w:rFonts w:eastAsia="Times New Roman" w:cs="Times New Roman"/>
                <w:szCs w:val="24"/>
              </w:rPr>
            </w:pPr>
          </w:p>
        </w:tc>
        <w:tc>
          <w:tcPr>
            <w:tcW w:w="0" w:type="auto"/>
            <w:tcBorders>
              <w:top w:val="single" w:sz="4" w:space="0" w:color="auto"/>
            </w:tcBorders>
            <w:vAlign w:val="center"/>
            <w:hideMark/>
          </w:tcPr>
          <w:p w14:paraId="00F650D6" w14:textId="77777777" w:rsidR="00CB5A8E" w:rsidRPr="00267512" w:rsidRDefault="00CB5A8E" w:rsidP="00267512">
            <w:pPr>
              <w:spacing w:after="0" w:line="360" w:lineRule="auto"/>
              <w:rPr>
                <w:rFonts w:eastAsia="Times New Roman" w:cs="Times New Roman"/>
                <w:szCs w:val="24"/>
              </w:rPr>
            </w:pPr>
          </w:p>
        </w:tc>
        <w:tc>
          <w:tcPr>
            <w:tcW w:w="0" w:type="auto"/>
            <w:tcBorders>
              <w:top w:val="single" w:sz="4" w:space="0" w:color="auto"/>
            </w:tcBorders>
            <w:vAlign w:val="center"/>
            <w:hideMark/>
          </w:tcPr>
          <w:p w14:paraId="0487D213" w14:textId="77777777" w:rsidR="00CB5A8E" w:rsidRPr="00267512" w:rsidRDefault="00CB5A8E" w:rsidP="00267512">
            <w:pPr>
              <w:spacing w:after="0" w:line="360" w:lineRule="auto"/>
              <w:rPr>
                <w:rFonts w:eastAsia="Times New Roman" w:cs="Times New Roman"/>
                <w:szCs w:val="24"/>
              </w:rPr>
            </w:pPr>
          </w:p>
        </w:tc>
      </w:tr>
    </w:tbl>
    <w:p w14:paraId="5C7F1908" w14:textId="476EBC8E" w:rsidR="0081596D" w:rsidRPr="00267512" w:rsidRDefault="00BA1DF4" w:rsidP="00267512">
      <w:pPr>
        <w:spacing w:after="0" w:line="360" w:lineRule="auto"/>
        <w:rPr>
          <w:rFonts w:eastAsia="Times New Roman" w:cs="Times New Roman"/>
          <w:szCs w:val="24"/>
        </w:rPr>
      </w:pPr>
      <w:r w:rsidRPr="00267512">
        <w:rPr>
          <w:rFonts w:eastAsia="Times New Roman" w:cs="Times New Roman"/>
          <w:szCs w:val="24"/>
        </w:rPr>
        <w:t xml:space="preserve">The reason why the knowledge of abortion laws and policies is important to analyze is that awareness has a direct effect on the rate at which young women make safe and informed reproductive health decisions. The presence of such knowledge gap also offers a reason to enhance legal literacy, enhance the healthcare communication, and offer policy interventions to mitigate unsafe practices. </w:t>
      </w:r>
      <w:r w:rsidR="0081596D" w:rsidRPr="00267512">
        <w:rPr>
          <w:rFonts w:eastAsia="Times New Roman" w:cs="Times New Roman"/>
          <w:szCs w:val="24"/>
        </w:rPr>
        <w:t xml:space="preserve">The initial descriptive question was whether women in Bungoma County are well informed on laws within the country on abortion and how they apply them in actual life contexts. The findings showed that there was a low mean score of 2.312 (SD =.721) which shows general disagreement. This implies that a majority of the young women between the </w:t>
      </w:r>
      <w:proofErr w:type="gramStart"/>
      <w:r w:rsidR="0081596D" w:rsidRPr="00267512">
        <w:rPr>
          <w:rFonts w:eastAsia="Times New Roman" w:cs="Times New Roman"/>
          <w:szCs w:val="24"/>
        </w:rPr>
        <w:t>age</w:t>
      </w:r>
      <w:proofErr w:type="gramEnd"/>
      <w:r w:rsidR="0081596D" w:rsidRPr="00267512">
        <w:rPr>
          <w:rFonts w:eastAsia="Times New Roman" w:cs="Times New Roman"/>
          <w:szCs w:val="24"/>
        </w:rPr>
        <w:t xml:space="preserve"> of 18-24 are unaware of the legal action on abortion in Kenya. Similar issues were highlighted by the interviewed healthcare providers, and one nurse stated, "Many girls do not see the line between what is legal and what is not. They are afraid to inquire on the issue of abortion in an open manner, thus they turn out to peers rather than specialists”. Such results are consistent with Wahed et al. (2017), who found that the absence of the correct reproductive health information poses obstacles and leads women to unsafe practices.</w:t>
      </w:r>
    </w:p>
    <w:p w14:paraId="12F03C0C" w14:textId="77777777" w:rsidR="0081596D" w:rsidRPr="00267512" w:rsidRDefault="0081596D" w:rsidP="00267512">
      <w:pPr>
        <w:spacing w:after="0" w:line="360" w:lineRule="auto"/>
        <w:rPr>
          <w:rFonts w:eastAsia="Times New Roman" w:cs="Times New Roman"/>
          <w:szCs w:val="24"/>
        </w:rPr>
      </w:pPr>
    </w:p>
    <w:p w14:paraId="253C60AB" w14:textId="0F238B32" w:rsidR="0081596D" w:rsidRPr="00267512" w:rsidRDefault="0081596D" w:rsidP="00267512">
      <w:pPr>
        <w:spacing w:after="0" w:line="360" w:lineRule="auto"/>
        <w:rPr>
          <w:rFonts w:eastAsia="Times New Roman" w:cs="Times New Roman"/>
          <w:szCs w:val="24"/>
        </w:rPr>
      </w:pPr>
      <w:r w:rsidRPr="00267512">
        <w:rPr>
          <w:rFonts w:eastAsia="Times New Roman" w:cs="Times New Roman"/>
          <w:szCs w:val="24"/>
        </w:rPr>
        <w:lastRenderedPageBreak/>
        <w:t xml:space="preserve">The second measure evaluated the ability of the majority of young women to determine whether abortion is legally permitted in Kenya or not. The average of 2.485 (SD =.684) was found, which reflects that respondents mostly disagreed. This means that the knowledge on the constitutional clauses, including those of Article 26(4) of the Constitution of Kenya (2010), among the young women is low. One of the gynecologists interviewed wrote, "Most young women lack the knowledge of the conditions even in instances where abortion is legally justified. They just listen to rumors, and this deceives them”. This is similar to </w:t>
      </w:r>
      <w:proofErr w:type="spellStart"/>
      <w:r w:rsidRPr="00267512">
        <w:rPr>
          <w:rFonts w:eastAsia="Times New Roman" w:cs="Times New Roman"/>
          <w:szCs w:val="24"/>
        </w:rPr>
        <w:t>Denno</w:t>
      </w:r>
      <w:proofErr w:type="spellEnd"/>
      <w:r w:rsidRPr="00267512">
        <w:rPr>
          <w:rFonts w:eastAsia="Times New Roman" w:cs="Times New Roman"/>
          <w:szCs w:val="24"/>
        </w:rPr>
        <w:t xml:space="preserve">, </w:t>
      </w:r>
      <w:proofErr w:type="spellStart"/>
      <w:r w:rsidRPr="00267512">
        <w:rPr>
          <w:rFonts w:eastAsia="Times New Roman" w:cs="Times New Roman"/>
          <w:szCs w:val="24"/>
        </w:rPr>
        <w:t>Plesons</w:t>
      </w:r>
      <w:proofErr w:type="spellEnd"/>
      <w:r w:rsidRPr="00267512">
        <w:rPr>
          <w:rFonts w:eastAsia="Times New Roman" w:cs="Times New Roman"/>
          <w:szCs w:val="24"/>
        </w:rPr>
        <w:t>, and Chandra-</w:t>
      </w:r>
      <w:proofErr w:type="spellStart"/>
      <w:r w:rsidRPr="00267512">
        <w:rPr>
          <w:rFonts w:eastAsia="Times New Roman" w:cs="Times New Roman"/>
          <w:szCs w:val="24"/>
        </w:rPr>
        <w:t>Mouli</w:t>
      </w:r>
      <w:proofErr w:type="spellEnd"/>
      <w:r w:rsidRPr="00267512">
        <w:rPr>
          <w:rFonts w:eastAsia="Times New Roman" w:cs="Times New Roman"/>
          <w:szCs w:val="24"/>
        </w:rPr>
        <w:t xml:space="preserve"> (2021) that identified weak dissemination of reproductive health policies to affect safe choices among adolescents.</w:t>
      </w:r>
    </w:p>
    <w:p w14:paraId="18553E77" w14:textId="77777777" w:rsidR="0081596D" w:rsidRPr="00267512" w:rsidRDefault="0081596D" w:rsidP="00267512">
      <w:pPr>
        <w:spacing w:after="0" w:line="360" w:lineRule="auto"/>
        <w:rPr>
          <w:rFonts w:eastAsia="Times New Roman" w:cs="Times New Roman"/>
          <w:szCs w:val="24"/>
        </w:rPr>
      </w:pPr>
    </w:p>
    <w:p w14:paraId="194A1381" w14:textId="266535A7" w:rsidR="0081596D" w:rsidRPr="00267512" w:rsidRDefault="0081596D" w:rsidP="00267512">
      <w:pPr>
        <w:spacing w:after="0" w:line="360" w:lineRule="auto"/>
        <w:rPr>
          <w:rFonts w:eastAsia="Times New Roman" w:cs="Times New Roman"/>
          <w:szCs w:val="24"/>
        </w:rPr>
      </w:pPr>
      <w:r w:rsidRPr="00267512">
        <w:rPr>
          <w:rFonts w:eastAsia="Times New Roman" w:cs="Times New Roman"/>
          <w:szCs w:val="24"/>
        </w:rPr>
        <w:t>The third characteristic was to investigate whether the medical practitioners in Bungoma County were well informed on abortion laws and share them with patients in a clear manner. The average score was a little bit higher at 2.624 (SD = .703) indicating that even though the providers are more knowledgeable in comparison with the general population, they still have minimal interaction with the patients. Other providers reported challenges in talk about abortion frankly, and one provider said, it is the law we know, but the stigma of the community prevents us fully communicating with young clients. The latter results align with the Street-Level Bureaucracy Theory by Lipsky (1980), in which frontline providers interpret and enact the policies with limited options of acting due to pressure of the society and institutions.</w:t>
      </w:r>
    </w:p>
    <w:p w14:paraId="49DAFF26" w14:textId="77777777" w:rsidR="0081596D" w:rsidRPr="00267512" w:rsidRDefault="0081596D" w:rsidP="00267512">
      <w:pPr>
        <w:spacing w:after="0" w:line="360" w:lineRule="auto"/>
        <w:rPr>
          <w:rFonts w:eastAsia="Times New Roman" w:cs="Times New Roman"/>
          <w:szCs w:val="24"/>
        </w:rPr>
      </w:pPr>
    </w:p>
    <w:p w14:paraId="717B32FD" w14:textId="1DA5D4E2" w:rsidR="0081596D" w:rsidRPr="00267512" w:rsidRDefault="0081596D" w:rsidP="00267512">
      <w:pPr>
        <w:spacing w:after="0" w:line="360" w:lineRule="auto"/>
        <w:rPr>
          <w:rFonts w:eastAsia="Times New Roman" w:cs="Times New Roman"/>
          <w:szCs w:val="24"/>
        </w:rPr>
      </w:pPr>
      <w:r w:rsidRPr="00267512">
        <w:rPr>
          <w:rFonts w:eastAsia="Times New Roman" w:cs="Times New Roman"/>
          <w:szCs w:val="24"/>
        </w:rPr>
        <w:t>The fourth descriptor was a factor that lack of accurate information is an element leading to unsafe decisions and harmful practices among young women. The average of the mean scores of 2.552 (SD =.662) was found to be of a moderate agreement that a significant contribution by misinformation does play a leading role in unsafe abortion. This opinion was well-supported by healthcare givers. Most unsafe cases that a nurse noted, "The girls did not know that they could come to hospital under certain conditions, that is how, they are the most unsafe cases that we handle”. This view resonates with the Ecological Model (1977) of Bronfenbrenner, the role of environmental factors, including peers, family, and culture on health practices.</w:t>
      </w:r>
    </w:p>
    <w:p w14:paraId="1E5FFA1D" w14:textId="77777777" w:rsidR="0081596D" w:rsidRPr="00267512" w:rsidRDefault="0081596D" w:rsidP="00267512">
      <w:pPr>
        <w:spacing w:after="0" w:line="360" w:lineRule="auto"/>
        <w:rPr>
          <w:rFonts w:eastAsia="Times New Roman" w:cs="Times New Roman"/>
          <w:szCs w:val="24"/>
        </w:rPr>
      </w:pPr>
    </w:p>
    <w:p w14:paraId="630AFB15" w14:textId="77777777" w:rsidR="0081596D" w:rsidRPr="00267512" w:rsidRDefault="0081596D" w:rsidP="00267512">
      <w:pPr>
        <w:spacing w:after="0" w:line="360" w:lineRule="auto"/>
        <w:rPr>
          <w:rFonts w:eastAsia="Times New Roman" w:cs="Times New Roman"/>
          <w:szCs w:val="24"/>
        </w:rPr>
      </w:pPr>
      <w:r w:rsidRPr="00267512">
        <w:rPr>
          <w:rFonts w:eastAsia="Times New Roman" w:cs="Times New Roman"/>
          <w:szCs w:val="24"/>
        </w:rPr>
        <w:t xml:space="preserve">The fifth measure assessed the efficacy of community sensitization program in raising awareness about the reproductive health programs among adolescents. The average respondent score of </w:t>
      </w:r>
      <w:r w:rsidRPr="00267512">
        <w:rPr>
          <w:rFonts w:eastAsia="Times New Roman" w:cs="Times New Roman"/>
          <w:szCs w:val="24"/>
        </w:rPr>
        <w:lastRenderedPageBreak/>
        <w:t>2.367 (SD =.694) indicated that the respondents were in strong disagreement, meaning sensitization programs had small influence. Healthcare providers confirmed this observation as one said</w:t>
      </w:r>
      <w:proofErr w:type="gramStart"/>
      <w:r w:rsidRPr="00267512">
        <w:rPr>
          <w:rFonts w:eastAsia="Times New Roman" w:cs="Times New Roman"/>
          <w:szCs w:val="24"/>
        </w:rPr>
        <w:t>,,</w:t>
      </w:r>
      <w:proofErr w:type="gramEnd"/>
      <w:r w:rsidRPr="00267512">
        <w:rPr>
          <w:rFonts w:eastAsia="Times New Roman" w:cs="Times New Roman"/>
          <w:szCs w:val="24"/>
        </w:rPr>
        <w:t xml:space="preserve"> There are not many campaigns around abortion as there are about HIV or family planning. Lots of teenagers are left in the dark. This is supported by the empirical evidence given by Wahed et al. (2017), as the main barriers to reproductive health knowledge were low outreach and stigma.</w:t>
      </w:r>
    </w:p>
    <w:p w14:paraId="374F3896" w14:textId="77777777" w:rsidR="0081596D" w:rsidRPr="00267512" w:rsidRDefault="0081596D" w:rsidP="00267512">
      <w:pPr>
        <w:spacing w:after="0" w:line="360" w:lineRule="auto"/>
        <w:rPr>
          <w:rFonts w:eastAsia="Times New Roman" w:cs="Times New Roman"/>
          <w:szCs w:val="24"/>
        </w:rPr>
      </w:pPr>
    </w:p>
    <w:p w14:paraId="753A91CE" w14:textId="77777777" w:rsidR="0081596D" w:rsidRPr="00267512" w:rsidRDefault="0081596D" w:rsidP="00267512">
      <w:pPr>
        <w:spacing w:after="0" w:line="360" w:lineRule="auto"/>
        <w:rPr>
          <w:rFonts w:eastAsia="Times New Roman" w:cs="Times New Roman"/>
          <w:szCs w:val="24"/>
        </w:rPr>
      </w:pPr>
      <w:r w:rsidRPr="00267512">
        <w:rPr>
          <w:rFonts w:eastAsia="Times New Roman" w:cs="Times New Roman"/>
          <w:szCs w:val="24"/>
        </w:rPr>
        <w:t>The sixth indicator evaluated the ability of the young women to have informed reproductive health choices through the availability of appropriate legal information. The average was 2.428 (SD =.675), which is minimum empowerment. It was observed that the respondents concurred that in the absence of adequate information, decisions are not safe. The truth as one gynecologist remarked is power. In its absence, girls rely on unhealthy practices, which endanger their health. This observation is true to the Rational Choice Theory (Smith, 1776) that defines decision-making according to available information and perceived repercussions.</w:t>
      </w:r>
    </w:p>
    <w:p w14:paraId="62F87855" w14:textId="77777777" w:rsidR="0081596D" w:rsidRPr="00267512" w:rsidRDefault="0081596D" w:rsidP="00267512">
      <w:pPr>
        <w:spacing w:after="0" w:line="360" w:lineRule="auto"/>
        <w:rPr>
          <w:rFonts w:eastAsia="Times New Roman" w:cs="Times New Roman"/>
          <w:szCs w:val="24"/>
        </w:rPr>
      </w:pPr>
    </w:p>
    <w:p w14:paraId="421FF9F0" w14:textId="712D2F51" w:rsidR="00CB5A8E" w:rsidRPr="00267512" w:rsidRDefault="0081596D" w:rsidP="00267512">
      <w:pPr>
        <w:spacing w:after="0" w:line="360" w:lineRule="auto"/>
        <w:rPr>
          <w:rFonts w:eastAsia="Times New Roman" w:cs="Times New Roman"/>
          <w:szCs w:val="24"/>
        </w:rPr>
      </w:pPr>
      <w:r w:rsidRPr="00267512">
        <w:rPr>
          <w:rFonts w:eastAsia="Times New Roman" w:cs="Times New Roman"/>
          <w:szCs w:val="24"/>
        </w:rPr>
        <w:t>The total mean of 2.461 (SD =.690) proved that there is generally low knowledge of abortion laws and policies among young women in Bungoma County. These findings demonstrate serious gaps in the knowledge and information sharing, which validates the necessity to consider policy education as a component of reproductive health programs. Similar to Denno et al. (2021), provider training and sensitization of the community is essential to providing young women with the knowledge they need to make safe and legal reproductive health choices.</w:t>
      </w:r>
    </w:p>
    <w:p w14:paraId="4D55A587" w14:textId="77777777" w:rsidR="0089316D" w:rsidRPr="00267512" w:rsidRDefault="0089316D" w:rsidP="00267512">
      <w:pPr>
        <w:spacing w:after="0" w:line="360" w:lineRule="auto"/>
        <w:rPr>
          <w:rFonts w:eastAsia="Times New Roman" w:cs="Times New Roman"/>
          <w:szCs w:val="24"/>
        </w:rPr>
      </w:pPr>
    </w:p>
    <w:p w14:paraId="5F4A730B" w14:textId="7DC6B67F" w:rsidR="00A95671" w:rsidRPr="00267512" w:rsidRDefault="00267512" w:rsidP="00267512">
      <w:pPr>
        <w:pStyle w:val="Heading3"/>
        <w:spacing w:line="360" w:lineRule="auto"/>
        <w:rPr>
          <w:rFonts w:eastAsia="Times New Roman"/>
        </w:rPr>
      </w:pPr>
      <w:bookmarkStart w:id="6" w:name="_Toc208234126"/>
      <w:r w:rsidRPr="00267512">
        <w:rPr>
          <w:rFonts w:eastAsia="Times New Roman"/>
        </w:rPr>
        <w:t>6.3</w:t>
      </w:r>
      <w:r w:rsidR="00A95671" w:rsidRPr="00267512">
        <w:rPr>
          <w:rFonts w:eastAsia="Times New Roman"/>
        </w:rPr>
        <w:t xml:space="preserve"> </w:t>
      </w:r>
      <w:r w:rsidR="0089316D" w:rsidRPr="00267512">
        <w:rPr>
          <w:rFonts w:eastAsia="Times New Roman"/>
        </w:rPr>
        <w:t>Analysis on</w:t>
      </w:r>
      <w:r w:rsidR="00A95671" w:rsidRPr="00267512">
        <w:rPr>
          <w:rFonts w:eastAsia="Times New Roman"/>
        </w:rPr>
        <w:t xml:space="preserve"> Abortion Choices</w:t>
      </w:r>
      <w:bookmarkEnd w:id="6"/>
    </w:p>
    <w:p w14:paraId="2CF7DF84" w14:textId="0970AB13" w:rsidR="00A95671" w:rsidRPr="00267512" w:rsidRDefault="00A95671" w:rsidP="00267512">
      <w:pPr>
        <w:spacing w:line="360" w:lineRule="auto"/>
        <w:rPr>
          <w:szCs w:val="24"/>
        </w:rPr>
      </w:pPr>
      <w:r w:rsidRPr="00267512">
        <w:rPr>
          <w:szCs w:val="24"/>
        </w:rPr>
        <w:t xml:space="preserve">The descriptive study of the choice of abortion discussed the preferences, decision-making patterns and these influencing factors that steered young women in the Bungoma County in the choice of abortion. The research evaluated the impact of individual, social and systematic aspects such as provider counseling, financial ability and cultural beliefs on these decisions. </w:t>
      </w:r>
    </w:p>
    <w:p w14:paraId="1981ADE9" w14:textId="674FCC56" w:rsidR="00CB5A8E" w:rsidRPr="00267512" w:rsidRDefault="00267512" w:rsidP="00267512">
      <w:pPr>
        <w:pStyle w:val="Heading2"/>
        <w:rPr>
          <w:rFonts w:eastAsia="Times New Roman"/>
        </w:rPr>
      </w:pPr>
      <w:bookmarkStart w:id="7" w:name="_Toc208234127"/>
      <w:r w:rsidRPr="00267512">
        <w:rPr>
          <w:rFonts w:eastAsia="Times New Roman"/>
        </w:rPr>
        <w:t>Table 3</w:t>
      </w:r>
      <w:r w:rsidR="0089316D" w:rsidRPr="00267512">
        <w:rPr>
          <w:rFonts w:eastAsia="Times New Roman"/>
        </w:rPr>
        <w:t xml:space="preserve"> Analysis on</w:t>
      </w:r>
      <w:r w:rsidR="00CB5A8E" w:rsidRPr="00267512">
        <w:rPr>
          <w:rFonts w:eastAsia="Times New Roman"/>
        </w:rPr>
        <w:t xml:space="preserve"> Abortion Choices</w:t>
      </w:r>
      <w:bookmarkEnd w:id="7"/>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990"/>
        <w:gridCol w:w="647"/>
        <w:gridCol w:w="813"/>
      </w:tblGrid>
      <w:tr w:rsidR="00CB5A8E" w:rsidRPr="00267512" w14:paraId="6414756A" w14:textId="77777777" w:rsidTr="00A95671">
        <w:trPr>
          <w:tblHeader/>
          <w:tblCellSpacing w:w="15" w:type="dxa"/>
        </w:trPr>
        <w:tc>
          <w:tcPr>
            <w:tcW w:w="0" w:type="auto"/>
            <w:tcBorders>
              <w:top w:val="single" w:sz="4" w:space="0" w:color="auto"/>
            </w:tcBorders>
            <w:vAlign w:val="center"/>
            <w:hideMark/>
          </w:tcPr>
          <w:p w14:paraId="1EF98249" w14:textId="77777777" w:rsidR="00CB5A8E" w:rsidRPr="00267512" w:rsidRDefault="00CB5A8E" w:rsidP="00267512">
            <w:pPr>
              <w:spacing w:after="0" w:line="240" w:lineRule="auto"/>
              <w:rPr>
                <w:rFonts w:eastAsia="Times New Roman" w:cs="Times New Roman"/>
                <w:b/>
                <w:bCs/>
                <w:szCs w:val="24"/>
              </w:rPr>
            </w:pPr>
            <w:r w:rsidRPr="00267512">
              <w:rPr>
                <w:rFonts w:eastAsia="Times New Roman" w:cs="Times New Roman"/>
                <w:b/>
                <w:bCs/>
                <w:szCs w:val="24"/>
              </w:rPr>
              <w:t>Statement</w:t>
            </w:r>
          </w:p>
        </w:tc>
        <w:tc>
          <w:tcPr>
            <w:tcW w:w="0" w:type="auto"/>
            <w:tcBorders>
              <w:top w:val="single" w:sz="4" w:space="0" w:color="auto"/>
            </w:tcBorders>
            <w:vAlign w:val="center"/>
            <w:hideMark/>
          </w:tcPr>
          <w:p w14:paraId="6507FEA9" w14:textId="77777777" w:rsidR="00CB5A8E" w:rsidRPr="00267512" w:rsidRDefault="00CB5A8E" w:rsidP="00267512">
            <w:pPr>
              <w:spacing w:after="0" w:line="240" w:lineRule="auto"/>
              <w:rPr>
                <w:rFonts w:eastAsia="Times New Roman" w:cs="Times New Roman"/>
                <w:b/>
                <w:bCs/>
                <w:szCs w:val="24"/>
              </w:rPr>
            </w:pPr>
            <w:r w:rsidRPr="00267512">
              <w:rPr>
                <w:rFonts w:eastAsia="Times New Roman" w:cs="Times New Roman"/>
                <w:b/>
                <w:bCs/>
                <w:szCs w:val="24"/>
              </w:rPr>
              <w:t>Mean</w:t>
            </w:r>
          </w:p>
        </w:tc>
        <w:tc>
          <w:tcPr>
            <w:tcW w:w="0" w:type="auto"/>
            <w:tcBorders>
              <w:top w:val="single" w:sz="4" w:space="0" w:color="auto"/>
            </w:tcBorders>
            <w:vAlign w:val="center"/>
            <w:hideMark/>
          </w:tcPr>
          <w:p w14:paraId="7EC198EB" w14:textId="77777777" w:rsidR="00CB5A8E" w:rsidRPr="00267512" w:rsidRDefault="00CB5A8E" w:rsidP="00267512">
            <w:pPr>
              <w:spacing w:after="0" w:line="240" w:lineRule="auto"/>
              <w:rPr>
                <w:rFonts w:eastAsia="Times New Roman" w:cs="Times New Roman"/>
                <w:b/>
                <w:bCs/>
                <w:szCs w:val="24"/>
              </w:rPr>
            </w:pPr>
            <w:r w:rsidRPr="00267512">
              <w:rPr>
                <w:rFonts w:eastAsia="Times New Roman" w:cs="Times New Roman"/>
                <w:b/>
                <w:bCs/>
                <w:szCs w:val="24"/>
              </w:rPr>
              <w:t>Std. Dev</w:t>
            </w:r>
          </w:p>
        </w:tc>
      </w:tr>
      <w:tr w:rsidR="00CB5A8E" w:rsidRPr="00267512" w14:paraId="1A1579B2" w14:textId="77777777" w:rsidTr="00A95671">
        <w:trPr>
          <w:tblCellSpacing w:w="15" w:type="dxa"/>
        </w:trPr>
        <w:tc>
          <w:tcPr>
            <w:tcW w:w="0" w:type="auto"/>
            <w:tcBorders>
              <w:top w:val="single" w:sz="4" w:space="0" w:color="auto"/>
            </w:tcBorders>
            <w:vAlign w:val="center"/>
            <w:hideMark/>
          </w:tcPr>
          <w:p w14:paraId="7FE9620F" w14:textId="77777777" w:rsidR="00CB5A8E" w:rsidRPr="00267512" w:rsidRDefault="00CB5A8E" w:rsidP="00267512">
            <w:pPr>
              <w:spacing w:after="0" w:line="240" w:lineRule="auto"/>
              <w:rPr>
                <w:rFonts w:eastAsia="Times New Roman" w:cs="Times New Roman"/>
                <w:szCs w:val="24"/>
              </w:rPr>
            </w:pPr>
            <w:r w:rsidRPr="00267512">
              <w:rPr>
                <w:rFonts w:eastAsia="Times New Roman" w:cs="Times New Roman"/>
                <w:szCs w:val="24"/>
              </w:rPr>
              <w:lastRenderedPageBreak/>
              <w:t>More young women in Bungoma access safe abortion services compared to those who seek unsafe procedures</w:t>
            </w:r>
          </w:p>
        </w:tc>
        <w:tc>
          <w:tcPr>
            <w:tcW w:w="0" w:type="auto"/>
            <w:tcBorders>
              <w:top w:val="single" w:sz="4" w:space="0" w:color="auto"/>
            </w:tcBorders>
            <w:vAlign w:val="center"/>
            <w:hideMark/>
          </w:tcPr>
          <w:p w14:paraId="3763D1A3" w14:textId="77777777" w:rsidR="00CB5A8E" w:rsidRPr="00267512" w:rsidRDefault="00CB5A8E" w:rsidP="00267512">
            <w:pPr>
              <w:spacing w:after="0" w:line="240" w:lineRule="auto"/>
              <w:rPr>
                <w:rFonts w:eastAsia="Times New Roman" w:cs="Times New Roman"/>
                <w:szCs w:val="24"/>
              </w:rPr>
            </w:pPr>
            <w:r w:rsidRPr="00267512">
              <w:rPr>
                <w:rFonts w:eastAsia="Times New Roman" w:cs="Times New Roman"/>
                <w:szCs w:val="24"/>
              </w:rPr>
              <w:t>3.446</w:t>
            </w:r>
          </w:p>
        </w:tc>
        <w:tc>
          <w:tcPr>
            <w:tcW w:w="0" w:type="auto"/>
            <w:tcBorders>
              <w:top w:val="single" w:sz="4" w:space="0" w:color="auto"/>
            </w:tcBorders>
            <w:vAlign w:val="center"/>
            <w:hideMark/>
          </w:tcPr>
          <w:p w14:paraId="0B6E1B2E" w14:textId="77777777" w:rsidR="00CB5A8E" w:rsidRPr="00267512" w:rsidRDefault="00CB5A8E" w:rsidP="00267512">
            <w:pPr>
              <w:spacing w:after="0" w:line="240" w:lineRule="auto"/>
              <w:rPr>
                <w:rFonts w:eastAsia="Times New Roman" w:cs="Times New Roman"/>
                <w:szCs w:val="24"/>
              </w:rPr>
            </w:pPr>
            <w:r w:rsidRPr="00267512">
              <w:rPr>
                <w:rFonts w:eastAsia="Times New Roman" w:cs="Times New Roman"/>
                <w:szCs w:val="24"/>
              </w:rPr>
              <w:t>.672</w:t>
            </w:r>
          </w:p>
        </w:tc>
      </w:tr>
      <w:tr w:rsidR="00CB5A8E" w:rsidRPr="00267512" w14:paraId="6B81A91A" w14:textId="77777777" w:rsidTr="00CB5A8E">
        <w:trPr>
          <w:tblCellSpacing w:w="15" w:type="dxa"/>
        </w:trPr>
        <w:tc>
          <w:tcPr>
            <w:tcW w:w="0" w:type="auto"/>
            <w:vAlign w:val="center"/>
            <w:hideMark/>
          </w:tcPr>
          <w:p w14:paraId="44EA6E2A" w14:textId="77777777" w:rsidR="00CB5A8E" w:rsidRPr="00267512" w:rsidRDefault="00CB5A8E" w:rsidP="00267512">
            <w:pPr>
              <w:spacing w:after="0" w:line="240" w:lineRule="auto"/>
              <w:rPr>
                <w:rFonts w:eastAsia="Times New Roman" w:cs="Times New Roman"/>
                <w:szCs w:val="24"/>
              </w:rPr>
            </w:pPr>
            <w:r w:rsidRPr="00267512">
              <w:rPr>
                <w:rFonts w:eastAsia="Times New Roman" w:cs="Times New Roman"/>
                <w:szCs w:val="24"/>
              </w:rPr>
              <w:t>The availability of skilled healthcare providers increases the likelihood of safe abortion choices among women</w:t>
            </w:r>
          </w:p>
        </w:tc>
        <w:tc>
          <w:tcPr>
            <w:tcW w:w="0" w:type="auto"/>
            <w:vAlign w:val="center"/>
            <w:hideMark/>
          </w:tcPr>
          <w:p w14:paraId="70912C8D" w14:textId="77777777" w:rsidR="00CB5A8E" w:rsidRPr="00267512" w:rsidRDefault="00CB5A8E" w:rsidP="00267512">
            <w:pPr>
              <w:spacing w:after="0" w:line="240" w:lineRule="auto"/>
              <w:rPr>
                <w:rFonts w:eastAsia="Times New Roman" w:cs="Times New Roman"/>
                <w:szCs w:val="24"/>
              </w:rPr>
            </w:pPr>
            <w:r w:rsidRPr="00267512">
              <w:rPr>
                <w:rFonts w:eastAsia="Times New Roman" w:cs="Times New Roman"/>
                <w:szCs w:val="24"/>
              </w:rPr>
              <w:t>3.852</w:t>
            </w:r>
          </w:p>
        </w:tc>
        <w:tc>
          <w:tcPr>
            <w:tcW w:w="0" w:type="auto"/>
            <w:vAlign w:val="center"/>
            <w:hideMark/>
          </w:tcPr>
          <w:p w14:paraId="0C6721A0" w14:textId="77777777" w:rsidR="00CB5A8E" w:rsidRPr="00267512" w:rsidRDefault="00CB5A8E" w:rsidP="00267512">
            <w:pPr>
              <w:spacing w:after="0" w:line="240" w:lineRule="auto"/>
              <w:rPr>
                <w:rFonts w:eastAsia="Times New Roman" w:cs="Times New Roman"/>
                <w:szCs w:val="24"/>
              </w:rPr>
            </w:pPr>
            <w:r w:rsidRPr="00267512">
              <w:rPr>
                <w:rFonts w:eastAsia="Times New Roman" w:cs="Times New Roman"/>
                <w:szCs w:val="24"/>
              </w:rPr>
              <w:t>.618</w:t>
            </w:r>
          </w:p>
        </w:tc>
      </w:tr>
      <w:tr w:rsidR="00CB5A8E" w:rsidRPr="00267512" w14:paraId="1C83B90C" w14:textId="77777777" w:rsidTr="00CB5A8E">
        <w:trPr>
          <w:tblCellSpacing w:w="15" w:type="dxa"/>
        </w:trPr>
        <w:tc>
          <w:tcPr>
            <w:tcW w:w="0" w:type="auto"/>
            <w:vAlign w:val="center"/>
            <w:hideMark/>
          </w:tcPr>
          <w:p w14:paraId="68412A34" w14:textId="77777777" w:rsidR="00CB5A8E" w:rsidRPr="00267512" w:rsidRDefault="00CB5A8E" w:rsidP="00267512">
            <w:pPr>
              <w:spacing w:after="0" w:line="240" w:lineRule="auto"/>
              <w:rPr>
                <w:rFonts w:eastAsia="Times New Roman" w:cs="Times New Roman"/>
                <w:szCs w:val="24"/>
              </w:rPr>
            </w:pPr>
            <w:r w:rsidRPr="00267512">
              <w:rPr>
                <w:rFonts w:eastAsia="Times New Roman" w:cs="Times New Roman"/>
                <w:szCs w:val="24"/>
              </w:rPr>
              <w:t>Limited awareness of safe abortion facilities forces some women to seek unsafe alternatives</w:t>
            </w:r>
          </w:p>
        </w:tc>
        <w:tc>
          <w:tcPr>
            <w:tcW w:w="0" w:type="auto"/>
            <w:vAlign w:val="center"/>
            <w:hideMark/>
          </w:tcPr>
          <w:p w14:paraId="26FCEBFA" w14:textId="77777777" w:rsidR="00CB5A8E" w:rsidRPr="00267512" w:rsidRDefault="00CB5A8E" w:rsidP="00267512">
            <w:pPr>
              <w:spacing w:after="0" w:line="240" w:lineRule="auto"/>
              <w:rPr>
                <w:rFonts w:eastAsia="Times New Roman" w:cs="Times New Roman"/>
                <w:szCs w:val="24"/>
              </w:rPr>
            </w:pPr>
            <w:r w:rsidRPr="00267512">
              <w:rPr>
                <w:rFonts w:eastAsia="Times New Roman" w:cs="Times New Roman"/>
                <w:szCs w:val="24"/>
              </w:rPr>
              <w:t>4.075</w:t>
            </w:r>
          </w:p>
        </w:tc>
        <w:tc>
          <w:tcPr>
            <w:tcW w:w="0" w:type="auto"/>
            <w:vAlign w:val="center"/>
            <w:hideMark/>
          </w:tcPr>
          <w:p w14:paraId="4FF59C8D" w14:textId="77777777" w:rsidR="00CB5A8E" w:rsidRPr="00267512" w:rsidRDefault="00CB5A8E" w:rsidP="00267512">
            <w:pPr>
              <w:spacing w:after="0" w:line="240" w:lineRule="auto"/>
              <w:rPr>
                <w:rFonts w:eastAsia="Times New Roman" w:cs="Times New Roman"/>
                <w:szCs w:val="24"/>
              </w:rPr>
            </w:pPr>
            <w:r w:rsidRPr="00267512">
              <w:rPr>
                <w:rFonts w:eastAsia="Times New Roman" w:cs="Times New Roman"/>
                <w:szCs w:val="24"/>
              </w:rPr>
              <w:t>.574</w:t>
            </w:r>
          </w:p>
        </w:tc>
      </w:tr>
      <w:tr w:rsidR="00CB5A8E" w:rsidRPr="00267512" w14:paraId="00D10B53" w14:textId="77777777" w:rsidTr="00CB5A8E">
        <w:trPr>
          <w:tblCellSpacing w:w="15" w:type="dxa"/>
        </w:trPr>
        <w:tc>
          <w:tcPr>
            <w:tcW w:w="0" w:type="auto"/>
            <w:vAlign w:val="center"/>
            <w:hideMark/>
          </w:tcPr>
          <w:p w14:paraId="045EC373" w14:textId="77777777" w:rsidR="00CB5A8E" w:rsidRPr="00267512" w:rsidRDefault="00CB5A8E" w:rsidP="00267512">
            <w:pPr>
              <w:spacing w:after="0" w:line="240" w:lineRule="auto"/>
              <w:rPr>
                <w:rFonts w:eastAsia="Times New Roman" w:cs="Times New Roman"/>
                <w:szCs w:val="24"/>
              </w:rPr>
            </w:pPr>
            <w:r w:rsidRPr="00267512">
              <w:rPr>
                <w:rFonts w:eastAsia="Times New Roman" w:cs="Times New Roman"/>
                <w:szCs w:val="24"/>
              </w:rPr>
              <w:t>Poverty and financial challenges play a significant role in determining abortion choices among young women</w:t>
            </w:r>
          </w:p>
        </w:tc>
        <w:tc>
          <w:tcPr>
            <w:tcW w:w="0" w:type="auto"/>
            <w:vAlign w:val="center"/>
            <w:hideMark/>
          </w:tcPr>
          <w:p w14:paraId="427CCE32" w14:textId="77777777" w:rsidR="00CB5A8E" w:rsidRPr="00267512" w:rsidRDefault="00CB5A8E" w:rsidP="00267512">
            <w:pPr>
              <w:spacing w:after="0" w:line="240" w:lineRule="auto"/>
              <w:rPr>
                <w:rFonts w:eastAsia="Times New Roman" w:cs="Times New Roman"/>
                <w:szCs w:val="24"/>
              </w:rPr>
            </w:pPr>
            <w:r w:rsidRPr="00267512">
              <w:rPr>
                <w:rFonts w:eastAsia="Times New Roman" w:cs="Times New Roman"/>
                <w:szCs w:val="24"/>
              </w:rPr>
              <w:t>4.236</w:t>
            </w:r>
          </w:p>
        </w:tc>
        <w:tc>
          <w:tcPr>
            <w:tcW w:w="0" w:type="auto"/>
            <w:vAlign w:val="center"/>
            <w:hideMark/>
          </w:tcPr>
          <w:p w14:paraId="48FF2F94" w14:textId="77777777" w:rsidR="00CB5A8E" w:rsidRPr="00267512" w:rsidRDefault="00CB5A8E" w:rsidP="00267512">
            <w:pPr>
              <w:spacing w:after="0" w:line="240" w:lineRule="auto"/>
              <w:rPr>
                <w:rFonts w:eastAsia="Times New Roman" w:cs="Times New Roman"/>
                <w:szCs w:val="24"/>
              </w:rPr>
            </w:pPr>
            <w:r w:rsidRPr="00267512">
              <w:rPr>
                <w:rFonts w:eastAsia="Times New Roman" w:cs="Times New Roman"/>
                <w:szCs w:val="24"/>
              </w:rPr>
              <w:t>.542</w:t>
            </w:r>
          </w:p>
        </w:tc>
      </w:tr>
      <w:tr w:rsidR="00CB5A8E" w:rsidRPr="00267512" w14:paraId="4F2B912E" w14:textId="77777777" w:rsidTr="00CB5A8E">
        <w:trPr>
          <w:tblCellSpacing w:w="15" w:type="dxa"/>
        </w:trPr>
        <w:tc>
          <w:tcPr>
            <w:tcW w:w="0" w:type="auto"/>
            <w:vAlign w:val="center"/>
            <w:hideMark/>
          </w:tcPr>
          <w:p w14:paraId="6EAC185C" w14:textId="77777777" w:rsidR="00CB5A8E" w:rsidRPr="00267512" w:rsidRDefault="00CB5A8E" w:rsidP="00267512">
            <w:pPr>
              <w:spacing w:after="0" w:line="240" w:lineRule="auto"/>
              <w:rPr>
                <w:rFonts w:eastAsia="Times New Roman" w:cs="Times New Roman"/>
                <w:szCs w:val="24"/>
              </w:rPr>
            </w:pPr>
            <w:r w:rsidRPr="00267512">
              <w:rPr>
                <w:rFonts w:eastAsia="Times New Roman" w:cs="Times New Roman"/>
                <w:szCs w:val="24"/>
              </w:rPr>
              <w:t>Supportive reproductive health policies encourage young women to make safer abortion choices</w:t>
            </w:r>
          </w:p>
        </w:tc>
        <w:tc>
          <w:tcPr>
            <w:tcW w:w="0" w:type="auto"/>
            <w:vAlign w:val="center"/>
            <w:hideMark/>
          </w:tcPr>
          <w:p w14:paraId="5B2F7DE1" w14:textId="77777777" w:rsidR="00CB5A8E" w:rsidRPr="00267512" w:rsidRDefault="00CB5A8E" w:rsidP="00267512">
            <w:pPr>
              <w:spacing w:after="0" w:line="240" w:lineRule="auto"/>
              <w:rPr>
                <w:rFonts w:eastAsia="Times New Roman" w:cs="Times New Roman"/>
                <w:szCs w:val="24"/>
              </w:rPr>
            </w:pPr>
            <w:r w:rsidRPr="00267512">
              <w:rPr>
                <w:rFonts w:eastAsia="Times New Roman" w:cs="Times New Roman"/>
                <w:szCs w:val="24"/>
              </w:rPr>
              <w:t>3.678</w:t>
            </w:r>
          </w:p>
        </w:tc>
        <w:tc>
          <w:tcPr>
            <w:tcW w:w="0" w:type="auto"/>
            <w:vAlign w:val="center"/>
            <w:hideMark/>
          </w:tcPr>
          <w:p w14:paraId="47FCFABA" w14:textId="77777777" w:rsidR="00CB5A8E" w:rsidRPr="00267512" w:rsidRDefault="00CB5A8E" w:rsidP="00267512">
            <w:pPr>
              <w:spacing w:after="0" w:line="240" w:lineRule="auto"/>
              <w:rPr>
                <w:rFonts w:eastAsia="Times New Roman" w:cs="Times New Roman"/>
                <w:szCs w:val="24"/>
              </w:rPr>
            </w:pPr>
            <w:r w:rsidRPr="00267512">
              <w:rPr>
                <w:rFonts w:eastAsia="Times New Roman" w:cs="Times New Roman"/>
                <w:szCs w:val="24"/>
              </w:rPr>
              <w:t>.633</w:t>
            </w:r>
          </w:p>
        </w:tc>
      </w:tr>
      <w:tr w:rsidR="00CB5A8E" w:rsidRPr="00267512" w14:paraId="3FF925D5" w14:textId="77777777" w:rsidTr="00CB5A8E">
        <w:trPr>
          <w:tblCellSpacing w:w="15" w:type="dxa"/>
        </w:trPr>
        <w:tc>
          <w:tcPr>
            <w:tcW w:w="0" w:type="auto"/>
            <w:vAlign w:val="center"/>
            <w:hideMark/>
          </w:tcPr>
          <w:p w14:paraId="556D62DB" w14:textId="77777777" w:rsidR="00CB5A8E" w:rsidRPr="00267512" w:rsidRDefault="00CB5A8E" w:rsidP="00267512">
            <w:pPr>
              <w:spacing w:after="0" w:line="240" w:lineRule="auto"/>
              <w:rPr>
                <w:rFonts w:eastAsia="Times New Roman" w:cs="Times New Roman"/>
                <w:szCs w:val="24"/>
              </w:rPr>
            </w:pPr>
            <w:r w:rsidRPr="00267512">
              <w:rPr>
                <w:rFonts w:eastAsia="Times New Roman" w:cs="Times New Roman"/>
                <w:szCs w:val="24"/>
              </w:rPr>
              <w:t>Stigma from society leads some women to make abortion choices in secrecy, often risking their health</w:t>
            </w:r>
          </w:p>
        </w:tc>
        <w:tc>
          <w:tcPr>
            <w:tcW w:w="0" w:type="auto"/>
            <w:vAlign w:val="center"/>
            <w:hideMark/>
          </w:tcPr>
          <w:p w14:paraId="607660E5" w14:textId="77777777" w:rsidR="00CB5A8E" w:rsidRPr="00267512" w:rsidRDefault="00CB5A8E" w:rsidP="00267512">
            <w:pPr>
              <w:spacing w:after="0" w:line="240" w:lineRule="auto"/>
              <w:rPr>
                <w:rFonts w:eastAsia="Times New Roman" w:cs="Times New Roman"/>
                <w:szCs w:val="24"/>
              </w:rPr>
            </w:pPr>
            <w:r w:rsidRPr="00267512">
              <w:rPr>
                <w:rFonts w:eastAsia="Times New Roman" w:cs="Times New Roman"/>
                <w:szCs w:val="24"/>
              </w:rPr>
              <w:t>4.148</w:t>
            </w:r>
          </w:p>
        </w:tc>
        <w:tc>
          <w:tcPr>
            <w:tcW w:w="0" w:type="auto"/>
            <w:vAlign w:val="center"/>
            <w:hideMark/>
          </w:tcPr>
          <w:p w14:paraId="38701C44" w14:textId="77777777" w:rsidR="00CB5A8E" w:rsidRPr="00267512" w:rsidRDefault="00CB5A8E" w:rsidP="00267512">
            <w:pPr>
              <w:spacing w:after="0" w:line="240" w:lineRule="auto"/>
              <w:rPr>
                <w:rFonts w:eastAsia="Times New Roman" w:cs="Times New Roman"/>
                <w:szCs w:val="24"/>
              </w:rPr>
            </w:pPr>
            <w:r w:rsidRPr="00267512">
              <w:rPr>
                <w:rFonts w:eastAsia="Times New Roman" w:cs="Times New Roman"/>
                <w:szCs w:val="24"/>
              </w:rPr>
              <w:t>.561</w:t>
            </w:r>
          </w:p>
        </w:tc>
      </w:tr>
      <w:tr w:rsidR="00CB5A8E" w:rsidRPr="00267512" w14:paraId="788027E4" w14:textId="77777777" w:rsidTr="00CB5A8E">
        <w:trPr>
          <w:tblCellSpacing w:w="15" w:type="dxa"/>
        </w:trPr>
        <w:tc>
          <w:tcPr>
            <w:tcW w:w="0" w:type="auto"/>
            <w:vAlign w:val="center"/>
            <w:hideMark/>
          </w:tcPr>
          <w:p w14:paraId="542D4102" w14:textId="77777777" w:rsidR="00CB5A8E" w:rsidRPr="00267512" w:rsidRDefault="00CB5A8E" w:rsidP="00267512">
            <w:pPr>
              <w:spacing w:after="0" w:line="240" w:lineRule="auto"/>
              <w:rPr>
                <w:rFonts w:eastAsia="Times New Roman" w:cs="Times New Roman"/>
                <w:szCs w:val="24"/>
              </w:rPr>
            </w:pPr>
            <w:r w:rsidRPr="00267512">
              <w:rPr>
                <w:rFonts w:eastAsia="Times New Roman" w:cs="Times New Roman"/>
                <w:b/>
                <w:bCs/>
                <w:szCs w:val="24"/>
              </w:rPr>
              <w:t>Aggregate Score</w:t>
            </w:r>
          </w:p>
        </w:tc>
        <w:tc>
          <w:tcPr>
            <w:tcW w:w="0" w:type="auto"/>
            <w:vAlign w:val="center"/>
            <w:hideMark/>
          </w:tcPr>
          <w:p w14:paraId="6723C164" w14:textId="77777777" w:rsidR="00CB5A8E" w:rsidRPr="00267512" w:rsidRDefault="00CB5A8E" w:rsidP="00267512">
            <w:pPr>
              <w:spacing w:after="0" w:line="240" w:lineRule="auto"/>
              <w:rPr>
                <w:rFonts w:eastAsia="Times New Roman" w:cs="Times New Roman"/>
                <w:szCs w:val="24"/>
              </w:rPr>
            </w:pPr>
            <w:r w:rsidRPr="00267512">
              <w:rPr>
                <w:rFonts w:eastAsia="Times New Roman" w:cs="Times New Roman"/>
                <w:b/>
                <w:bCs/>
                <w:szCs w:val="24"/>
              </w:rPr>
              <w:t>3.906</w:t>
            </w:r>
          </w:p>
        </w:tc>
        <w:tc>
          <w:tcPr>
            <w:tcW w:w="0" w:type="auto"/>
            <w:vAlign w:val="center"/>
            <w:hideMark/>
          </w:tcPr>
          <w:p w14:paraId="61BF0719" w14:textId="77777777" w:rsidR="00CB5A8E" w:rsidRPr="00267512" w:rsidRDefault="00CB5A8E" w:rsidP="00267512">
            <w:pPr>
              <w:spacing w:after="0" w:line="240" w:lineRule="auto"/>
              <w:rPr>
                <w:rFonts w:eastAsia="Times New Roman" w:cs="Times New Roman"/>
                <w:szCs w:val="24"/>
              </w:rPr>
            </w:pPr>
            <w:r w:rsidRPr="00267512">
              <w:rPr>
                <w:rFonts w:eastAsia="Times New Roman" w:cs="Times New Roman"/>
                <w:b/>
                <w:bCs/>
                <w:szCs w:val="24"/>
              </w:rPr>
              <w:t>.600</w:t>
            </w:r>
          </w:p>
        </w:tc>
      </w:tr>
      <w:tr w:rsidR="00CB5A8E" w:rsidRPr="00267512" w14:paraId="707896D1" w14:textId="77777777" w:rsidTr="00A95671">
        <w:trPr>
          <w:tblCellSpacing w:w="15" w:type="dxa"/>
        </w:trPr>
        <w:tc>
          <w:tcPr>
            <w:tcW w:w="0" w:type="auto"/>
            <w:tcBorders>
              <w:top w:val="single" w:sz="4" w:space="0" w:color="auto"/>
            </w:tcBorders>
            <w:vAlign w:val="center"/>
            <w:hideMark/>
          </w:tcPr>
          <w:p w14:paraId="7B5EF34E" w14:textId="77777777" w:rsidR="00AA6899" w:rsidRPr="00267512" w:rsidRDefault="00AA6899" w:rsidP="00267512">
            <w:pPr>
              <w:spacing w:after="0" w:line="240" w:lineRule="auto"/>
              <w:rPr>
                <w:rFonts w:eastAsia="Times New Roman" w:cs="Times New Roman"/>
                <w:iCs/>
                <w:szCs w:val="24"/>
              </w:rPr>
            </w:pPr>
          </w:p>
          <w:p w14:paraId="67873F8D" w14:textId="77777777" w:rsidR="00267512" w:rsidRPr="00267512" w:rsidRDefault="00267512" w:rsidP="00267512">
            <w:pPr>
              <w:spacing w:after="0" w:line="240" w:lineRule="auto"/>
              <w:rPr>
                <w:rFonts w:eastAsia="Times New Roman" w:cs="Times New Roman"/>
                <w:szCs w:val="24"/>
              </w:rPr>
            </w:pPr>
          </w:p>
        </w:tc>
        <w:tc>
          <w:tcPr>
            <w:tcW w:w="0" w:type="auto"/>
            <w:tcBorders>
              <w:top w:val="single" w:sz="4" w:space="0" w:color="auto"/>
            </w:tcBorders>
            <w:vAlign w:val="center"/>
            <w:hideMark/>
          </w:tcPr>
          <w:p w14:paraId="4A9DE973" w14:textId="77777777" w:rsidR="00CB5A8E" w:rsidRPr="00267512" w:rsidRDefault="00CB5A8E" w:rsidP="00267512">
            <w:pPr>
              <w:spacing w:after="0" w:line="240" w:lineRule="auto"/>
              <w:rPr>
                <w:rFonts w:eastAsia="Times New Roman" w:cs="Times New Roman"/>
                <w:szCs w:val="24"/>
              </w:rPr>
            </w:pPr>
          </w:p>
        </w:tc>
        <w:tc>
          <w:tcPr>
            <w:tcW w:w="0" w:type="auto"/>
            <w:tcBorders>
              <w:top w:val="single" w:sz="4" w:space="0" w:color="auto"/>
            </w:tcBorders>
            <w:vAlign w:val="center"/>
            <w:hideMark/>
          </w:tcPr>
          <w:p w14:paraId="2711C9D4" w14:textId="77777777" w:rsidR="00CB5A8E" w:rsidRPr="00267512" w:rsidRDefault="00CB5A8E" w:rsidP="00267512">
            <w:pPr>
              <w:spacing w:after="0" w:line="240" w:lineRule="auto"/>
              <w:rPr>
                <w:rFonts w:eastAsia="Times New Roman" w:cs="Times New Roman"/>
                <w:szCs w:val="24"/>
              </w:rPr>
            </w:pPr>
          </w:p>
        </w:tc>
      </w:tr>
    </w:tbl>
    <w:p w14:paraId="413F022D" w14:textId="3BE590F9" w:rsidR="00A95671" w:rsidRPr="00267512" w:rsidRDefault="0089316D" w:rsidP="00267512">
      <w:pPr>
        <w:rPr>
          <w:szCs w:val="24"/>
        </w:rPr>
      </w:pPr>
      <w:r w:rsidRPr="00267512">
        <w:rPr>
          <w:szCs w:val="24"/>
        </w:rPr>
        <w:t xml:space="preserve">It is also significant to analyze abortion decisions since they demonstrate how awareness, affordability, stigma, and policy support interact to influence women to make abortion decisions. The knowledge of these factors is useful in determining why some young women still use unsafe methods despite their presence of safer alternatives, hence, informing specific responses to induce better practices to safe reproductive health. </w:t>
      </w:r>
      <w:r w:rsidR="00A95671" w:rsidRPr="00267512">
        <w:rPr>
          <w:szCs w:val="24"/>
        </w:rPr>
        <w:t>In the first statement, the researcher evaluated whether a greater proportion of young women in Bungoma used safe abortion services than women who resorted to unsafe abortions. The results obtained a medium agreement with mean score of 3.446 and standard deviation of 0.672 which shows that there was some variation in responses. These findings implied that, although safe abortion was in place, a significant percentage of young women continued to practice unsafe abortion, in most cases, because of lack of knowledge and social stigmatization. Healthcare professionals observed that the majority of young women are afraid of using hospitals because they think that they may be judged, and they find other options available in the society thus showing the impact of social pressure on abortion choices. This observation is consistent with the research conducted by Blaylock et al. (2022</w:t>
      </w:r>
      <w:proofErr w:type="gramStart"/>
      <w:r w:rsidR="00A95671" w:rsidRPr="00267512">
        <w:rPr>
          <w:szCs w:val="24"/>
        </w:rPr>
        <w:t xml:space="preserve">), </w:t>
      </w:r>
      <w:r w:rsidR="00A95671" w:rsidRPr="00267512">
        <w:rPr>
          <w:szCs w:val="24"/>
        </w:rPr>
        <w:lastRenderedPageBreak/>
        <w:t>that</w:t>
      </w:r>
      <w:proofErr w:type="gramEnd"/>
      <w:r w:rsidR="00A95671" w:rsidRPr="00267512">
        <w:rPr>
          <w:szCs w:val="24"/>
        </w:rPr>
        <w:t xml:space="preserve"> found out that the privacy issues, availability and previous experiences with medical services typically predetermine the decisions of clients to opt in </w:t>
      </w:r>
      <w:r w:rsidRPr="00267512">
        <w:rPr>
          <w:szCs w:val="24"/>
        </w:rPr>
        <w:t>favor of safer abortion method.</w:t>
      </w:r>
    </w:p>
    <w:p w14:paraId="192D30A9" w14:textId="289C1148" w:rsidR="00A95671" w:rsidRPr="00267512" w:rsidRDefault="00A95671" w:rsidP="00267512">
      <w:pPr>
        <w:rPr>
          <w:szCs w:val="24"/>
        </w:rPr>
      </w:pPr>
      <w:r w:rsidRPr="00267512">
        <w:rPr>
          <w:szCs w:val="24"/>
        </w:rPr>
        <w:t xml:space="preserve">The second statement was the investigation of whether the access of competent providers of healthcare boosted the chances of young females to make safe abortion decisions. General consensus among respondents was indicated by the mean score whose value was 3.852 and standard deviation of 0.618. The information has shown that professional guidance had a positive impact on abortion decision-making as the providers made sure to follow clinical recommendations and safe practices. One of the providers remarked, that in the case of the availability of trained personnel, young women can feel more confident in their choice of safe procedures due to their confidence in the received care. Such results are echoed in theoretical lenses of Rational Choice Theory (Smith, 1776), which implies that women are </w:t>
      </w:r>
      <w:proofErr w:type="spellStart"/>
      <w:r w:rsidRPr="00267512">
        <w:rPr>
          <w:szCs w:val="24"/>
        </w:rPr>
        <w:t>calculatory</w:t>
      </w:r>
      <w:proofErr w:type="spellEnd"/>
      <w:r w:rsidRPr="00267512">
        <w:rPr>
          <w:szCs w:val="24"/>
        </w:rPr>
        <w:t xml:space="preserve"> in deciding on abortion opportunities, considering the risk-benefit levels of the accessible abortion procedures, especially with the presence of well-trained professionals. A similar situation was noted by Atuhaire (2019), who revealed that professional support reduces the risks of unsafe abortions in Africa</w:t>
      </w:r>
      <w:r w:rsidR="00AA6899" w:rsidRPr="00267512">
        <w:rPr>
          <w:szCs w:val="24"/>
        </w:rPr>
        <w:t>n environments to their health.</w:t>
      </w:r>
    </w:p>
    <w:p w14:paraId="0FD84326" w14:textId="3D346DC7" w:rsidR="00A95671" w:rsidRPr="00267512" w:rsidRDefault="00A95671" w:rsidP="00267512">
      <w:pPr>
        <w:rPr>
          <w:szCs w:val="24"/>
        </w:rPr>
      </w:pPr>
      <w:r w:rsidRPr="00267512">
        <w:rPr>
          <w:szCs w:val="24"/>
        </w:rPr>
        <w:t xml:space="preserve">The third description revolved around the issue of the lack of knowledge of safe abortion facilities that compelled some women to use illegal ones. The level of concern about knowledge gaps was high as respondents gave a mean of 4.075 and the standard deviation of 0.574 indicating strong agreement. The healthcare givers emphasized that many young women were unaware of the clinics that offer safe abortion, which made them turn to the unqualified staff or the traditional practice. The results are in agreement with Atuhaire (2019), who documented that the absence of awareness of youth-friendly reproductive health services is a significant factor that promotes unsafe abortion methods among the adolescents. These decisions are further </w:t>
      </w:r>
      <w:r w:rsidRPr="00267512">
        <w:rPr>
          <w:szCs w:val="24"/>
        </w:rPr>
        <w:lastRenderedPageBreak/>
        <w:t xml:space="preserve">elaborated by the Ecological Model Theory (Bronfenbrenner, 1977) which argues that these decisions are defined by the environment such as peers, culture and availability of information and usually tend to push young women into unsafe practices when </w:t>
      </w:r>
      <w:r w:rsidR="00AA6899" w:rsidRPr="00267512">
        <w:rPr>
          <w:szCs w:val="24"/>
        </w:rPr>
        <w:t>the safe ones are not in sight.</w:t>
      </w:r>
    </w:p>
    <w:p w14:paraId="458BCADC" w14:textId="14374F80" w:rsidR="00A95671" w:rsidRPr="00267512" w:rsidRDefault="00A95671" w:rsidP="00267512">
      <w:pPr>
        <w:rPr>
          <w:szCs w:val="24"/>
        </w:rPr>
      </w:pPr>
      <w:r w:rsidRPr="00267512">
        <w:rPr>
          <w:szCs w:val="24"/>
        </w:rPr>
        <w:t>The fourth statement looked at how poverty and financial issues affected abortion decisions, which had the median score of 4.236 and the lowest standard deviation of 0.542 indicating that there was high agreement of respondents. The findings underlined that poverty was one of the major motivating factors to carry out unsafe abortions, as several young women could not afford hospital charges or medicine. Healthcare providers observed that, although safe services are at hand, the price is a sig</w:t>
      </w:r>
      <w:r w:rsidR="00C6030B" w:rsidRPr="00267512">
        <w:rPr>
          <w:szCs w:val="24"/>
        </w:rPr>
        <w:t>nificant consideration that</w:t>
      </w:r>
      <w:r w:rsidRPr="00267512">
        <w:rPr>
          <w:szCs w:val="24"/>
        </w:rPr>
        <w:t xml:space="preserve"> not only discourage young women but also make them prefer cheaper unsafe methods. Blaylock et al. (2022) also pointed out financial limitations as a driving force in procedure selection, which proves that economic factors are the focal point of abortion choices. Rational Choice Theory backs this interpretation, arguing that women evaluate the prices and payoffs of their policies, and that monetary conditions often distort choices in </w:t>
      </w:r>
      <w:r w:rsidR="00AA6899" w:rsidRPr="00267512">
        <w:rPr>
          <w:szCs w:val="24"/>
        </w:rPr>
        <w:t>favor</w:t>
      </w:r>
      <w:r w:rsidRPr="00267512">
        <w:rPr>
          <w:szCs w:val="24"/>
        </w:rPr>
        <w:t xml:space="preserve"> of unsafe </w:t>
      </w:r>
      <w:r w:rsidR="00AA6899" w:rsidRPr="00267512">
        <w:rPr>
          <w:szCs w:val="24"/>
        </w:rPr>
        <w:t>behaviors</w:t>
      </w:r>
      <w:r w:rsidRPr="00267512">
        <w:rPr>
          <w:szCs w:val="24"/>
        </w:rPr>
        <w:t>.</w:t>
      </w:r>
    </w:p>
    <w:p w14:paraId="4C4B566D" w14:textId="295D25FA" w:rsidR="00A95671" w:rsidRPr="00267512" w:rsidRDefault="00A95671" w:rsidP="00267512">
      <w:pPr>
        <w:rPr>
          <w:szCs w:val="24"/>
        </w:rPr>
      </w:pPr>
      <w:r w:rsidRPr="00267512">
        <w:rPr>
          <w:szCs w:val="24"/>
        </w:rPr>
        <w:t>The fifth statement evaluated the presence of supportive reproductive health policies that promoted safer abortion options with a mean of 3.678 and standard deviation of 0.633 that showed moderation. The respondents proposed that policies are present but their execution and distribution are unregular and hence restrictive to the effect they have on the choice of women. One of the providers said that policies are not enough but young women require guidance and support so that they can access services safely. The same patterns were identified by Chigbu et al. (2018), who discovered that legal frameworks in Nigeria did not always translate into safer choices because of the lapses in awareness and implementation that support the idea of policy and practice intervention.</w:t>
      </w:r>
    </w:p>
    <w:p w14:paraId="79BDAEB3" w14:textId="007ACCB6" w:rsidR="00A95671" w:rsidRPr="00267512" w:rsidRDefault="00A95671" w:rsidP="00267512">
      <w:pPr>
        <w:rPr>
          <w:szCs w:val="24"/>
        </w:rPr>
      </w:pPr>
      <w:r w:rsidRPr="00267512">
        <w:rPr>
          <w:szCs w:val="24"/>
        </w:rPr>
        <w:lastRenderedPageBreak/>
        <w:t>The sixth descriptor assessed whether the society caused stigma that made women decide on abortion in the secret, at times at the risk of their lives. The statement had a mean of 4.148 and a standard deviation of 0.561 indicating that respondents agreed with the statement. The healthcare givers noted that fear of judgment led to secrecy, which resulted in the procrastination of care seeking and the occurrence of unsafe practices. One of the providers said, many girls visit us after risky attempts because they fear to be caught in a hospital. The same point is supported by Osborne et al. (2022), who stated that the attitudes and stigma held by the society greatly influence abortion behavior, usually forcing women to hide their reproductive choices, thereby exerting health hazards.</w:t>
      </w:r>
    </w:p>
    <w:p w14:paraId="36699DD9" w14:textId="368B1BFC" w:rsidR="00CB5A8E" w:rsidRDefault="00A95671" w:rsidP="007A5305">
      <w:pPr>
        <w:spacing w:line="360" w:lineRule="auto"/>
        <w:rPr>
          <w:szCs w:val="24"/>
        </w:rPr>
      </w:pPr>
      <w:r w:rsidRPr="00267512">
        <w:rPr>
          <w:szCs w:val="24"/>
        </w:rPr>
        <w:t>The overall average of 3.906 and a standard deviation of 0.600 indicated a generalized agreement that the issue of abortion decision-making among young women in Bungoma was interdependent on a combination of various factors, such as awareness, financial ability, policy, and professional advice, and stigma. The observations of healthcare providers indicated that having accessible, youth-friendly, and confidential services was important to promote safe abortions. These results highlight the fact that Rational Choice Theory, Street-Level Bureaucracy, and Ecological Model Theory together explain the choice to have an abortion, and detailed interventions to overcome economic, social, and policy-related obstacles to practicing safe abortions are essential.</w:t>
      </w:r>
    </w:p>
    <w:p w14:paraId="621C28DD" w14:textId="77777777" w:rsidR="007A5305" w:rsidRDefault="007A5305" w:rsidP="007A5305">
      <w:pPr>
        <w:spacing w:line="360" w:lineRule="auto"/>
        <w:rPr>
          <w:szCs w:val="24"/>
        </w:rPr>
      </w:pPr>
    </w:p>
    <w:p w14:paraId="6D588943" w14:textId="77777777" w:rsidR="007A5305" w:rsidRDefault="007A5305" w:rsidP="007A5305">
      <w:pPr>
        <w:spacing w:line="360" w:lineRule="auto"/>
        <w:rPr>
          <w:szCs w:val="24"/>
        </w:rPr>
      </w:pPr>
    </w:p>
    <w:p w14:paraId="7896CD84" w14:textId="77777777" w:rsidR="007A5305" w:rsidRDefault="007A5305" w:rsidP="007A5305">
      <w:pPr>
        <w:spacing w:line="360" w:lineRule="auto"/>
        <w:rPr>
          <w:szCs w:val="24"/>
        </w:rPr>
      </w:pPr>
    </w:p>
    <w:p w14:paraId="4C573CA9" w14:textId="77777777" w:rsidR="007A5305" w:rsidRDefault="007A5305" w:rsidP="007A5305">
      <w:pPr>
        <w:spacing w:line="360" w:lineRule="auto"/>
        <w:rPr>
          <w:szCs w:val="24"/>
        </w:rPr>
      </w:pPr>
    </w:p>
    <w:p w14:paraId="49BEF50A" w14:textId="77777777" w:rsidR="007A5305" w:rsidRPr="00267512" w:rsidRDefault="007A5305" w:rsidP="007A5305">
      <w:pPr>
        <w:spacing w:line="360" w:lineRule="auto"/>
        <w:rPr>
          <w:szCs w:val="24"/>
        </w:rPr>
      </w:pPr>
    </w:p>
    <w:p w14:paraId="5B0DF349" w14:textId="2C3C5CD3" w:rsidR="00A80BD4" w:rsidRPr="00267512" w:rsidRDefault="00267512" w:rsidP="007A5305">
      <w:pPr>
        <w:pStyle w:val="Heading2"/>
        <w:spacing w:line="360" w:lineRule="auto"/>
      </w:pPr>
      <w:bookmarkStart w:id="8" w:name="_Toc208234128"/>
      <w:r w:rsidRPr="00267512">
        <w:t>7.0</w:t>
      </w:r>
      <w:r w:rsidR="00507621" w:rsidRPr="00267512">
        <w:t xml:space="preserve"> </w:t>
      </w:r>
      <w:bookmarkStart w:id="9" w:name="_Toc208234131"/>
      <w:bookmarkEnd w:id="8"/>
      <w:r w:rsidR="00507621" w:rsidRPr="00267512">
        <w:t>Regression Analysis</w:t>
      </w:r>
      <w:bookmarkEnd w:id="9"/>
    </w:p>
    <w:tbl>
      <w:tblPr>
        <w:tblW w:w="9119" w:type="dxa"/>
        <w:tblLayout w:type="fixed"/>
        <w:tblCellMar>
          <w:left w:w="0" w:type="dxa"/>
          <w:right w:w="0" w:type="dxa"/>
        </w:tblCellMar>
        <w:tblLook w:val="0000" w:firstRow="0" w:lastRow="0" w:firstColumn="0" w:lastColumn="0" w:noHBand="0" w:noVBand="0"/>
      </w:tblPr>
      <w:tblGrid>
        <w:gridCol w:w="450"/>
        <w:gridCol w:w="2520"/>
        <w:gridCol w:w="1331"/>
        <w:gridCol w:w="1331"/>
        <w:gridCol w:w="1469"/>
        <w:gridCol w:w="1009"/>
        <w:gridCol w:w="1009"/>
      </w:tblGrid>
      <w:tr w:rsidR="000F1A4B" w:rsidRPr="00267512" w14:paraId="4E05CF27" w14:textId="77777777" w:rsidTr="00267512">
        <w:trPr>
          <w:cantSplit/>
        </w:trPr>
        <w:tc>
          <w:tcPr>
            <w:tcW w:w="9119" w:type="dxa"/>
            <w:gridSpan w:val="7"/>
            <w:shd w:val="clear" w:color="auto" w:fill="FFFFFF"/>
          </w:tcPr>
          <w:p w14:paraId="0CB9C6A1" w14:textId="213FD2F7" w:rsidR="000F1A4B" w:rsidRPr="00267512" w:rsidRDefault="00267512" w:rsidP="007A5305">
            <w:pPr>
              <w:pStyle w:val="Heading2"/>
              <w:spacing w:line="360" w:lineRule="auto"/>
            </w:pPr>
            <w:bookmarkStart w:id="10" w:name="_Toc208233890"/>
            <w:bookmarkStart w:id="11" w:name="_Toc208234134"/>
            <w:r w:rsidRPr="00267512">
              <w:t xml:space="preserve">Table </w:t>
            </w:r>
            <w:r w:rsidR="00A80BD4" w:rsidRPr="00267512">
              <w:t xml:space="preserve">4: </w:t>
            </w:r>
            <w:proofErr w:type="spellStart"/>
            <w:r w:rsidR="000F1A4B" w:rsidRPr="00267512">
              <w:t>Coefficients</w:t>
            </w:r>
            <w:r w:rsidR="000F1A4B" w:rsidRPr="00267512">
              <w:rPr>
                <w:vertAlign w:val="superscript"/>
              </w:rPr>
              <w:t>a</w:t>
            </w:r>
            <w:bookmarkEnd w:id="10"/>
            <w:bookmarkEnd w:id="11"/>
            <w:proofErr w:type="spellEnd"/>
          </w:p>
        </w:tc>
      </w:tr>
      <w:tr w:rsidR="000F1A4B" w:rsidRPr="00267512" w14:paraId="30BBD976" w14:textId="77777777" w:rsidTr="00267512">
        <w:trPr>
          <w:cantSplit/>
        </w:trPr>
        <w:tc>
          <w:tcPr>
            <w:tcW w:w="2970" w:type="dxa"/>
            <w:gridSpan w:val="2"/>
            <w:vMerge w:val="restart"/>
            <w:tcBorders>
              <w:top w:val="single" w:sz="4" w:space="0" w:color="auto"/>
            </w:tcBorders>
            <w:shd w:val="clear" w:color="auto" w:fill="FFFFFF"/>
          </w:tcPr>
          <w:p w14:paraId="4FE8EA04" w14:textId="77777777" w:rsidR="000F1A4B" w:rsidRPr="00267512" w:rsidRDefault="000F1A4B" w:rsidP="007A5305">
            <w:pPr>
              <w:autoSpaceDE w:val="0"/>
              <w:autoSpaceDN w:val="0"/>
              <w:adjustRightInd w:val="0"/>
              <w:spacing w:after="0" w:line="360" w:lineRule="auto"/>
              <w:ind w:left="60" w:right="60"/>
              <w:rPr>
                <w:rFonts w:cs="Times New Roman"/>
                <w:color w:val="000000"/>
                <w:szCs w:val="24"/>
              </w:rPr>
            </w:pPr>
            <w:r w:rsidRPr="00267512">
              <w:rPr>
                <w:rFonts w:cs="Times New Roman"/>
                <w:color w:val="000000"/>
                <w:szCs w:val="24"/>
              </w:rPr>
              <w:lastRenderedPageBreak/>
              <w:t>Model</w:t>
            </w:r>
          </w:p>
        </w:tc>
        <w:tc>
          <w:tcPr>
            <w:tcW w:w="2662" w:type="dxa"/>
            <w:gridSpan w:val="2"/>
            <w:tcBorders>
              <w:top w:val="single" w:sz="4" w:space="0" w:color="auto"/>
            </w:tcBorders>
            <w:shd w:val="clear" w:color="auto" w:fill="FFFFFF"/>
          </w:tcPr>
          <w:p w14:paraId="35668AB9" w14:textId="77777777" w:rsidR="000F1A4B" w:rsidRPr="00267512" w:rsidRDefault="000F1A4B" w:rsidP="007A5305">
            <w:pPr>
              <w:autoSpaceDE w:val="0"/>
              <w:autoSpaceDN w:val="0"/>
              <w:adjustRightInd w:val="0"/>
              <w:spacing w:after="0" w:line="360" w:lineRule="auto"/>
              <w:ind w:left="60" w:right="60"/>
              <w:rPr>
                <w:rFonts w:cs="Times New Roman"/>
                <w:color w:val="000000"/>
                <w:szCs w:val="24"/>
              </w:rPr>
            </w:pPr>
            <w:r w:rsidRPr="00267512">
              <w:rPr>
                <w:rFonts w:cs="Times New Roman"/>
                <w:color w:val="000000"/>
                <w:szCs w:val="24"/>
              </w:rPr>
              <w:t>Unstandardized Coefficients</w:t>
            </w:r>
          </w:p>
        </w:tc>
        <w:tc>
          <w:tcPr>
            <w:tcW w:w="1469" w:type="dxa"/>
            <w:tcBorders>
              <w:top w:val="single" w:sz="4" w:space="0" w:color="auto"/>
            </w:tcBorders>
            <w:shd w:val="clear" w:color="auto" w:fill="FFFFFF"/>
          </w:tcPr>
          <w:p w14:paraId="39E4AAEE" w14:textId="77777777" w:rsidR="000F1A4B" w:rsidRPr="00267512" w:rsidRDefault="000F1A4B" w:rsidP="007A5305">
            <w:pPr>
              <w:autoSpaceDE w:val="0"/>
              <w:autoSpaceDN w:val="0"/>
              <w:adjustRightInd w:val="0"/>
              <w:spacing w:after="0" w:line="360" w:lineRule="auto"/>
              <w:ind w:left="60" w:right="60"/>
              <w:rPr>
                <w:rFonts w:cs="Times New Roman"/>
                <w:color w:val="000000"/>
                <w:szCs w:val="24"/>
              </w:rPr>
            </w:pPr>
            <w:r w:rsidRPr="00267512">
              <w:rPr>
                <w:rFonts w:cs="Times New Roman"/>
                <w:color w:val="000000"/>
                <w:szCs w:val="24"/>
              </w:rPr>
              <w:t>Standardized Coefficients</w:t>
            </w:r>
          </w:p>
        </w:tc>
        <w:tc>
          <w:tcPr>
            <w:tcW w:w="1009" w:type="dxa"/>
            <w:vMerge w:val="restart"/>
            <w:tcBorders>
              <w:top w:val="single" w:sz="4" w:space="0" w:color="auto"/>
            </w:tcBorders>
            <w:shd w:val="clear" w:color="auto" w:fill="FFFFFF"/>
          </w:tcPr>
          <w:p w14:paraId="147E507E" w14:textId="77777777" w:rsidR="000F1A4B" w:rsidRPr="00267512" w:rsidRDefault="000F1A4B" w:rsidP="007A5305">
            <w:pPr>
              <w:autoSpaceDE w:val="0"/>
              <w:autoSpaceDN w:val="0"/>
              <w:adjustRightInd w:val="0"/>
              <w:spacing w:after="0" w:line="360" w:lineRule="auto"/>
              <w:ind w:left="60" w:right="60"/>
              <w:rPr>
                <w:rFonts w:cs="Times New Roman"/>
                <w:color w:val="000000"/>
                <w:szCs w:val="24"/>
              </w:rPr>
            </w:pPr>
            <w:r w:rsidRPr="00267512">
              <w:rPr>
                <w:rFonts w:cs="Times New Roman"/>
                <w:color w:val="000000"/>
                <w:szCs w:val="24"/>
              </w:rPr>
              <w:t>t</w:t>
            </w:r>
          </w:p>
        </w:tc>
        <w:tc>
          <w:tcPr>
            <w:tcW w:w="1009" w:type="dxa"/>
            <w:vMerge w:val="restart"/>
            <w:tcBorders>
              <w:top w:val="single" w:sz="4" w:space="0" w:color="auto"/>
            </w:tcBorders>
            <w:shd w:val="clear" w:color="auto" w:fill="FFFFFF"/>
          </w:tcPr>
          <w:p w14:paraId="4CE2B80E" w14:textId="77777777" w:rsidR="000F1A4B" w:rsidRPr="00267512" w:rsidRDefault="000F1A4B" w:rsidP="007A5305">
            <w:pPr>
              <w:autoSpaceDE w:val="0"/>
              <w:autoSpaceDN w:val="0"/>
              <w:adjustRightInd w:val="0"/>
              <w:spacing w:after="0" w:line="360" w:lineRule="auto"/>
              <w:ind w:left="60" w:right="60"/>
              <w:rPr>
                <w:rFonts w:cs="Times New Roman"/>
                <w:color w:val="000000"/>
                <w:szCs w:val="24"/>
              </w:rPr>
            </w:pPr>
            <w:r w:rsidRPr="00267512">
              <w:rPr>
                <w:rFonts w:cs="Times New Roman"/>
                <w:color w:val="000000"/>
                <w:szCs w:val="24"/>
              </w:rPr>
              <w:t>Sig.</w:t>
            </w:r>
          </w:p>
        </w:tc>
      </w:tr>
      <w:tr w:rsidR="000F1A4B" w:rsidRPr="00267512" w14:paraId="1A5800EF" w14:textId="77777777" w:rsidTr="00267512">
        <w:trPr>
          <w:cantSplit/>
        </w:trPr>
        <w:tc>
          <w:tcPr>
            <w:tcW w:w="2970" w:type="dxa"/>
            <w:gridSpan w:val="2"/>
            <w:vMerge/>
            <w:shd w:val="clear" w:color="auto" w:fill="FFFFFF"/>
          </w:tcPr>
          <w:p w14:paraId="31925EAE" w14:textId="77777777" w:rsidR="000F1A4B" w:rsidRPr="00267512" w:rsidRDefault="000F1A4B" w:rsidP="007A5305">
            <w:pPr>
              <w:autoSpaceDE w:val="0"/>
              <w:autoSpaceDN w:val="0"/>
              <w:adjustRightInd w:val="0"/>
              <w:spacing w:after="0" w:line="360" w:lineRule="auto"/>
              <w:rPr>
                <w:rFonts w:cs="Times New Roman"/>
                <w:color w:val="000000"/>
                <w:szCs w:val="24"/>
              </w:rPr>
            </w:pPr>
          </w:p>
        </w:tc>
        <w:tc>
          <w:tcPr>
            <w:tcW w:w="1331" w:type="dxa"/>
            <w:shd w:val="clear" w:color="auto" w:fill="FFFFFF"/>
          </w:tcPr>
          <w:p w14:paraId="574718BE" w14:textId="77777777" w:rsidR="000F1A4B" w:rsidRPr="00267512" w:rsidRDefault="000F1A4B" w:rsidP="007A5305">
            <w:pPr>
              <w:autoSpaceDE w:val="0"/>
              <w:autoSpaceDN w:val="0"/>
              <w:adjustRightInd w:val="0"/>
              <w:spacing w:after="0" w:line="360" w:lineRule="auto"/>
              <w:ind w:left="60" w:right="60"/>
              <w:rPr>
                <w:rFonts w:cs="Times New Roman"/>
                <w:color w:val="000000"/>
                <w:szCs w:val="24"/>
              </w:rPr>
            </w:pPr>
            <w:r w:rsidRPr="00267512">
              <w:rPr>
                <w:rFonts w:cs="Times New Roman"/>
                <w:color w:val="000000"/>
                <w:szCs w:val="24"/>
              </w:rPr>
              <w:t>B</w:t>
            </w:r>
          </w:p>
        </w:tc>
        <w:tc>
          <w:tcPr>
            <w:tcW w:w="1331" w:type="dxa"/>
            <w:shd w:val="clear" w:color="auto" w:fill="FFFFFF"/>
          </w:tcPr>
          <w:p w14:paraId="5D8D2190" w14:textId="77777777" w:rsidR="000F1A4B" w:rsidRPr="00267512" w:rsidRDefault="000F1A4B" w:rsidP="007A5305">
            <w:pPr>
              <w:autoSpaceDE w:val="0"/>
              <w:autoSpaceDN w:val="0"/>
              <w:adjustRightInd w:val="0"/>
              <w:spacing w:after="0" w:line="360" w:lineRule="auto"/>
              <w:ind w:left="60" w:right="60"/>
              <w:rPr>
                <w:rFonts w:cs="Times New Roman"/>
                <w:color w:val="000000"/>
                <w:szCs w:val="24"/>
              </w:rPr>
            </w:pPr>
            <w:r w:rsidRPr="00267512">
              <w:rPr>
                <w:rFonts w:cs="Times New Roman"/>
                <w:color w:val="000000"/>
                <w:szCs w:val="24"/>
              </w:rPr>
              <w:t>Std. Error</w:t>
            </w:r>
          </w:p>
        </w:tc>
        <w:tc>
          <w:tcPr>
            <w:tcW w:w="1469" w:type="dxa"/>
            <w:shd w:val="clear" w:color="auto" w:fill="FFFFFF"/>
          </w:tcPr>
          <w:p w14:paraId="0A4D8AC6" w14:textId="77777777" w:rsidR="000F1A4B" w:rsidRPr="00267512" w:rsidRDefault="000F1A4B" w:rsidP="007A5305">
            <w:pPr>
              <w:autoSpaceDE w:val="0"/>
              <w:autoSpaceDN w:val="0"/>
              <w:adjustRightInd w:val="0"/>
              <w:spacing w:after="0" w:line="360" w:lineRule="auto"/>
              <w:ind w:left="60" w:right="60"/>
              <w:rPr>
                <w:rFonts w:cs="Times New Roman"/>
                <w:color w:val="000000"/>
                <w:szCs w:val="24"/>
              </w:rPr>
            </w:pPr>
            <w:r w:rsidRPr="00267512">
              <w:rPr>
                <w:rFonts w:cs="Times New Roman"/>
                <w:color w:val="000000"/>
                <w:szCs w:val="24"/>
              </w:rPr>
              <w:t>Beta</w:t>
            </w:r>
          </w:p>
        </w:tc>
        <w:tc>
          <w:tcPr>
            <w:tcW w:w="1009" w:type="dxa"/>
            <w:vMerge/>
            <w:shd w:val="clear" w:color="auto" w:fill="FFFFFF"/>
          </w:tcPr>
          <w:p w14:paraId="5BD19243" w14:textId="77777777" w:rsidR="000F1A4B" w:rsidRPr="00267512" w:rsidRDefault="000F1A4B" w:rsidP="007A5305">
            <w:pPr>
              <w:autoSpaceDE w:val="0"/>
              <w:autoSpaceDN w:val="0"/>
              <w:adjustRightInd w:val="0"/>
              <w:spacing w:after="0" w:line="360" w:lineRule="auto"/>
              <w:rPr>
                <w:rFonts w:cs="Times New Roman"/>
                <w:color w:val="000000"/>
                <w:szCs w:val="24"/>
              </w:rPr>
            </w:pPr>
          </w:p>
        </w:tc>
        <w:tc>
          <w:tcPr>
            <w:tcW w:w="1009" w:type="dxa"/>
            <w:vMerge/>
            <w:shd w:val="clear" w:color="auto" w:fill="FFFFFF"/>
          </w:tcPr>
          <w:p w14:paraId="11E5075C" w14:textId="77777777" w:rsidR="000F1A4B" w:rsidRPr="00267512" w:rsidRDefault="000F1A4B" w:rsidP="007A5305">
            <w:pPr>
              <w:autoSpaceDE w:val="0"/>
              <w:autoSpaceDN w:val="0"/>
              <w:adjustRightInd w:val="0"/>
              <w:spacing w:after="0" w:line="360" w:lineRule="auto"/>
              <w:rPr>
                <w:rFonts w:cs="Times New Roman"/>
                <w:color w:val="000000"/>
                <w:szCs w:val="24"/>
              </w:rPr>
            </w:pPr>
          </w:p>
        </w:tc>
      </w:tr>
      <w:tr w:rsidR="000F1A4B" w:rsidRPr="00267512" w14:paraId="054850F4" w14:textId="77777777" w:rsidTr="00267512">
        <w:trPr>
          <w:cantSplit/>
        </w:trPr>
        <w:tc>
          <w:tcPr>
            <w:tcW w:w="450" w:type="dxa"/>
            <w:vMerge w:val="restart"/>
            <w:tcBorders>
              <w:top w:val="single" w:sz="4" w:space="0" w:color="auto"/>
            </w:tcBorders>
            <w:shd w:val="clear" w:color="auto" w:fill="FFFFFF"/>
            <w:vAlign w:val="center"/>
          </w:tcPr>
          <w:p w14:paraId="3D288041" w14:textId="77777777" w:rsidR="000F1A4B" w:rsidRPr="00267512" w:rsidRDefault="000F1A4B" w:rsidP="007A5305">
            <w:pPr>
              <w:autoSpaceDE w:val="0"/>
              <w:autoSpaceDN w:val="0"/>
              <w:adjustRightInd w:val="0"/>
              <w:spacing w:after="0" w:line="360" w:lineRule="auto"/>
              <w:ind w:left="60" w:right="60"/>
              <w:rPr>
                <w:rFonts w:cs="Times New Roman"/>
                <w:color w:val="000000"/>
                <w:szCs w:val="24"/>
              </w:rPr>
            </w:pPr>
            <w:r w:rsidRPr="00267512">
              <w:rPr>
                <w:rFonts w:cs="Times New Roman"/>
                <w:color w:val="000000"/>
                <w:szCs w:val="24"/>
              </w:rPr>
              <w:t>1</w:t>
            </w:r>
          </w:p>
        </w:tc>
        <w:tc>
          <w:tcPr>
            <w:tcW w:w="2520" w:type="dxa"/>
            <w:tcBorders>
              <w:top w:val="single" w:sz="4" w:space="0" w:color="auto"/>
            </w:tcBorders>
            <w:shd w:val="clear" w:color="auto" w:fill="FFFFFF"/>
            <w:vAlign w:val="center"/>
          </w:tcPr>
          <w:p w14:paraId="55CD16A1" w14:textId="77777777" w:rsidR="000F1A4B" w:rsidRPr="00267512" w:rsidRDefault="000F1A4B" w:rsidP="007A5305">
            <w:pPr>
              <w:autoSpaceDE w:val="0"/>
              <w:autoSpaceDN w:val="0"/>
              <w:adjustRightInd w:val="0"/>
              <w:spacing w:after="0" w:line="360" w:lineRule="auto"/>
              <w:ind w:left="60" w:right="60"/>
              <w:rPr>
                <w:rFonts w:cs="Times New Roman"/>
                <w:color w:val="000000"/>
                <w:szCs w:val="24"/>
              </w:rPr>
            </w:pPr>
            <w:r w:rsidRPr="00267512">
              <w:rPr>
                <w:rFonts w:cs="Times New Roman"/>
                <w:color w:val="000000"/>
                <w:szCs w:val="24"/>
              </w:rPr>
              <w:t>(Constant)</w:t>
            </w:r>
          </w:p>
        </w:tc>
        <w:tc>
          <w:tcPr>
            <w:tcW w:w="1331" w:type="dxa"/>
            <w:tcBorders>
              <w:top w:val="single" w:sz="4" w:space="0" w:color="auto"/>
            </w:tcBorders>
            <w:shd w:val="clear" w:color="auto" w:fill="FFFFFF"/>
            <w:vAlign w:val="center"/>
          </w:tcPr>
          <w:p w14:paraId="37E9F03C" w14:textId="5C19DA4C" w:rsidR="000F1A4B" w:rsidRPr="00267512" w:rsidRDefault="00267512" w:rsidP="007A5305">
            <w:pPr>
              <w:autoSpaceDE w:val="0"/>
              <w:autoSpaceDN w:val="0"/>
              <w:adjustRightInd w:val="0"/>
              <w:spacing w:after="0" w:line="360" w:lineRule="auto"/>
              <w:ind w:left="60" w:right="60"/>
              <w:rPr>
                <w:rFonts w:cs="Times New Roman"/>
                <w:color w:val="000000"/>
                <w:szCs w:val="24"/>
              </w:rPr>
            </w:pPr>
            <w:r w:rsidRPr="00267512">
              <w:rPr>
                <w:rFonts w:cs="Times New Roman"/>
                <w:color w:val="000000"/>
                <w:szCs w:val="24"/>
              </w:rPr>
              <w:t>1</w:t>
            </w:r>
            <w:r w:rsidR="000F1A4B" w:rsidRPr="00267512">
              <w:rPr>
                <w:rFonts w:cs="Times New Roman"/>
                <w:color w:val="000000"/>
                <w:szCs w:val="24"/>
              </w:rPr>
              <w:t>.662</w:t>
            </w:r>
          </w:p>
        </w:tc>
        <w:tc>
          <w:tcPr>
            <w:tcW w:w="1331" w:type="dxa"/>
            <w:tcBorders>
              <w:top w:val="single" w:sz="4" w:space="0" w:color="auto"/>
            </w:tcBorders>
            <w:shd w:val="clear" w:color="auto" w:fill="FFFFFF"/>
            <w:vAlign w:val="center"/>
          </w:tcPr>
          <w:p w14:paraId="24B20E28" w14:textId="1BADB89F" w:rsidR="000F1A4B" w:rsidRPr="00267512" w:rsidRDefault="00267512" w:rsidP="007A5305">
            <w:pPr>
              <w:autoSpaceDE w:val="0"/>
              <w:autoSpaceDN w:val="0"/>
              <w:adjustRightInd w:val="0"/>
              <w:spacing w:after="0" w:line="360" w:lineRule="auto"/>
              <w:ind w:left="60" w:right="60"/>
              <w:rPr>
                <w:rFonts w:cs="Times New Roman"/>
                <w:color w:val="000000"/>
                <w:szCs w:val="24"/>
              </w:rPr>
            </w:pPr>
            <w:r w:rsidRPr="00267512">
              <w:rPr>
                <w:rFonts w:cs="Times New Roman"/>
                <w:color w:val="000000"/>
                <w:szCs w:val="24"/>
              </w:rPr>
              <w:t>1</w:t>
            </w:r>
            <w:r w:rsidR="000F1A4B" w:rsidRPr="00267512">
              <w:rPr>
                <w:rFonts w:cs="Times New Roman"/>
                <w:color w:val="000000"/>
                <w:szCs w:val="24"/>
              </w:rPr>
              <w:t>.733</w:t>
            </w:r>
          </w:p>
        </w:tc>
        <w:tc>
          <w:tcPr>
            <w:tcW w:w="1469" w:type="dxa"/>
            <w:tcBorders>
              <w:top w:val="single" w:sz="4" w:space="0" w:color="auto"/>
            </w:tcBorders>
            <w:shd w:val="clear" w:color="auto" w:fill="FFFFFF"/>
          </w:tcPr>
          <w:p w14:paraId="5DD5DEA2" w14:textId="77777777" w:rsidR="000F1A4B" w:rsidRPr="00267512" w:rsidRDefault="000F1A4B" w:rsidP="007A5305">
            <w:pPr>
              <w:autoSpaceDE w:val="0"/>
              <w:autoSpaceDN w:val="0"/>
              <w:adjustRightInd w:val="0"/>
              <w:spacing w:after="0" w:line="360" w:lineRule="auto"/>
              <w:rPr>
                <w:rFonts w:cs="Times New Roman"/>
                <w:szCs w:val="24"/>
              </w:rPr>
            </w:pPr>
          </w:p>
        </w:tc>
        <w:tc>
          <w:tcPr>
            <w:tcW w:w="1009" w:type="dxa"/>
            <w:tcBorders>
              <w:top w:val="single" w:sz="4" w:space="0" w:color="auto"/>
            </w:tcBorders>
            <w:shd w:val="clear" w:color="auto" w:fill="FFFFFF"/>
            <w:vAlign w:val="center"/>
          </w:tcPr>
          <w:p w14:paraId="70CADF57" w14:textId="77777777" w:rsidR="000F1A4B" w:rsidRPr="00267512" w:rsidRDefault="000F1A4B" w:rsidP="007A5305">
            <w:pPr>
              <w:autoSpaceDE w:val="0"/>
              <w:autoSpaceDN w:val="0"/>
              <w:adjustRightInd w:val="0"/>
              <w:spacing w:after="0" w:line="360" w:lineRule="auto"/>
              <w:ind w:left="60" w:right="60"/>
              <w:rPr>
                <w:rFonts w:cs="Times New Roman"/>
                <w:color w:val="000000"/>
                <w:szCs w:val="24"/>
              </w:rPr>
            </w:pPr>
            <w:r w:rsidRPr="00267512">
              <w:rPr>
                <w:rFonts w:cs="Times New Roman"/>
                <w:color w:val="000000"/>
                <w:szCs w:val="24"/>
              </w:rPr>
              <w:t>7.945</w:t>
            </w:r>
          </w:p>
        </w:tc>
        <w:tc>
          <w:tcPr>
            <w:tcW w:w="1009" w:type="dxa"/>
            <w:tcBorders>
              <w:top w:val="single" w:sz="4" w:space="0" w:color="auto"/>
            </w:tcBorders>
            <w:shd w:val="clear" w:color="auto" w:fill="FFFFFF"/>
            <w:vAlign w:val="center"/>
          </w:tcPr>
          <w:p w14:paraId="31E6FB6D" w14:textId="77777777" w:rsidR="000F1A4B" w:rsidRPr="00267512" w:rsidRDefault="000F1A4B" w:rsidP="007A5305">
            <w:pPr>
              <w:autoSpaceDE w:val="0"/>
              <w:autoSpaceDN w:val="0"/>
              <w:adjustRightInd w:val="0"/>
              <w:spacing w:after="0" w:line="360" w:lineRule="auto"/>
              <w:ind w:left="60" w:right="60"/>
              <w:rPr>
                <w:rFonts w:cs="Times New Roman"/>
                <w:color w:val="000000"/>
                <w:szCs w:val="24"/>
              </w:rPr>
            </w:pPr>
            <w:r w:rsidRPr="00267512">
              <w:rPr>
                <w:rFonts w:cs="Times New Roman"/>
                <w:color w:val="000000"/>
                <w:szCs w:val="24"/>
              </w:rPr>
              <w:t>.000</w:t>
            </w:r>
          </w:p>
        </w:tc>
      </w:tr>
      <w:tr w:rsidR="000F1A4B" w:rsidRPr="00267512" w14:paraId="13DB1541" w14:textId="77777777" w:rsidTr="00267512">
        <w:trPr>
          <w:cantSplit/>
        </w:trPr>
        <w:tc>
          <w:tcPr>
            <w:tcW w:w="450" w:type="dxa"/>
            <w:vMerge/>
            <w:shd w:val="clear" w:color="auto" w:fill="FFFFFF"/>
            <w:vAlign w:val="center"/>
          </w:tcPr>
          <w:p w14:paraId="425657A3" w14:textId="77777777" w:rsidR="000F1A4B" w:rsidRPr="00267512" w:rsidRDefault="000F1A4B" w:rsidP="007A5305">
            <w:pPr>
              <w:autoSpaceDE w:val="0"/>
              <w:autoSpaceDN w:val="0"/>
              <w:adjustRightInd w:val="0"/>
              <w:spacing w:after="0" w:line="360" w:lineRule="auto"/>
              <w:rPr>
                <w:rFonts w:cs="Times New Roman"/>
                <w:color w:val="000000"/>
                <w:szCs w:val="24"/>
              </w:rPr>
            </w:pPr>
          </w:p>
        </w:tc>
        <w:tc>
          <w:tcPr>
            <w:tcW w:w="2520" w:type="dxa"/>
            <w:shd w:val="clear" w:color="auto" w:fill="FFFFFF"/>
            <w:vAlign w:val="center"/>
          </w:tcPr>
          <w:p w14:paraId="056CEE7F" w14:textId="5F232665" w:rsidR="000F1A4B" w:rsidRPr="00267512" w:rsidRDefault="0081047D" w:rsidP="007A5305">
            <w:pPr>
              <w:autoSpaceDE w:val="0"/>
              <w:autoSpaceDN w:val="0"/>
              <w:adjustRightInd w:val="0"/>
              <w:spacing w:after="0" w:line="360" w:lineRule="auto"/>
              <w:ind w:left="60" w:right="60"/>
              <w:rPr>
                <w:rFonts w:cs="Times New Roman"/>
                <w:color w:val="000000"/>
                <w:szCs w:val="24"/>
              </w:rPr>
            </w:pPr>
            <w:r w:rsidRPr="00267512">
              <w:rPr>
                <w:rFonts w:cs="Times New Roman"/>
                <w:szCs w:val="24"/>
              </w:rPr>
              <w:t>Knowledge of abortion laws and policies</w:t>
            </w:r>
          </w:p>
        </w:tc>
        <w:tc>
          <w:tcPr>
            <w:tcW w:w="1331" w:type="dxa"/>
            <w:shd w:val="clear" w:color="auto" w:fill="FFFFFF"/>
            <w:vAlign w:val="center"/>
          </w:tcPr>
          <w:p w14:paraId="3F062F4A" w14:textId="77777777" w:rsidR="000F1A4B" w:rsidRPr="00267512" w:rsidRDefault="000F1A4B" w:rsidP="007A5305">
            <w:pPr>
              <w:autoSpaceDE w:val="0"/>
              <w:autoSpaceDN w:val="0"/>
              <w:adjustRightInd w:val="0"/>
              <w:spacing w:after="0" w:line="360" w:lineRule="auto"/>
              <w:ind w:left="60" w:right="60"/>
              <w:rPr>
                <w:rFonts w:cs="Times New Roman"/>
                <w:color w:val="000000"/>
                <w:szCs w:val="24"/>
              </w:rPr>
            </w:pPr>
            <w:r w:rsidRPr="00267512">
              <w:rPr>
                <w:rFonts w:cs="Times New Roman"/>
                <w:color w:val="000000"/>
                <w:szCs w:val="24"/>
              </w:rPr>
              <w:t>.765</w:t>
            </w:r>
          </w:p>
        </w:tc>
        <w:tc>
          <w:tcPr>
            <w:tcW w:w="1331" w:type="dxa"/>
            <w:shd w:val="clear" w:color="auto" w:fill="FFFFFF"/>
            <w:vAlign w:val="center"/>
          </w:tcPr>
          <w:p w14:paraId="6B5109B7" w14:textId="77777777" w:rsidR="000F1A4B" w:rsidRPr="00267512" w:rsidRDefault="000F1A4B" w:rsidP="007A5305">
            <w:pPr>
              <w:autoSpaceDE w:val="0"/>
              <w:autoSpaceDN w:val="0"/>
              <w:adjustRightInd w:val="0"/>
              <w:spacing w:after="0" w:line="360" w:lineRule="auto"/>
              <w:ind w:left="60" w:right="60"/>
              <w:rPr>
                <w:rFonts w:cs="Times New Roman"/>
                <w:color w:val="000000"/>
                <w:szCs w:val="24"/>
              </w:rPr>
            </w:pPr>
            <w:r w:rsidRPr="00267512">
              <w:rPr>
                <w:rFonts w:cs="Times New Roman"/>
                <w:color w:val="000000"/>
                <w:szCs w:val="24"/>
              </w:rPr>
              <w:t>.170</w:t>
            </w:r>
          </w:p>
        </w:tc>
        <w:tc>
          <w:tcPr>
            <w:tcW w:w="1469" w:type="dxa"/>
            <w:shd w:val="clear" w:color="auto" w:fill="FFFFFF"/>
            <w:vAlign w:val="center"/>
          </w:tcPr>
          <w:p w14:paraId="1EEE9789" w14:textId="77777777" w:rsidR="000F1A4B" w:rsidRPr="00267512" w:rsidRDefault="000F1A4B" w:rsidP="007A5305">
            <w:pPr>
              <w:autoSpaceDE w:val="0"/>
              <w:autoSpaceDN w:val="0"/>
              <w:adjustRightInd w:val="0"/>
              <w:spacing w:after="0" w:line="360" w:lineRule="auto"/>
              <w:ind w:left="60" w:right="60"/>
              <w:rPr>
                <w:rFonts w:cs="Times New Roman"/>
                <w:color w:val="000000"/>
                <w:szCs w:val="24"/>
              </w:rPr>
            </w:pPr>
            <w:r w:rsidRPr="00267512">
              <w:rPr>
                <w:rFonts w:cs="Times New Roman"/>
                <w:color w:val="000000"/>
                <w:szCs w:val="24"/>
              </w:rPr>
              <w:t>.469</w:t>
            </w:r>
          </w:p>
        </w:tc>
        <w:tc>
          <w:tcPr>
            <w:tcW w:w="1009" w:type="dxa"/>
            <w:shd w:val="clear" w:color="auto" w:fill="FFFFFF"/>
            <w:vAlign w:val="center"/>
          </w:tcPr>
          <w:p w14:paraId="42382562" w14:textId="77777777" w:rsidR="000F1A4B" w:rsidRPr="00267512" w:rsidRDefault="000F1A4B" w:rsidP="007A5305">
            <w:pPr>
              <w:autoSpaceDE w:val="0"/>
              <w:autoSpaceDN w:val="0"/>
              <w:adjustRightInd w:val="0"/>
              <w:spacing w:after="0" w:line="360" w:lineRule="auto"/>
              <w:ind w:left="60" w:right="60"/>
              <w:rPr>
                <w:rFonts w:cs="Times New Roman"/>
                <w:color w:val="000000"/>
                <w:szCs w:val="24"/>
              </w:rPr>
            </w:pPr>
            <w:r w:rsidRPr="00267512">
              <w:rPr>
                <w:rFonts w:cs="Times New Roman"/>
                <w:color w:val="000000"/>
                <w:szCs w:val="24"/>
              </w:rPr>
              <w:t>4.513</w:t>
            </w:r>
          </w:p>
        </w:tc>
        <w:tc>
          <w:tcPr>
            <w:tcW w:w="1009" w:type="dxa"/>
            <w:shd w:val="clear" w:color="auto" w:fill="FFFFFF"/>
            <w:vAlign w:val="center"/>
          </w:tcPr>
          <w:p w14:paraId="7EFEE66E" w14:textId="77777777" w:rsidR="000F1A4B" w:rsidRPr="00267512" w:rsidRDefault="000F1A4B" w:rsidP="007A5305">
            <w:pPr>
              <w:autoSpaceDE w:val="0"/>
              <w:autoSpaceDN w:val="0"/>
              <w:adjustRightInd w:val="0"/>
              <w:spacing w:after="0" w:line="360" w:lineRule="auto"/>
              <w:ind w:left="60" w:right="60"/>
              <w:rPr>
                <w:rFonts w:cs="Times New Roman"/>
                <w:color w:val="000000"/>
                <w:szCs w:val="24"/>
              </w:rPr>
            </w:pPr>
            <w:r w:rsidRPr="00267512">
              <w:rPr>
                <w:rFonts w:cs="Times New Roman"/>
                <w:color w:val="000000"/>
                <w:szCs w:val="24"/>
              </w:rPr>
              <w:t>.000</w:t>
            </w:r>
          </w:p>
        </w:tc>
      </w:tr>
      <w:tr w:rsidR="000F1A4B" w:rsidRPr="00267512" w14:paraId="4C32C54B" w14:textId="77777777" w:rsidTr="00267512">
        <w:trPr>
          <w:cantSplit/>
        </w:trPr>
        <w:tc>
          <w:tcPr>
            <w:tcW w:w="9119" w:type="dxa"/>
            <w:gridSpan w:val="7"/>
            <w:tcBorders>
              <w:top w:val="single" w:sz="4" w:space="0" w:color="auto"/>
            </w:tcBorders>
            <w:shd w:val="clear" w:color="auto" w:fill="FFFFFF"/>
          </w:tcPr>
          <w:p w14:paraId="4CCF6A6D" w14:textId="5D77EBCB" w:rsidR="000F1A4B" w:rsidRPr="00267512" w:rsidRDefault="000F1A4B" w:rsidP="007A5305">
            <w:pPr>
              <w:autoSpaceDE w:val="0"/>
              <w:autoSpaceDN w:val="0"/>
              <w:adjustRightInd w:val="0"/>
              <w:spacing w:after="0" w:line="360" w:lineRule="auto"/>
              <w:ind w:left="60" w:right="60"/>
              <w:rPr>
                <w:rFonts w:cs="Times New Roman"/>
                <w:color w:val="000000"/>
                <w:szCs w:val="24"/>
              </w:rPr>
            </w:pPr>
            <w:r w:rsidRPr="00267512">
              <w:rPr>
                <w:rFonts w:cs="Times New Roman"/>
                <w:color w:val="000000"/>
                <w:szCs w:val="24"/>
              </w:rPr>
              <w:t xml:space="preserve">a. Dependent Variable: </w:t>
            </w:r>
            <w:r w:rsidR="0081047D" w:rsidRPr="00267512">
              <w:rPr>
                <w:rFonts w:cs="Times New Roman"/>
                <w:szCs w:val="24"/>
              </w:rPr>
              <w:t>Abortion Choices</w:t>
            </w:r>
          </w:p>
        </w:tc>
      </w:tr>
    </w:tbl>
    <w:p w14:paraId="060E1C02" w14:textId="77777777" w:rsidR="00267512" w:rsidRPr="00267512" w:rsidRDefault="00267512" w:rsidP="007A5305">
      <w:pPr>
        <w:pStyle w:val="Default"/>
        <w:spacing w:line="360" w:lineRule="auto"/>
        <w:jc w:val="both"/>
        <w:rPr>
          <w:b/>
        </w:rPr>
      </w:pPr>
    </w:p>
    <w:p w14:paraId="65B6AB23" w14:textId="4C5A1CCF" w:rsidR="00A80BD4" w:rsidRPr="00267512" w:rsidRDefault="00A80BD4" w:rsidP="007A5305">
      <w:pPr>
        <w:pStyle w:val="Default"/>
        <w:spacing w:line="360" w:lineRule="auto"/>
        <w:jc w:val="both"/>
        <w:rPr>
          <w:b/>
        </w:rPr>
      </w:pPr>
      <w:r w:rsidRPr="00267512">
        <w:rPr>
          <w:b/>
        </w:rPr>
        <w:t xml:space="preserve">The adopted model </w:t>
      </w:r>
      <w:r w:rsidR="00267512" w:rsidRPr="00267512">
        <w:rPr>
          <w:b/>
        </w:rPr>
        <w:t>was; Y = 1</w:t>
      </w:r>
      <w:r w:rsidRPr="00267512">
        <w:rPr>
          <w:b/>
        </w:rPr>
        <w:t>.662 + 0.765X</w:t>
      </w:r>
      <w:r w:rsidRPr="00267512">
        <w:rPr>
          <w:b/>
          <w:vertAlign w:val="subscript"/>
        </w:rPr>
        <w:t>1</w:t>
      </w:r>
      <w:r w:rsidR="00267512" w:rsidRPr="00267512">
        <w:rPr>
          <w:b/>
        </w:rPr>
        <w:t xml:space="preserve"> </w:t>
      </w:r>
      <w:r w:rsidRPr="00267512">
        <w:rPr>
          <w:b/>
        </w:rPr>
        <w:t xml:space="preserve">+ </w:t>
      </w:r>
      <w:r w:rsidR="007A5305" w:rsidRPr="00267512">
        <w:rPr>
          <w:rFonts w:eastAsia="Times New Roman"/>
          <w:b/>
          <w:bCs/>
        </w:rPr>
        <w:t>ε</w:t>
      </w:r>
      <w:r w:rsidRPr="00267512">
        <w:rPr>
          <w:b/>
        </w:rPr>
        <w:t xml:space="preserve">. </w:t>
      </w:r>
    </w:p>
    <w:p w14:paraId="1C155510" w14:textId="77777777" w:rsidR="00A80BD4" w:rsidRPr="00267512" w:rsidRDefault="00A80BD4" w:rsidP="007A5305">
      <w:pPr>
        <w:spacing w:after="0" w:line="360" w:lineRule="auto"/>
        <w:rPr>
          <w:rFonts w:eastAsia="Times New Roman" w:cs="Times New Roman"/>
          <w:szCs w:val="24"/>
        </w:rPr>
      </w:pPr>
      <w:r w:rsidRPr="00267512">
        <w:rPr>
          <w:rFonts w:eastAsia="Times New Roman" w:cs="Times New Roman"/>
          <w:szCs w:val="24"/>
        </w:rPr>
        <w:t xml:space="preserve">Knowledge of abortion laws and policies was found to have a significant positive influence on abortion choices (B = 0.765, β = 0.469, t = 4.513, p = 0.000). This indicates that an increase in young women’s knowledge of legal frameworks and policy guidelines regarding abortion corresponds with a greater likelihood of making informed abortion decisions. The results underscore the importance of awareness campaigns, health education programs, and policy dissemination to enhance understanding among young women aged 18–24. These findings align with studies by </w:t>
      </w:r>
      <w:proofErr w:type="spellStart"/>
      <w:r w:rsidRPr="00267512">
        <w:rPr>
          <w:rFonts w:eastAsia="Times New Roman" w:cs="Times New Roman"/>
          <w:szCs w:val="24"/>
        </w:rPr>
        <w:t>Denno</w:t>
      </w:r>
      <w:proofErr w:type="spellEnd"/>
      <w:r w:rsidRPr="00267512">
        <w:rPr>
          <w:rFonts w:eastAsia="Times New Roman" w:cs="Times New Roman"/>
          <w:szCs w:val="24"/>
        </w:rPr>
        <w:t xml:space="preserve">, </w:t>
      </w:r>
      <w:proofErr w:type="spellStart"/>
      <w:r w:rsidRPr="00267512">
        <w:rPr>
          <w:rFonts w:eastAsia="Times New Roman" w:cs="Times New Roman"/>
          <w:szCs w:val="24"/>
        </w:rPr>
        <w:t>Plesons</w:t>
      </w:r>
      <w:proofErr w:type="spellEnd"/>
      <w:r w:rsidRPr="00267512">
        <w:rPr>
          <w:rFonts w:eastAsia="Times New Roman" w:cs="Times New Roman"/>
          <w:szCs w:val="24"/>
        </w:rPr>
        <w:t>, and Chandra-</w:t>
      </w:r>
      <w:proofErr w:type="spellStart"/>
      <w:r w:rsidRPr="00267512">
        <w:rPr>
          <w:rFonts w:eastAsia="Times New Roman" w:cs="Times New Roman"/>
          <w:szCs w:val="24"/>
        </w:rPr>
        <w:t>Mouli</w:t>
      </w:r>
      <w:proofErr w:type="spellEnd"/>
      <w:r w:rsidRPr="00267512">
        <w:rPr>
          <w:rFonts w:eastAsia="Times New Roman" w:cs="Times New Roman"/>
          <w:szCs w:val="24"/>
        </w:rPr>
        <w:t xml:space="preserve"> (2021) and Wahed et al. (2017), which emphasized that knowledge of reproductive health policies directly affects decision-making and access to safe abortion services. The study, therefore, highlights that informed legal knowledge equips young women to navigate abortion options safely, reducing reliance on unsafe practices.</w:t>
      </w:r>
    </w:p>
    <w:p w14:paraId="22C1C9AB" w14:textId="77777777" w:rsidR="00267512" w:rsidRPr="00267512" w:rsidRDefault="00267512" w:rsidP="007A5305">
      <w:pPr>
        <w:spacing w:before="100" w:beforeAutospacing="1" w:after="100" w:afterAutospacing="1" w:line="360" w:lineRule="auto"/>
        <w:rPr>
          <w:rFonts w:eastAsia="Times New Roman" w:cs="Times New Roman"/>
          <w:szCs w:val="24"/>
        </w:rPr>
      </w:pPr>
      <w:r w:rsidRPr="00267512">
        <w:rPr>
          <w:rFonts w:eastAsia="Times New Roman" w:cs="Times New Roman"/>
          <w:b/>
          <w:szCs w:val="24"/>
        </w:rPr>
        <w:t>8.0 Conclusion</w:t>
      </w:r>
    </w:p>
    <w:p w14:paraId="3492B9F4" w14:textId="7F4BE4F1" w:rsidR="00267512" w:rsidRPr="00267512" w:rsidRDefault="00267512" w:rsidP="007A5305">
      <w:pPr>
        <w:spacing w:before="100" w:beforeAutospacing="1" w:after="100" w:afterAutospacing="1" w:line="360" w:lineRule="auto"/>
        <w:rPr>
          <w:rFonts w:eastAsia="Times New Roman" w:cs="Times New Roman"/>
          <w:szCs w:val="24"/>
        </w:rPr>
      </w:pPr>
      <w:r w:rsidRPr="00267512">
        <w:rPr>
          <w:rFonts w:eastAsia="Times New Roman" w:cs="Times New Roman"/>
          <w:szCs w:val="24"/>
        </w:rPr>
        <w:t xml:space="preserve">The study concludes that knowledge, perceptions, and practices collectively shape abortion choices among young women in Bungoma County. The findings show that low awareness of abortion laws and policies limits informed decision-making, leading many young women to rely on peers and informal sources, which increases the likelihood of unsafe abortion methods. Cultural and religious beliefs significantly influence perceptions toward abortion, often reinforcing stigma and discouraging young women from seeking safe and legally permissible services. The study also found that abortion practices are largely influenced by financial constraints, access to healthcare facilities, and peer influence, which contribute to the prevalence of unsafe abortion. Ultimately, abortion choices are not driven by a single factor but by an interplay of legal awareness, social norms, economic realities, and availability of professional </w:t>
      </w:r>
      <w:r w:rsidRPr="00267512">
        <w:rPr>
          <w:rFonts w:eastAsia="Times New Roman" w:cs="Times New Roman"/>
          <w:szCs w:val="24"/>
        </w:rPr>
        <w:lastRenderedPageBreak/>
        <w:t>healthcare. Improving reproductive health outcomes therefore requires coordinated interventions that address legal knowledge, social perception, accessibility, and service delivery simultaneously.</w:t>
      </w:r>
    </w:p>
    <w:p w14:paraId="1D9AF98C" w14:textId="77777777" w:rsidR="00267512" w:rsidRPr="00267512" w:rsidRDefault="00267512" w:rsidP="007A5305">
      <w:pPr>
        <w:spacing w:before="100" w:beforeAutospacing="1" w:after="100" w:afterAutospacing="1" w:line="360" w:lineRule="auto"/>
        <w:rPr>
          <w:rFonts w:eastAsia="Times New Roman" w:cs="Times New Roman"/>
          <w:szCs w:val="24"/>
        </w:rPr>
      </w:pPr>
      <w:r w:rsidRPr="00267512">
        <w:rPr>
          <w:rFonts w:eastAsia="Times New Roman" w:cs="Times New Roman"/>
          <w:b/>
          <w:szCs w:val="24"/>
        </w:rPr>
        <w:t>9.0 Recommendations</w:t>
      </w:r>
    </w:p>
    <w:p w14:paraId="7BF4A2B3" w14:textId="6994BEE8" w:rsidR="00267512" w:rsidRPr="00267512" w:rsidRDefault="00267512" w:rsidP="007A5305">
      <w:pPr>
        <w:spacing w:before="100" w:beforeAutospacing="1" w:after="100" w:afterAutospacing="1" w:line="360" w:lineRule="auto"/>
        <w:rPr>
          <w:rFonts w:eastAsia="Times New Roman" w:cs="Times New Roman"/>
          <w:szCs w:val="24"/>
        </w:rPr>
      </w:pPr>
      <w:r w:rsidRPr="00267512">
        <w:rPr>
          <w:rFonts w:eastAsia="Times New Roman" w:cs="Times New Roman"/>
          <w:szCs w:val="24"/>
        </w:rPr>
        <w:t>The study recommends that Bungoma County health facilities and the Ministry of Health enhance reproductive health education targeting young women aged 18–24, with emphasis on clarifying the legal conditions under which abortion is permitted in Kenya. This should be supplemented by peer educator programs and collaboration with NGOs and community health volunteers. To address negative perceptions and stigma, healthcare providers should adopt nonjudgmental and culturally sensitive counseling approaches, while community and religious leaders should be engaged to support open and informed discussions on reproductive health. Enhancing safe abortion practices will require improving access to skilled health professionals, reducing service costs, ensuring privacy, and providing youth-friendly services in both public and private facilities. Additionally, structured decision-making support systems such as referral networks, mentorship programs, and post-abortion counseling should be integrated to guide young women toward safe and informed reproductive health choices.</w:t>
      </w:r>
    </w:p>
    <w:p w14:paraId="0A6CBB5A" w14:textId="77777777" w:rsidR="00267512" w:rsidRPr="00267512" w:rsidRDefault="00267512" w:rsidP="007A5305">
      <w:pPr>
        <w:spacing w:before="100" w:beforeAutospacing="1" w:after="100" w:afterAutospacing="1" w:line="360" w:lineRule="auto"/>
        <w:rPr>
          <w:rFonts w:eastAsia="Times New Roman" w:cs="Times New Roman"/>
          <w:szCs w:val="24"/>
        </w:rPr>
      </w:pPr>
      <w:r w:rsidRPr="00267512">
        <w:rPr>
          <w:rFonts w:eastAsia="Times New Roman" w:cs="Times New Roman"/>
          <w:b/>
          <w:szCs w:val="24"/>
        </w:rPr>
        <w:t>10.0 Discussion and Future Research Recommendations</w:t>
      </w:r>
    </w:p>
    <w:p w14:paraId="73129DCB" w14:textId="51B18652" w:rsidR="00267512" w:rsidRPr="00267512" w:rsidRDefault="00267512" w:rsidP="007A5305">
      <w:pPr>
        <w:spacing w:before="100" w:beforeAutospacing="1" w:after="100" w:afterAutospacing="1" w:line="360" w:lineRule="auto"/>
        <w:rPr>
          <w:rFonts w:eastAsia="Times New Roman" w:cs="Times New Roman"/>
          <w:szCs w:val="24"/>
        </w:rPr>
      </w:pPr>
      <w:r w:rsidRPr="00267512">
        <w:rPr>
          <w:rFonts w:eastAsia="Times New Roman" w:cs="Times New Roman"/>
          <w:szCs w:val="24"/>
        </w:rPr>
        <w:t xml:space="preserve">The study highlights that reproductive health decision-making among young women is strongly shaped by legal awareness, cultural norms, economic conditions, and healthcare system dynamics. These findings align with broader evidence that suggests that reproductive health outcomes improve when laws are understood, stigma is reduced, and services are accessible. However, the study was limited to young women aged 18–24 in Bungoma County, meaning the findings may not be fully generalizable to other age groups or regions. Future studies should therefore expand to multiple counties to enable comparative analysis and broader policy application. Longitudinal studies are recommended to assess how changes in awareness and service availability influence abortion practices over time. Further research should also examine the role of male partners and family influence in abortion decision-making, as well as explore </w:t>
      </w:r>
      <w:r w:rsidRPr="00267512">
        <w:rPr>
          <w:rFonts w:eastAsia="Times New Roman" w:cs="Times New Roman"/>
          <w:szCs w:val="24"/>
        </w:rPr>
        <w:lastRenderedPageBreak/>
        <w:t>how digital platforms and telemedicine can enhance access to safe reproductive health services, particularly in rural settings.</w:t>
      </w:r>
    </w:p>
    <w:p w14:paraId="644E79B8" w14:textId="4A909076" w:rsidR="0020158C" w:rsidRPr="00F15F79" w:rsidRDefault="007A5305" w:rsidP="007A5305">
      <w:pPr>
        <w:pStyle w:val="Heading1"/>
        <w:jc w:val="both"/>
      </w:pPr>
      <w:bookmarkStart w:id="12" w:name="_Toc208234141"/>
      <w:r w:rsidRPr="00F15F79">
        <w:t>References</w:t>
      </w:r>
      <w:bookmarkEnd w:id="12"/>
    </w:p>
    <w:p w14:paraId="67AAA80A" w14:textId="4DA73A22" w:rsidR="0020158C" w:rsidRDefault="0020158C" w:rsidP="007A5305">
      <w:pPr>
        <w:spacing w:line="240" w:lineRule="auto"/>
        <w:ind w:left="720" w:hanging="720"/>
        <w:rPr>
          <w:rFonts w:cs="Times New Roman"/>
          <w:szCs w:val="24"/>
        </w:rPr>
      </w:pPr>
      <w:bookmarkStart w:id="13" w:name="_Hlk180824844"/>
      <w:r w:rsidRPr="0020158C">
        <w:rPr>
          <w:rFonts w:cs="Times New Roman"/>
          <w:szCs w:val="24"/>
        </w:rPr>
        <w:t>Aftab, W., Siddiqui, F. J., Tasic, H., Perveen, S., Siddiqi, S., &amp; Bhutta, Z. A. (2020).</w:t>
      </w:r>
      <w:bookmarkEnd w:id="13"/>
      <w:r>
        <w:rPr>
          <w:rFonts w:cs="Times New Roman"/>
          <w:szCs w:val="24"/>
        </w:rPr>
        <w:tab/>
      </w:r>
      <w:r w:rsidRPr="0020158C">
        <w:rPr>
          <w:rFonts w:cs="Times New Roman"/>
          <w:szCs w:val="24"/>
        </w:rPr>
        <w:t>Implementation of health and health-related sustainable development goals: progress,</w:t>
      </w:r>
      <w:r>
        <w:rPr>
          <w:rFonts w:cs="Times New Roman"/>
          <w:szCs w:val="24"/>
        </w:rPr>
        <w:tab/>
      </w:r>
      <w:r w:rsidRPr="0020158C">
        <w:rPr>
          <w:rFonts w:cs="Times New Roman"/>
          <w:szCs w:val="24"/>
        </w:rPr>
        <w:t>challenges and opportunities–a systematic literature review. </w:t>
      </w:r>
      <w:r w:rsidRPr="0020158C">
        <w:rPr>
          <w:rFonts w:cs="Times New Roman"/>
          <w:i/>
          <w:iCs/>
          <w:szCs w:val="24"/>
        </w:rPr>
        <w:t>BMJ global health</w:t>
      </w:r>
      <w:r w:rsidRPr="0020158C">
        <w:rPr>
          <w:rFonts w:cs="Times New Roman"/>
          <w:szCs w:val="24"/>
        </w:rPr>
        <w:t>, </w:t>
      </w:r>
      <w:r w:rsidRPr="0020158C">
        <w:rPr>
          <w:rFonts w:cs="Times New Roman"/>
          <w:i/>
          <w:iCs/>
          <w:szCs w:val="24"/>
        </w:rPr>
        <w:t>5</w:t>
      </w:r>
      <w:r w:rsidRPr="0020158C">
        <w:rPr>
          <w:rFonts w:cs="Times New Roman"/>
          <w:szCs w:val="24"/>
        </w:rPr>
        <w:t>(8),</w:t>
      </w:r>
      <w:r>
        <w:rPr>
          <w:rFonts w:cs="Times New Roman"/>
          <w:szCs w:val="24"/>
        </w:rPr>
        <w:tab/>
      </w:r>
      <w:r w:rsidRPr="0020158C">
        <w:rPr>
          <w:rFonts w:cs="Times New Roman"/>
          <w:szCs w:val="24"/>
        </w:rPr>
        <w:t>e002273.</w:t>
      </w:r>
    </w:p>
    <w:p w14:paraId="236DFF3F" w14:textId="25DA8097" w:rsidR="008A3E6C" w:rsidRDefault="008A3E6C" w:rsidP="007A5305">
      <w:pPr>
        <w:spacing w:line="240" w:lineRule="auto"/>
        <w:ind w:left="720" w:hanging="720"/>
        <w:rPr>
          <w:rFonts w:cs="Times New Roman"/>
          <w:szCs w:val="24"/>
        </w:rPr>
      </w:pPr>
      <w:r w:rsidRPr="008A3E6C">
        <w:rPr>
          <w:rFonts w:cs="Times New Roman"/>
          <w:szCs w:val="24"/>
        </w:rPr>
        <w:t>Ahmed, I., &amp; Ishtiaq, S. (2021). Reliability and Validity: Importance in medical</w:t>
      </w:r>
      <w:r w:rsidRPr="008A3E6C">
        <w:rPr>
          <w:rFonts w:cs="Times New Roman"/>
          <w:szCs w:val="24"/>
        </w:rPr>
        <w:tab/>
        <w:t>research. </w:t>
      </w:r>
      <w:r w:rsidRPr="008A3E6C">
        <w:rPr>
          <w:rFonts w:cs="Times New Roman"/>
          <w:i/>
          <w:iCs/>
          <w:szCs w:val="24"/>
        </w:rPr>
        <w:t>Methods</w:t>
      </w:r>
      <w:r w:rsidRPr="008A3E6C">
        <w:rPr>
          <w:rFonts w:cs="Times New Roman"/>
          <w:szCs w:val="24"/>
        </w:rPr>
        <w:t>, </w:t>
      </w:r>
      <w:r w:rsidRPr="008A3E6C">
        <w:rPr>
          <w:rFonts w:cs="Times New Roman"/>
          <w:i/>
          <w:iCs/>
          <w:szCs w:val="24"/>
        </w:rPr>
        <w:t>12</w:t>
      </w:r>
      <w:r w:rsidRPr="008A3E6C">
        <w:rPr>
          <w:rFonts w:cs="Times New Roman"/>
          <w:szCs w:val="24"/>
        </w:rPr>
        <w:t>(1), 2401-2406.</w:t>
      </w:r>
    </w:p>
    <w:p w14:paraId="456A6128" w14:textId="7132C02F" w:rsidR="008A3E6C" w:rsidRDefault="008A3E6C" w:rsidP="007A5305">
      <w:pPr>
        <w:spacing w:line="240" w:lineRule="auto"/>
        <w:ind w:left="720" w:hanging="720"/>
        <w:rPr>
          <w:rFonts w:cs="Times New Roman"/>
          <w:szCs w:val="24"/>
        </w:rPr>
      </w:pPr>
      <w:r w:rsidRPr="008A3E6C">
        <w:rPr>
          <w:rFonts w:cs="Times New Roman"/>
          <w:szCs w:val="24"/>
        </w:rPr>
        <w:t>Atuhaire, S. (2019). Abortion among adolescents in Africa: A review of practices, consequences,</w:t>
      </w:r>
      <w:r w:rsidRPr="008A3E6C">
        <w:rPr>
          <w:rFonts w:cs="Times New Roman"/>
          <w:szCs w:val="24"/>
        </w:rPr>
        <w:tab/>
        <w:t>and control strategies. </w:t>
      </w:r>
      <w:r w:rsidRPr="008A3E6C">
        <w:rPr>
          <w:rFonts w:cs="Times New Roman"/>
          <w:i/>
          <w:iCs/>
          <w:szCs w:val="24"/>
        </w:rPr>
        <w:t>The international journal of health planning and</w:t>
      </w:r>
      <w:r w:rsidRPr="008A3E6C">
        <w:rPr>
          <w:rFonts w:cs="Times New Roman"/>
          <w:i/>
          <w:iCs/>
          <w:szCs w:val="24"/>
        </w:rPr>
        <w:tab/>
        <w:t>management</w:t>
      </w:r>
      <w:r w:rsidRPr="008A3E6C">
        <w:rPr>
          <w:rFonts w:cs="Times New Roman"/>
          <w:szCs w:val="24"/>
        </w:rPr>
        <w:t>, </w:t>
      </w:r>
      <w:r w:rsidRPr="008A3E6C">
        <w:rPr>
          <w:rFonts w:cs="Times New Roman"/>
          <w:i/>
          <w:iCs/>
          <w:szCs w:val="24"/>
        </w:rPr>
        <w:t>34</w:t>
      </w:r>
      <w:r w:rsidRPr="008A3E6C">
        <w:rPr>
          <w:rFonts w:cs="Times New Roman"/>
          <w:szCs w:val="24"/>
        </w:rPr>
        <w:t>(4), e1378-e1386.</w:t>
      </w:r>
    </w:p>
    <w:p w14:paraId="4303C1FC" w14:textId="347FD578" w:rsidR="001A0AC3" w:rsidRPr="008A3E6C" w:rsidRDefault="001A0AC3" w:rsidP="007A5305">
      <w:pPr>
        <w:spacing w:line="240" w:lineRule="auto"/>
        <w:ind w:left="720" w:hanging="720"/>
        <w:rPr>
          <w:rFonts w:cs="Times New Roman"/>
          <w:szCs w:val="24"/>
        </w:rPr>
      </w:pPr>
      <w:bookmarkStart w:id="14" w:name="_Hlk181093240"/>
      <w:r w:rsidRPr="004D3CD2">
        <w:rPr>
          <w:rFonts w:cs="Times New Roman"/>
          <w:szCs w:val="24"/>
        </w:rPr>
        <w:t xml:space="preserve">Blaylock, R., Makleff, S., Whitehouse, K. C., &amp; Lohr, P. A. (2022). </w:t>
      </w:r>
      <w:bookmarkEnd w:id="14"/>
      <w:proofErr w:type="gramStart"/>
      <w:r w:rsidRPr="004D3CD2">
        <w:rPr>
          <w:rFonts w:cs="Times New Roman"/>
          <w:szCs w:val="24"/>
        </w:rPr>
        <w:t>Client perspectives on choice</w:t>
      </w:r>
      <w:r>
        <w:rPr>
          <w:rFonts w:cs="Times New Roman"/>
          <w:szCs w:val="24"/>
        </w:rPr>
        <w:tab/>
      </w:r>
      <w:r w:rsidRPr="004D3CD2">
        <w:rPr>
          <w:rFonts w:cs="Times New Roman"/>
          <w:szCs w:val="24"/>
        </w:rPr>
        <w:t>of abortion method in England and Wales.</w:t>
      </w:r>
      <w:proofErr w:type="gramEnd"/>
      <w:r w:rsidRPr="004D3CD2">
        <w:rPr>
          <w:rFonts w:cs="Times New Roman"/>
          <w:szCs w:val="24"/>
        </w:rPr>
        <w:t> </w:t>
      </w:r>
      <w:r w:rsidRPr="004D3CD2">
        <w:rPr>
          <w:rFonts w:cs="Times New Roman"/>
          <w:i/>
          <w:iCs/>
          <w:szCs w:val="24"/>
        </w:rPr>
        <w:t>BMJ Sexual &amp; Reproductive Health</w:t>
      </w:r>
      <w:r w:rsidRPr="004D3CD2">
        <w:rPr>
          <w:rFonts w:cs="Times New Roman"/>
          <w:szCs w:val="24"/>
        </w:rPr>
        <w:t>, </w:t>
      </w:r>
      <w:r w:rsidRPr="004D3CD2">
        <w:rPr>
          <w:rFonts w:cs="Times New Roman"/>
          <w:i/>
          <w:iCs/>
          <w:szCs w:val="24"/>
        </w:rPr>
        <w:t>48</w:t>
      </w:r>
      <w:r w:rsidRPr="004D3CD2">
        <w:rPr>
          <w:rFonts w:cs="Times New Roman"/>
          <w:szCs w:val="24"/>
        </w:rPr>
        <w:t>(4), 246</w:t>
      </w:r>
      <w:r>
        <w:rPr>
          <w:rFonts w:cs="Times New Roman"/>
          <w:szCs w:val="24"/>
        </w:rPr>
        <w:tab/>
      </w:r>
      <w:r w:rsidRPr="004D3CD2">
        <w:rPr>
          <w:rFonts w:cs="Times New Roman"/>
          <w:szCs w:val="24"/>
        </w:rPr>
        <w:t>251.</w:t>
      </w:r>
    </w:p>
    <w:p w14:paraId="21022222" w14:textId="272D2F3E" w:rsidR="001A0AC3" w:rsidRDefault="00A57FD6" w:rsidP="007A5305">
      <w:pPr>
        <w:spacing w:line="240" w:lineRule="auto"/>
        <w:ind w:left="720" w:hanging="720"/>
        <w:rPr>
          <w:rFonts w:cs="Times New Roman"/>
          <w:szCs w:val="24"/>
        </w:rPr>
      </w:pPr>
      <w:r w:rsidRPr="001D77A9">
        <w:rPr>
          <w:rFonts w:cs="Times New Roman"/>
          <w:szCs w:val="24"/>
        </w:rPr>
        <w:t>Bronfenbrenner, U. (1994). Ecological models of human development. </w:t>
      </w:r>
      <w:r w:rsidRPr="001D77A9">
        <w:rPr>
          <w:rFonts w:cs="Times New Roman"/>
          <w:i/>
          <w:iCs/>
          <w:szCs w:val="24"/>
        </w:rPr>
        <w:t>International encyclopedia</w:t>
      </w:r>
      <w:r>
        <w:rPr>
          <w:rFonts w:cs="Times New Roman"/>
          <w:i/>
          <w:iCs/>
          <w:szCs w:val="24"/>
        </w:rPr>
        <w:tab/>
      </w:r>
      <w:r w:rsidRPr="001D77A9">
        <w:rPr>
          <w:rFonts w:cs="Times New Roman"/>
          <w:i/>
          <w:iCs/>
          <w:szCs w:val="24"/>
        </w:rPr>
        <w:t>of education</w:t>
      </w:r>
      <w:r w:rsidRPr="001D77A9">
        <w:rPr>
          <w:rFonts w:cs="Times New Roman"/>
          <w:szCs w:val="24"/>
        </w:rPr>
        <w:t>, </w:t>
      </w:r>
      <w:r w:rsidRPr="001D77A9">
        <w:rPr>
          <w:rFonts w:cs="Times New Roman"/>
          <w:i/>
          <w:iCs/>
          <w:szCs w:val="24"/>
        </w:rPr>
        <w:t>3</w:t>
      </w:r>
      <w:r w:rsidRPr="001D77A9">
        <w:rPr>
          <w:rFonts w:cs="Times New Roman"/>
          <w:szCs w:val="24"/>
        </w:rPr>
        <w:t>(2), 37-43.</w:t>
      </w:r>
    </w:p>
    <w:p w14:paraId="3E33A4E5" w14:textId="33CBB7ED" w:rsidR="001A0AC3" w:rsidRDefault="001A0AC3" w:rsidP="007A5305">
      <w:pPr>
        <w:spacing w:line="240" w:lineRule="auto"/>
        <w:ind w:left="720" w:hanging="720"/>
        <w:rPr>
          <w:rFonts w:cs="Times New Roman"/>
          <w:szCs w:val="24"/>
        </w:rPr>
      </w:pPr>
      <w:bookmarkStart w:id="15" w:name="_Hlk181097310"/>
      <w:r w:rsidRPr="00A45AC1">
        <w:rPr>
          <w:rFonts w:cs="Times New Roman"/>
          <w:szCs w:val="24"/>
        </w:rPr>
        <w:t>Chigbu, C. C., Chigbu, C. O., Iwuji, S. E., Emenalo, F. C., &amp; Onyebuchi, A. K. (2018). Impact of</w:t>
      </w:r>
      <w:r>
        <w:rPr>
          <w:rFonts w:cs="Times New Roman"/>
          <w:szCs w:val="24"/>
        </w:rPr>
        <w:tab/>
      </w:r>
      <w:r w:rsidRPr="00A45AC1">
        <w:rPr>
          <w:rFonts w:cs="Times New Roman"/>
          <w:szCs w:val="24"/>
        </w:rPr>
        <w:t>abortion laws on women's choice of abortion service providers and facilities in southeastern</w:t>
      </w:r>
      <w:r>
        <w:rPr>
          <w:rFonts w:cs="Times New Roman"/>
          <w:szCs w:val="24"/>
        </w:rPr>
        <w:tab/>
      </w:r>
      <w:r w:rsidRPr="00A45AC1">
        <w:rPr>
          <w:rFonts w:cs="Times New Roman"/>
          <w:szCs w:val="24"/>
        </w:rPr>
        <w:t>Nigeria. </w:t>
      </w:r>
      <w:bookmarkEnd w:id="15"/>
      <w:r w:rsidRPr="00A45AC1">
        <w:rPr>
          <w:rFonts w:cs="Times New Roman"/>
          <w:i/>
          <w:iCs/>
          <w:szCs w:val="24"/>
        </w:rPr>
        <w:t>Nigerian Journal of Clinical Practice</w:t>
      </w:r>
      <w:r w:rsidRPr="00A45AC1">
        <w:rPr>
          <w:rFonts w:cs="Times New Roman"/>
          <w:szCs w:val="24"/>
        </w:rPr>
        <w:t>, </w:t>
      </w:r>
      <w:r w:rsidRPr="00A45AC1">
        <w:rPr>
          <w:rFonts w:cs="Times New Roman"/>
          <w:i/>
          <w:iCs/>
          <w:szCs w:val="24"/>
        </w:rPr>
        <w:t>21</w:t>
      </w:r>
      <w:r w:rsidRPr="00A45AC1">
        <w:rPr>
          <w:rFonts w:cs="Times New Roman"/>
          <w:szCs w:val="24"/>
        </w:rPr>
        <w:t>(9), 1114-1120.</w:t>
      </w:r>
    </w:p>
    <w:p w14:paraId="295BBE1D" w14:textId="29ABCCB0" w:rsidR="001A0AC3" w:rsidRDefault="001A0AC3" w:rsidP="007A5305">
      <w:pPr>
        <w:spacing w:line="240" w:lineRule="auto"/>
        <w:ind w:left="720" w:hanging="720"/>
        <w:rPr>
          <w:rFonts w:cs="Times New Roman"/>
          <w:szCs w:val="24"/>
        </w:rPr>
      </w:pPr>
      <w:r w:rsidRPr="00CD7ED9">
        <w:rPr>
          <w:rFonts w:cs="Times New Roman"/>
          <w:szCs w:val="24"/>
        </w:rPr>
        <w:t>Coleman, P. B. (Ed.). (2020). </w:t>
      </w:r>
      <w:r w:rsidRPr="00CD7ED9">
        <w:rPr>
          <w:rFonts w:cs="Times New Roman"/>
          <w:i/>
          <w:iCs/>
          <w:szCs w:val="24"/>
        </w:rPr>
        <w:t>Practical sampling techniques for infrared analysis</w:t>
      </w:r>
      <w:r w:rsidRPr="00CD7ED9">
        <w:rPr>
          <w:rFonts w:cs="Times New Roman"/>
          <w:szCs w:val="24"/>
        </w:rPr>
        <w:t>. CRC Press.</w:t>
      </w:r>
    </w:p>
    <w:p w14:paraId="72287BA3" w14:textId="704475BA" w:rsidR="001A0AC3" w:rsidRDefault="001A0AC3" w:rsidP="007A5305">
      <w:pPr>
        <w:spacing w:line="240" w:lineRule="auto"/>
        <w:ind w:left="720" w:hanging="720"/>
        <w:rPr>
          <w:rFonts w:cs="Times New Roman"/>
          <w:szCs w:val="24"/>
        </w:rPr>
      </w:pPr>
      <w:r w:rsidRPr="00C57FFD">
        <w:rPr>
          <w:rFonts w:cs="Times New Roman"/>
          <w:szCs w:val="24"/>
        </w:rPr>
        <w:t>Connell, J. P., &amp; Kubisch, A. C. (1998). Applying a theory of change approach to the evaluation</w:t>
      </w:r>
      <w:r>
        <w:rPr>
          <w:rFonts w:cs="Times New Roman"/>
          <w:szCs w:val="24"/>
        </w:rPr>
        <w:tab/>
      </w:r>
      <w:r w:rsidRPr="00C57FFD">
        <w:rPr>
          <w:rFonts w:cs="Times New Roman"/>
          <w:szCs w:val="24"/>
        </w:rPr>
        <w:t>of comprehensive community initiatives: progress, prospects, and problems. </w:t>
      </w:r>
      <w:r w:rsidRPr="00C57FFD">
        <w:rPr>
          <w:rFonts w:cs="Times New Roman"/>
          <w:i/>
          <w:iCs/>
          <w:szCs w:val="24"/>
        </w:rPr>
        <w:t>New</w:t>
      </w:r>
      <w:r>
        <w:rPr>
          <w:rFonts w:cs="Times New Roman"/>
          <w:i/>
          <w:iCs/>
          <w:szCs w:val="24"/>
        </w:rPr>
        <w:tab/>
      </w:r>
      <w:r w:rsidRPr="00C57FFD">
        <w:rPr>
          <w:rFonts w:cs="Times New Roman"/>
          <w:i/>
          <w:iCs/>
          <w:szCs w:val="24"/>
        </w:rPr>
        <w:t>approaches to evaluating community initiatives</w:t>
      </w:r>
      <w:r w:rsidRPr="00C57FFD">
        <w:rPr>
          <w:rFonts w:cs="Times New Roman"/>
          <w:szCs w:val="24"/>
        </w:rPr>
        <w:t>, </w:t>
      </w:r>
      <w:r w:rsidRPr="00C57FFD">
        <w:rPr>
          <w:rFonts w:cs="Times New Roman"/>
          <w:i/>
          <w:iCs/>
          <w:szCs w:val="24"/>
        </w:rPr>
        <w:t>2</w:t>
      </w:r>
      <w:r w:rsidRPr="00C57FFD">
        <w:rPr>
          <w:rFonts w:cs="Times New Roman"/>
          <w:szCs w:val="24"/>
        </w:rPr>
        <w:t>(15-44), 1-16.</w:t>
      </w:r>
    </w:p>
    <w:p w14:paraId="7C6BE514" w14:textId="77777777" w:rsidR="00564A2F" w:rsidRDefault="00564A2F" w:rsidP="007A5305">
      <w:pPr>
        <w:spacing w:line="240" w:lineRule="auto"/>
        <w:ind w:left="720" w:hanging="720"/>
        <w:rPr>
          <w:rFonts w:cs="Times New Roman"/>
          <w:szCs w:val="24"/>
        </w:rPr>
      </w:pPr>
      <w:r w:rsidRPr="00856DBB">
        <w:rPr>
          <w:rFonts w:cs="Times New Roman"/>
          <w:szCs w:val="24"/>
        </w:rPr>
        <w:t xml:space="preserve">Denno, D. M., </w:t>
      </w:r>
      <w:proofErr w:type="spellStart"/>
      <w:r w:rsidRPr="00856DBB">
        <w:rPr>
          <w:rFonts w:cs="Times New Roman"/>
          <w:szCs w:val="24"/>
        </w:rPr>
        <w:t>Plesons</w:t>
      </w:r>
      <w:proofErr w:type="spellEnd"/>
      <w:r w:rsidRPr="00856DBB">
        <w:rPr>
          <w:rFonts w:cs="Times New Roman"/>
          <w:szCs w:val="24"/>
        </w:rPr>
        <w:t>, M., &amp; Chandra-Mouli, V. (2021). Effective strategies to improve health</w:t>
      </w:r>
      <w:r>
        <w:rPr>
          <w:rFonts w:cs="Times New Roman"/>
          <w:szCs w:val="24"/>
        </w:rPr>
        <w:tab/>
      </w:r>
      <w:r w:rsidRPr="00856DBB">
        <w:rPr>
          <w:rFonts w:cs="Times New Roman"/>
          <w:szCs w:val="24"/>
        </w:rPr>
        <w:t>worker performance in delivering adolescent-friendly sexual and reproductive health</w:t>
      </w:r>
      <w:r>
        <w:rPr>
          <w:rFonts w:cs="Times New Roman"/>
          <w:szCs w:val="24"/>
        </w:rPr>
        <w:tab/>
      </w:r>
      <w:r w:rsidRPr="00856DBB">
        <w:rPr>
          <w:rFonts w:cs="Times New Roman"/>
          <w:szCs w:val="24"/>
        </w:rPr>
        <w:t>services. </w:t>
      </w:r>
      <w:r w:rsidRPr="00856DBB">
        <w:rPr>
          <w:rFonts w:cs="Times New Roman"/>
          <w:i/>
          <w:iCs/>
          <w:szCs w:val="24"/>
        </w:rPr>
        <w:t>International Journal of Adolescent Medicine and Health</w:t>
      </w:r>
      <w:r w:rsidRPr="00856DBB">
        <w:rPr>
          <w:rFonts w:cs="Times New Roman"/>
          <w:szCs w:val="24"/>
        </w:rPr>
        <w:t>, </w:t>
      </w:r>
      <w:r w:rsidRPr="00856DBB">
        <w:rPr>
          <w:rFonts w:cs="Times New Roman"/>
          <w:i/>
          <w:iCs/>
          <w:szCs w:val="24"/>
        </w:rPr>
        <w:t>33</w:t>
      </w:r>
      <w:r w:rsidRPr="00856DBB">
        <w:rPr>
          <w:rFonts w:cs="Times New Roman"/>
          <w:szCs w:val="24"/>
        </w:rPr>
        <w:t>(6), 269-297.</w:t>
      </w:r>
    </w:p>
    <w:p w14:paraId="7E136B7E" w14:textId="77777777" w:rsidR="00564A2F" w:rsidRDefault="00564A2F" w:rsidP="007A5305">
      <w:pPr>
        <w:spacing w:line="240" w:lineRule="auto"/>
        <w:ind w:left="720" w:hanging="720"/>
        <w:rPr>
          <w:rFonts w:cs="Times New Roman"/>
          <w:szCs w:val="24"/>
        </w:rPr>
      </w:pPr>
      <w:bookmarkStart w:id="16" w:name="_Hlk181613344"/>
      <w:r w:rsidRPr="000F795F">
        <w:rPr>
          <w:rFonts w:cs="Times New Roman"/>
          <w:szCs w:val="24"/>
        </w:rPr>
        <w:t>Funnell, S. C., &amp; Rogers, P. J. (2011). </w:t>
      </w:r>
      <w:r w:rsidRPr="000F795F">
        <w:rPr>
          <w:rFonts w:cs="Times New Roman"/>
          <w:i/>
          <w:iCs/>
          <w:szCs w:val="24"/>
        </w:rPr>
        <w:t>Purposeful program theory: Effective use of theories of</w:t>
      </w:r>
      <w:r>
        <w:rPr>
          <w:rFonts w:cs="Times New Roman"/>
          <w:i/>
          <w:iCs/>
          <w:szCs w:val="24"/>
        </w:rPr>
        <w:tab/>
      </w:r>
      <w:r w:rsidRPr="000F795F">
        <w:rPr>
          <w:rFonts w:cs="Times New Roman"/>
          <w:i/>
          <w:iCs/>
          <w:szCs w:val="24"/>
        </w:rPr>
        <w:t>change and logic models</w:t>
      </w:r>
      <w:r w:rsidRPr="000F795F">
        <w:rPr>
          <w:rFonts w:cs="Times New Roman"/>
          <w:szCs w:val="24"/>
        </w:rPr>
        <w:t> (Vol. 31). John Wiley &amp; Sons.</w:t>
      </w:r>
    </w:p>
    <w:bookmarkEnd w:id="16"/>
    <w:p w14:paraId="3E05EE30" w14:textId="77777777" w:rsidR="00276884" w:rsidRDefault="00276884" w:rsidP="007A5305">
      <w:pPr>
        <w:spacing w:line="240" w:lineRule="auto"/>
        <w:ind w:left="720" w:hanging="720"/>
        <w:rPr>
          <w:rFonts w:cs="Times New Roman"/>
          <w:szCs w:val="24"/>
        </w:rPr>
      </w:pPr>
      <w:r w:rsidRPr="004F69ED">
        <w:rPr>
          <w:rFonts w:cs="Times New Roman"/>
          <w:szCs w:val="24"/>
        </w:rPr>
        <w:t>Hechter, M., &amp; Kanazawa, S. (1997). Sociological rational choice theory. </w:t>
      </w:r>
      <w:r w:rsidRPr="004F69ED">
        <w:rPr>
          <w:rFonts w:cs="Times New Roman"/>
          <w:i/>
          <w:iCs/>
          <w:szCs w:val="24"/>
        </w:rPr>
        <w:t>Annual review of</w:t>
      </w:r>
      <w:r>
        <w:rPr>
          <w:rFonts w:cs="Times New Roman"/>
          <w:i/>
          <w:iCs/>
          <w:szCs w:val="24"/>
        </w:rPr>
        <w:tab/>
      </w:r>
      <w:r w:rsidRPr="004F69ED">
        <w:rPr>
          <w:rFonts w:cs="Times New Roman"/>
          <w:i/>
          <w:iCs/>
          <w:szCs w:val="24"/>
        </w:rPr>
        <w:t>sociology</w:t>
      </w:r>
      <w:r w:rsidRPr="004F69ED">
        <w:rPr>
          <w:rFonts w:cs="Times New Roman"/>
          <w:szCs w:val="24"/>
        </w:rPr>
        <w:t>, </w:t>
      </w:r>
      <w:r w:rsidRPr="004F69ED">
        <w:rPr>
          <w:rFonts w:cs="Times New Roman"/>
          <w:i/>
          <w:iCs/>
          <w:szCs w:val="24"/>
        </w:rPr>
        <w:t>23</w:t>
      </w:r>
      <w:r w:rsidRPr="004F69ED">
        <w:rPr>
          <w:rFonts w:cs="Times New Roman"/>
          <w:szCs w:val="24"/>
        </w:rPr>
        <w:t>(1), 191-214.</w:t>
      </w:r>
    </w:p>
    <w:p w14:paraId="048F8088" w14:textId="77777777" w:rsidR="00276884" w:rsidRDefault="00276884" w:rsidP="007A5305">
      <w:pPr>
        <w:spacing w:line="240" w:lineRule="auto"/>
        <w:ind w:left="720" w:hanging="720"/>
        <w:rPr>
          <w:rFonts w:cs="Times New Roman"/>
          <w:szCs w:val="24"/>
        </w:rPr>
      </w:pPr>
      <w:r w:rsidRPr="001F2099">
        <w:rPr>
          <w:rFonts w:cs="Times New Roman"/>
          <w:szCs w:val="24"/>
        </w:rPr>
        <w:t>Hudik, M. (2019). Two interpretations of the rational choice theory and the relevance of behavioral</w:t>
      </w:r>
      <w:r>
        <w:rPr>
          <w:rFonts w:cs="Times New Roman"/>
          <w:szCs w:val="24"/>
        </w:rPr>
        <w:tab/>
      </w:r>
      <w:r w:rsidRPr="001F2099">
        <w:rPr>
          <w:rFonts w:cs="Times New Roman"/>
          <w:szCs w:val="24"/>
        </w:rPr>
        <w:t>critique. </w:t>
      </w:r>
      <w:r w:rsidRPr="001F2099">
        <w:rPr>
          <w:rFonts w:cs="Times New Roman"/>
          <w:i/>
          <w:iCs/>
          <w:szCs w:val="24"/>
        </w:rPr>
        <w:t>Rationality and Society</w:t>
      </w:r>
      <w:r w:rsidRPr="001F2099">
        <w:rPr>
          <w:rFonts w:cs="Times New Roman"/>
          <w:szCs w:val="24"/>
        </w:rPr>
        <w:t>, </w:t>
      </w:r>
      <w:r w:rsidRPr="001F2099">
        <w:rPr>
          <w:rFonts w:cs="Times New Roman"/>
          <w:i/>
          <w:iCs/>
          <w:szCs w:val="24"/>
        </w:rPr>
        <w:t>31</w:t>
      </w:r>
      <w:r w:rsidRPr="001F2099">
        <w:rPr>
          <w:rFonts w:cs="Times New Roman"/>
          <w:szCs w:val="24"/>
        </w:rPr>
        <w:t>(4), 464-489.</w:t>
      </w:r>
    </w:p>
    <w:p w14:paraId="489800F9" w14:textId="77777777" w:rsidR="00276884" w:rsidRDefault="00276884" w:rsidP="007A5305">
      <w:pPr>
        <w:spacing w:line="240" w:lineRule="auto"/>
        <w:ind w:left="720" w:hanging="720"/>
        <w:rPr>
          <w:rFonts w:cs="Times New Roman"/>
          <w:szCs w:val="24"/>
        </w:rPr>
      </w:pPr>
      <w:r w:rsidRPr="00B932B1">
        <w:rPr>
          <w:rFonts w:cs="Times New Roman"/>
          <w:szCs w:val="24"/>
        </w:rPr>
        <w:t>Jozkowski, K. N., Crawford, B. L., &amp; Hunt, M. E. (2018). Complexity in attitudes toward abortion</w:t>
      </w:r>
      <w:r>
        <w:rPr>
          <w:rFonts w:cs="Times New Roman"/>
          <w:szCs w:val="24"/>
        </w:rPr>
        <w:tab/>
      </w:r>
      <w:r w:rsidRPr="00B932B1">
        <w:rPr>
          <w:rFonts w:cs="Times New Roman"/>
          <w:szCs w:val="24"/>
        </w:rPr>
        <w:t>access: results from two studies. </w:t>
      </w:r>
      <w:r w:rsidRPr="00B932B1">
        <w:rPr>
          <w:rFonts w:cs="Times New Roman"/>
          <w:i/>
          <w:iCs/>
          <w:szCs w:val="24"/>
        </w:rPr>
        <w:t>Sexuality Research and Social Policy</w:t>
      </w:r>
      <w:r w:rsidRPr="00B932B1">
        <w:rPr>
          <w:rFonts w:cs="Times New Roman"/>
          <w:szCs w:val="24"/>
        </w:rPr>
        <w:t>, </w:t>
      </w:r>
      <w:r w:rsidRPr="00B932B1">
        <w:rPr>
          <w:rFonts w:cs="Times New Roman"/>
          <w:i/>
          <w:iCs/>
          <w:szCs w:val="24"/>
        </w:rPr>
        <w:t>15</w:t>
      </w:r>
      <w:r w:rsidRPr="00B932B1">
        <w:rPr>
          <w:rFonts w:cs="Times New Roman"/>
          <w:szCs w:val="24"/>
        </w:rPr>
        <w:t>, 464-482.</w:t>
      </w:r>
    </w:p>
    <w:p w14:paraId="786D0018" w14:textId="77777777" w:rsidR="00276884" w:rsidRDefault="00276884" w:rsidP="007A5305">
      <w:pPr>
        <w:spacing w:line="240" w:lineRule="auto"/>
        <w:ind w:left="720" w:hanging="720"/>
        <w:rPr>
          <w:rFonts w:cs="Times New Roman"/>
          <w:szCs w:val="24"/>
        </w:rPr>
      </w:pPr>
      <w:r w:rsidRPr="00F13CF8">
        <w:rPr>
          <w:rFonts w:cs="Times New Roman"/>
          <w:szCs w:val="24"/>
        </w:rPr>
        <w:lastRenderedPageBreak/>
        <w:t xml:space="preserve">Kabiru, C. W., </w:t>
      </w:r>
      <w:proofErr w:type="spellStart"/>
      <w:r w:rsidRPr="00F13CF8">
        <w:rPr>
          <w:rFonts w:cs="Times New Roman"/>
          <w:szCs w:val="24"/>
        </w:rPr>
        <w:t>Ushie</w:t>
      </w:r>
      <w:proofErr w:type="spellEnd"/>
      <w:r w:rsidRPr="00F13CF8">
        <w:rPr>
          <w:rFonts w:cs="Times New Roman"/>
          <w:szCs w:val="24"/>
        </w:rPr>
        <w:t xml:space="preserve">, B. A., Mutua, M. M., &amp; </w:t>
      </w:r>
      <w:proofErr w:type="spellStart"/>
      <w:r w:rsidRPr="00F13CF8">
        <w:rPr>
          <w:rFonts w:cs="Times New Roman"/>
          <w:szCs w:val="24"/>
        </w:rPr>
        <w:t>Izugbara</w:t>
      </w:r>
      <w:proofErr w:type="spellEnd"/>
      <w:r w:rsidRPr="00F13CF8">
        <w:rPr>
          <w:rFonts w:cs="Times New Roman"/>
          <w:szCs w:val="24"/>
        </w:rPr>
        <w:t>, C. O. (2016). Previous induced abortion</w:t>
      </w:r>
      <w:r>
        <w:rPr>
          <w:rFonts w:cs="Times New Roman"/>
          <w:szCs w:val="24"/>
        </w:rPr>
        <w:tab/>
      </w:r>
      <w:r w:rsidRPr="00F13CF8">
        <w:rPr>
          <w:rFonts w:cs="Times New Roman"/>
          <w:szCs w:val="24"/>
        </w:rPr>
        <w:t>among young women seeking abortion-related care in Kenya: a cross-sectional</w:t>
      </w:r>
      <w:r>
        <w:rPr>
          <w:rFonts w:cs="Times New Roman"/>
          <w:szCs w:val="24"/>
        </w:rPr>
        <w:tab/>
      </w:r>
      <w:r w:rsidRPr="00F13CF8">
        <w:rPr>
          <w:rFonts w:cs="Times New Roman"/>
          <w:szCs w:val="24"/>
        </w:rPr>
        <w:t>analysis. </w:t>
      </w:r>
      <w:r w:rsidRPr="00F13CF8">
        <w:rPr>
          <w:rFonts w:cs="Times New Roman"/>
          <w:i/>
          <w:iCs/>
          <w:szCs w:val="24"/>
        </w:rPr>
        <w:t>BMC pregnancy and childbirth</w:t>
      </w:r>
      <w:r w:rsidRPr="00F13CF8">
        <w:rPr>
          <w:rFonts w:cs="Times New Roman"/>
          <w:szCs w:val="24"/>
        </w:rPr>
        <w:t>, </w:t>
      </w:r>
      <w:r w:rsidRPr="00F13CF8">
        <w:rPr>
          <w:rFonts w:cs="Times New Roman"/>
          <w:i/>
          <w:iCs/>
          <w:szCs w:val="24"/>
        </w:rPr>
        <w:t>16</w:t>
      </w:r>
      <w:r w:rsidRPr="00F13CF8">
        <w:rPr>
          <w:rFonts w:cs="Times New Roman"/>
          <w:szCs w:val="24"/>
        </w:rPr>
        <w:t>, 1-10.</w:t>
      </w:r>
    </w:p>
    <w:p w14:paraId="41017A68" w14:textId="3E014AD8" w:rsidR="00276884" w:rsidRDefault="00276884" w:rsidP="007A5305">
      <w:pPr>
        <w:spacing w:line="240" w:lineRule="auto"/>
        <w:ind w:left="720" w:hanging="720"/>
        <w:rPr>
          <w:rFonts w:cs="Times New Roman"/>
          <w:szCs w:val="24"/>
        </w:rPr>
      </w:pPr>
      <w:proofErr w:type="spellStart"/>
      <w:r w:rsidRPr="00200658">
        <w:rPr>
          <w:rFonts w:cs="Times New Roman"/>
          <w:szCs w:val="24"/>
        </w:rPr>
        <w:t>Kisiangani</w:t>
      </w:r>
      <w:proofErr w:type="spellEnd"/>
      <w:r w:rsidRPr="00200658">
        <w:rPr>
          <w:rFonts w:cs="Times New Roman"/>
          <w:szCs w:val="24"/>
        </w:rPr>
        <w:t xml:space="preserve">, P. O., Sakwa, G., &amp; </w:t>
      </w:r>
      <w:proofErr w:type="spellStart"/>
      <w:r w:rsidRPr="00200658">
        <w:rPr>
          <w:rFonts w:cs="Times New Roman"/>
          <w:szCs w:val="24"/>
        </w:rPr>
        <w:t>Arudo</w:t>
      </w:r>
      <w:proofErr w:type="spellEnd"/>
      <w:r w:rsidRPr="00200658">
        <w:rPr>
          <w:rFonts w:cs="Times New Roman"/>
          <w:szCs w:val="24"/>
        </w:rPr>
        <w:t>, J. (2019). D</w:t>
      </w:r>
      <w:r>
        <w:rPr>
          <w:rFonts w:cs="Times New Roman"/>
          <w:szCs w:val="24"/>
        </w:rPr>
        <w:t>eterminants of Maternal and Child Health Care</w:t>
      </w:r>
      <w:r>
        <w:rPr>
          <w:rFonts w:cs="Times New Roman"/>
          <w:szCs w:val="24"/>
        </w:rPr>
        <w:tab/>
        <w:t>Services Utilization among Mothers of Mount Elgon Constituency Bungoma, Kenya.</w:t>
      </w:r>
      <w:r>
        <w:rPr>
          <w:rFonts w:cs="Times New Roman"/>
          <w:szCs w:val="24"/>
        </w:rPr>
        <w:tab/>
      </w:r>
      <w:r w:rsidRPr="00200658">
        <w:rPr>
          <w:rFonts w:cs="Times New Roman"/>
          <w:i/>
          <w:iCs/>
          <w:szCs w:val="24"/>
        </w:rPr>
        <w:t>Global Journal of Health Sciences</w:t>
      </w:r>
      <w:r w:rsidRPr="00200658">
        <w:rPr>
          <w:rFonts w:cs="Times New Roman"/>
          <w:szCs w:val="24"/>
        </w:rPr>
        <w:t>, </w:t>
      </w:r>
      <w:r w:rsidRPr="00200658">
        <w:rPr>
          <w:rFonts w:cs="Times New Roman"/>
          <w:i/>
          <w:iCs/>
          <w:szCs w:val="24"/>
        </w:rPr>
        <w:t>4</w:t>
      </w:r>
      <w:r w:rsidRPr="00200658">
        <w:rPr>
          <w:rFonts w:cs="Times New Roman"/>
          <w:szCs w:val="24"/>
        </w:rPr>
        <w:t>(2), 23-40.</w:t>
      </w:r>
    </w:p>
    <w:p w14:paraId="76A05D62" w14:textId="001BDB15" w:rsidR="005C5090" w:rsidRDefault="005C5090" w:rsidP="007A5305">
      <w:pPr>
        <w:spacing w:line="240" w:lineRule="auto"/>
        <w:ind w:left="720" w:hanging="720"/>
        <w:rPr>
          <w:rFonts w:cs="Times New Roman"/>
          <w:szCs w:val="24"/>
        </w:rPr>
      </w:pPr>
      <w:bookmarkStart w:id="17" w:name="_Hlk180842525"/>
      <w:r w:rsidRPr="004E218F">
        <w:rPr>
          <w:rFonts w:cs="Times New Roman"/>
          <w:szCs w:val="24"/>
        </w:rPr>
        <w:t xml:space="preserve">Liang, M., Simelane, S., Fillo, G. F., Chalasani, S., </w:t>
      </w:r>
      <w:proofErr w:type="spellStart"/>
      <w:r w:rsidRPr="004E218F">
        <w:rPr>
          <w:rFonts w:cs="Times New Roman"/>
          <w:szCs w:val="24"/>
        </w:rPr>
        <w:t>Weny</w:t>
      </w:r>
      <w:proofErr w:type="spellEnd"/>
      <w:r w:rsidRPr="004E218F">
        <w:rPr>
          <w:rFonts w:cs="Times New Roman"/>
          <w:szCs w:val="24"/>
        </w:rPr>
        <w:t>, K., Canelos, P. S., ... &amp; Snow, R. (2019).</w:t>
      </w:r>
      <w:bookmarkEnd w:id="17"/>
      <w:r>
        <w:rPr>
          <w:rFonts w:cs="Times New Roman"/>
          <w:szCs w:val="24"/>
        </w:rPr>
        <w:tab/>
      </w:r>
      <w:r w:rsidRPr="004E218F">
        <w:rPr>
          <w:rFonts w:cs="Times New Roman"/>
          <w:szCs w:val="24"/>
        </w:rPr>
        <w:t>The state of adolescent sexual and reproductive health. </w:t>
      </w:r>
      <w:r w:rsidRPr="004E218F">
        <w:rPr>
          <w:rFonts w:cs="Times New Roman"/>
          <w:i/>
          <w:iCs/>
          <w:szCs w:val="24"/>
        </w:rPr>
        <w:t>Journal of Adolescent</w:t>
      </w:r>
      <w:r>
        <w:rPr>
          <w:rFonts w:cs="Times New Roman"/>
          <w:i/>
          <w:iCs/>
          <w:szCs w:val="24"/>
        </w:rPr>
        <w:tab/>
      </w:r>
      <w:r w:rsidRPr="004E218F">
        <w:rPr>
          <w:rFonts w:cs="Times New Roman"/>
          <w:i/>
          <w:iCs/>
          <w:szCs w:val="24"/>
        </w:rPr>
        <w:t>Health</w:t>
      </w:r>
      <w:r w:rsidRPr="004E218F">
        <w:rPr>
          <w:rFonts w:cs="Times New Roman"/>
          <w:szCs w:val="24"/>
        </w:rPr>
        <w:t>, </w:t>
      </w:r>
      <w:r w:rsidRPr="004E218F">
        <w:rPr>
          <w:rFonts w:cs="Times New Roman"/>
          <w:i/>
          <w:iCs/>
          <w:szCs w:val="24"/>
        </w:rPr>
        <w:t>65</w:t>
      </w:r>
      <w:r w:rsidRPr="004E218F">
        <w:rPr>
          <w:rFonts w:cs="Times New Roman"/>
          <w:szCs w:val="24"/>
        </w:rPr>
        <w:t>(6), S3-S15.</w:t>
      </w:r>
    </w:p>
    <w:p w14:paraId="47B066D5" w14:textId="7E3D4779" w:rsidR="00472E2B" w:rsidRDefault="00472E2B" w:rsidP="007A5305">
      <w:pPr>
        <w:spacing w:line="240" w:lineRule="auto"/>
        <w:ind w:left="720" w:hanging="720"/>
        <w:rPr>
          <w:rFonts w:cs="Times New Roman"/>
          <w:szCs w:val="24"/>
        </w:rPr>
      </w:pPr>
      <w:r w:rsidRPr="00F50919">
        <w:rPr>
          <w:rFonts w:cs="Times New Roman"/>
          <w:szCs w:val="24"/>
        </w:rPr>
        <w:t>Maynard‐Moody, S., &amp; Portillo, S. (2010). Street‐level bureaucracy theory.</w:t>
      </w:r>
    </w:p>
    <w:p w14:paraId="52A10BB2" w14:textId="77777777" w:rsidR="005C5090" w:rsidRDefault="005C5090" w:rsidP="007A5305">
      <w:pPr>
        <w:spacing w:line="240" w:lineRule="auto"/>
        <w:ind w:left="720" w:hanging="720"/>
        <w:rPr>
          <w:rFonts w:cs="Times New Roman"/>
          <w:szCs w:val="24"/>
        </w:rPr>
      </w:pPr>
    </w:p>
    <w:p w14:paraId="3FE84FBE" w14:textId="66EAE72D" w:rsidR="005C5090" w:rsidRDefault="005C5090" w:rsidP="007A5305">
      <w:pPr>
        <w:spacing w:line="240" w:lineRule="auto"/>
        <w:ind w:left="720" w:hanging="720"/>
        <w:rPr>
          <w:rFonts w:cs="Times New Roman"/>
          <w:szCs w:val="24"/>
        </w:rPr>
      </w:pPr>
      <w:bookmarkStart w:id="18" w:name="_Hlk180842069"/>
      <w:bookmarkStart w:id="19" w:name="_Hlk180839201"/>
      <w:r w:rsidRPr="00C03FAF">
        <w:rPr>
          <w:rFonts w:cs="Times New Roman"/>
          <w:szCs w:val="24"/>
        </w:rPr>
        <w:t xml:space="preserve">Miller, S., Wherry, L. R., &amp; Foster, D. G. (2023). </w:t>
      </w:r>
      <w:bookmarkEnd w:id="18"/>
      <w:r w:rsidRPr="00C03FAF">
        <w:rPr>
          <w:rFonts w:cs="Times New Roman"/>
          <w:szCs w:val="24"/>
        </w:rPr>
        <w:t>The economic consequences of being denied an</w:t>
      </w:r>
      <w:r>
        <w:rPr>
          <w:rFonts w:cs="Times New Roman"/>
          <w:szCs w:val="24"/>
        </w:rPr>
        <w:tab/>
      </w:r>
      <w:r w:rsidRPr="00C03FAF">
        <w:rPr>
          <w:rFonts w:cs="Times New Roman"/>
          <w:szCs w:val="24"/>
        </w:rPr>
        <w:t>abortion. </w:t>
      </w:r>
      <w:r w:rsidRPr="00C03FAF">
        <w:rPr>
          <w:rFonts w:cs="Times New Roman"/>
          <w:i/>
          <w:iCs/>
          <w:szCs w:val="24"/>
        </w:rPr>
        <w:t>American Economic Journal: Economic Policy</w:t>
      </w:r>
      <w:r w:rsidRPr="00C03FAF">
        <w:rPr>
          <w:rFonts w:cs="Times New Roman"/>
          <w:szCs w:val="24"/>
        </w:rPr>
        <w:t>, </w:t>
      </w:r>
      <w:r w:rsidRPr="00C03FAF">
        <w:rPr>
          <w:rFonts w:cs="Times New Roman"/>
          <w:i/>
          <w:iCs/>
          <w:szCs w:val="24"/>
        </w:rPr>
        <w:t>15</w:t>
      </w:r>
      <w:r w:rsidRPr="00C03FAF">
        <w:rPr>
          <w:rFonts w:cs="Times New Roman"/>
          <w:szCs w:val="24"/>
        </w:rPr>
        <w:t>(1), 394-437.</w:t>
      </w:r>
    </w:p>
    <w:p w14:paraId="5CB39ED5" w14:textId="644BFFE8" w:rsidR="00472E2B" w:rsidRDefault="00472E2B" w:rsidP="007A5305">
      <w:pPr>
        <w:spacing w:line="240" w:lineRule="auto"/>
        <w:ind w:left="720" w:hanging="720"/>
        <w:rPr>
          <w:rFonts w:cs="Times New Roman"/>
          <w:szCs w:val="24"/>
        </w:rPr>
      </w:pPr>
      <w:r w:rsidRPr="00FA265D">
        <w:rPr>
          <w:rFonts w:cs="Times New Roman"/>
          <w:szCs w:val="24"/>
        </w:rPr>
        <w:t>Moore, S. T. (1987). The theory of street-level bureaucracy: A positive critique. </w:t>
      </w:r>
      <w:r w:rsidRPr="00FA265D">
        <w:rPr>
          <w:rFonts w:cs="Times New Roman"/>
          <w:i/>
          <w:iCs/>
          <w:szCs w:val="24"/>
        </w:rPr>
        <w:t>Administration &amp;</w:t>
      </w:r>
      <w:r>
        <w:rPr>
          <w:rFonts w:cs="Times New Roman"/>
          <w:i/>
          <w:iCs/>
          <w:szCs w:val="24"/>
        </w:rPr>
        <w:tab/>
      </w:r>
      <w:r w:rsidRPr="00FA265D">
        <w:rPr>
          <w:rFonts w:cs="Times New Roman"/>
          <w:i/>
          <w:iCs/>
          <w:szCs w:val="24"/>
        </w:rPr>
        <w:t>Society</w:t>
      </w:r>
      <w:r w:rsidRPr="00FA265D">
        <w:rPr>
          <w:rFonts w:cs="Times New Roman"/>
          <w:szCs w:val="24"/>
        </w:rPr>
        <w:t>, </w:t>
      </w:r>
      <w:r w:rsidRPr="00FA265D">
        <w:rPr>
          <w:rFonts w:cs="Times New Roman"/>
          <w:i/>
          <w:iCs/>
          <w:szCs w:val="24"/>
        </w:rPr>
        <w:t>19</w:t>
      </w:r>
      <w:r w:rsidRPr="00FA265D">
        <w:rPr>
          <w:rFonts w:cs="Times New Roman"/>
          <w:szCs w:val="24"/>
        </w:rPr>
        <w:t>(1), 74-94.</w:t>
      </w:r>
    </w:p>
    <w:p w14:paraId="7E6DEBAF" w14:textId="77777777" w:rsidR="00472E2B" w:rsidRDefault="00472E2B" w:rsidP="007A5305">
      <w:pPr>
        <w:spacing w:line="240" w:lineRule="auto"/>
        <w:ind w:left="720" w:hanging="720"/>
        <w:rPr>
          <w:rFonts w:cs="Times New Roman"/>
          <w:szCs w:val="24"/>
        </w:rPr>
      </w:pPr>
      <w:bookmarkStart w:id="20" w:name="_Hlk180924815"/>
      <w:bookmarkEnd w:id="19"/>
      <w:r w:rsidRPr="00AE3899">
        <w:rPr>
          <w:rFonts w:cs="Times New Roman"/>
          <w:szCs w:val="24"/>
        </w:rPr>
        <w:t xml:space="preserve">Munakampe, M. N., Zulu, J. M., &amp; Michelo, C. (2018). </w:t>
      </w:r>
      <w:bookmarkEnd w:id="20"/>
      <w:r w:rsidRPr="00AE3899">
        <w:rPr>
          <w:rFonts w:cs="Times New Roman"/>
          <w:szCs w:val="24"/>
        </w:rPr>
        <w:t>Contraception and abortion knowledge,</w:t>
      </w:r>
      <w:r>
        <w:rPr>
          <w:rFonts w:cs="Times New Roman"/>
          <w:szCs w:val="24"/>
        </w:rPr>
        <w:tab/>
      </w:r>
      <w:r w:rsidRPr="00AE3899">
        <w:rPr>
          <w:rFonts w:cs="Times New Roman"/>
          <w:szCs w:val="24"/>
        </w:rPr>
        <w:t>attitudes and practices among adolescents from low and middle-income countries: a</w:t>
      </w:r>
      <w:r>
        <w:rPr>
          <w:rFonts w:cs="Times New Roman"/>
          <w:szCs w:val="24"/>
        </w:rPr>
        <w:tab/>
      </w:r>
      <w:r w:rsidRPr="00AE3899">
        <w:rPr>
          <w:rFonts w:cs="Times New Roman"/>
          <w:szCs w:val="24"/>
        </w:rPr>
        <w:t>systematic review. </w:t>
      </w:r>
      <w:r w:rsidRPr="00AE3899">
        <w:rPr>
          <w:rFonts w:cs="Times New Roman"/>
          <w:i/>
          <w:iCs/>
          <w:szCs w:val="24"/>
        </w:rPr>
        <w:t>BMC health services research</w:t>
      </w:r>
      <w:r w:rsidRPr="00AE3899">
        <w:rPr>
          <w:rFonts w:cs="Times New Roman"/>
          <w:szCs w:val="24"/>
        </w:rPr>
        <w:t>, </w:t>
      </w:r>
      <w:r w:rsidRPr="00AE3899">
        <w:rPr>
          <w:rFonts w:cs="Times New Roman"/>
          <w:i/>
          <w:iCs/>
          <w:szCs w:val="24"/>
        </w:rPr>
        <w:t>18</w:t>
      </w:r>
      <w:r w:rsidRPr="00AE3899">
        <w:rPr>
          <w:rFonts w:cs="Times New Roman"/>
          <w:szCs w:val="24"/>
        </w:rPr>
        <w:t>, 1-13.</w:t>
      </w:r>
    </w:p>
    <w:p w14:paraId="3F1A0ABE" w14:textId="77777777" w:rsidR="00472E2B" w:rsidRDefault="00472E2B" w:rsidP="007A5305">
      <w:pPr>
        <w:spacing w:line="240" w:lineRule="auto"/>
        <w:ind w:left="720" w:hanging="720"/>
        <w:rPr>
          <w:rFonts w:cs="Times New Roman"/>
          <w:szCs w:val="24"/>
        </w:rPr>
      </w:pPr>
      <w:r w:rsidRPr="004F32AF">
        <w:rPr>
          <w:rFonts w:cs="Times New Roman"/>
          <w:szCs w:val="24"/>
        </w:rPr>
        <w:t>Mwongeli, M. (2022). </w:t>
      </w:r>
      <w:r w:rsidRPr="004F32AF">
        <w:rPr>
          <w:rFonts w:cs="Times New Roman"/>
          <w:i/>
          <w:iCs/>
          <w:szCs w:val="24"/>
        </w:rPr>
        <w:t>Exploring the Socio-economic and Information Determinants of Teenage</w:t>
      </w:r>
      <w:r>
        <w:rPr>
          <w:rFonts w:cs="Times New Roman"/>
          <w:i/>
          <w:iCs/>
          <w:szCs w:val="24"/>
        </w:rPr>
        <w:tab/>
      </w:r>
      <w:r w:rsidRPr="004F32AF">
        <w:rPr>
          <w:rFonts w:cs="Times New Roman"/>
          <w:i/>
          <w:iCs/>
          <w:szCs w:val="24"/>
        </w:rPr>
        <w:t xml:space="preserve">Pregnancy in </w:t>
      </w:r>
      <w:proofErr w:type="spellStart"/>
      <w:r w:rsidRPr="004F32AF">
        <w:rPr>
          <w:rFonts w:cs="Times New Roman"/>
          <w:i/>
          <w:iCs/>
          <w:szCs w:val="24"/>
        </w:rPr>
        <w:t>Webuye</w:t>
      </w:r>
      <w:proofErr w:type="spellEnd"/>
      <w:r w:rsidRPr="004F32AF">
        <w:rPr>
          <w:rFonts w:cs="Times New Roman"/>
          <w:i/>
          <w:iCs/>
          <w:szCs w:val="24"/>
        </w:rPr>
        <w:t xml:space="preserve"> West Sub-county, </w:t>
      </w:r>
      <w:proofErr w:type="spellStart"/>
      <w:r w:rsidRPr="004F32AF">
        <w:rPr>
          <w:rFonts w:cs="Times New Roman"/>
          <w:i/>
          <w:iCs/>
          <w:szCs w:val="24"/>
        </w:rPr>
        <w:t>Bungoma</w:t>
      </w:r>
      <w:proofErr w:type="spellEnd"/>
      <w:r w:rsidRPr="004F32AF">
        <w:rPr>
          <w:rFonts w:cs="Times New Roman"/>
          <w:i/>
          <w:iCs/>
          <w:szCs w:val="24"/>
        </w:rPr>
        <w:t xml:space="preserve"> County, Kenya</w:t>
      </w:r>
      <w:r w:rsidRPr="004F32AF">
        <w:rPr>
          <w:rFonts w:cs="Times New Roman"/>
          <w:szCs w:val="24"/>
        </w:rPr>
        <w:t> (Doctoral dissertation,</w:t>
      </w:r>
      <w:r>
        <w:rPr>
          <w:rFonts w:cs="Times New Roman"/>
          <w:szCs w:val="24"/>
        </w:rPr>
        <w:tab/>
      </w:r>
      <w:r w:rsidRPr="004F32AF">
        <w:rPr>
          <w:rFonts w:cs="Times New Roman"/>
          <w:szCs w:val="24"/>
        </w:rPr>
        <w:t>University of Nairobi).</w:t>
      </w:r>
    </w:p>
    <w:p w14:paraId="1D375B9B" w14:textId="12E59B04" w:rsidR="00E2687E" w:rsidRDefault="00E2687E" w:rsidP="007A5305">
      <w:pPr>
        <w:spacing w:line="240" w:lineRule="auto"/>
        <w:ind w:left="720" w:hanging="720"/>
        <w:rPr>
          <w:rFonts w:cs="Times New Roman"/>
          <w:szCs w:val="24"/>
        </w:rPr>
      </w:pPr>
      <w:r w:rsidRPr="00877DA6">
        <w:rPr>
          <w:rFonts w:cs="Times New Roman"/>
          <w:szCs w:val="24"/>
        </w:rPr>
        <w:t xml:space="preserve">Nyaboke, A. A. (2020). </w:t>
      </w:r>
      <w:r>
        <w:rPr>
          <w:rFonts w:cs="Times New Roman"/>
          <w:szCs w:val="24"/>
        </w:rPr>
        <w:t>S</w:t>
      </w:r>
      <w:r w:rsidRPr="00877DA6">
        <w:rPr>
          <w:rFonts w:cs="Times New Roman"/>
          <w:szCs w:val="24"/>
        </w:rPr>
        <w:t>ocio-</w:t>
      </w:r>
      <w:r>
        <w:rPr>
          <w:rFonts w:cs="Times New Roman"/>
          <w:szCs w:val="24"/>
        </w:rPr>
        <w:t>E</w:t>
      </w:r>
      <w:r w:rsidRPr="00877DA6">
        <w:rPr>
          <w:rFonts w:cs="Times New Roman"/>
          <w:szCs w:val="24"/>
        </w:rPr>
        <w:t xml:space="preserve">conomic </w:t>
      </w:r>
      <w:r>
        <w:rPr>
          <w:rFonts w:cs="Times New Roman"/>
          <w:szCs w:val="24"/>
        </w:rPr>
        <w:t>F</w:t>
      </w:r>
      <w:r w:rsidRPr="00877DA6">
        <w:rPr>
          <w:rFonts w:cs="Times New Roman"/>
          <w:szCs w:val="24"/>
        </w:rPr>
        <w:t xml:space="preserve">actors </w:t>
      </w:r>
      <w:r>
        <w:rPr>
          <w:rFonts w:cs="Times New Roman"/>
          <w:szCs w:val="24"/>
        </w:rPr>
        <w:t>C</w:t>
      </w:r>
      <w:r w:rsidRPr="00877DA6">
        <w:rPr>
          <w:rFonts w:cs="Times New Roman"/>
          <w:szCs w:val="24"/>
        </w:rPr>
        <w:t xml:space="preserve">ontributing to </w:t>
      </w:r>
      <w:r>
        <w:rPr>
          <w:rFonts w:cs="Times New Roman"/>
          <w:szCs w:val="24"/>
        </w:rPr>
        <w:t>I</w:t>
      </w:r>
      <w:r w:rsidRPr="00877DA6">
        <w:rPr>
          <w:rFonts w:cs="Times New Roman"/>
          <w:szCs w:val="24"/>
        </w:rPr>
        <w:t xml:space="preserve">ncrease in </w:t>
      </w:r>
      <w:r>
        <w:rPr>
          <w:rFonts w:cs="Times New Roman"/>
          <w:szCs w:val="24"/>
        </w:rPr>
        <w:t>C</w:t>
      </w:r>
      <w:r w:rsidRPr="00877DA6">
        <w:rPr>
          <w:rFonts w:cs="Times New Roman"/>
          <w:szCs w:val="24"/>
        </w:rPr>
        <w:t xml:space="preserve">ases of </w:t>
      </w:r>
      <w:r>
        <w:rPr>
          <w:rFonts w:cs="Times New Roman"/>
          <w:szCs w:val="24"/>
        </w:rPr>
        <w:t>T</w:t>
      </w:r>
      <w:r w:rsidRPr="00877DA6">
        <w:rPr>
          <w:rFonts w:cs="Times New Roman"/>
          <w:szCs w:val="24"/>
        </w:rPr>
        <w:t>eenage</w:t>
      </w:r>
      <w:r>
        <w:rPr>
          <w:rFonts w:cs="Times New Roman"/>
          <w:szCs w:val="24"/>
        </w:rPr>
        <w:tab/>
        <w:t>P</w:t>
      </w:r>
      <w:r w:rsidRPr="00877DA6">
        <w:rPr>
          <w:rFonts w:cs="Times New Roman"/>
          <w:szCs w:val="24"/>
        </w:rPr>
        <w:t xml:space="preserve">regnancy in </w:t>
      </w:r>
      <w:r>
        <w:rPr>
          <w:rFonts w:cs="Times New Roman"/>
          <w:szCs w:val="24"/>
        </w:rPr>
        <w:t>P</w:t>
      </w:r>
      <w:r w:rsidRPr="00877DA6">
        <w:rPr>
          <w:rFonts w:cs="Times New Roman"/>
          <w:szCs w:val="24"/>
        </w:rPr>
        <w:t xml:space="preserve">ublic </w:t>
      </w:r>
      <w:r>
        <w:rPr>
          <w:rFonts w:cs="Times New Roman"/>
          <w:szCs w:val="24"/>
        </w:rPr>
        <w:t>S</w:t>
      </w:r>
      <w:r w:rsidRPr="00877DA6">
        <w:rPr>
          <w:rFonts w:cs="Times New Roman"/>
          <w:szCs w:val="24"/>
        </w:rPr>
        <w:t xml:space="preserve">econdary </w:t>
      </w:r>
      <w:r>
        <w:rPr>
          <w:rFonts w:cs="Times New Roman"/>
          <w:szCs w:val="24"/>
        </w:rPr>
        <w:t>S</w:t>
      </w:r>
      <w:r w:rsidRPr="00877DA6">
        <w:rPr>
          <w:rFonts w:cs="Times New Roman"/>
          <w:szCs w:val="24"/>
        </w:rPr>
        <w:t xml:space="preserve">chools in </w:t>
      </w:r>
      <w:proofErr w:type="spellStart"/>
      <w:r>
        <w:rPr>
          <w:rFonts w:cs="Times New Roman"/>
          <w:szCs w:val="24"/>
        </w:rPr>
        <w:t>K</w:t>
      </w:r>
      <w:r w:rsidRPr="00877DA6">
        <w:rPr>
          <w:rFonts w:cs="Times New Roman"/>
          <w:szCs w:val="24"/>
        </w:rPr>
        <w:t>anduyi</w:t>
      </w:r>
      <w:proofErr w:type="spellEnd"/>
      <w:r w:rsidRPr="00877DA6">
        <w:rPr>
          <w:rFonts w:cs="Times New Roman"/>
          <w:szCs w:val="24"/>
        </w:rPr>
        <w:t xml:space="preserve"> </w:t>
      </w:r>
      <w:r>
        <w:rPr>
          <w:rFonts w:cs="Times New Roman"/>
          <w:szCs w:val="24"/>
        </w:rPr>
        <w:t>S</w:t>
      </w:r>
      <w:r w:rsidRPr="00877DA6">
        <w:rPr>
          <w:rFonts w:cs="Times New Roman"/>
          <w:szCs w:val="24"/>
        </w:rPr>
        <w:t>ub</w:t>
      </w:r>
      <w:r>
        <w:rPr>
          <w:rFonts w:cs="Times New Roman"/>
          <w:szCs w:val="24"/>
        </w:rPr>
        <w:t>-C</w:t>
      </w:r>
      <w:r w:rsidRPr="00877DA6">
        <w:rPr>
          <w:rFonts w:cs="Times New Roman"/>
          <w:szCs w:val="24"/>
        </w:rPr>
        <w:t xml:space="preserve">ounty </w:t>
      </w:r>
      <w:proofErr w:type="spellStart"/>
      <w:r>
        <w:rPr>
          <w:rFonts w:cs="Times New Roman"/>
          <w:szCs w:val="24"/>
        </w:rPr>
        <w:t>B</w:t>
      </w:r>
      <w:r w:rsidRPr="00877DA6">
        <w:rPr>
          <w:rFonts w:cs="Times New Roman"/>
          <w:szCs w:val="24"/>
        </w:rPr>
        <w:t>ungoma</w:t>
      </w:r>
      <w:proofErr w:type="spellEnd"/>
      <w:r w:rsidRPr="00877DA6">
        <w:rPr>
          <w:rFonts w:cs="Times New Roman"/>
          <w:szCs w:val="24"/>
        </w:rPr>
        <w:t xml:space="preserve"> </w:t>
      </w:r>
      <w:r>
        <w:rPr>
          <w:rFonts w:cs="Times New Roman"/>
          <w:szCs w:val="24"/>
        </w:rPr>
        <w:t>C</w:t>
      </w:r>
      <w:r w:rsidRPr="00877DA6">
        <w:rPr>
          <w:rFonts w:cs="Times New Roman"/>
          <w:szCs w:val="24"/>
        </w:rPr>
        <w:t xml:space="preserve">ounty, </w:t>
      </w:r>
      <w:r>
        <w:rPr>
          <w:rFonts w:cs="Times New Roman"/>
          <w:szCs w:val="24"/>
        </w:rPr>
        <w:t>K</w:t>
      </w:r>
      <w:r w:rsidRPr="00877DA6">
        <w:rPr>
          <w:rFonts w:cs="Times New Roman"/>
          <w:szCs w:val="24"/>
        </w:rPr>
        <w:t>enya.</w:t>
      </w:r>
    </w:p>
    <w:p w14:paraId="0D78AB5E" w14:textId="30A4424F" w:rsidR="00273148" w:rsidRDefault="00273148" w:rsidP="007A5305">
      <w:pPr>
        <w:spacing w:line="240" w:lineRule="auto"/>
        <w:ind w:left="720" w:hanging="720"/>
        <w:rPr>
          <w:rFonts w:cs="Times New Roman"/>
          <w:szCs w:val="24"/>
        </w:rPr>
      </w:pPr>
      <w:bookmarkStart w:id="21" w:name="_Hlk181811160"/>
      <w:proofErr w:type="spellStart"/>
      <w:r w:rsidRPr="0096155B">
        <w:rPr>
          <w:rFonts w:cs="Times New Roman"/>
          <w:szCs w:val="24"/>
        </w:rPr>
        <w:t>Okenyoru</w:t>
      </w:r>
      <w:proofErr w:type="spellEnd"/>
      <w:r w:rsidRPr="0096155B">
        <w:rPr>
          <w:rFonts w:cs="Times New Roman"/>
          <w:szCs w:val="24"/>
        </w:rPr>
        <w:t>, D. S., Matoke, V., Wekesa, C., Murugi, L., Odhiambo, F., &amp; Kemboi, S. J. (2024).</w:t>
      </w:r>
      <w:bookmarkEnd w:id="21"/>
      <w:r>
        <w:rPr>
          <w:rFonts w:cs="Times New Roman"/>
          <w:szCs w:val="24"/>
        </w:rPr>
        <w:tab/>
      </w:r>
      <w:r w:rsidRPr="0096155B">
        <w:rPr>
          <w:rFonts w:cs="Times New Roman"/>
          <w:szCs w:val="24"/>
        </w:rPr>
        <w:t>Socio-demographic factors influencing abortion practices among women attending</w:t>
      </w:r>
      <w:r>
        <w:rPr>
          <w:rFonts w:cs="Times New Roman"/>
          <w:szCs w:val="24"/>
        </w:rPr>
        <w:tab/>
      </w:r>
      <w:proofErr w:type="spellStart"/>
      <w:r w:rsidRPr="0096155B">
        <w:rPr>
          <w:rFonts w:cs="Times New Roman"/>
          <w:szCs w:val="24"/>
        </w:rPr>
        <w:t>Mbagathi</w:t>
      </w:r>
      <w:proofErr w:type="spellEnd"/>
      <w:r w:rsidRPr="0096155B">
        <w:rPr>
          <w:rFonts w:cs="Times New Roman"/>
          <w:szCs w:val="24"/>
        </w:rPr>
        <w:t xml:space="preserve"> Hospital, Nairobi County, Kenya. </w:t>
      </w:r>
      <w:r w:rsidRPr="0096155B">
        <w:rPr>
          <w:rFonts w:cs="Times New Roman"/>
          <w:i/>
          <w:iCs/>
          <w:szCs w:val="24"/>
        </w:rPr>
        <w:t>International Journal of Community Medicine</w:t>
      </w:r>
      <w:r>
        <w:rPr>
          <w:rFonts w:cs="Times New Roman"/>
          <w:i/>
          <w:iCs/>
          <w:szCs w:val="24"/>
        </w:rPr>
        <w:tab/>
      </w:r>
      <w:r w:rsidRPr="0096155B">
        <w:rPr>
          <w:rFonts w:cs="Times New Roman"/>
          <w:i/>
          <w:iCs/>
          <w:szCs w:val="24"/>
        </w:rPr>
        <w:t>and Public Health</w:t>
      </w:r>
      <w:r w:rsidRPr="0096155B">
        <w:rPr>
          <w:rFonts w:cs="Times New Roman"/>
          <w:szCs w:val="24"/>
        </w:rPr>
        <w:t>, </w:t>
      </w:r>
      <w:r w:rsidRPr="0096155B">
        <w:rPr>
          <w:rFonts w:cs="Times New Roman"/>
          <w:i/>
          <w:iCs/>
          <w:szCs w:val="24"/>
        </w:rPr>
        <w:t>11</w:t>
      </w:r>
      <w:r w:rsidRPr="0096155B">
        <w:rPr>
          <w:rFonts w:cs="Times New Roman"/>
          <w:szCs w:val="24"/>
        </w:rPr>
        <w:t>(10), 3787.</w:t>
      </w:r>
    </w:p>
    <w:p w14:paraId="06A4E0D1" w14:textId="77777777" w:rsidR="00273148" w:rsidRDefault="00273148" w:rsidP="007A5305">
      <w:pPr>
        <w:spacing w:line="240" w:lineRule="auto"/>
        <w:ind w:left="720" w:hanging="720"/>
        <w:rPr>
          <w:rFonts w:cs="Times New Roman"/>
          <w:szCs w:val="24"/>
        </w:rPr>
      </w:pPr>
      <w:r w:rsidRPr="00D44D32">
        <w:rPr>
          <w:rFonts w:cs="Times New Roman"/>
          <w:szCs w:val="24"/>
        </w:rPr>
        <w:t>Osborne, D., Huang, Y., Overall, N. C., Sutton, R. M., Petterson, A., Douglas, K. M., ... &amp; Sibley,</w:t>
      </w:r>
      <w:r>
        <w:rPr>
          <w:rFonts w:cs="Times New Roman"/>
          <w:szCs w:val="24"/>
        </w:rPr>
        <w:tab/>
      </w:r>
      <w:r w:rsidRPr="00D44D32">
        <w:rPr>
          <w:rFonts w:cs="Times New Roman"/>
          <w:szCs w:val="24"/>
        </w:rPr>
        <w:t>C. G. (2022). Abortion attitudes: An overview of demographic and ideological</w:t>
      </w:r>
      <w:r>
        <w:rPr>
          <w:rFonts w:cs="Times New Roman"/>
          <w:szCs w:val="24"/>
        </w:rPr>
        <w:tab/>
      </w:r>
      <w:r w:rsidRPr="00D44D32">
        <w:rPr>
          <w:rFonts w:cs="Times New Roman"/>
          <w:szCs w:val="24"/>
        </w:rPr>
        <w:t>differences. </w:t>
      </w:r>
      <w:r w:rsidRPr="00D44D32">
        <w:rPr>
          <w:rFonts w:cs="Times New Roman"/>
          <w:i/>
          <w:iCs/>
          <w:szCs w:val="24"/>
        </w:rPr>
        <w:t>Political Psychology</w:t>
      </w:r>
      <w:r w:rsidRPr="00D44D32">
        <w:rPr>
          <w:rFonts w:cs="Times New Roman"/>
          <w:szCs w:val="24"/>
        </w:rPr>
        <w:t>, </w:t>
      </w:r>
      <w:r w:rsidRPr="00D44D32">
        <w:rPr>
          <w:rFonts w:cs="Times New Roman"/>
          <w:i/>
          <w:iCs/>
          <w:szCs w:val="24"/>
        </w:rPr>
        <w:t>43</w:t>
      </w:r>
      <w:r w:rsidRPr="00D44D32">
        <w:rPr>
          <w:rFonts w:cs="Times New Roman"/>
          <w:szCs w:val="24"/>
        </w:rPr>
        <w:t>, 29-76.</w:t>
      </w:r>
    </w:p>
    <w:p w14:paraId="21BFC8B9" w14:textId="77777777" w:rsidR="00273148" w:rsidRDefault="00273148" w:rsidP="007A5305">
      <w:pPr>
        <w:spacing w:line="240" w:lineRule="auto"/>
        <w:ind w:left="720" w:hanging="720"/>
        <w:rPr>
          <w:rFonts w:cs="Times New Roman"/>
          <w:szCs w:val="24"/>
        </w:rPr>
      </w:pPr>
      <w:r w:rsidRPr="00F93C3B">
        <w:rPr>
          <w:rFonts w:cs="Times New Roman"/>
          <w:i/>
          <w:iCs/>
          <w:szCs w:val="24"/>
        </w:rPr>
        <w:t>Report sees high abortions among Nairobi, Bungoma youth</w:t>
      </w:r>
      <w:r w:rsidRPr="00F93C3B">
        <w:rPr>
          <w:rFonts w:cs="Times New Roman"/>
          <w:szCs w:val="24"/>
        </w:rPr>
        <w:t>. (2020, July 7). The</w:t>
      </w:r>
      <w:r>
        <w:rPr>
          <w:rFonts w:cs="Times New Roman"/>
          <w:szCs w:val="24"/>
        </w:rPr>
        <w:t xml:space="preserve"> </w:t>
      </w:r>
      <w:r w:rsidRPr="00F93C3B">
        <w:rPr>
          <w:rFonts w:cs="Times New Roman"/>
          <w:szCs w:val="24"/>
        </w:rPr>
        <w:t>Star. https://www.the-star.co.ke/news/2020-07-07-report-sees-high-abortions-among-nairobi-bungoma-youth/</w:t>
      </w:r>
    </w:p>
    <w:p w14:paraId="584B7CA4" w14:textId="2923EAFA" w:rsidR="00273148" w:rsidRDefault="00273148" w:rsidP="007A5305">
      <w:pPr>
        <w:spacing w:line="240" w:lineRule="auto"/>
        <w:ind w:left="720" w:hanging="720"/>
        <w:rPr>
          <w:rFonts w:cs="Times New Roman"/>
          <w:szCs w:val="24"/>
        </w:rPr>
      </w:pPr>
      <w:bookmarkStart w:id="22" w:name="_Hlk181869254"/>
      <w:r w:rsidRPr="00A3571D">
        <w:rPr>
          <w:rFonts w:cs="Times New Roman"/>
          <w:szCs w:val="24"/>
        </w:rPr>
        <w:t>Schober, P., Boer, C., &amp; Schwarte, L. A. (2018). Correlation coefficients: appropriate use and</w:t>
      </w:r>
      <w:r w:rsidRPr="00A3571D">
        <w:rPr>
          <w:rFonts w:cs="Times New Roman"/>
          <w:szCs w:val="24"/>
        </w:rPr>
        <w:tab/>
        <w:t>interpretation. </w:t>
      </w:r>
      <w:r w:rsidRPr="00A3571D">
        <w:rPr>
          <w:rFonts w:cs="Times New Roman"/>
          <w:i/>
          <w:iCs/>
          <w:szCs w:val="24"/>
        </w:rPr>
        <w:t>Anesthesia &amp; analgesia</w:t>
      </w:r>
      <w:r w:rsidRPr="00A3571D">
        <w:rPr>
          <w:rFonts w:cs="Times New Roman"/>
          <w:szCs w:val="24"/>
        </w:rPr>
        <w:t>, </w:t>
      </w:r>
      <w:r w:rsidRPr="00A3571D">
        <w:rPr>
          <w:rFonts w:cs="Times New Roman"/>
          <w:i/>
          <w:iCs/>
          <w:szCs w:val="24"/>
        </w:rPr>
        <w:t>126</w:t>
      </w:r>
      <w:r w:rsidRPr="00A3571D">
        <w:rPr>
          <w:rFonts w:cs="Times New Roman"/>
          <w:szCs w:val="24"/>
        </w:rPr>
        <w:t>(5), 1763-1768.</w:t>
      </w:r>
    </w:p>
    <w:p w14:paraId="61FA47A5" w14:textId="08381E6F" w:rsidR="00273148" w:rsidRDefault="00273148" w:rsidP="007A5305">
      <w:pPr>
        <w:spacing w:line="240" w:lineRule="auto"/>
        <w:ind w:left="720" w:hanging="720"/>
        <w:rPr>
          <w:rFonts w:cs="Times New Roman"/>
          <w:szCs w:val="24"/>
        </w:rPr>
      </w:pPr>
      <w:proofErr w:type="spellStart"/>
      <w:r w:rsidRPr="001D0E11">
        <w:rPr>
          <w:rFonts w:cs="Times New Roman"/>
          <w:szCs w:val="24"/>
        </w:rPr>
        <w:t>Sileyew</w:t>
      </w:r>
      <w:proofErr w:type="spellEnd"/>
      <w:r w:rsidRPr="001D0E11">
        <w:rPr>
          <w:rFonts w:cs="Times New Roman"/>
          <w:szCs w:val="24"/>
        </w:rPr>
        <w:t>, K. J. (2019). </w:t>
      </w:r>
      <w:r w:rsidRPr="001D0E11">
        <w:rPr>
          <w:rFonts w:cs="Times New Roman"/>
          <w:i/>
          <w:iCs/>
          <w:szCs w:val="24"/>
        </w:rPr>
        <w:t>Research design and methodology</w:t>
      </w:r>
      <w:r w:rsidRPr="001D0E11">
        <w:rPr>
          <w:rFonts w:cs="Times New Roman"/>
          <w:szCs w:val="24"/>
        </w:rPr>
        <w:t> (Vol. 7). Cyberspace.</w:t>
      </w:r>
    </w:p>
    <w:p w14:paraId="68CB9694" w14:textId="63A90781" w:rsidR="00273148" w:rsidRDefault="00273148" w:rsidP="007A5305">
      <w:pPr>
        <w:spacing w:line="240" w:lineRule="auto"/>
        <w:ind w:left="720" w:hanging="720"/>
        <w:rPr>
          <w:rFonts w:cs="Times New Roman"/>
          <w:szCs w:val="24"/>
        </w:rPr>
      </w:pPr>
      <w:proofErr w:type="spellStart"/>
      <w:r w:rsidRPr="00CD09CA">
        <w:rPr>
          <w:rFonts w:cs="Times New Roman"/>
          <w:szCs w:val="24"/>
        </w:rPr>
        <w:t>Surucu</w:t>
      </w:r>
      <w:proofErr w:type="spellEnd"/>
      <w:r w:rsidRPr="00CD09CA">
        <w:rPr>
          <w:rFonts w:cs="Times New Roman"/>
          <w:szCs w:val="24"/>
        </w:rPr>
        <w:t xml:space="preserve">, L., &amp; </w:t>
      </w:r>
      <w:proofErr w:type="spellStart"/>
      <w:r w:rsidRPr="00CD09CA">
        <w:rPr>
          <w:rFonts w:cs="Times New Roman"/>
          <w:szCs w:val="24"/>
        </w:rPr>
        <w:t>Maslakci</w:t>
      </w:r>
      <w:proofErr w:type="spellEnd"/>
      <w:r w:rsidRPr="00CD09CA">
        <w:rPr>
          <w:rFonts w:cs="Times New Roman"/>
          <w:szCs w:val="24"/>
        </w:rPr>
        <w:t xml:space="preserve">, A. (2020). </w:t>
      </w:r>
      <w:bookmarkEnd w:id="22"/>
      <w:r w:rsidRPr="00CD09CA">
        <w:rPr>
          <w:rFonts w:cs="Times New Roman"/>
          <w:szCs w:val="24"/>
        </w:rPr>
        <w:t>Validity and reliability in quantitative research. </w:t>
      </w:r>
      <w:r w:rsidRPr="00CD09CA">
        <w:rPr>
          <w:rFonts w:cs="Times New Roman"/>
          <w:i/>
          <w:iCs/>
          <w:szCs w:val="24"/>
        </w:rPr>
        <w:t>Business &amp;</w:t>
      </w:r>
      <w:r>
        <w:rPr>
          <w:rFonts w:cs="Times New Roman"/>
          <w:i/>
          <w:iCs/>
          <w:szCs w:val="24"/>
        </w:rPr>
        <w:tab/>
      </w:r>
      <w:r w:rsidRPr="00CD09CA">
        <w:rPr>
          <w:rFonts w:cs="Times New Roman"/>
          <w:i/>
          <w:iCs/>
          <w:szCs w:val="24"/>
        </w:rPr>
        <w:t>Management Studies: An International Journal</w:t>
      </w:r>
      <w:r w:rsidRPr="00CD09CA">
        <w:rPr>
          <w:rFonts w:cs="Times New Roman"/>
          <w:szCs w:val="24"/>
        </w:rPr>
        <w:t>, </w:t>
      </w:r>
      <w:r w:rsidRPr="00CD09CA">
        <w:rPr>
          <w:rFonts w:cs="Times New Roman"/>
          <w:i/>
          <w:iCs/>
          <w:szCs w:val="24"/>
        </w:rPr>
        <w:t>8</w:t>
      </w:r>
      <w:r w:rsidRPr="00CD09CA">
        <w:rPr>
          <w:rFonts w:cs="Times New Roman"/>
          <w:szCs w:val="24"/>
        </w:rPr>
        <w:t>(3), 2694-2726.</w:t>
      </w:r>
    </w:p>
    <w:p w14:paraId="6691CA7C" w14:textId="3C40E04E" w:rsidR="00273148" w:rsidRDefault="00273148" w:rsidP="007A5305">
      <w:pPr>
        <w:spacing w:line="240" w:lineRule="auto"/>
        <w:ind w:left="720" w:hanging="720"/>
        <w:rPr>
          <w:rFonts w:cs="Times New Roman"/>
          <w:szCs w:val="24"/>
        </w:rPr>
      </w:pPr>
      <w:r w:rsidRPr="00E76BFE">
        <w:rPr>
          <w:rFonts w:cs="Times New Roman"/>
          <w:szCs w:val="24"/>
        </w:rPr>
        <w:lastRenderedPageBreak/>
        <w:t xml:space="preserve">White, K. O., Jones, H. E., </w:t>
      </w:r>
      <w:proofErr w:type="spellStart"/>
      <w:r w:rsidRPr="00E76BFE">
        <w:rPr>
          <w:rFonts w:cs="Times New Roman"/>
          <w:szCs w:val="24"/>
        </w:rPr>
        <w:t>Lavelanet</w:t>
      </w:r>
      <w:proofErr w:type="spellEnd"/>
      <w:r w:rsidRPr="00E76BFE">
        <w:rPr>
          <w:rFonts w:cs="Times New Roman"/>
          <w:szCs w:val="24"/>
        </w:rPr>
        <w:t>, A., Norman, W. V., Guilbert, E., Lichtenberg, E. S., &amp; Paul,</w:t>
      </w:r>
      <w:r>
        <w:rPr>
          <w:rFonts w:cs="Times New Roman"/>
          <w:szCs w:val="24"/>
        </w:rPr>
        <w:tab/>
      </w:r>
      <w:r w:rsidRPr="00E76BFE">
        <w:rPr>
          <w:rFonts w:cs="Times New Roman"/>
          <w:szCs w:val="24"/>
        </w:rPr>
        <w:t>M. (2019). First-trimester aspiration abortion practices: a survey of United States abortion</w:t>
      </w:r>
      <w:r>
        <w:rPr>
          <w:rFonts w:cs="Times New Roman"/>
          <w:szCs w:val="24"/>
        </w:rPr>
        <w:tab/>
      </w:r>
      <w:r w:rsidRPr="00E76BFE">
        <w:rPr>
          <w:rFonts w:cs="Times New Roman"/>
          <w:szCs w:val="24"/>
        </w:rPr>
        <w:t>providers. </w:t>
      </w:r>
      <w:r w:rsidRPr="00E76BFE">
        <w:rPr>
          <w:rFonts w:cs="Times New Roman"/>
          <w:i/>
          <w:iCs/>
          <w:szCs w:val="24"/>
        </w:rPr>
        <w:t>Contraception</w:t>
      </w:r>
      <w:r w:rsidRPr="00E76BFE">
        <w:rPr>
          <w:rFonts w:cs="Times New Roman"/>
          <w:szCs w:val="24"/>
        </w:rPr>
        <w:t>, </w:t>
      </w:r>
      <w:r w:rsidRPr="00E76BFE">
        <w:rPr>
          <w:rFonts w:cs="Times New Roman"/>
          <w:i/>
          <w:iCs/>
          <w:szCs w:val="24"/>
        </w:rPr>
        <w:t>99</w:t>
      </w:r>
      <w:r w:rsidRPr="00E76BFE">
        <w:rPr>
          <w:rFonts w:cs="Times New Roman"/>
          <w:szCs w:val="24"/>
        </w:rPr>
        <w:t>(1), 10-15.</w:t>
      </w:r>
    </w:p>
    <w:p w14:paraId="78A6242B" w14:textId="77777777" w:rsidR="00273148" w:rsidRPr="00C52B27" w:rsidRDefault="00273148" w:rsidP="007A5305">
      <w:pPr>
        <w:spacing w:line="240" w:lineRule="auto"/>
        <w:ind w:left="720" w:hanging="720"/>
        <w:rPr>
          <w:rFonts w:cs="Times New Roman"/>
          <w:bCs/>
          <w:szCs w:val="24"/>
        </w:rPr>
      </w:pPr>
      <w:r w:rsidRPr="00C52B27">
        <w:rPr>
          <w:rFonts w:cs="Times New Roman"/>
          <w:bCs/>
          <w:szCs w:val="24"/>
        </w:rPr>
        <w:t>World Health Organization. (2022). </w:t>
      </w:r>
      <w:r w:rsidRPr="00C52B27">
        <w:rPr>
          <w:rFonts w:cs="Times New Roman"/>
          <w:bCs/>
          <w:i/>
          <w:iCs/>
          <w:szCs w:val="24"/>
        </w:rPr>
        <w:t>Abortion care guideline: executive summary</w:t>
      </w:r>
      <w:r w:rsidRPr="00C52B27">
        <w:rPr>
          <w:rFonts w:cs="Times New Roman"/>
          <w:bCs/>
          <w:szCs w:val="24"/>
        </w:rPr>
        <w:t>. World Health</w:t>
      </w:r>
      <w:r>
        <w:rPr>
          <w:rFonts w:cs="Times New Roman"/>
          <w:bCs/>
          <w:szCs w:val="24"/>
        </w:rPr>
        <w:tab/>
      </w:r>
      <w:r w:rsidRPr="00C52B27">
        <w:rPr>
          <w:rFonts w:cs="Times New Roman"/>
          <w:bCs/>
          <w:szCs w:val="24"/>
        </w:rPr>
        <w:t>Organization.</w:t>
      </w:r>
    </w:p>
    <w:p w14:paraId="57DC6853" w14:textId="77777777" w:rsidR="00273148" w:rsidRPr="00FA2CF7" w:rsidRDefault="00273148" w:rsidP="007A5305">
      <w:pPr>
        <w:spacing w:line="240" w:lineRule="auto"/>
        <w:ind w:left="720" w:hanging="720"/>
        <w:rPr>
          <w:rFonts w:cs="Times New Roman"/>
          <w:i/>
          <w:iCs/>
          <w:szCs w:val="24"/>
        </w:rPr>
      </w:pPr>
      <w:r w:rsidRPr="00FA2CF7">
        <w:rPr>
          <w:rFonts w:cs="Times New Roman"/>
          <w:szCs w:val="24"/>
        </w:rPr>
        <w:t>World Health Organization. (2022). </w:t>
      </w:r>
      <w:r w:rsidRPr="00FA2CF7">
        <w:rPr>
          <w:rFonts w:cs="Times New Roman"/>
          <w:i/>
          <w:iCs/>
          <w:szCs w:val="24"/>
        </w:rPr>
        <w:t>Global oral health status report: towards universal health</w:t>
      </w:r>
      <w:r>
        <w:rPr>
          <w:rFonts w:cs="Times New Roman"/>
          <w:i/>
          <w:iCs/>
          <w:szCs w:val="24"/>
        </w:rPr>
        <w:tab/>
      </w:r>
      <w:r w:rsidRPr="00FA2CF7">
        <w:rPr>
          <w:rFonts w:cs="Times New Roman"/>
          <w:i/>
          <w:iCs/>
          <w:szCs w:val="24"/>
        </w:rPr>
        <w:t>coverage for oral health by 2030</w:t>
      </w:r>
      <w:r w:rsidRPr="00FA2CF7">
        <w:rPr>
          <w:rFonts w:cs="Times New Roman"/>
          <w:szCs w:val="24"/>
        </w:rPr>
        <w:t>. World Health Organization.</w:t>
      </w:r>
    </w:p>
    <w:p w14:paraId="2136D025" w14:textId="77777777" w:rsidR="00273148" w:rsidRDefault="00273148" w:rsidP="007A5305">
      <w:pPr>
        <w:spacing w:line="240" w:lineRule="auto"/>
        <w:ind w:left="720" w:hanging="720"/>
        <w:rPr>
          <w:rFonts w:cs="Times New Roman"/>
          <w:szCs w:val="24"/>
        </w:rPr>
      </w:pPr>
      <w:bookmarkStart w:id="23" w:name="_Hlk180847308"/>
      <w:r w:rsidRPr="00F93C3B">
        <w:rPr>
          <w:rFonts w:cs="Times New Roman"/>
          <w:szCs w:val="24"/>
        </w:rPr>
        <w:t>World Health Organization: WHO. (2024, May 17). </w:t>
      </w:r>
      <w:bookmarkEnd w:id="23"/>
      <w:r w:rsidRPr="00F93C3B">
        <w:rPr>
          <w:rFonts w:cs="Times New Roman"/>
          <w:i/>
          <w:iCs/>
          <w:szCs w:val="24"/>
        </w:rPr>
        <w:t>Abortion</w:t>
      </w:r>
      <w:r w:rsidRPr="00F93C3B">
        <w:rPr>
          <w:rFonts w:cs="Times New Roman"/>
          <w:szCs w:val="24"/>
        </w:rPr>
        <w:t>. https://www.who.int/news-room/fact-sheets/detail/abortion</w:t>
      </w:r>
    </w:p>
    <w:sectPr w:rsidR="00273148" w:rsidSect="00F80398">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65E5E3" w14:textId="77777777" w:rsidR="00EC19A6" w:rsidRDefault="00EC19A6" w:rsidP="007465F1">
      <w:pPr>
        <w:spacing w:after="0" w:line="240" w:lineRule="auto"/>
      </w:pPr>
      <w:r>
        <w:separator/>
      </w:r>
    </w:p>
  </w:endnote>
  <w:endnote w:type="continuationSeparator" w:id="0">
    <w:p w14:paraId="5C4DB5BA" w14:textId="77777777" w:rsidR="00EC19A6" w:rsidRDefault="00EC19A6" w:rsidP="007465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6746805"/>
      <w:docPartObj>
        <w:docPartGallery w:val="Page Numbers (Bottom of Page)"/>
        <w:docPartUnique/>
      </w:docPartObj>
    </w:sdtPr>
    <w:sdtEndPr>
      <w:rPr>
        <w:noProof/>
      </w:rPr>
    </w:sdtEndPr>
    <w:sdtContent>
      <w:p w14:paraId="38BECB3D" w14:textId="77777777" w:rsidR="006A2976" w:rsidRDefault="006A2976">
        <w:pPr>
          <w:pStyle w:val="Footer"/>
          <w:jc w:val="center"/>
        </w:pPr>
        <w:r>
          <w:fldChar w:fldCharType="begin"/>
        </w:r>
        <w:r>
          <w:instrText xml:space="preserve"> PAGE   \* MERGEFORMAT </w:instrText>
        </w:r>
        <w:r>
          <w:fldChar w:fldCharType="separate"/>
        </w:r>
        <w:r w:rsidR="00E3664E">
          <w:rPr>
            <w:noProof/>
          </w:rPr>
          <w:t>20</w:t>
        </w:r>
        <w:r>
          <w:rPr>
            <w:noProof/>
          </w:rPr>
          <w:fldChar w:fldCharType="end"/>
        </w:r>
      </w:p>
    </w:sdtContent>
  </w:sdt>
  <w:p w14:paraId="0A87C027" w14:textId="77777777" w:rsidR="006A2976" w:rsidRDefault="006A29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A1AF68" w14:textId="77777777" w:rsidR="00EC19A6" w:rsidRDefault="00EC19A6" w:rsidP="007465F1">
      <w:pPr>
        <w:spacing w:after="0" w:line="240" w:lineRule="auto"/>
      </w:pPr>
      <w:r>
        <w:separator/>
      </w:r>
    </w:p>
  </w:footnote>
  <w:footnote w:type="continuationSeparator" w:id="0">
    <w:p w14:paraId="0FF3AF28" w14:textId="77777777" w:rsidR="00EC19A6" w:rsidRDefault="00EC19A6" w:rsidP="007465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C2CC5"/>
    <w:multiLevelType w:val="hybridMultilevel"/>
    <w:tmpl w:val="5BAAF43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1C39DA"/>
    <w:multiLevelType w:val="hybridMultilevel"/>
    <w:tmpl w:val="AED0F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44764F"/>
    <w:multiLevelType w:val="hybridMultilevel"/>
    <w:tmpl w:val="18DE690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8E01E2"/>
    <w:multiLevelType w:val="multilevel"/>
    <w:tmpl w:val="CADAA3C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E804292"/>
    <w:multiLevelType w:val="multilevel"/>
    <w:tmpl w:val="3CE6A3E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5FD1617"/>
    <w:multiLevelType w:val="multilevel"/>
    <w:tmpl w:val="4B7679A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nsid w:val="27981E29"/>
    <w:multiLevelType w:val="hybridMultilevel"/>
    <w:tmpl w:val="9F145B2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DB0FA6"/>
    <w:multiLevelType w:val="hybridMultilevel"/>
    <w:tmpl w:val="F250A5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9564BEE"/>
    <w:multiLevelType w:val="hybridMultilevel"/>
    <w:tmpl w:val="3E629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DF03795"/>
    <w:multiLevelType w:val="multilevel"/>
    <w:tmpl w:val="02ACEC10"/>
    <w:lvl w:ilvl="0">
      <w:start w:val="1"/>
      <w:numFmt w:val="lowerRoman"/>
      <w:lvlText w:val="%1."/>
      <w:lvlJc w:val="righ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58895296"/>
    <w:multiLevelType w:val="multilevel"/>
    <w:tmpl w:val="F69A1A8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5CDF3163"/>
    <w:multiLevelType w:val="multilevel"/>
    <w:tmpl w:val="B1D60B2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4780AAA"/>
    <w:multiLevelType w:val="multilevel"/>
    <w:tmpl w:val="B8228C5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DD7196E"/>
    <w:multiLevelType w:val="hybridMultilevel"/>
    <w:tmpl w:val="678CF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3D46E3D"/>
    <w:multiLevelType w:val="multilevel"/>
    <w:tmpl w:val="BF885F4C"/>
    <w:lvl w:ilvl="0">
      <w:start w:val="1"/>
      <w:numFmt w:val="lowerRoman"/>
      <w:lvlText w:val="%1."/>
      <w:lvlJc w:val="right"/>
      <w:pPr>
        <w:ind w:left="720" w:hanging="360"/>
      </w:pPr>
    </w:lvl>
    <w:lvl w:ilv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9"/>
  </w:num>
  <w:num w:numId="2">
    <w:abstractNumId w:val="14"/>
  </w:num>
  <w:num w:numId="3">
    <w:abstractNumId w:val="13"/>
  </w:num>
  <w:num w:numId="4">
    <w:abstractNumId w:val="8"/>
  </w:num>
  <w:num w:numId="5">
    <w:abstractNumId w:val="1"/>
  </w:num>
  <w:num w:numId="6">
    <w:abstractNumId w:val="5"/>
  </w:num>
  <w:num w:numId="7">
    <w:abstractNumId w:val="7"/>
  </w:num>
  <w:num w:numId="8">
    <w:abstractNumId w:val="2"/>
  </w:num>
  <w:num w:numId="9">
    <w:abstractNumId w:val="0"/>
  </w:num>
  <w:num w:numId="10">
    <w:abstractNumId w:val="6"/>
  </w:num>
  <w:num w:numId="11">
    <w:abstractNumId w:val="3"/>
  </w:num>
  <w:num w:numId="12">
    <w:abstractNumId w:val="4"/>
  </w:num>
  <w:num w:numId="13">
    <w:abstractNumId w:val="11"/>
  </w:num>
  <w:num w:numId="14">
    <w:abstractNumId w:val="12"/>
  </w:num>
  <w:num w:numId="15">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sLQwtjAyNDexNLa0MLJQ0lEKTi0uzszPAykwqgUA298LPSwAAAA="/>
  </w:docVars>
  <w:rsids>
    <w:rsidRoot w:val="00551451"/>
    <w:rsid w:val="000003FA"/>
    <w:rsid w:val="000016D1"/>
    <w:rsid w:val="00001785"/>
    <w:rsid w:val="00001DA1"/>
    <w:rsid w:val="00001F15"/>
    <w:rsid w:val="0000343A"/>
    <w:rsid w:val="000038E3"/>
    <w:rsid w:val="0000390A"/>
    <w:rsid w:val="000047FB"/>
    <w:rsid w:val="0000499F"/>
    <w:rsid w:val="00004BA7"/>
    <w:rsid w:val="00004D8C"/>
    <w:rsid w:val="000072A5"/>
    <w:rsid w:val="00007AD6"/>
    <w:rsid w:val="00010D22"/>
    <w:rsid w:val="00011E08"/>
    <w:rsid w:val="00011E09"/>
    <w:rsid w:val="000127A9"/>
    <w:rsid w:val="00012AAF"/>
    <w:rsid w:val="00012DD7"/>
    <w:rsid w:val="00013A8A"/>
    <w:rsid w:val="00014277"/>
    <w:rsid w:val="00014334"/>
    <w:rsid w:val="00014677"/>
    <w:rsid w:val="00015758"/>
    <w:rsid w:val="00015E69"/>
    <w:rsid w:val="00015EC1"/>
    <w:rsid w:val="0001763F"/>
    <w:rsid w:val="00017FA2"/>
    <w:rsid w:val="000206C1"/>
    <w:rsid w:val="000206FC"/>
    <w:rsid w:val="00021719"/>
    <w:rsid w:val="00021A82"/>
    <w:rsid w:val="00021D53"/>
    <w:rsid w:val="0002228B"/>
    <w:rsid w:val="0002339A"/>
    <w:rsid w:val="00023B0B"/>
    <w:rsid w:val="000241BD"/>
    <w:rsid w:val="00024C8D"/>
    <w:rsid w:val="00025602"/>
    <w:rsid w:val="0002695F"/>
    <w:rsid w:val="00026EA2"/>
    <w:rsid w:val="0003155F"/>
    <w:rsid w:val="00031B0E"/>
    <w:rsid w:val="00032709"/>
    <w:rsid w:val="00032DE9"/>
    <w:rsid w:val="000332DE"/>
    <w:rsid w:val="000349AE"/>
    <w:rsid w:val="00035F10"/>
    <w:rsid w:val="000364A4"/>
    <w:rsid w:val="000365CD"/>
    <w:rsid w:val="0003677F"/>
    <w:rsid w:val="000367F8"/>
    <w:rsid w:val="00036B52"/>
    <w:rsid w:val="00036E79"/>
    <w:rsid w:val="00036EA5"/>
    <w:rsid w:val="00037A64"/>
    <w:rsid w:val="00037C19"/>
    <w:rsid w:val="00037C31"/>
    <w:rsid w:val="000405FA"/>
    <w:rsid w:val="000413BF"/>
    <w:rsid w:val="000417E1"/>
    <w:rsid w:val="00041C37"/>
    <w:rsid w:val="0004229D"/>
    <w:rsid w:val="000424C2"/>
    <w:rsid w:val="0004261E"/>
    <w:rsid w:val="00042720"/>
    <w:rsid w:val="0004290B"/>
    <w:rsid w:val="00042BEF"/>
    <w:rsid w:val="00043FF1"/>
    <w:rsid w:val="00044B8D"/>
    <w:rsid w:val="00045983"/>
    <w:rsid w:val="00045B9E"/>
    <w:rsid w:val="00045E6F"/>
    <w:rsid w:val="00047A4A"/>
    <w:rsid w:val="00047CA7"/>
    <w:rsid w:val="00051B27"/>
    <w:rsid w:val="00052C7B"/>
    <w:rsid w:val="00052E15"/>
    <w:rsid w:val="00054290"/>
    <w:rsid w:val="00055100"/>
    <w:rsid w:val="00055506"/>
    <w:rsid w:val="00055C33"/>
    <w:rsid w:val="00056BB1"/>
    <w:rsid w:val="00057193"/>
    <w:rsid w:val="00060439"/>
    <w:rsid w:val="00060F99"/>
    <w:rsid w:val="00061551"/>
    <w:rsid w:val="00061C5F"/>
    <w:rsid w:val="00061FF5"/>
    <w:rsid w:val="00063AFA"/>
    <w:rsid w:val="00066015"/>
    <w:rsid w:val="0006631C"/>
    <w:rsid w:val="0006790F"/>
    <w:rsid w:val="00070A9E"/>
    <w:rsid w:val="000714BD"/>
    <w:rsid w:val="00072225"/>
    <w:rsid w:val="000724F4"/>
    <w:rsid w:val="000736F4"/>
    <w:rsid w:val="00073823"/>
    <w:rsid w:val="000742C7"/>
    <w:rsid w:val="000745D1"/>
    <w:rsid w:val="00076867"/>
    <w:rsid w:val="000771ED"/>
    <w:rsid w:val="00077C39"/>
    <w:rsid w:val="0008029A"/>
    <w:rsid w:val="00080ABD"/>
    <w:rsid w:val="00081344"/>
    <w:rsid w:val="00084627"/>
    <w:rsid w:val="00084AD4"/>
    <w:rsid w:val="00084C66"/>
    <w:rsid w:val="000857AE"/>
    <w:rsid w:val="000859B9"/>
    <w:rsid w:val="00085CAC"/>
    <w:rsid w:val="000866DE"/>
    <w:rsid w:val="000866F9"/>
    <w:rsid w:val="00086928"/>
    <w:rsid w:val="0008712E"/>
    <w:rsid w:val="000906FC"/>
    <w:rsid w:val="0009128A"/>
    <w:rsid w:val="00091419"/>
    <w:rsid w:val="00092613"/>
    <w:rsid w:val="0009265C"/>
    <w:rsid w:val="00092AE6"/>
    <w:rsid w:val="00093D34"/>
    <w:rsid w:val="0009403D"/>
    <w:rsid w:val="00094EF7"/>
    <w:rsid w:val="00095580"/>
    <w:rsid w:val="000958AE"/>
    <w:rsid w:val="00095AB5"/>
    <w:rsid w:val="00095B8C"/>
    <w:rsid w:val="00095D31"/>
    <w:rsid w:val="00097125"/>
    <w:rsid w:val="00097329"/>
    <w:rsid w:val="000A0397"/>
    <w:rsid w:val="000A1286"/>
    <w:rsid w:val="000A1B86"/>
    <w:rsid w:val="000A27A3"/>
    <w:rsid w:val="000A283B"/>
    <w:rsid w:val="000A3E8D"/>
    <w:rsid w:val="000A4BDB"/>
    <w:rsid w:val="000A64BE"/>
    <w:rsid w:val="000A6A1A"/>
    <w:rsid w:val="000A6E95"/>
    <w:rsid w:val="000A7D24"/>
    <w:rsid w:val="000B1522"/>
    <w:rsid w:val="000B22FA"/>
    <w:rsid w:val="000B2F11"/>
    <w:rsid w:val="000B3355"/>
    <w:rsid w:val="000B59A1"/>
    <w:rsid w:val="000B5D95"/>
    <w:rsid w:val="000B60DA"/>
    <w:rsid w:val="000B69D9"/>
    <w:rsid w:val="000B7185"/>
    <w:rsid w:val="000B7AEA"/>
    <w:rsid w:val="000C02A3"/>
    <w:rsid w:val="000C03F7"/>
    <w:rsid w:val="000C0993"/>
    <w:rsid w:val="000C33AF"/>
    <w:rsid w:val="000C44CD"/>
    <w:rsid w:val="000C530A"/>
    <w:rsid w:val="000C5BB8"/>
    <w:rsid w:val="000C6B60"/>
    <w:rsid w:val="000C6D58"/>
    <w:rsid w:val="000C7C02"/>
    <w:rsid w:val="000D0218"/>
    <w:rsid w:val="000D0D7F"/>
    <w:rsid w:val="000D116A"/>
    <w:rsid w:val="000D1177"/>
    <w:rsid w:val="000D11AC"/>
    <w:rsid w:val="000D16B0"/>
    <w:rsid w:val="000D31B0"/>
    <w:rsid w:val="000D38A5"/>
    <w:rsid w:val="000D42B3"/>
    <w:rsid w:val="000D492E"/>
    <w:rsid w:val="000D4F30"/>
    <w:rsid w:val="000D573B"/>
    <w:rsid w:val="000D5FF9"/>
    <w:rsid w:val="000D618B"/>
    <w:rsid w:val="000D75CF"/>
    <w:rsid w:val="000D7A35"/>
    <w:rsid w:val="000E0288"/>
    <w:rsid w:val="000E03F5"/>
    <w:rsid w:val="000E0960"/>
    <w:rsid w:val="000E1A3F"/>
    <w:rsid w:val="000E29A9"/>
    <w:rsid w:val="000E376E"/>
    <w:rsid w:val="000E4237"/>
    <w:rsid w:val="000E4CCB"/>
    <w:rsid w:val="000E5251"/>
    <w:rsid w:val="000E5664"/>
    <w:rsid w:val="000E5A35"/>
    <w:rsid w:val="000E5E10"/>
    <w:rsid w:val="000E690A"/>
    <w:rsid w:val="000E7123"/>
    <w:rsid w:val="000E73E7"/>
    <w:rsid w:val="000E7A84"/>
    <w:rsid w:val="000F05C2"/>
    <w:rsid w:val="000F15B1"/>
    <w:rsid w:val="000F1A4B"/>
    <w:rsid w:val="000F1D65"/>
    <w:rsid w:val="000F2DE7"/>
    <w:rsid w:val="000F3E23"/>
    <w:rsid w:val="000F41B1"/>
    <w:rsid w:val="000F49F6"/>
    <w:rsid w:val="000F4C8C"/>
    <w:rsid w:val="000F51EB"/>
    <w:rsid w:val="000F5902"/>
    <w:rsid w:val="000F626F"/>
    <w:rsid w:val="000F68C8"/>
    <w:rsid w:val="000F795F"/>
    <w:rsid w:val="000F7A8A"/>
    <w:rsid w:val="00101336"/>
    <w:rsid w:val="00102D08"/>
    <w:rsid w:val="00103427"/>
    <w:rsid w:val="001049A9"/>
    <w:rsid w:val="001053F9"/>
    <w:rsid w:val="001055A7"/>
    <w:rsid w:val="0010567F"/>
    <w:rsid w:val="00105F2A"/>
    <w:rsid w:val="00107B8E"/>
    <w:rsid w:val="00112453"/>
    <w:rsid w:val="001124D7"/>
    <w:rsid w:val="0011278E"/>
    <w:rsid w:val="00112DF8"/>
    <w:rsid w:val="00113566"/>
    <w:rsid w:val="00113C01"/>
    <w:rsid w:val="001142C3"/>
    <w:rsid w:val="0011435F"/>
    <w:rsid w:val="00114719"/>
    <w:rsid w:val="0011581C"/>
    <w:rsid w:val="00115E37"/>
    <w:rsid w:val="00116168"/>
    <w:rsid w:val="00116777"/>
    <w:rsid w:val="00116F6C"/>
    <w:rsid w:val="001170EF"/>
    <w:rsid w:val="00117BEF"/>
    <w:rsid w:val="00117DFD"/>
    <w:rsid w:val="00117E77"/>
    <w:rsid w:val="001210D6"/>
    <w:rsid w:val="00121846"/>
    <w:rsid w:val="00121A49"/>
    <w:rsid w:val="001225B1"/>
    <w:rsid w:val="001227F1"/>
    <w:rsid w:val="0012387B"/>
    <w:rsid w:val="00123A45"/>
    <w:rsid w:val="001250FE"/>
    <w:rsid w:val="00125AB5"/>
    <w:rsid w:val="00126862"/>
    <w:rsid w:val="00130FC3"/>
    <w:rsid w:val="00133E22"/>
    <w:rsid w:val="00133F2C"/>
    <w:rsid w:val="00134909"/>
    <w:rsid w:val="001351AE"/>
    <w:rsid w:val="00136D85"/>
    <w:rsid w:val="00137AE8"/>
    <w:rsid w:val="00141751"/>
    <w:rsid w:val="001420FE"/>
    <w:rsid w:val="00142AB0"/>
    <w:rsid w:val="00142BA0"/>
    <w:rsid w:val="00142F6D"/>
    <w:rsid w:val="00143FCE"/>
    <w:rsid w:val="00144FD0"/>
    <w:rsid w:val="001453BA"/>
    <w:rsid w:val="0014571A"/>
    <w:rsid w:val="00145D86"/>
    <w:rsid w:val="00146DE0"/>
    <w:rsid w:val="001500A7"/>
    <w:rsid w:val="001500C4"/>
    <w:rsid w:val="00150E20"/>
    <w:rsid w:val="00150F25"/>
    <w:rsid w:val="0015136F"/>
    <w:rsid w:val="00152959"/>
    <w:rsid w:val="00153662"/>
    <w:rsid w:val="00153A92"/>
    <w:rsid w:val="00154617"/>
    <w:rsid w:val="0015485F"/>
    <w:rsid w:val="0015595D"/>
    <w:rsid w:val="00156A00"/>
    <w:rsid w:val="00157FA8"/>
    <w:rsid w:val="001605AA"/>
    <w:rsid w:val="00160B66"/>
    <w:rsid w:val="00160EBD"/>
    <w:rsid w:val="00162FEF"/>
    <w:rsid w:val="00163256"/>
    <w:rsid w:val="001633CC"/>
    <w:rsid w:val="001641BF"/>
    <w:rsid w:val="00164ACF"/>
    <w:rsid w:val="00164C4B"/>
    <w:rsid w:val="00167458"/>
    <w:rsid w:val="001675A6"/>
    <w:rsid w:val="001703E5"/>
    <w:rsid w:val="00172374"/>
    <w:rsid w:val="00172645"/>
    <w:rsid w:val="00173C12"/>
    <w:rsid w:val="00174B1F"/>
    <w:rsid w:val="00176106"/>
    <w:rsid w:val="00180F03"/>
    <w:rsid w:val="001819A2"/>
    <w:rsid w:val="00181F70"/>
    <w:rsid w:val="00183759"/>
    <w:rsid w:val="0018428A"/>
    <w:rsid w:val="00184732"/>
    <w:rsid w:val="00186D3F"/>
    <w:rsid w:val="00186DD0"/>
    <w:rsid w:val="00187528"/>
    <w:rsid w:val="001878F5"/>
    <w:rsid w:val="0019141A"/>
    <w:rsid w:val="0019162F"/>
    <w:rsid w:val="00191810"/>
    <w:rsid w:val="0019194E"/>
    <w:rsid w:val="00191A94"/>
    <w:rsid w:val="00191B82"/>
    <w:rsid w:val="00192342"/>
    <w:rsid w:val="00192428"/>
    <w:rsid w:val="001932F9"/>
    <w:rsid w:val="001939A2"/>
    <w:rsid w:val="00194366"/>
    <w:rsid w:val="00195BC4"/>
    <w:rsid w:val="00196527"/>
    <w:rsid w:val="00196812"/>
    <w:rsid w:val="00197833"/>
    <w:rsid w:val="001A0261"/>
    <w:rsid w:val="001A0AC3"/>
    <w:rsid w:val="001A22E8"/>
    <w:rsid w:val="001A23AD"/>
    <w:rsid w:val="001A35DC"/>
    <w:rsid w:val="001A43C3"/>
    <w:rsid w:val="001A5597"/>
    <w:rsid w:val="001A64EB"/>
    <w:rsid w:val="001A7474"/>
    <w:rsid w:val="001A74DA"/>
    <w:rsid w:val="001B10F0"/>
    <w:rsid w:val="001B137F"/>
    <w:rsid w:val="001B3105"/>
    <w:rsid w:val="001B345F"/>
    <w:rsid w:val="001B3E08"/>
    <w:rsid w:val="001B4143"/>
    <w:rsid w:val="001B466A"/>
    <w:rsid w:val="001B4894"/>
    <w:rsid w:val="001B4AB5"/>
    <w:rsid w:val="001B4F5D"/>
    <w:rsid w:val="001B4FD6"/>
    <w:rsid w:val="001B5090"/>
    <w:rsid w:val="001B5249"/>
    <w:rsid w:val="001C11A7"/>
    <w:rsid w:val="001C1C64"/>
    <w:rsid w:val="001C2524"/>
    <w:rsid w:val="001C2756"/>
    <w:rsid w:val="001C2A36"/>
    <w:rsid w:val="001C3DA7"/>
    <w:rsid w:val="001C3E7F"/>
    <w:rsid w:val="001C40BF"/>
    <w:rsid w:val="001C457F"/>
    <w:rsid w:val="001C4F85"/>
    <w:rsid w:val="001C55EF"/>
    <w:rsid w:val="001C60E7"/>
    <w:rsid w:val="001C6146"/>
    <w:rsid w:val="001C6227"/>
    <w:rsid w:val="001C64E0"/>
    <w:rsid w:val="001C6855"/>
    <w:rsid w:val="001C726C"/>
    <w:rsid w:val="001D041B"/>
    <w:rsid w:val="001D0531"/>
    <w:rsid w:val="001D0551"/>
    <w:rsid w:val="001D09E4"/>
    <w:rsid w:val="001D0E11"/>
    <w:rsid w:val="001D12C7"/>
    <w:rsid w:val="001D2BEA"/>
    <w:rsid w:val="001D32D7"/>
    <w:rsid w:val="001D3498"/>
    <w:rsid w:val="001D38D7"/>
    <w:rsid w:val="001D3DB3"/>
    <w:rsid w:val="001D3DFF"/>
    <w:rsid w:val="001D5A97"/>
    <w:rsid w:val="001D5F48"/>
    <w:rsid w:val="001D5FA1"/>
    <w:rsid w:val="001D77A9"/>
    <w:rsid w:val="001D7AED"/>
    <w:rsid w:val="001E0033"/>
    <w:rsid w:val="001E03DA"/>
    <w:rsid w:val="001E1246"/>
    <w:rsid w:val="001E138C"/>
    <w:rsid w:val="001E2B2A"/>
    <w:rsid w:val="001E2F7A"/>
    <w:rsid w:val="001E2FC7"/>
    <w:rsid w:val="001E33CF"/>
    <w:rsid w:val="001E5356"/>
    <w:rsid w:val="001E6039"/>
    <w:rsid w:val="001E70D5"/>
    <w:rsid w:val="001E71FD"/>
    <w:rsid w:val="001F0561"/>
    <w:rsid w:val="001F07FC"/>
    <w:rsid w:val="001F0F29"/>
    <w:rsid w:val="001F11AF"/>
    <w:rsid w:val="001F1C83"/>
    <w:rsid w:val="001F2099"/>
    <w:rsid w:val="001F308E"/>
    <w:rsid w:val="001F5EB5"/>
    <w:rsid w:val="001F7F0D"/>
    <w:rsid w:val="0020053D"/>
    <w:rsid w:val="00200658"/>
    <w:rsid w:val="00200EC8"/>
    <w:rsid w:val="0020158C"/>
    <w:rsid w:val="0020181A"/>
    <w:rsid w:val="00202E59"/>
    <w:rsid w:val="00203828"/>
    <w:rsid w:val="00203E1D"/>
    <w:rsid w:val="00204C7C"/>
    <w:rsid w:val="002052A2"/>
    <w:rsid w:val="00205632"/>
    <w:rsid w:val="00207214"/>
    <w:rsid w:val="0021282A"/>
    <w:rsid w:val="002129C5"/>
    <w:rsid w:val="0021309F"/>
    <w:rsid w:val="002137BC"/>
    <w:rsid w:val="00215D81"/>
    <w:rsid w:val="0021713E"/>
    <w:rsid w:val="00217193"/>
    <w:rsid w:val="0021731A"/>
    <w:rsid w:val="00217993"/>
    <w:rsid w:val="0022037C"/>
    <w:rsid w:val="00221091"/>
    <w:rsid w:val="0022115B"/>
    <w:rsid w:val="00221514"/>
    <w:rsid w:val="00221FA4"/>
    <w:rsid w:val="002231AD"/>
    <w:rsid w:val="0022391B"/>
    <w:rsid w:val="002242CC"/>
    <w:rsid w:val="00224A79"/>
    <w:rsid w:val="00225870"/>
    <w:rsid w:val="002260D0"/>
    <w:rsid w:val="00226344"/>
    <w:rsid w:val="00226668"/>
    <w:rsid w:val="00226DB7"/>
    <w:rsid w:val="002274E5"/>
    <w:rsid w:val="00227776"/>
    <w:rsid w:val="00227CED"/>
    <w:rsid w:val="0023027F"/>
    <w:rsid w:val="00231358"/>
    <w:rsid w:val="00231973"/>
    <w:rsid w:val="002323E8"/>
    <w:rsid w:val="00232425"/>
    <w:rsid w:val="002329D5"/>
    <w:rsid w:val="002332DB"/>
    <w:rsid w:val="00233D30"/>
    <w:rsid w:val="0023434F"/>
    <w:rsid w:val="00235B1F"/>
    <w:rsid w:val="002368E0"/>
    <w:rsid w:val="00237A33"/>
    <w:rsid w:val="0024104D"/>
    <w:rsid w:val="002426B5"/>
    <w:rsid w:val="002428B6"/>
    <w:rsid w:val="00242BE7"/>
    <w:rsid w:val="00242CE5"/>
    <w:rsid w:val="00244728"/>
    <w:rsid w:val="00244ECA"/>
    <w:rsid w:val="002461DF"/>
    <w:rsid w:val="00246B14"/>
    <w:rsid w:val="00247AB4"/>
    <w:rsid w:val="00250D9C"/>
    <w:rsid w:val="00250E7C"/>
    <w:rsid w:val="0025195F"/>
    <w:rsid w:val="00251EEE"/>
    <w:rsid w:val="0025230A"/>
    <w:rsid w:val="002523B7"/>
    <w:rsid w:val="0025388A"/>
    <w:rsid w:val="00253D60"/>
    <w:rsid w:val="002548DA"/>
    <w:rsid w:val="002553A2"/>
    <w:rsid w:val="00255782"/>
    <w:rsid w:val="002557A2"/>
    <w:rsid w:val="00255FC8"/>
    <w:rsid w:val="00256800"/>
    <w:rsid w:val="00256E09"/>
    <w:rsid w:val="002610BA"/>
    <w:rsid w:val="002616DD"/>
    <w:rsid w:val="00262CD6"/>
    <w:rsid w:val="0026348C"/>
    <w:rsid w:val="00263B60"/>
    <w:rsid w:val="00263C7E"/>
    <w:rsid w:val="00264B20"/>
    <w:rsid w:val="00265015"/>
    <w:rsid w:val="002666C2"/>
    <w:rsid w:val="00267217"/>
    <w:rsid w:val="00267512"/>
    <w:rsid w:val="0027010B"/>
    <w:rsid w:val="0027055D"/>
    <w:rsid w:val="00270ECE"/>
    <w:rsid w:val="00271172"/>
    <w:rsid w:val="002721A4"/>
    <w:rsid w:val="00272B8F"/>
    <w:rsid w:val="00273148"/>
    <w:rsid w:val="0027363B"/>
    <w:rsid w:val="0027483D"/>
    <w:rsid w:val="002755D9"/>
    <w:rsid w:val="00275D60"/>
    <w:rsid w:val="0027616D"/>
    <w:rsid w:val="0027642A"/>
    <w:rsid w:val="00276497"/>
    <w:rsid w:val="00276884"/>
    <w:rsid w:val="002768E1"/>
    <w:rsid w:val="002807DA"/>
    <w:rsid w:val="00281BB1"/>
    <w:rsid w:val="00282122"/>
    <w:rsid w:val="002828E0"/>
    <w:rsid w:val="002830DE"/>
    <w:rsid w:val="00283E5C"/>
    <w:rsid w:val="00284435"/>
    <w:rsid w:val="00284B75"/>
    <w:rsid w:val="0028553F"/>
    <w:rsid w:val="002856FD"/>
    <w:rsid w:val="0028576E"/>
    <w:rsid w:val="0028609F"/>
    <w:rsid w:val="00286C98"/>
    <w:rsid w:val="00286F25"/>
    <w:rsid w:val="00287C65"/>
    <w:rsid w:val="0029032C"/>
    <w:rsid w:val="00291184"/>
    <w:rsid w:val="00291879"/>
    <w:rsid w:val="00292D73"/>
    <w:rsid w:val="00292D8D"/>
    <w:rsid w:val="00292E1D"/>
    <w:rsid w:val="00292F75"/>
    <w:rsid w:val="002938D9"/>
    <w:rsid w:val="00293BD5"/>
    <w:rsid w:val="0029462B"/>
    <w:rsid w:val="0029501C"/>
    <w:rsid w:val="002955DF"/>
    <w:rsid w:val="0029590A"/>
    <w:rsid w:val="00295BD0"/>
    <w:rsid w:val="0029635E"/>
    <w:rsid w:val="002968CD"/>
    <w:rsid w:val="002973A1"/>
    <w:rsid w:val="00297959"/>
    <w:rsid w:val="00297B5D"/>
    <w:rsid w:val="00297CB0"/>
    <w:rsid w:val="00297F2F"/>
    <w:rsid w:val="00297FCA"/>
    <w:rsid w:val="002A02D9"/>
    <w:rsid w:val="002A078A"/>
    <w:rsid w:val="002A2C6D"/>
    <w:rsid w:val="002A2CFC"/>
    <w:rsid w:val="002A2D4F"/>
    <w:rsid w:val="002A3879"/>
    <w:rsid w:val="002A4D3C"/>
    <w:rsid w:val="002A4EDA"/>
    <w:rsid w:val="002A591C"/>
    <w:rsid w:val="002A5B64"/>
    <w:rsid w:val="002A6885"/>
    <w:rsid w:val="002B2410"/>
    <w:rsid w:val="002B3069"/>
    <w:rsid w:val="002B580F"/>
    <w:rsid w:val="002B5929"/>
    <w:rsid w:val="002B6C2B"/>
    <w:rsid w:val="002B6F13"/>
    <w:rsid w:val="002B7364"/>
    <w:rsid w:val="002B7764"/>
    <w:rsid w:val="002B7897"/>
    <w:rsid w:val="002C192F"/>
    <w:rsid w:val="002C298E"/>
    <w:rsid w:val="002C2F89"/>
    <w:rsid w:val="002C7056"/>
    <w:rsid w:val="002C70C1"/>
    <w:rsid w:val="002D0665"/>
    <w:rsid w:val="002D09D9"/>
    <w:rsid w:val="002D0A2A"/>
    <w:rsid w:val="002D145B"/>
    <w:rsid w:val="002D27FD"/>
    <w:rsid w:val="002D2DDE"/>
    <w:rsid w:val="002D329B"/>
    <w:rsid w:val="002D3A8F"/>
    <w:rsid w:val="002D3F22"/>
    <w:rsid w:val="002D430D"/>
    <w:rsid w:val="002D45EC"/>
    <w:rsid w:val="002D49B1"/>
    <w:rsid w:val="002D524C"/>
    <w:rsid w:val="002D5C5A"/>
    <w:rsid w:val="002D5CB8"/>
    <w:rsid w:val="002D60ED"/>
    <w:rsid w:val="002D68D7"/>
    <w:rsid w:val="002D761D"/>
    <w:rsid w:val="002E00E4"/>
    <w:rsid w:val="002E0587"/>
    <w:rsid w:val="002E0D63"/>
    <w:rsid w:val="002E2A1E"/>
    <w:rsid w:val="002E34BA"/>
    <w:rsid w:val="002E3CD9"/>
    <w:rsid w:val="002E5F71"/>
    <w:rsid w:val="002E6914"/>
    <w:rsid w:val="002F3256"/>
    <w:rsid w:val="002F4A16"/>
    <w:rsid w:val="002F4C43"/>
    <w:rsid w:val="002F557F"/>
    <w:rsid w:val="002F7076"/>
    <w:rsid w:val="002F7AD3"/>
    <w:rsid w:val="002F7EE2"/>
    <w:rsid w:val="003003B6"/>
    <w:rsid w:val="00301458"/>
    <w:rsid w:val="003017B1"/>
    <w:rsid w:val="0030226D"/>
    <w:rsid w:val="003031E9"/>
    <w:rsid w:val="003035F6"/>
    <w:rsid w:val="003042FE"/>
    <w:rsid w:val="003052BA"/>
    <w:rsid w:val="00305CAC"/>
    <w:rsid w:val="00305FC8"/>
    <w:rsid w:val="003079DD"/>
    <w:rsid w:val="00307C79"/>
    <w:rsid w:val="003110DD"/>
    <w:rsid w:val="003119AD"/>
    <w:rsid w:val="0031202F"/>
    <w:rsid w:val="00313538"/>
    <w:rsid w:val="00313A58"/>
    <w:rsid w:val="00314CF3"/>
    <w:rsid w:val="003151C9"/>
    <w:rsid w:val="0031747D"/>
    <w:rsid w:val="003227EB"/>
    <w:rsid w:val="00322C78"/>
    <w:rsid w:val="00323565"/>
    <w:rsid w:val="00324743"/>
    <w:rsid w:val="00324E2E"/>
    <w:rsid w:val="0032506C"/>
    <w:rsid w:val="003253B7"/>
    <w:rsid w:val="003266FD"/>
    <w:rsid w:val="00326B9E"/>
    <w:rsid w:val="00326E4C"/>
    <w:rsid w:val="00326FCA"/>
    <w:rsid w:val="00327213"/>
    <w:rsid w:val="00327BF6"/>
    <w:rsid w:val="00332112"/>
    <w:rsid w:val="00332C22"/>
    <w:rsid w:val="003330E9"/>
    <w:rsid w:val="0033319E"/>
    <w:rsid w:val="00334138"/>
    <w:rsid w:val="0033431C"/>
    <w:rsid w:val="00334C6C"/>
    <w:rsid w:val="00335F38"/>
    <w:rsid w:val="00336614"/>
    <w:rsid w:val="003375E7"/>
    <w:rsid w:val="00337C38"/>
    <w:rsid w:val="00337F80"/>
    <w:rsid w:val="00337F9D"/>
    <w:rsid w:val="003405D9"/>
    <w:rsid w:val="00343C1A"/>
    <w:rsid w:val="00343F46"/>
    <w:rsid w:val="00344ABC"/>
    <w:rsid w:val="00344D92"/>
    <w:rsid w:val="00345AC1"/>
    <w:rsid w:val="00345F07"/>
    <w:rsid w:val="003476CA"/>
    <w:rsid w:val="0035015D"/>
    <w:rsid w:val="00350384"/>
    <w:rsid w:val="00350D7E"/>
    <w:rsid w:val="00350DB8"/>
    <w:rsid w:val="00351BE8"/>
    <w:rsid w:val="00352147"/>
    <w:rsid w:val="003528FA"/>
    <w:rsid w:val="00354B5F"/>
    <w:rsid w:val="003556B4"/>
    <w:rsid w:val="00355DBC"/>
    <w:rsid w:val="00355E9D"/>
    <w:rsid w:val="0035697E"/>
    <w:rsid w:val="00356993"/>
    <w:rsid w:val="00356D72"/>
    <w:rsid w:val="00360B6C"/>
    <w:rsid w:val="00361944"/>
    <w:rsid w:val="00362B26"/>
    <w:rsid w:val="00363749"/>
    <w:rsid w:val="003654C2"/>
    <w:rsid w:val="00366123"/>
    <w:rsid w:val="00366927"/>
    <w:rsid w:val="00366E2C"/>
    <w:rsid w:val="0037019D"/>
    <w:rsid w:val="00370FA1"/>
    <w:rsid w:val="003739D5"/>
    <w:rsid w:val="003748FF"/>
    <w:rsid w:val="003759C5"/>
    <w:rsid w:val="0037682E"/>
    <w:rsid w:val="0037753F"/>
    <w:rsid w:val="00377B2E"/>
    <w:rsid w:val="003823DD"/>
    <w:rsid w:val="00382CF7"/>
    <w:rsid w:val="00383379"/>
    <w:rsid w:val="00384E25"/>
    <w:rsid w:val="0038562E"/>
    <w:rsid w:val="0038601A"/>
    <w:rsid w:val="00386CBC"/>
    <w:rsid w:val="00387BDE"/>
    <w:rsid w:val="003912EF"/>
    <w:rsid w:val="00392721"/>
    <w:rsid w:val="00392FF5"/>
    <w:rsid w:val="00393B1B"/>
    <w:rsid w:val="0039495F"/>
    <w:rsid w:val="00395B46"/>
    <w:rsid w:val="0039669E"/>
    <w:rsid w:val="00396E3D"/>
    <w:rsid w:val="003A16B5"/>
    <w:rsid w:val="003A16F8"/>
    <w:rsid w:val="003A1712"/>
    <w:rsid w:val="003A2508"/>
    <w:rsid w:val="003A2B42"/>
    <w:rsid w:val="003A2EED"/>
    <w:rsid w:val="003A3030"/>
    <w:rsid w:val="003A31A7"/>
    <w:rsid w:val="003A3F1F"/>
    <w:rsid w:val="003A414B"/>
    <w:rsid w:val="003A471A"/>
    <w:rsid w:val="003A4A57"/>
    <w:rsid w:val="003A505E"/>
    <w:rsid w:val="003A5180"/>
    <w:rsid w:val="003A5272"/>
    <w:rsid w:val="003A5D50"/>
    <w:rsid w:val="003A6279"/>
    <w:rsid w:val="003A654C"/>
    <w:rsid w:val="003A6B91"/>
    <w:rsid w:val="003B0B38"/>
    <w:rsid w:val="003B12F5"/>
    <w:rsid w:val="003B33EE"/>
    <w:rsid w:val="003B3E3C"/>
    <w:rsid w:val="003B416F"/>
    <w:rsid w:val="003B4790"/>
    <w:rsid w:val="003B4946"/>
    <w:rsid w:val="003B57D6"/>
    <w:rsid w:val="003B5B82"/>
    <w:rsid w:val="003B7A23"/>
    <w:rsid w:val="003C00FD"/>
    <w:rsid w:val="003C2091"/>
    <w:rsid w:val="003C20B1"/>
    <w:rsid w:val="003C20E8"/>
    <w:rsid w:val="003C2A2C"/>
    <w:rsid w:val="003C3062"/>
    <w:rsid w:val="003C3086"/>
    <w:rsid w:val="003C3251"/>
    <w:rsid w:val="003C3934"/>
    <w:rsid w:val="003C3C90"/>
    <w:rsid w:val="003C5CD5"/>
    <w:rsid w:val="003C6F08"/>
    <w:rsid w:val="003D0C7F"/>
    <w:rsid w:val="003D2E39"/>
    <w:rsid w:val="003D5ACC"/>
    <w:rsid w:val="003D5DC8"/>
    <w:rsid w:val="003D5E21"/>
    <w:rsid w:val="003D6157"/>
    <w:rsid w:val="003D6CA7"/>
    <w:rsid w:val="003D72B3"/>
    <w:rsid w:val="003E008D"/>
    <w:rsid w:val="003E0324"/>
    <w:rsid w:val="003E0641"/>
    <w:rsid w:val="003E2D09"/>
    <w:rsid w:val="003E3193"/>
    <w:rsid w:val="003E3BC6"/>
    <w:rsid w:val="003E4B1E"/>
    <w:rsid w:val="003E59FE"/>
    <w:rsid w:val="003E5FBF"/>
    <w:rsid w:val="003E7264"/>
    <w:rsid w:val="003E7C31"/>
    <w:rsid w:val="003F1870"/>
    <w:rsid w:val="003F2490"/>
    <w:rsid w:val="003F2C52"/>
    <w:rsid w:val="003F2D57"/>
    <w:rsid w:val="003F483B"/>
    <w:rsid w:val="003F56DA"/>
    <w:rsid w:val="003F5A93"/>
    <w:rsid w:val="003F6080"/>
    <w:rsid w:val="003F72FE"/>
    <w:rsid w:val="003F7389"/>
    <w:rsid w:val="003F7AC3"/>
    <w:rsid w:val="004011B6"/>
    <w:rsid w:val="0040137E"/>
    <w:rsid w:val="004014A0"/>
    <w:rsid w:val="0040265E"/>
    <w:rsid w:val="00403D88"/>
    <w:rsid w:val="00404519"/>
    <w:rsid w:val="00405D33"/>
    <w:rsid w:val="00406AE3"/>
    <w:rsid w:val="00406B48"/>
    <w:rsid w:val="00410B94"/>
    <w:rsid w:val="00411752"/>
    <w:rsid w:val="00411D3E"/>
    <w:rsid w:val="00413995"/>
    <w:rsid w:val="00414084"/>
    <w:rsid w:val="0041619B"/>
    <w:rsid w:val="00416BBC"/>
    <w:rsid w:val="00416CD8"/>
    <w:rsid w:val="0041738E"/>
    <w:rsid w:val="00417823"/>
    <w:rsid w:val="004214ED"/>
    <w:rsid w:val="004215EA"/>
    <w:rsid w:val="00422B79"/>
    <w:rsid w:val="00424DBA"/>
    <w:rsid w:val="00425239"/>
    <w:rsid w:val="00425A41"/>
    <w:rsid w:val="00425D17"/>
    <w:rsid w:val="00425EA6"/>
    <w:rsid w:val="00426940"/>
    <w:rsid w:val="00426A81"/>
    <w:rsid w:val="0042762F"/>
    <w:rsid w:val="004279A0"/>
    <w:rsid w:val="004325A0"/>
    <w:rsid w:val="004328BE"/>
    <w:rsid w:val="00432C46"/>
    <w:rsid w:val="00432D9D"/>
    <w:rsid w:val="00433715"/>
    <w:rsid w:val="00434DA2"/>
    <w:rsid w:val="00436B20"/>
    <w:rsid w:val="00436B79"/>
    <w:rsid w:val="00436EB4"/>
    <w:rsid w:val="00437086"/>
    <w:rsid w:val="00442724"/>
    <w:rsid w:val="004433C8"/>
    <w:rsid w:val="00443845"/>
    <w:rsid w:val="00444967"/>
    <w:rsid w:val="004458CF"/>
    <w:rsid w:val="00445E10"/>
    <w:rsid w:val="0044625B"/>
    <w:rsid w:val="00446C8F"/>
    <w:rsid w:val="0044721E"/>
    <w:rsid w:val="00450097"/>
    <w:rsid w:val="00450794"/>
    <w:rsid w:val="00450C4B"/>
    <w:rsid w:val="00451E62"/>
    <w:rsid w:val="0045220F"/>
    <w:rsid w:val="00452738"/>
    <w:rsid w:val="00452F79"/>
    <w:rsid w:val="00453323"/>
    <w:rsid w:val="00453428"/>
    <w:rsid w:val="004539C9"/>
    <w:rsid w:val="00454BEC"/>
    <w:rsid w:val="00454ED4"/>
    <w:rsid w:val="004554E7"/>
    <w:rsid w:val="00455DC7"/>
    <w:rsid w:val="00455E80"/>
    <w:rsid w:val="004568C7"/>
    <w:rsid w:val="00456EE6"/>
    <w:rsid w:val="004570B6"/>
    <w:rsid w:val="00457233"/>
    <w:rsid w:val="00457CFA"/>
    <w:rsid w:val="0046041C"/>
    <w:rsid w:val="00461F65"/>
    <w:rsid w:val="00464F6C"/>
    <w:rsid w:val="004666F2"/>
    <w:rsid w:val="004668B8"/>
    <w:rsid w:val="00466A10"/>
    <w:rsid w:val="00466E0D"/>
    <w:rsid w:val="00467850"/>
    <w:rsid w:val="0047027C"/>
    <w:rsid w:val="00470C2E"/>
    <w:rsid w:val="00470E8D"/>
    <w:rsid w:val="00472E2B"/>
    <w:rsid w:val="0047337A"/>
    <w:rsid w:val="004742D8"/>
    <w:rsid w:val="004750E1"/>
    <w:rsid w:val="00475C6B"/>
    <w:rsid w:val="00475EAF"/>
    <w:rsid w:val="00476641"/>
    <w:rsid w:val="004766CB"/>
    <w:rsid w:val="00477572"/>
    <w:rsid w:val="00477657"/>
    <w:rsid w:val="004808D9"/>
    <w:rsid w:val="00480DCE"/>
    <w:rsid w:val="004819B0"/>
    <w:rsid w:val="00481AE3"/>
    <w:rsid w:val="00482405"/>
    <w:rsid w:val="00482858"/>
    <w:rsid w:val="00482915"/>
    <w:rsid w:val="00482D92"/>
    <w:rsid w:val="00483195"/>
    <w:rsid w:val="00484B72"/>
    <w:rsid w:val="0048578B"/>
    <w:rsid w:val="00485DB5"/>
    <w:rsid w:val="00485F03"/>
    <w:rsid w:val="00486962"/>
    <w:rsid w:val="00487977"/>
    <w:rsid w:val="004879F1"/>
    <w:rsid w:val="00487DCF"/>
    <w:rsid w:val="0049042B"/>
    <w:rsid w:val="00492435"/>
    <w:rsid w:val="00492563"/>
    <w:rsid w:val="00492D01"/>
    <w:rsid w:val="00492DF6"/>
    <w:rsid w:val="00492E0C"/>
    <w:rsid w:val="00493734"/>
    <w:rsid w:val="00495181"/>
    <w:rsid w:val="00495CF7"/>
    <w:rsid w:val="00497D76"/>
    <w:rsid w:val="00497F3D"/>
    <w:rsid w:val="004A0951"/>
    <w:rsid w:val="004A2CFB"/>
    <w:rsid w:val="004A3944"/>
    <w:rsid w:val="004A589E"/>
    <w:rsid w:val="004A6311"/>
    <w:rsid w:val="004A7B27"/>
    <w:rsid w:val="004A7B5F"/>
    <w:rsid w:val="004B0A01"/>
    <w:rsid w:val="004B0BE9"/>
    <w:rsid w:val="004B0F51"/>
    <w:rsid w:val="004B1A14"/>
    <w:rsid w:val="004B1EC2"/>
    <w:rsid w:val="004B209C"/>
    <w:rsid w:val="004B2DB6"/>
    <w:rsid w:val="004B2E6C"/>
    <w:rsid w:val="004B38B9"/>
    <w:rsid w:val="004B3A98"/>
    <w:rsid w:val="004B4EBC"/>
    <w:rsid w:val="004B5332"/>
    <w:rsid w:val="004B5E6D"/>
    <w:rsid w:val="004B6A3F"/>
    <w:rsid w:val="004B7329"/>
    <w:rsid w:val="004B76A8"/>
    <w:rsid w:val="004B7CEF"/>
    <w:rsid w:val="004C02C3"/>
    <w:rsid w:val="004C0CC0"/>
    <w:rsid w:val="004C1820"/>
    <w:rsid w:val="004C27E8"/>
    <w:rsid w:val="004C3AF8"/>
    <w:rsid w:val="004C4F95"/>
    <w:rsid w:val="004C5657"/>
    <w:rsid w:val="004C5938"/>
    <w:rsid w:val="004C6BE7"/>
    <w:rsid w:val="004C748C"/>
    <w:rsid w:val="004C7555"/>
    <w:rsid w:val="004C75EB"/>
    <w:rsid w:val="004D040D"/>
    <w:rsid w:val="004D27DD"/>
    <w:rsid w:val="004D2A60"/>
    <w:rsid w:val="004D3CD2"/>
    <w:rsid w:val="004D4F32"/>
    <w:rsid w:val="004D56DF"/>
    <w:rsid w:val="004D5B7D"/>
    <w:rsid w:val="004D5DC8"/>
    <w:rsid w:val="004D5DFB"/>
    <w:rsid w:val="004D5E5E"/>
    <w:rsid w:val="004D5F51"/>
    <w:rsid w:val="004D6EDA"/>
    <w:rsid w:val="004D6FC4"/>
    <w:rsid w:val="004E144B"/>
    <w:rsid w:val="004E17DF"/>
    <w:rsid w:val="004E1B85"/>
    <w:rsid w:val="004E218F"/>
    <w:rsid w:val="004E2384"/>
    <w:rsid w:val="004E2978"/>
    <w:rsid w:val="004E373B"/>
    <w:rsid w:val="004E4341"/>
    <w:rsid w:val="004E4726"/>
    <w:rsid w:val="004E4F0C"/>
    <w:rsid w:val="004E4FF0"/>
    <w:rsid w:val="004E6743"/>
    <w:rsid w:val="004E6A7B"/>
    <w:rsid w:val="004E7566"/>
    <w:rsid w:val="004F0B04"/>
    <w:rsid w:val="004F0B66"/>
    <w:rsid w:val="004F19AA"/>
    <w:rsid w:val="004F2092"/>
    <w:rsid w:val="004F21AA"/>
    <w:rsid w:val="004F26D1"/>
    <w:rsid w:val="004F32AF"/>
    <w:rsid w:val="004F38DF"/>
    <w:rsid w:val="004F3BFC"/>
    <w:rsid w:val="004F4067"/>
    <w:rsid w:val="004F5838"/>
    <w:rsid w:val="004F63CC"/>
    <w:rsid w:val="004F69ED"/>
    <w:rsid w:val="004F6ECE"/>
    <w:rsid w:val="00501266"/>
    <w:rsid w:val="00501DD4"/>
    <w:rsid w:val="00502563"/>
    <w:rsid w:val="005028D1"/>
    <w:rsid w:val="005033B1"/>
    <w:rsid w:val="005052C3"/>
    <w:rsid w:val="00505302"/>
    <w:rsid w:val="00507621"/>
    <w:rsid w:val="005104F7"/>
    <w:rsid w:val="00510696"/>
    <w:rsid w:val="00510775"/>
    <w:rsid w:val="005112A6"/>
    <w:rsid w:val="00511835"/>
    <w:rsid w:val="00511857"/>
    <w:rsid w:val="00511881"/>
    <w:rsid w:val="005123D3"/>
    <w:rsid w:val="0051366C"/>
    <w:rsid w:val="00513781"/>
    <w:rsid w:val="00514929"/>
    <w:rsid w:val="00515D66"/>
    <w:rsid w:val="00516DB7"/>
    <w:rsid w:val="00517670"/>
    <w:rsid w:val="00517BAB"/>
    <w:rsid w:val="00520782"/>
    <w:rsid w:val="005211C0"/>
    <w:rsid w:val="005213C9"/>
    <w:rsid w:val="005214AE"/>
    <w:rsid w:val="00522532"/>
    <w:rsid w:val="00522A38"/>
    <w:rsid w:val="00523920"/>
    <w:rsid w:val="005246FC"/>
    <w:rsid w:val="00524CA0"/>
    <w:rsid w:val="00525288"/>
    <w:rsid w:val="00525855"/>
    <w:rsid w:val="00526CDD"/>
    <w:rsid w:val="00527D71"/>
    <w:rsid w:val="00530BAE"/>
    <w:rsid w:val="00533FD4"/>
    <w:rsid w:val="00534579"/>
    <w:rsid w:val="005352E9"/>
    <w:rsid w:val="00535FD4"/>
    <w:rsid w:val="00536830"/>
    <w:rsid w:val="00536FE4"/>
    <w:rsid w:val="00537566"/>
    <w:rsid w:val="00540187"/>
    <w:rsid w:val="0054224F"/>
    <w:rsid w:val="005425EE"/>
    <w:rsid w:val="00542E9F"/>
    <w:rsid w:val="0054365C"/>
    <w:rsid w:val="00544288"/>
    <w:rsid w:val="00545089"/>
    <w:rsid w:val="00545D1D"/>
    <w:rsid w:val="005469B2"/>
    <w:rsid w:val="005505B8"/>
    <w:rsid w:val="0055063C"/>
    <w:rsid w:val="0055086D"/>
    <w:rsid w:val="00551451"/>
    <w:rsid w:val="005525F1"/>
    <w:rsid w:val="00553226"/>
    <w:rsid w:val="005553BD"/>
    <w:rsid w:val="00555785"/>
    <w:rsid w:val="00555D4F"/>
    <w:rsid w:val="0055766F"/>
    <w:rsid w:val="005607AE"/>
    <w:rsid w:val="0056104E"/>
    <w:rsid w:val="00561D28"/>
    <w:rsid w:val="00561DE3"/>
    <w:rsid w:val="0056213F"/>
    <w:rsid w:val="005630A5"/>
    <w:rsid w:val="0056456C"/>
    <w:rsid w:val="005649E2"/>
    <w:rsid w:val="00564A2F"/>
    <w:rsid w:val="00566443"/>
    <w:rsid w:val="0056693E"/>
    <w:rsid w:val="005679C6"/>
    <w:rsid w:val="00570659"/>
    <w:rsid w:val="00570865"/>
    <w:rsid w:val="0057102A"/>
    <w:rsid w:val="0057103A"/>
    <w:rsid w:val="005732FC"/>
    <w:rsid w:val="00573D27"/>
    <w:rsid w:val="00573E0F"/>
    <w:rsid w:val="0057436D"/>
    <w:rsid w:val="00574396"/>
    <w:rsid w:val="005743AD"/>
    <w:rsid w:val="005747F6"/>
    <w:rsid w:val="005754A9"/>
    <w:rsid w:val="00575B21"/>
    <w:rsid w:val="00576640"/>
    <w:rsid w:val="005821D2"/>
    <w:rsid w:val="0058258F"/>
    <w:rsid w:val="0058322D"/>
    <w:rsid w:val="005843F0"/>
    <w:rsid w:val="00585057"/>
    <w:rsid w:val="005854AE"/>
    <w:rsid w:val="005854D3"/>
    <w:rsid w:val="005874E6"/>
    <w:rsid w:val="005879DF"/>
    <w:rsid w:val="00587F3A"/>
    <w:rsid w:val="005923FD"/>
    <w:rsid w:val="00593389"/>
    <w:rsid w:val="00593477"/>
    <w:rsid w:val="00593AEA"/>
    <w:rsid w:val="00594667"/>
    <w:rsid w:val="00595231"/>
    <w:rsid w:val="0059632B"/>
    <w:rsid w:val="005A037C"/>
    <w:rsid w:val="005A0927"/>
    <w:rsid w:val="005A0C66"/>
    <w:rsid w:val="005A0ECF"/>
    <w:rsid w:val="005A1B49"/>
    <w:rsid w:val="005A437F"/>
    <w:rsid w:val="005A4B75"/>
    <w:rsid w:val="005A6BF1"/>
    <w:rsid w:val="005A7F64"/>
    <w:rsid w:val="005B125B"/>
    <w:rsid w:val="005B1C88"/>
    <w:rsid w:val="005B1CAB"/>
    <w:rsid w:val="005B2172"/>
    <w:rsid w:val="005B2687"/>
    <w:rsid w:val="005B29A7"/>
    <w:rsid w:val="005B4349"/>
    <w:rsid w:val="005B4620"/>
    <w:rsid w:val="005B59F3"/>
    <w:rsid w:val="005B5A55"/>
    <w:rsid w:val="005B5F9F"/>
    <w:rsid w:val="005B6A84"/>
    <w:rsid w:val="005B76D1"/>
    <w:rsid w:val="005C01C3"/>
    <w:rsid w:val="005C050F"/>
    <w:rsid w:val="005C0C87"/>
    <w:rsid w:val="005C2740"/>
    <w:rsid w:val="005C2A08"/>
    <w:rsid w:val="005C2FD9"/>
    <w:rsid w:val="005C3030"/>
    <w:rsid w:val="005C30AF"/>
    <w:rsid w:val="005C3720"/>
    <w:rsid w:val="005C5090"/>
    <w:rsid w:val="005C50EA"/>
    <w:rsid w:val="005C7241"/>
    <w:rsid w:val="005D0425"/>
    <w:rsid w:val="005D04CF"/>
    <w:rsid w:val="005D1C2B"/>
    <w:rsid w:val="005D28BF"/>
    <w:rsid w:val="005D3CB0"/>
    <w:rsid w:val="005D5450"/>
    <w:rsid w:val="005D71F2"/>
    <w:rsid w:val="005D7729"/>
    <w:rsid w:val="005D798F"/>
    <w:rsid w:val="005E05F4"/>
    <w:rsid w:val="005E0960"/>
    <w:rsid w:val="005E0FFC"/>
    <w:rsid w:val="005E1032"/>
    <w:rsid w:val="005E1543"/>
    <w:rsid w:val="005E35BA"/>
    <w:rsid w:val="005E38DF"/>
    <w:rsid w:val="005E4E0A"/>
    <w:rsid w:val="005E6A14"/>
    <w:rsid w:val="005E6BB3"/>
    <w:rsid w:val="005E757C"/>
    <w:rsid w:val="005E75C0"/>
    <w:rsid w:val="005E7FBB"/>
    <w:rsid w:val="005F0E1E"/>
    <w:rsid w:val="005F1814"/>
    <w:rsid w:val="005F193A"/>
    <w:rsid w:val="005F1DE0"/>
    <w:rsid w:val="005F2620"/>
    <w:rsid w:val="005F2845"/>
    <w:rsid w:val="005F2BD6"/>
    <w:rsid w:val="005F4C31"/>
    <w:rsid w:val="005F4F20"/>
    <w:rsid w:val="005F5741"/>
    <w:rsid w:val="005F58C2"/>
    <w:rsid w:val="005F5933"/>
    <w:rsid w:val="005F60B7"/>
    <w:rsid w:val="005F65A1"/>
    <w:rsid w:val="005F7F54"/>
    <w:rsid w:val="006000E0"/>
    <w:rsid w:val="0060010E"/>
    <w:rsid w:val="006004D9"/>
    <w:rsid w:val="00602026"/>
    <w:rsid w:val="00603943"/>
    <w:rsid w:val="00603CC5"/>
    <w:rsid w:val="00604139"/>
    <w:rsid w:val="00605990"/>
    <w:rsid w:val="00606D7A"/>
    <w:rsid w:val="00607013"/>
    <w:rsid w:val="0060765D"/>
    <w:rsid w:val="0060777A"/>
    <w:rsid w:val="00607D0A"/>
    <w:rsid w:val="00607D46"/>
    <w:rsid w:val="00607E25"/>
    <w:rsid w:val="006112BA"/>
    <w:rsid w:val="006118F0"/>
    <w:rsid w:val="006126B0"/>
    <w:rsid w:val="006134BF"/>
    <w:rsid w:val="00613D06"/>
    <w:rsid w:val="0061519A"/>
    <w:rsid w:val="00615428"/>
    <w:rsid w:val="00615AAD"/>
    <w:rsid w:val="0061601D"/>
    <w:rsid w:val="0061662F"/>
    <w:rsid w:val="00617C5D"/>
    <w:rsid w:val="006226DD"/>
    <w:rsid w:val="0062289A"/>
    <w:rsid w:val="00623DF6"/>
    <w:rsid w:val="006244DD"/>
    <w:rsid w:val="00624858"/>
    <w:rsid w:val="00624C89"/>
    <w:rsid w:val="00625ACD"/>
    <w:rsid w:val="00626595"/>
    <w:rsid w:val="00627D30"/>
    <w:rsid w:val="00627D8C"/>
    <w:rsid w:val="00627DB1"/>
    <w:rsid w:val="006307B0"/>
    <w:rsid w:val="00630BB5"/>
    <w:rsid w:val="00631086"/>
    <w:rsid w:val="006334D4"/>
    <w:rsid w:val="006342A4"/>
    <w:rsid w:val="006344B3"/>
    <w:rsid w:val="00635F18"/>
    <w:rsid w:val="00635F23"/>
    <w:rsid w:val="00637095"/>
    <w:rsid w:val="006374CB"/>
    <w:rsid w:val="00637C72"/>
    <w:rsid w:val="0064052A"/>
    <w:rsid w:val="00641301"/>
    <w:rsid w:val="00642A5D"/>
    <w:rsid w:val="00642D4D"/>
    <w:rsid w:val="006439AB"/>
    <w:rsid w:val="00643EA2"/>
    <w:rsid w:val="006450F5"/>
    <w:rsid w:val="00645A91"/>
    <w:rsid w:val="006468F0"/>
    <w:rsid w:val="00646B55"/>
    <w:rsid w:val="00650722"/>
    <w:rsid w:val="006515E3"/>
    <w:rsid w:val="00651A7A"/>
    <w:rsid w:val="00651EF7"/>
    <w:rsid w:val="00652D42"/>
    <w:rsid w:val="00653492"/>
    <w:rsid w:val="00654327"/>
    <w:rsid w:val="00655DA4"/>
    <w:rsid w:val="00660521"/>
    <w:rsid w:val="006605C4"/>
    <w:rsid w:val="00661BDD"/>
    <w:rsid w:val="00662426"/>
    <w:rsid w:val="00662DCC"/>
    <w:rsid w:val="00662DFB"/>
    <w:rsid w:val="00663A10"/>
    <w:rsid w:val="00663A60"/>
    <w:rsid w:val="006643B5"/>
    <w:rsid w:val="00664B19"/>
    <w:rsid w:val="0066796C"/>
    <w:rsid w:val="00671BAE"/>
    <w:rsid w:val="00672BFF"/>
    <w:rsid w:val="00672D4E"/>
    <w:rsid w:val="00673DAE"/>
    <w:rsid w:val="00674449"/>
    <w:rsid w:val="0067469F"/>
    <w:rsid w:val="00674E7B"/>
    <w:rsid w:val="00675A12"/>
    <w:rsid w:val="00675B07"/>
    <w:rsid w:val="00675BA0"/>
    <w:rsid w:val="006769E2"/>
    <w:rsid w:val="006776A8"/>
    <w:rsid w:val="00680012"/>
    <w:rsid w:val="00680D49"/>
    <w:rsid w:val="00681891"/>
    <w:rsid w:val="00681DD8"/>
    <w:rsid w:val="00682B7D"/>
    <w:rsid w:val="0068372F"/>
    <w:rsid w:val="00683AA1"/>
    <w:rsid w:val="006841CC"/>
    <w:rsid w:val="00684821"/>
    <w:rsid w:val="006849F6"/>
    <w:rsid w:val="006853C7"/>
    <w:rsid w:val="006862D1"/>
    <w:rsid w:val="006866C4"/>
    <w:rsid w:val="00690149"/>
    <w:rsid w:val="00691557"/>
    <w:rsid w:val="00691A13"/>
    <w:rsid w:val="00691ED9"/>
    <w:rsid w:val="0069221E"/>
    <w:rsid w:val="00692243"/>
    <w:rsid w:val="0069283D"/>
    <w:rsid w:val="006930BC"/>
    <w:rsid w:val="006957BD"/>
    <w:rsid w:val="00696697"/>
    <w:rsid w:val="00696F7C"/>
    <w:rsid w:val="006973DC"/>
    <w:rsid w:val="006A139F"/>
    <w:rsid w:val="006A20F8"/>
    <w:rsid w:val="006A2976"/>
    <w:rsid w:val="006A390A"/>
    <w:rsid w:val="006A3CCF"/>
    <w:rsid w:val="006A3D09"/>
    <w:rsid w:val="006A5138"/>
    <w:rsid w:val="006A5380"/>
    <w:rsid w:val="006A5630"/>
    <w:rsid w:val="006A5CAA"/>
    <w:rsid w:val="006A6150"/>
    <w:rsid w:val="006A61A4"/>
    <w:rsid w:val="006A6477"/>
    <w:rsid w:val="006A6C00"/>
    <w:rsid w:val="006A6E0A"/>
    <w:rsid w:val="006A705C"/>
    <w:rsid w:val="006B2FDF"/>
    <w:rsid w:val="006B306C"/>
    <w:rsid w:val="006B33AD"/>
    <w:rsid w:val="006B36CD"/>
    <w:rsid w:val="006B37FE"/>
    <w:rsid w:val="006B3DC9"/>
    <w:rsid w:val="006B3E04"/>
    <w:rsid w:val="006B4275"/>
    <w:rsid w:val="006B66F6"/>
    <w:rsid w:val="006B6717"/>
    <w:rsid w:val="006B7576"/>
    <w:rsid w:val="006C1C0C"/>
    <w:rsid w:val="006C3619"/>
    <w:rsid w:val="006C3B04"/>
    <w:rsid w:val="006C3DF9"/>
    <w:rsid w:val="006C3F0B"/>
    <w:rsid w:val="006C5B34"/>
    <w:rsid w:val="006C5E42"/>
    <w:rsid w:val="006C679D"/>
    <w:rsid w:val="006C6DFF"/>
    <w:rsid w:val="006C7058"/>
    <w:rsid w:val="006C730E"/>
    <w:rsid w:val="006D04CC"/>
    <w:rsid w:val="006D1F00"/>
    <w:rsid w:val="006D1FD4"/>
    <w:rsid w:val="006D20CA"/>
    <w:rsid w:val="006D22EB"/>
    <w:rsid w:val="006D34BB"/>
    <w:rsid w:val="006D3706"/>
    <w:rsid w:val="006D3CDA"/>
    <w:rsid w:val="006D4E84"/>
    <w:rsid w:val="006D5355"/>
    <w:rsid w:val="006D57CC"/>
    <w:rsid w:val="006D59BF"/>
    <w:rsid w:val="006D5BB7"/>
    <w:rsid w:val="006D66E5"/>
    <w:rsid w:val="006D66FF"/>
    <w:rsid w:val="006D670D"/>
    <w:rsid w:val="006D6B59"/>
    <w:rsid w:val="006D72BE"/>
    <w:rsid w:val="006E1206"/>
    <w:rsid w:val="006E13A3"/>
    <w:rsid w:val="006E2994"/>
    <w:rsid w:val="006E317D"/>
    <w:rsid w:val="006E3414"/>
    <w:rsid w:val="006E3882"/>
    <w:rsid w:val="006E3C9C"/>
    <w:rsid w:val="006E441C"/>
    <w:rsid w:val="006E4799"/>
    <w:rsid w:val="006E5401"/>
    <w:rsid w:val="006E5A27"/>
    <w:rsid w:val="006E5B98"/>
    <w:rsid w:val="006E5F11"/>
    <w:rsid w:val="006E607C"/>
    <w:rsid w:val="006E63CD"/>
    <w:rsid w:val="006E6C1C"/>
    <w:rsid w:val="006F0DD9"/>
    <w:rsid w:val="006F1629"/>
    <w:rsid w:val="006F199B"/>
    <w:rsid w:val="006F1C2A"/>
    <w:rsid w:val="006F2B84"/>
    <w:rsid w:val="006F2BB6"/>
    <w:rsid w:val="006F3719"/>
    <w:rsid w:val="006F3DF4"/>
    <w:rsid w:val="006F6E60"/>
    <w:rsid w:val="006F7E6F"/>
    <w:rsid w:val="00700790"/>
    <w:rsid w:val="007026CC"/>
    <w:rsid w:val="00702914"/>
    <w:rsid w:val="00702B2B"/>
    <w:rsid w:val="00704CB6"/>
    <w:rsid w:val="00704D43"/>
    <w:rsid w:val="00705752"/>
    <w:rsid w:val="007057AA"/>
    <w:rsid w:val="007072FA"/>
    <w:rsid w:val="0070797B"/>
    <w:rsid w:val="00707B6C"/>
    <w:rsid w:val="00710A15"/>
    <w:rsid w:val="0071353E"/>
    <w:rsid w:val="007135B5"/>
    <w:rsid w:val="00714356"/>
    <w:rsid w:val="00715DA1"/>
    <w:rsid w:val="00716991"/>
    <w:rsid w:val="007171D6"/>
    <w:rsid w:val="00717328"/>
    <w:rsid w:val="007174D1"/>
    <w:rsid w:val="007174D8"/>
    <w:rsid w:val="00717B0F"/>
    <w:rsid w:val="00717F09"/>
    <w:rsid w:val="00717FB4"/>
    <w:rsid w:val="00720A92"/>
    <w:rsid w:val="00720E28"/>
    <w:rsid w:val="0072134D"/>
    <w:rsid w:val="007225D3"/>
    <w:rsid w:val="00725721"/>
    <w:rsid w:val="00725891"/>
    <w:rsid w:val="00726520"/>
    <w:rsid w:val="00726701"/>
    <w:rsid w:val="00730153"/>
    <w:rsid w:val="007305E1"/>
    <w:rsid w:val="007317EB"/>
    <w:rsid w:val="00731849"/>
    <w:rsid w:val="00732124"/>
    <w:rsid w:val="00732404"/>
    <w:rsid w:val="00732F71"/>
    <w:rsid w:val="0073302A"/>
    <w:rsid w:val="007338B7"/>
    <w:rsid w:val="0073433D"/>
    <w:rsid w:val="00734B8E"/>
    <w:rsid w:val="007350EB"/>
    <w:rsid w:val="00735A37"/>
    <w:rsid w:val="007369AE"/>
    <w:rsid w:val="00737C47"/>
    <w:rsid w:val="00737ED5"/>
    <w:rsid w:val="007405DC"/>
    <w:rsid w:val="00740777"/>
    <w:rsid w:val="007410FA"/>
    <w:rsid w:val="00742761"/>
    <w:rsid w:val="007430FB"/>
    <w:rsid w:val="0074443B"/>
    <w:rsid w:val="007444EF"/>
    <w:rsid w:val="00745424"/>
    <w:rsid w:val="007465E1"/>
    <w:rsid w:val="007465F1"/>
    <w:rsid w:val="00746740"/>
    <w:rsid w:val="007475DE"/>
    <w:rsid w:val="00747D3E"/>
    <w:rsid w:val="007517C9"/>
    <w:rsid w:val="00751F95"/>
    <w:rsid w:val="00753A07"/>
    <w:rsid w:val="00753AEC"/>
    <w:rsid w:val="00753D95"/>
    <w:rsid w:val="00754461"/>
    <w:rsid w:val="007551FE"/>
    <w:rsid w:val="007557B5"/>
    <w:rsid w:val="00755803"/>
    <w:rsid w:val="00755943"/>
    <w:rsid w:val="0075594C"/>
    <w:rsid w:val="007568AF"/>
    <w:rsid w:val="00757AFF"/>
    <w:rsid w:val="0076067F"/>
    <w:rsid w:val="0076153B"/>
    <w:rsid w:val="00762023"/>
    <w:rsid w:val="00762D33"/>
    <w:rsid w:val="007632B7"/>
    <w:rsid w:val="00766BF3"/>
    <w:rsid w:val="00766EE9"/>
    <w:rsid w:val="00767D2C"/>
    <w:rsid w:val="00770B8D"/>
    <w:rsid w:val="007717EB"/>
    <w:rsid w:val="00772177"/>
    <w:rsid w:val="00772A7E"/>
    <w:rsid w:val="0077309C"/>
    <w:rsid w:val="00773EE7"/>
    <w:rsid w:val="00776279"/>
    <w:rsid w:val="00776DB2"/>
    <w:rsid w:val="00776E5E"/>
    <w:rsid w:val="00777DAC"/>
    <w:rsid w:val="00781188"/>
    <w:rsid w:val="007818C5"/>
    <w:rsid w:val="00782BD1"/>
    <w:rsid w:val="00783802"/>
    <w:rsid w:val="00785A6D"/>
    <w:rsid w:val="00785D36"/>
    <w:rsid w:val="00786F16"/>
    <w:rsid w:val="007900D1"/>
    <w:rsid w:val="00791FAC"/>
    <w:rsid w:val="0079230E"/>
    <w:rsid w:val="00792373"/>
    <w:rsid w:val="00792A37"/>
    <w:rsid w:val="007930CF"/>
    <w:rsid w:val="007946D4"/>
    <w:rsid w:val="00794FD7"/>
    <w:rsid w:val="007958A5"/>
    <w:rsid w:val="00796CA5"/>
    <w:rsid w:val="00796F0A"/>
    <w:rsid w:val="007A1242"/>
    <w:rsid w:val="007A1B40"/>
    <w:rsid w:val="007A1BBC"/>
    <w:rsid w:val="007A23EC"/>
    <w:rsid w:val="007A256B"/>
    <w:rsid w:val="007A3466"/>
    <w:rsid w:val="007A360D"/>
    <w:rsid w:val="007A3B12"/>
    <w:rsid w:val="007A3C09"/>
    <w:rsid w:val="007A3C4D"/>
    <w:rsid w:val="007A4D0D"/>
    <w:rsid w:val="007A5305"/>
    <w:rsid w:val="007A555C"/>
    <w:rsid w:val="007A5BFF"/>
    <w:rsid w:val="007A6168"/>
    <w:rsid w:val="007A654D"/>
    <w:rsid w:val="007A66CD"/>
    <w:rsid w:val="007A6D7F"/>
    <w:rsid w:val="007B27BF"/>
    <w:rsid w:val="007B27C0"/>
    <w:rsid w:val="007B43AA"/>
    <w:rsid w:val="007B5C62"/>
    <w:rsid w:val="007B681B"/>
    <w:rsid w:val="007B76AF"/>
    <w:rsid w:val="007B7ABC"/>
    <w:rsid w:val="007C0158"/>
    <w:rsid w:val="007C02CD"/>
    <w:rsid w:val="007C1620"/>
    <w:rsid w:val="007C1F73"/>
    <w:rsid w:val="007C295A"/>
    <w:rsid w:val="007C3966"/>
    <w:rsid w:val="007C489F"/>
    <w:rsid w:val="007C493F"/>
    <w:rsid w:val="007C5196"/>
    <w:rsid w:val="007C6734"/>
    <w:rsid w:val="007C679A"/>
    <w:rsid w:val="007C6F57"/>
    <w:rsid w:val="007D00CC"/>
    <w:rsid w:val="007D1149"/>
    <w:rsid w:val="007D182A"/>
    <w:rsid w:val="007D271E"/>
    <w:rsid w:val="007D344B"/>
    <w:rsid w:val="007D4814"/>
    <w:rsid w:val="007D505A"/>
    <w:rsid w:val="007D6C36"/>
    <w:rsid w:val="007D77CC"/>
    <w:rsid w:val="007E0C82"/>
    <w:rsid w:val="007E18EE"/>
    <w:rsid w:val="007E3133"/>
    <w:rsid w:val="007E3DAD"/>
    <w:rsid w:val="007E41ED"/>
    <w:rsid w:val="007E42C1"/>
    <w:rsid w:val="007E490F"/>
    <w:rsid w:val="007E5736"/>
    <w:rsid w:val="007E57EB"/>
    <w:rsid w:val="007E58E1"/>
    <w:rsid w:val="007E635C"/>
    <w:rsid w:val="007E73DC"/>
    <w:rsid w:val="007E7837"/>
    <w:rsid w:val="007E7955"/>
    <w:rsid w:val="007F0FC6"/>
    <w:rsid w:val="007F254C"/>
    <w:rsid w:val="007F263D"/>
    <w:rsid w:val="007F39B8"/>
    <w:rsid w:val="007F3C1A"/>
    <w:rsid w:val="007F3DFA"/>
    <w:rsid w:val="007F4A67"/>
    <w:rsid w:val="007F59E3"/>
    <w:rsid w:val="007F675E"/>
    <w:rsid w:val="007F68BF"/>
    <w:rsid w:val="007F793B"/>
    <w:rsid w:val="00801218"/>
    <w:rsid w:val="00801267"/>
    <w:rsid w:val="00801F04"/>
    <w:rsid w:val="00803C20"/>
    <w:rsid w:val="0080481B"/>
    <w:rsid w:val="00804D18"/>
    <w:rsid w:val="008056B9"/>
    <w:rsid w:val="00805C07"/>
    <w:rsid w:val="00805E34"/>
    <w:rsid w:val="00807489"/>
    <w:rsid w:val="00807971"/>
    <w:rsid w:val="008103A7"/>
    <w:rsid w:val="0081047D"/>
    <w:rsid w:val="0081061B"/>
    <w:rsid w:val="00811233"/>
    <w:rsid w:val="0081202C"/>
    <w:rsid w:val="0081394E"/>
    <w:rsid w:val="00814030"/>
    <w:rsid w:val="0081448B"/>
    <w:rsid w:val="0081463C"/>
    <w:rsid w:val="00815617"/>
    <w:rsid w:val="0081596D"/>
    <w:rsid w:val="00815973"/>
    <w:rsid w:val="0081617F"/>
    <w:rsid w:val="008164AC"/>
    <w:rsid w:val="0081715A"/>
    <w:rsid w:val="00817DEE"/>
    <w:rsid w:val="00821BAF"/>
    <w:rsid w:val="00823470"/>
    <w:rsid w:val="00824088"/>
    <w:rsid w:val="00824CFC"/>
    <w:rsid w:val="008251E5"/>
    <w:rsid w:val="008258AB"/>
    <w:rsid w:val="00825F04"/>
    <w:rsid w:val="0082637A"/>
    <w:rsid w:val="00826585"/>
    <w:rsid w:val="00826783"/>
    <w:rsid w:val="00826E88"/>
    <w:rsid w:val="00826FA5"/>
    <w:rsid w:val="00827135"/>
    <w:rsid w:val="008271BC"/>
    <w:rsid w:val="008278C2"/>
    <w:rsid w:val="008303EE"/>
    <w:rsid w:val="00830873"/>
    <w:rsid w:val="00830E13"/>
    <w:rsid w:val="00832168"/>
    <w:rsid w:val="008323A3"/>
    <w:rsid w:val="008325DF"/>
    <w:rsid w:val="008336E2"/>
    <w:rsid w:val="008338C6"/>
    <w:rsid w:val="008342E2"/>
    <w:rsid w:val="008345E2"/>
    <w:rsid w:val="00835AE1"/>
    <w:rsid w:val="008365FF"/>
    <w:rsid w:val="0083673F"/>
    <w:rsid w:val="0083762D"/>
    <w:rsid w:val="008406C3"/>
    <w:rsid w:val="00840AC3"/>
    <w:rsid w:val="00840CC2"/>
    <w:rsid w:val="00841A33"/>
    <w:rsid w:val="00841A8D"/>
    <w:rsid w:val="00842017"/>
    <w:rsid w:val="0084290D"/>
    <w:rsid w:val="008431A0"/>
    <w:rsid w:val="00843EB8"/>
    <w:rsid w:val="008459FE"/>
    <w:rsid w:val="00845EB4"/>
    <w:rsid w:val="0084703C"/>
    <w:rsid w:val="00850035"/>
    <w:rsid w:val="008503CC"/>
    <w:rsid w:val="008516D3"/>
    <w:rsid w:val="00851A5F"/>
    <w:rsid w:val="00851FA2"/>
    <w:rsid w:val="00852395"/>
    <w:rsid w:val="008527B5"/>
    <w:rsid w:val="008535AC"/>
    <w:rsid w:val="0085369E"/>
    <w:rsid w:val="00854A29"/>
    <w:rsid w:val="00854E76"/>
    <w:rsid w:val="008554C5"/>
    <w:rsid w:val="008557DC"/>
    <w:rsid w:val="00855DA8"/>
    <w:rsid w:val="00855E97"/>
    <w:rsid w:val="008563D2"/>
    <w:rsid w:val="00856DBB"/>
    <w:rsid w:val="00860B1A"/>
    <w:rsid w:val="008618A5"/>
    <w:rsid w:val="00862740"/>
    <w:rsid w:val="00863D1E"/>
    <w:rsid w:val="00864587"/>
    <w:rsid w:val="008647B1"/>
    <w:rsid w:val="0086515E"/>
    <w:rsid w:val="00865B3D"/>
    <w:rsid w:val="00865F7A"/>
    <w:rsid w:val="008663BB"/>
    <w:rsid w:val="0086680D"/>
    <w:rsid w:val="00871080"/>
    <w:rsid w:val="00873593"/>
    <w:rsid w:val="00873C0B"/>
    <w:rsid w:val="008740B9"/>
    <w:rsid w:val="0087422E"/>
    <w:rsid w:val="0087582B"/>
    <w:rsid w:val="00875A44"/>
    <w:rsid w:val="00875C1E"/>
    <w:rsid w:val="008770D0"/>
    <w:rsid w:val="008772CB"/>
    <w:rsid w:val="0087769C"/>
    <w:rsid w:val="00877DA6"/>
    <w:rsid w:val="0088053A"/>
    <w:rsid w:val="00881434"/>
    <w:rsid w:val="00881C9F"/>
    <w:rsid w:val="00881F71"/>
    <w:rsid w:val="00882CD8"/>
    <w:rsid w:val="0088341F"/>
    <w:rsid w:val="0088380E"/>
    <w:rsid w:val="008842E5"/>
    <w:rsid w:val="008842EC"/>
    <w:rsid w:val="0088430E"/>
    <w:rsid w:val="0088485C"/>
    <w:rsid w:val="00884BE2"/>
    <w:rsid w:val="00884CA1"/>
    <w:rsid w:val="00884CD3"/>
    <w:rsid w:val="008869D7"/>
    <w:rsid w:val="008874F0"/>
    <w:rsid w:val="00887945"/>
    <w:rsid w:val="00891590"/>
    <w:rsid w:val="00891DB3"/>
    <w:rsid w:val="0089316D"/>
    <w:rsid w:val="00893308"/>
    <w:rsid w:val="008938D5"/>
    <w:rsid w:val="00894175"/>
    <w:rsid w:val="00894893"/>
    <w:rsid w:val="00894F8B"/>
    <w:rsid w:val="0089574A"/>
    <w:rsid w:val="008978ED"/>
    <w:rsid w:val="00897F6D"/>
    <w:rsid w:val="008A01D5"/>
    <w:rsid w:val="008A01DA"/>
    <w:rsid w:val="008A22D6"/>
    <w:rsid w:val="008A3734"/>
    <w:rsid w:val="008A3E6C"/>
    <w:rsid w:val="008A46F5"/>
    <w:rsid w:val="008A51BB"/>
    <w:rsid w:val="008A576C"/>
    <w:rsid w:val="008A730E"/>
    <w:rsid w:val="008A74A5"/>
    <w:rsid w:val="008A7752"/>
    <w:rsid w:val="008A7DDD"/>
    <w:rsid w:val="008B141E"/>
    <w:rsid w:val="008B196B"/>
    <w:rsid w:val="008B2996"/>
    <w:rsid w:val="008B2FAC"/>
    <w:rsid w:val="008B3980"/>
    <w:rsid w:val="008B46A9"/>
    <w:rsid w:val="008B69F0"/>
    <w:rsid w:val="008B69F6"/>
    <w:rsid w:val="008B6E85"/>
    <w:rsid w:val="008B70E9"/>
    <w:rsid w:val="008B7B17"/>
    <w:rsid w:val="008C0058"/>
    <w:rsid w:val="008C156C"/>
    <w:rsid w:val="008C1BB6"/>
    <w:rsid w:val="008C2525"/>
    <w:rsid w:val="008C28D7"/>
    <w:rsid w:val="008C44B1"/>
    <w:rsid w:val="008C511C"/>
    <w:rsid w:val="008C5654"/>
    <w:rsid w:val="008C6D8F"/>
    <w:rsid w:val="008C6D91"/>
    <w:rsid w:val="008C76E7"/>
    <w:rsid w:val="008D132A"/>
    <w:rsid w:val="008D192B"/>
    <w:rsid w:val="008D1F76"/>
    <w:rsid w:val="008D2EC5"/>
    <w:rsid w:val="008D3666"/>
    <w:rsid w:val="008D3997"/>
    <w:rsid w:val="008D4164"/>
    <w:rsid w:val="008D4BA4"/>
    <w:rsid w:val="008D6490"/>
    <w:rsid w:val="008D67BF"/>
    <w:rsid w:val="008D6FE9"/>
    <w:rsid w:val="008D70D3"/>
    <w:rsid w:val="008D714F"/>
    <w:rsid w:val="008E04E6"/>
    <w:rsid w:val="008E0860"/>
    <w:rsid w:val="008E0911"/>
    <w:rsid w:val="008E0B0F"/>
    <w:rsid w:val="008E0C13"/>
    <w:rsid w:val="008E1A1F"/>
    <w:rsid w:val="008E1A67"/>
    <w:rsid w:val="008E1CD7"/>
    <w:rsid w:val="008E354F"/>
    <w:rsid w:val="008E36E4"/>
    <w:rsid w:val="008E390B"/>
    <w:rsid w:val="008E496F"/>
    <w:rsid w:val="008E5B26"/>
    <w:rsid w:val="008E674E"/>
    <w:rsid w:val="008F0351"/>
    <w:rsid w:val="008F0694"/>
    <w:rsid w:val="008F0862"/>
    <w:rsid w:val="008F08B3"/>
    <w:rsid w:val="008F0CEC"/>
    <w:rsid w:val="008F1754"/>
    <w:rsid w:val="008F23B1"/>
    <w:rsid w:val="008F2B5E"/>
    <w:rsid w:val="008F2C27"/>
    <w:rsid w:val="008F2F46"/>
    <w:rsid w:val="008F451C"/>
    <w:rsid w:val="008F52BC"/>
    <w:rsid w:val="008F5AFF"/>
    <w:rsid w:val="008F689F"/>
    <w:rsid w:val="008F6BEB"/>
    <w:rsid w:val="008F70C8"/>
    <w:rsid w:val="0090007D"/>
    <w:rsid w:val="009009BA"/>
    <w:rsid w:val="00901026"/>
    <w:rsid w:val="009012BF"/>
    <w:rsid w:val="00902A44"/>
    <w:rsid w:val="00902F27"/>
    <w:rsid w:val="009043EE"/>
    <w:rsid w:val="00904488"/>
    <w:rsid w:val="00904E4D"/>
    <w:rsid w:val="0090564D"/>
    <w:rsid w:val="009068B2"/>
    <w:rsid w:val="00906AE9"/>
    <w:rsid w:val="00907622"/>
    <w:rsid w:val="00910374"/>
    <w:rsid w:val="00910D90"/>
    <w:rsid w:val="00911A4D"/>
    <w:rsid w:val="00911ED2"/>
    <w:rsid w:val="009129D3"/>
    <w:rsid w:val="00912BE9"/>
    <w:rsid w:val="00913C8B"/>
    <w:rsid w:val="0091478F"/>
    <w:rsid w:val="00915DBE"/>
    <w:rsid w:val="009162B6"/>
    <w:rsid w:val="00917727"/>
    <w:rsid w:val="00920419"/>
    <w:rsid w:val="00920420"/>
    <w:rsid w:val="00920AC6"/>
    <w:rsid w:val="00921465"/>
    <w:rsid w:val="00921777"/>
    <w:rsid w:val="00922230"/>
    <w:rsid w:val="00923A49"/>
    <w:rsid w:val="0092434E"/>
    <w:rsid w:val="00925A9D"/>
    <w:rsid w:val="00925AC6"/>
    <w:rsid w:val="00926D98"/>
    <w:rsid w:val="00927C17"/>
    <w:rsid w:val="00931121"/>
    <w:rsid w:val="00932650"/>
    <w:rsid w:val="009331C5"/>
    <w:rsid w:val="00933225"/>
    <w:rsid w:val="00934DE8"/>
    <w:rsid w:val="00934FF9"/>
    <w:rsid w:val="00936396"/>
    <w:rsid w:val="00936A08"/>
    <w:rsid w:val="00937525"/>
    <w:rsid w:val="009375FF"/>
    <w:rsid w:val="009407AF"/>
    <w:rsid w:val="009408C8"/>
    <w:rsid w:val="00940950"/>
    <w:rsid w:val="00941419"/>
    <w:rsid w:val="00941459"/>
    <w:rsid w:val="00941613"/>
    <w:rsid w:val="00941820"/>
    <w:rsid w:val="009418F7"/>
    <w:rsid w:val="0094195F"/>
    <w:rsid w:val="00943052"/>
    <w:rsid w:val="009440E3"/>
    <w:rsid w:val="009440EA"/>
    <w:rsid w:val="00945295"/>
    <w:rsid w:val="00945332"/>
    <w:rsid w:val="00945ACC"/>
    <w:rsid w:val="0094611F"/>
    <w:rsid w:val="00946DD2"/>
    <w:rsid w:val="00947186"/>
    <w:rsid w:val="00947DF1"/>
    <w:rsid w:val="00951F50"/>
    <w:rsid w:val="00952A9D"/>
    <w:rsid w:val="00953131"/>
    <w:rsid w:val="009535A4"/>
    <w:rsid w:val="00955A2C"/>
    <w:rsid w:val="0095771B"/>
    <w:rsid w:val="00957FA6"/>
    <w:rsid w:val="009603EB"/>
    <w:rsid w:val="00960ABD"/>
    <w:rsid w:val="009610C5"/>
    <w:rsid w:val="00961417"/>
    <w:rsid w:val="0096155B"/>
    <w:rsid w:val="00961B7C"/>
    <w:rsid w:val="009646AD"/>
    <w:rsid w:val="00964888"/>
    <w:rsid w:val="00964F57"/>
    <w:rsid w:val="00965570"/>
    <w:rsid w:val="0096575A"/>
    <w:rsid w:val="00965B27"/>
    <w:rsid w:val="0096671F"/>
    <w:rsid w:val="009704E3"/>
    <w:rsid w:val="00971518"/>
    <w:rsid w:val="0097228E"/>
    <w:rsid w:val="00972E5A"/>
    <w:rsid w:val="00974071"/>
    <w:rsid w:val="00974AA6"/>
    <w:rsid w:val="0097558C"/>
    <w:rsid w:val="009755AF"/>
    <w:rsid w:val="00976031"/>
    <w:rsid w:val="00976B13"/>
    <w:rsid w:val="00981330"/>
    <w:rsid w:val="00981992"/>
    <w:rsid w:val="00983972"/>
    <w:rsid w:val="009850D2"/>
    <w:rsid w:val="00985979"/>
    <w:rsid w:val="009859EE"/>
    <w:rsid w:val="0098694C"/>
    <w:rsid w:val="0098698B"/>
    <w:rsid w:val="009873F2"/>
    <w:rsid w:val="00987640"/>
    <w:rsid w:val="009914C2"/>
    <w:rsid w:val="00992842"/>
    <w:rsid w:val="00994FF8"/>
    <w:rsid w:val="0099527D"/>
    <w:rsid w:val="009954D1"/>
    <w:rsid w:val="009964E4"/>
    <w:rsid w:val="009A09ED"/>
    <w:rsid w:val="009A0D93"/>
    <w:rsid w:val="009A0E37"/>
    <w:rsid w:val="009A19A2"/>
    <w:rsid w:val="009A2AED"/>
    <w:rsid w:val="009A3792"/>
    <w:rsid w:val="009A44A9"/>
    <w:rsid w:val="009A4A1E"/>
    <w:rsid w:val="009A50CC"/>
    <w:rsid w:val="009A6299"/>
    <w:rsid w:val="009A684F"/>
    <w:rsid w:val="009A76DA"/>
    <w:rsid w:val="009A7BBF"/>
    <w:rsid w:val="009A7C50"/>
    <w:rsid w:val="009B1A24"/>
    <w:rsid w:val="009B1D35"/>
    <w:rsid w:val="009B253A"/>
    <w:rsid w:val="009B2876"/>
    <w:rsid w:val="009B688F"/>
    <w:rsid w:val="009B7A71"/>
    <w:rsid w:val="009C0252"/>
    <w:rsid w:val="009C1170"/>
    <w:rsid w:val="009C1AA9"/>
    <w:rsid w:val="009C1CC4"/>
    <w:rsid w:val="009C1D40"/>
    <w:rsid w:val="009C2286"/>
    <w:rsid w:val="009C3F9B"/>
    <w:rsid w:val="009C3FA7"/>
    <w:rsid w:val="009C519F"/>
    <w:rsid w:val="009C7DD7"/>
    <w:rsid w:val="009C7E11"/>
    <w:rsid w:val="009D1099"/>
    <w:rsid w:val="009D152A"/>
    <w:rsid w:val="009D2298"/>
    <w:rsid w:val="009D3855"/>
    <w:rsid w:val="009D47D5"/>
    <w:rsid w:val="009D48A2"/>
    <w:rsid w:val="009D4F19"/>
    <w:rsid w:val="009D5615"/>
    <w:rsid w:val="009D5DF2"/>
    <w:rsid w:val="009D5E63"/>
    <w:rsid w:val="009D60E0"/>
    <w:rsid w:val="009D6590"/>
    <w:rsid w:val="009D6735"/>
    <w:rsid w:val="009D6A86"/>
    <w:rsid w:val="009D7704"/>
    <w:rsid w:val="009E1229"/>
    <w:rsid w:val="009E18DF"/>
    <w:rsid w:val="009E199B"/>
    <w:rsid w:val="009E24AB"/>
    <w:rsid w:val="009E2A17"/>
    <w:rsid w:val="009E323B"/>
    <w:rsid w:val="009E3466"/>
    <w:rsid w:val="009E4998"/>
    <w:rsid w:val="009E4EBC"/>
    <w:rsid w:val="009E59F9"/>
    <w:rsid w:val="009E5B97"/>
    <w:rsid w:val="009E788A"/>
    <w:rsid w:val="009E7E15"/>
    <w:rsid w:val="009E7F72"/>
    <w:rsid w:val="009F05AD"/>
    <w:rsid w:val="009F06D6"/>
    <w:rsid w:val="009F0795"/>
    <w:rsid w:val="009F1875"/>
    <w:rsid w:val="009F1BE7"/>
    <w:rsid w:val="009F21BD"/>
    <w:rsid w:val="009F57D2"/>
    <w:rsid w:val="009F6ADB"/>
    <w:rsid w:val="009F7C2C"/>
    <w:rsid w:val="009F7C38"/>
    <w:rsid w:val="00A00101"/>
    <w:rsid w:val="00A0017B"/>
    <w:rsid w:val="00A00372"/>
    <w:rsid w:val="00A00479"/>
    <w:rsid w:val="00A00BC1"/>
    <w:rsid w:val="00A013D7"/>
    <w:rsid w:val="00A02392"/>
    <w:rsid w:val="00A02E5C"/>
    <w:rsid w:val="00A03957"/>
    <w:rsid w:val="00A0440A"/>
    <w:rsid w:val="00A05654"/>
    <w:rsid w:val="00A05DA1"/>
    <w:rsid w:val="00A0634F"/>
    <w:rsid w:val="00A06F81"/>
    <w:rsid w:val="00A115C4"/>
    <w:rsid w:val="00A12666"/>
    <w:rsid w:val="00A13625"/>
    <w:rsid w:val="00A13632"/>
    <w:rsid w:val="00A14635"/>
    <w:rsid w:val="00A148DC"/>
    <w:rsid w:val="00A15643"/>
    <w:rsid w:val="00A1582F"/>
    <w:rsid w:val="00A15868"/>
    <w:rsid w:val="00A15BD6"/>
    <w:rsid w:val="00A16153"/>
    <w:rsid w:val="00A16BBE"/>
    <w:rsid w:val="00A20B73"/>
    <w:rsid w:val="00A20E27"/>
    <w:rsid w:val="00A211C2"/>
    <w:rsid w:val="00A21AA6"/>
    <w:rsid w:val="00A224B9"/>
    <w:rsid w:val="00A22C59"/>
    <w:rsid w:val="00A231A4"/>
    <w:rsid w:val="00A23A2D"/>
    <w:rsid w:val="00A241ED"/>
    <w:rsid w:val="00A251AC"/>
    <w:rsid w:val="00A2569C"/>
    <w:rsid w:val="00A257EA"/>
    <w:rsid w:val="00A25C15"/>
    <w:rsid w:val="00A26460"/>
    <w:rsid w:val="00A30428"/>
    <w:rsid w:val="00A30B53"/>
    <w:rsid w:val="00A31851"/>
    <w:rsid w:val="00A334DB"/>
    <w:rsid w:val="00A33C2A"/>
    <w:rsid w:val="00A33F6C"/>
    <w:rsid w:val="00A34D41"/>
    <w:rsid w:val="00A3510E"/>
    <w:rsid w:val="00A3571D"/>
    <w:rsid w:val="00A36A82"/>
    <w:rsid w:val="00A36CF7"/>
    <w:rsid w:val="00A36D0C"/>
    <w:rsid w:val="00A3798E"/>
    <w:rsid w:val="00A4018B"/>
    <w:rsid w:val="00A4046B"/>
    <w:rsid w:val="00A40DDC"/>
    <w:rsid w:val="00A41F1C"/>
    <w:rsid w:val="00A4209D"/>
    <w:rsid w:val="00A4390F"/>
    <w:rsid w:val="00A43EA6"/>
    <w:rsid w:val="00A44263"/>
    <w:rsid w:val="00A45AC1"/>
    <w:rsid w:val="00A4662C"/>
    <w:rsid w:val="00A47494"/>
    <w:rsid w:val="00A47703"/>
    <w:rsid w:val="00A478FB"/>
    <w:rsid w:val="00A47CA4"/>
    <w:rsid w:val="00A47F3A"/>
    <w:rsid w:val="00A47FAC"/>
    <w:rsid w:val="00A50493"/>
    <w:rsid w:val="00A505DE"/>
    <w:rsid w:val="00A50A6C"/>
    <w:rsid w:val="00A52B4C"/>
    <w:rsid w:val="00A5328B"/>
    <w:rsid w:val="00A5334E"/>
    <w:rsid w:val="00A53F4A"/>
    <w:rsid w:val="00A542FD"/>
    <w:rsid w:val="00A54966"/>
    <w:rsid w:val="00A5787A"/>
    <w:rsid w:val="00A57A5D"/>
    <w:rsid w:val="00A57FD6"/>
    <w:rsid w:val="00A60301"/>
    <w:rsid w:val="00A608E7"/>
    <w:rsid w:val="00A60E39"/>
    <w:rsid w:val="00A61845"/>
    <w:rsid w:val="00A61BB4"/>
    <w:rsid w:val="00A63C34"/>
    <w:rsid w:val="00A64A69"/>
    <w:rsid w:val="00A64C49"/>
    <w:rsid w:val="00A664E1"/>
    <w:rsid w:val="00A66E1B"/>
    <w:rsid w:val="00A6741B"/>
    <w:rsid w:val="00A72299"/>
    <w:rsid w:val="00A73265"/>
    <w:rsid w:val="00A73EEA"/>
    <w:rsid w:val="00A744E3"/>
    <w:rsid w:val="00A74D87"/>
    <w:rsid w:val="00A75082"/>
    <w:rsid w:val="00A7647C"/>
    <w:rsid w:val="00A76983"/>
    <w:rsid w:val="00A76A85"/>
    <w:rsid w:val="00A77C8D"/>
    <w:rsid w:val="00A80B0B"/>
    <w:rsid w:val="00A80BD4"/>
    <w:rsid w:val="00A811DC"/>
    <w:rsid w:val="00A81458"/>
    <w:rsid w:val="00A81F64"/>
    <w:rsid w:val="00A82ABB"/>
    <w:rsid w:val="00A82BC8"/>
    <w:rsid w:val="00A82EE6"/>
    <w:rsid w:val="00A83C52"/>
    <w:rsid w:val="00A83DC6"/>
    <w:rsid w:val="00A84725"/>
    <w:rsid w:val="00A8474B"/>
    <w:rsid w:val="00A84FF0"/>
    <w:rsid w:val="00A87390"/>
    <w:rsid w:val="00A87443"/>
    <w:rsid w:val="00A875DB"/>
    <w:rsid w:val="00A90799"/>
    <w:rsid w:val="00A92414"/>
    <w:rsid w:val="00A92EDF"/>
    <w:rsid w:val="00A930D0"/>
    <w:rsid w:val="00A9345C"/>
    <w:rsid w:val="00A940B3"/>
    <w:rsid w:val="00A94C53"/>
    <w:rsid w:val="00A95671"/>
    <w:rsid w:val="00A95812"/>
    <w:rsid w:val="00A968FE"/>
    <w:rsid w:val="00AA13F6"/>
    <w:rsid w:val="00AA15D5"/>
    <w:rsid w:val="00AA16C2"/>
    <w:rsid w:val="00AA3C4F"/>
    <w:rsid w:val="00AA55DC"/>
    <w:rsid w:val="00AA61FB"/>
    <w:rsid w:val="00AA63B9"/>
    <w:rsid w:val="00AA6539"/>
    <w:rsid w:val="00AA6899"/>
    <w:rsid w:val="00AA6A91"/>
    <w:rsid w:val="00AA7590"/>
    <w:rsid w:val="00AA762A"/>
    <w:rsid w:val="00AB0312"/>
    <w:rsid w:val="00AB19D8"/>
    <w:rsid w:val="00AB1CD4"/>
    <w:rsid w:val="00AB1D8F"/>
    <w:rsid w:val="00AB1E05"/>
    <w:rsid w:val="00AB2529"/>
    <w:rsid w:val="00AB2D58"/>
    <w:rsid w:val="00AB2E14"/>
    <w:rsid w:val="00AB3694"/>
    <w:rsid w:val="00AB389D"/>
    <w:rsid w:val="00AB47BB"/>
    <w:rsid w:val="00AB5268"/>
    <w:rsid w:val="00AB557F"/>
    <w:rsid w:val="00AB5974"/>
    <w:rsid w:val="00AB59DF"/>
    <w:rsid w:val="00AB608A"/>
    <w:rsid w:val="00AB69D9"/>
    <w:rsid w:val="00AB7C95"/>
    <w:rsid w:val="00AC0CF5"/>
    <w:rsid w:val="00AC2B32"/>
    <w:rsid w:val="00AC2C1D"/>
    <w:rsid w:val="00AC6440"/>
    <w:rsid w:val="00AC6BFF"/>
    <w:rsid w:val="00AC7B45"/>
    <w:rsid w:val="00AD22A4"/>
    <w:rsid w:val="00AD2A24"/>
    <w:rsid w:val="00AD2D79"/>
    <w:rsid w:val="00AD489B"/>
    <w:rsid w:val="00AD567F"/>
    <w:rsid w:val="00AD70B7"/>
    <w:rsid w:val="00AD71E1"/>
    <w:rsid w:val="00AD7E23"/>
    <w:rsid w:val="00AE01C4"/>
    <w:rsid w:val="00AE2176"/>
    <w:rsid w:val="00AE274D"/>
    <w:rsid w:val="00AE2AE3"/>
    <w:rsid w:val="00AE2B9E"/>
    <w:rsid w:val="00AE2D76"/>
    <w:rsid w:val="00AE3899"/>
    <w:rsid w:val="00AE397E"/>
    <w:rsid w:val="00AE3BE1"/>
    <w:rsid w:val="00AE42B3"/>
    <w:rsid w:val="00AE45EA"/>
    <w:rsid w:val="00AE4956"/>
    <w:rsid w:val="00AE4DF7"/>
    <w:rsid w:val="00AE5467"/>
    <w:rsid w:val="00AE57AA"/>
    <w:rsid w:val="00AE668F"/>
    <w:rsid w:val="00AE6B98"/>
    <w:rsid w:val="00AF0769"/>
    <w:rsid w:val="00AF07BD"/>
    <w:rsid w:val="00AF3541"/>
    <w:rsid w:val="00AF35EB"/>
    <w:rsid w:val="00AF3C67"/>
    <w:rsid w:val="00AF3E8C"/>
    <w:rsid w:val="00AF47D0"/>
    <w:rsid w:val="00AF54BE"/>
    <w:rsid w:val="00AF6DFE"/>
    <w:rsid w:val="00AF6E15"/>
    <w:rsid w:val="00AF71FA"/>
    <w:rsid w:val="00AF7301"/>
    <w:rsid w:val="00AF7C97"/>
    <w:rsid w:val="00B008B7"/>
    <w:rsid w:val="00B00BDD"/>
    <w:rsid w:val="00B00BE2"/>
    <w:rsid w:val="00B0175E"/>
    <w:rsid w:val="00B0255B"/>
    <w:rsid w:val="00B03883"/>
    <w:rsid w:val="00B04038"/>
    <w:rsid w:val="00B057C3"/>
    <w:rsid w:val="00B05B8B"/>
    <w:rsid w:val="00B05C3A"/>
    <w:rsid w:val="00B066F0"/>
    <w:rsid w:val="00B06B52"/>
    <w:rsid w:val="00B06C80"/>
    <w:rsid w:val="00B07562"/>
    <w:rsid w:val="00B10531"/>
    <w:rsid w:val="00B10CA1"/>
    <w:rsid w:val="00B11AFD"/>
    <w:rsid w:val="00B122AA"/>
    <w:rsid w:val="00B12423"/>
    <w:rsid w:val="00B128ED"/>
    <w:rsid w:val="00B12A28"/>
    <w:rsid w:val="00B13181"/>
    <w:rsid w:val="00B13C2B"/>
    <w:rsid w:val="00B13D5F"/>
    <w:rsid w:val="00B14515"/>
    <w:rsid w:val="00B1475B"/>
    <w:rsid w:val="00B1538A"/>
    <w:rsid w:val="00B15ACA"/>
    <w:rsid w:val="00B16431"/>
    <w:rsid w:val="00B17057"/>
    <w:rsid w:val="00B1736C"/>
    <w:rsid w:val="00B1766C"/>
    <w:rsid w:val="00B17A1B"/>
    <w:rsid w:val="00B200DA"/>
    <w:rsid w:val="00B204B6"/>
    <w:rsid w:val="00B219EC"/>
    <w:rsid w:val="00B22384"/>
    <w:rsid w:val="00B224A0"/>
    <w:rsid w:val="00B22AB8"/>
    <w:rsid w:val="00B23934"/>
    <w:rsid w:val="00B23E7E"/>
    <w:rsid w:val="00B23EF1"/>
    <w:rsid w:val="00B2509E"/>
    <w:rsid w:val="00B25E74"/>
    <w:rsid w:val="00B27864"/>
    <w:rsid w:val="00B279B3"/>
    <w:rsid w:val="00B332DA"/>
    <w:rsid w:val="00B35241"/>
    <w:rsid w:val="00B364A8"/>
    <w:rsid w:val="00B36631"/>
    <w:rsid w:val="00B37C07"/>
    <w:rsid w:val="00B420DA"/>
    <w:rsid w:val="00B4227F"/>
    <w:rsid w:val="00B42EA8"/>
    <w:rsid w:val="00B43692"/>
    <w:rsid w:val="00B447E4"/>
    <w:rsid w:val="00B44D8E"/>
    <w:rsid w:val="00B466CD"/>
    <w:rsid w:val="00B46979"/>
    <w:rsid w:val="00B47947"/>
    <w:rsid w:val="00B47C5D"/>
    <w:rsid w:val="00B47F12"/>
    <w:rsid w:val="00B503E2"/>
    <w:rsid w:val="00B50874"/>
    <w:rsid w:val="00B50D74"/>
    <w:rsid w:val="00B51F0F"/>
    <w:rsid w:val="00B526D3"/>
    <w:rsid w:val="00B54904"/>
    <w:rsid w:val="00B56C7A"/>
    <w:rsid w:val="00B575BD"/>
    <w:rsid w:val="00B60103"/>
    <w:rsid w:val="00B6013F"/>
    <w:rsid w:val="00B61619"/>
    <w:rsid w:val="00B617AB"/>
    <w:rsid w:val="00B6188A"/>
    <w:rsid w:val="00B6191C"/>
    <w:rsid w:val="00B62307"/>
    <w:rsid w:val="00B6286D"/>
    <w:rsid w:val="00B628FC"/>
    <w:rsid w:val="00B6298C"/>
    <w:rsid w:val="00B6309D"/>
    <w:rsid w:val="00B63105"/>
    <w:rsid w:val="00B6423C"/>
    <w:rsid w:val="00B6507E"/>
    <w:rsid w:val="00B66998"/>
    <w:rsid w:val="00B66D2D"/>
    <w:rsid w:val="00B7070D"/>
    <w:rsid w:val="00B71630"/>
    <w:rsid w:val="00B718C5"/>
    <w:rsid w:val="00B7198F"/>
    <w:rsid w:val="00B71CFF"/>
    <w:rsid w:val="00B7280C"/>
    <w:rsid w:val="00B72D0F"/>
    <w:rsid w:val="00B755B4"/>
    <w:rsid w:val="00B75C64"/>
    <w:rsid w:val="00B770B4"/>
    <w:rsid w:val="00B777F7"/>
    <w:rsid w:val="00B77B4C"/>
    <w:rsid w:val="00B81B1C"/>
    <w:rsid w:val="00B8214D"/>
    <w:rsid w:val="00B824AD"/>
    <w:rsid w:val="00B82A4D"/>
    <w:rsid w:val="00B836C7"/>
    <w:rsid w:val="00B84F48"/>
    <w:rsid w:val="00B85DEA"/>
    <w:rsid w:val="00B86C7D"/>
    <w:rsid w:val="00B8759D"/>
    <w:rsid w:val="00B9011B"/>
    <w:rsid w:val="00B90923"/>
    <w:rsid w:val="00B90DEC"/>
    <w:rsid w:val="00B910B9"/>
    <w:rsid w:val="00B91470"/>
    <w:rsid w:val="00B92CF5"/>
    <w:rsid w:val="00B92E15"/>
    <w:rsid w:val="00B932B1"/>
    <w:rsid w:val="00B93779"/>
    <w:rsid w:val="00B95277"/>
    <w:rsid w:val="00B95B9D"/>
    <w:rsid w:val="00B95FAE"/>
    <w:rsid w:val="00B97893"/>
    <w:rsid w:val="00BA0920"/>
    <w:rsid w:val="00BA13A2"/>
    <w:rsid w:val="00BA1DF4"/>
    <w:rsid w:val="00BA23FC"/>
    <w:rsid w:val="00BA4469"/>
    <w:rsid w:val="00BA4689"/>
    <w:rsid w:val="00BA4BE0"/>
    <w:rsid w:val="00BA4FF9"/>
    <w:rsid w:val="00BA5010"/>
    <w:rsid w:val="00BA5277"/>
    <w:rsid w:val="00BA5D6E"/>
    <w:rsid w:val="00BA60B0"/>
    <w:rsid w:val="00BA6AB8"/>
    <w:rsid w:val="00BB0048"/>
    <w:rsid w:val="00BB044F"/>
    <w:rsid w:val="00BB16EF"/>
    <w:rsid w:val="00BB17B0"/>
    <w:rsid w:val="00BB2375"/>
    <w:rsid w:val="00BB2701"/>
    <w:rsid w:val="00BB3D5D"/>
    <w:rsid w:val="00BB4286"/>
    <w:rsid w:val="00BB5662"/>
    <w:rsid w:val="00BB6870"/>
    <w:rsid w:val="00BB6EFB"/>
    <w:rsid w:val="00BB726A"/>
    <w:rsid w:val="00BB760E"/>
    <w:rsid w:val="00BB78C1"/>
    <w:rsid w:val="00BB7A1B"/>
    <w:rsid w:val="00BC0596"/>
    <w:rsid w:val="00BC08EC"/>
    <w:rsid w:val="00BC0ADE"/>
    <w:rsid w:val="00BC1896"/>
    <w:rsid w:val="00BC1EE3"/>
    <w:rsid w:val="00BC2A0F"/>
    <w:rsid w:val="00BC2A9C"/>
    <w:rsid w:val="00BC4A38"/>
    <w:rsid w:val="00BC5036"/>
    <w:rsid w:val="00BC5D7C"/>
    <w:rsid w:val="00BC6D97"/>
    <w:rsid w:val="00BD09CE"/>
    <w:rsid w:val="00BD0EB4"/>
    <w:rsid w:val="00BD127E"/>
    <w:rsid w:val="00BD18F2"/>
    <w:rsid w:val="00BD1CDB"/>
    <w:rsid w:val="00BD23D9"/>
    <w:rsid w:val="00BD2714"/>
    <w:rsid w:val="00BD28B3"/>
    <w:rsid w:val="00BD2AF5"/>
    <w:rsid w:val="00BD2E97"/>
    <w:rsid w:val="00BD3369"/>
    <w:rsid w:val="00BD3A58"/>
    <w:rsid w:val="00BD4443"/>
    <w:rsid w:val="00BD4FA2"/>
    <w:rsid w:val="00BD54C9"/>
    <w:rsid w:val="00BD603D"/>
    <w:rsid w:val="00BD6757"/>
    <w:rsid w:val="00BD6EF0"/>
    <w:rsid w:val="00BE0ACE"/>
    <w:rsid w:val="00BE10E5"/>
    <w:rsid w:val="00BE13CC"/>
    <w:rsid w:val="00BE2064"/>
    <w:rsid w:val="00BE3024"/>
    <w:rsid w:val="00BE45E9"/>
    <w:rsid w:val="00BE4F61"/>
    <w:rsid w:val="00BE5FBB"/>
    <w:rsid w:val="00BE61CF"/>
    <w:rsid w:val="00BF041C"/>
    <w:rsid w:val="00BF04B0"/>
    <w:rsid w:val="00BF10A9"/>
    <w:rsid w:val="00BF1AB1"/>
    <w:rsid w:val="00BF21BB"/>
    <w:rsid w:val="00BF26B4"/>
    <w:rsid w:val="00BF34DC"/>
    <w:rsid w:val="00BF4D4C"/>
    <w:rsid w:val="00BF4D8A"/>
    <w:rsid w:val="00BF5601"/>
    <w:rsid w:val="00BF5DC7"/>
    <w:rsid w:val="00BF664B"/>
    <w:rsid w:val="00BF67A4"/>
    <w:rsid w:val="00BF6EDC"/>
    <w:rsid w:val="00BF79ED"/>
    <w:rsid w:val="00C008F5"/>
    <w:rsid w:val="00C00DD0"/>
    <w:rsid w:val="00C01474"/>
    <w:rsid w:val="00C01856"/>
    <w:rsid w:val="00C01DB7"/>
    <w:rsid w:val="00C02A75"/>
    <w:rsid w:val="00C03047"/>
    <w:rsid w:val="00C03ACE"/>
    <w:rsid w:val="00C03FAF"/>
    <w:rsid w:val="00C048A2"/>
    <w:rsid w:val="00C049C4"/>
    <w:rsid w:val="00C04A87"/>
    <w:rsid w:val="00C052C8"/>
    <w:rsid w:val="00C0596D"/>
    <w:rsid w:val="00C06048"/>
    <w:rsid w:val="00C107A6"/>
    <w:rsid w:val="00C110FD"/>
    <w:rsid w:val="00C14EA3"/>
    <w:rsid w:val="00C150C0"/>
    <w:rsid w:val="00C16841"/>
    <w:rsid w:val="00C1710B"/>
    <w:rsid w:val="00C17A70"/>
    <w:rsid w:val="00C20521"/>
    <w:rsid w:val="00C22124"/>
    <w:rsid w:val="00C2266D"/>
    <w:rsid w:val="00C22EB9"/>
    <w:rsid w:val="00C22F52"/>
    <w:rsid w:val="00C23525"/>
    <w:rsid w:val="00C2419E"/>
    <w:rsid w:val="00C24D46"/>
    <w:rsid w:val="00C2551B"/>
    <w:rsid w:val="00C2572E"/>
    <w:rsid w:val="00C26C23"/>
    <w:rsid w:val="00C3253A"/>
    <w:rsid w:val="00C327FE"/>
    <w:rsid w:val="00C330C0"/>
    <w:rsid w:val="00C332FE"/>
    <w:rsid w:val="00C33807"/>
    <w:rsid w:val="00C33914"/>
    <w:rsid w:val="00C339A9"/>
    <w:rsid w:val="00C33C62"/>
    <w:rsid w:val="00C34826"/>
    <w:rsid w:val="00C357F6"/>
    <w:rsid w:val="00C358D9"/>
    <w:rsid w:val="00C373F3"/>
    <w:rsid w:val="00C37BBE"/>
    <w:rsid w:val="00C37FF4"/>
    <w:rsid w:val="00C40448"/>
    <w:rsid w:val="00C41E03"/>
    <w:rsid w:val="00C41F9B"/>
    <w:rsid w:val="00C42408"/>
    <w:rsid w:val="00C42BE2"/>
    <w:rsid w:val="00C42C0A"/>
    <w:rsid w:val="00C43E38"/>
    <w:rsid w:val="00C4406C"/>
    <w:rsid w:val="00C44648"/>
    <w:rsid w:val="00C44D84"/>
    <w:rsid w:val="00C4642E"/>
    <w:rsid w:val="00C4643B"/>
    <w:rsid w:val="00C46946"/>
    <w:rsid w:val="00C50CC8"/>
    <w:rsid w:val="00C5255C"/>
    <w:rsid w:val="00C5268A"/>
    <w:rsid w:val="00C52B27"/>
    <w:rsid w:val="00C530B7"/>
    <w:rsid w:val="00C53BA5"/>
    <w:rsid w:val="00C549B2"/>
    <w:rsid w:val="00C5537F"/>
    <w:rsid w:val="00C55689"/>
    <w:rsid w:val="00C5735B"/>
    <w:rsid w:val="00C57FFD"/>
    <w:rsid w:val="00C6030B"/>
    <w:rsid w:val="00C6040F"/>
    <w:rsid w:val="00C60B7D"/>
    <w:rsid w:val="00C61E6D"/>
    <w:rsid w:val="00C621F7"/>
    <w:rsid w:val="00C6244C"/>
    <w:rsid w:val="00C631BD"/>
    <w:rsid w:val="00C6370F"/>
    <w:rsid w:val="00C63A62"/>
    <w:rsid w:val="00C63D7E"/>
    <w:rsid w:val="00C651C9"/>
    <w:rsid w:val="00C65418"/>
    <w:rsid w:val="00C65A7D"/>
    <w:rsid w:val="00C6674B"/>
    <w:rsid w:val="00C66872"/>
    <w:rsid w:val="00C66E3B"/>
    <w:rsid w:val="00C66F73"/>
    <w:rsid w:val="00C66FC0"/>
    <w:rsid w:val="00C7062B"/>
    <w:rsid w:val="00C71044"/>
    <w:rsid w:val="00C717EC"/>
    <w:rsid w:val="00C71B32"/>
    <w:rsid w:val="00C71BB7"/>
    <w:rsid w:val="00C72B81"/>
    <w:rsid w:val="00C73DA8"/>
    <w:rsid w:val="00C74170"/>
    <w:rsid w:val="00C74CA7"/>
    <w:rsid w:val="00C74D38"/>
    <w:rsid w:val="00C768B8"/>
    <w:rsid w:val="00C7787B"/>
    <w:rsid w:val="00C77F1E"/>
    <w:rsid w:val="00C80134"/>
    <w:rsid w:val="00C81078"/>
    <w:rsid w:val="00C8200D"/>
    <w:rsid w:val="00C87B48"/>
    <w:rsid w:val="00C87D6A"/>
    <w:rsid w:val="00C87EBB"/>
    <w:rsid w:val="00C9010F"/>
    <w:rsid w:val="00C9113D"/>
    <w:rsid w:val="00C91302"/>
    <w:rsid w:val="00C92657"/>
    <w:rsid w:val="00C92720"/>
    <w:rsid w:val="00C92DF1"/>
    <w:rsid w:val="00C93D05"/>
    <w:rsid w:val="00C94907"/>
    <w:rsid w:val="00C94A59"/>
    <w:rsid w:val="00C94BF6"/>
    <w:rsid w:val="00C94CE2"/>
    <w:rsid w:val="00C952FE"/>
    <w:rsid w:val="00C95C45"/>
    <w:rsid w:val="00C961CD"/>
    <w:rsid w:val="00C964B9"/>
    <w:rsid w:val="00C96E86"/>
    <w:rsid w:val="00C96F66"/>
    <w:rsid w:val="00C978E1"/>
    <w:rsid w:val="00CA068A"/>
    <w:rsid w:val="00CA12BC"/>
    <w:rsid w:val="00CA183C"/>
    <w:rsid w:val="00CA1BB6"/>
    <w:rsid w:val="00CA21DD"/>
    <w:rsid w:val="00CA2BCC"/>
    <w:rsid w:val="00CA2FB7"/>
    <w:rsid w:val="00CA3D9D"/>
    <w:rsid w:val="00CA406E"/>
    <w:rsid w:val="00CA4DC1"/>
    <w:rsid w:val="00CA5A01"/>
    <w:rsid w:val="00CA5AB2"/>
    <w:rsid w:val="00CA60E5"/>
    <w:rsid w:val="00CA66E3"/>
    <w:rsid w:val="00CB1D4C"/>
    <w:rsid w:val="00CB304C"/>
    <w:rsid w:val="00CB33C3"/>
    <w:rsid w:val="00CB361E"/>
    <w:rsid w:val="00CB3884"/>
    <w:rsid w:val="00CB3C9D"/>
    <w:rsid w:val="00CB5A8E"/>
    <w:rsid w:val="00CB6CF2"/>
    <w:rsid w:val="00CB6EB7"/>
    <w:rsid w:val="00CB7CED"/>
    <w:rsid w:val="00CC1A82"/>
    <w:rsid w:val="00CC3E3A"/>
    <w:rsid w:val="00CC52CE"/>
    <w:rsid w:val="00CC54CF"/>
    <w:rsid w:val="00CC5D7F"/>
    <w:rsid w:val="00CC5DDF"/>
    <w:rsid w:val="00CC699F"/>
    <w:rsid w:val="00CC719C"/>
    <w:rsid w:val="00CD09CA"/>
    <w:rsid w:val="00CD1638"/>
    <w:rsid w:val="00CD1A5D"/>
    <w:rsid w:val="00CD2BF8"/>
    <w:rsid w:val="00CD2CA2"/>
    <w:rsid w:val="00CD63E9"/>
    <w:rsid w:val="00CD70B4"/>
    <w:rsid w:val="00CD713C"/>
    <w:rsid w:val="00CD7734"/>
    <w:rsid w:val="00CD7ED9"/>
    <w:rsid w:val="00CE02E6"/>
    <w:rsid w:val="00CE07CA"/>
    <w:rsid w:val="00CE0AAE"/>
    <w:rsid w:val="00CE0B02"/>
    <w:rsid w:val="00CE15F9"/>
    <w:rsid w:val="00CE2A86"/>
    <w:rsid w:val="00CE2DB7"/>
    <w:rsid w:val="00CE35D1"/>
    <w:rsid w:val="00CE3ABC"/>
    <w:rsid w:val="00CE443C"/>
    <w:rsid w:val="00CE5726"/>
    <w:rsid w:val="00CE5C24"/>
    <w:rsid w:val="00CE6740"/>
    <w:rsid w:val="00CE6F81"/>
    <w:rsid w:val="00CE70DF"/>
    <w:rsid w:val="00CE76A8"/>
    <w:rsid w:val="00CF0450"/>
    <w:rsid w:val="00CF081B"/>
    <w:rsid w:val="00CF16FD"/>
    <w:rsid w:val="00CF170E"/>
    <w:rsid w:val="00CF1B14"/>
    <w:rsid w:val="00CF1B5D"/>
    <w:rsid w:val="00CF21E4"/>
    <w:rsid w:val="00CF24A9"/>
    <w:rsid w:val="00CF3D21"/>
    <w:rsid w:val="00CF4351"/>
    <w:rsid w:val="00CF4CF3"/>
    <w:rsid w:val="00CF4D15"/>
    <w:rsid w:val="00CF4EDD"/>
    <w:rsid w:val="00CF56FC"/>
    <w:rsid w:val="00CF65A2"/>
    <w:rsid w:val="00CF717D"/>
    <w:rsid w:val="00CF7C87"/>
    <w:rsid w:val="00D00BA9"/>
    <w:rsid w:val="00D01378"/>
    <w:rsid w:val="00D028E8"/>
    <w:rsid w:val="00D03246"/>
    <w:rsid w:val="00D03A1B"/>
    <w:rsid w:val="00D03EC8"/>
    <w:rsid w:val="00D04921"/>
    <w:rsid w:val="00D05163"/>
    <w:rsid w:val="00D0560B"/>
    <w:rsid w:val="00D05CE7"/>
    <w:rsid w:val="00D068A8"/>
    <w:rsid w:val="00D068B3"/>
    <w:rsid w:val="00D06FC1"/>
    <w:rsid w:val="00D07C0C"/>
    <w:rsid w:val="00D1107E"/>
    <w:rsid w:val="00D13666"/>
    <w:rsid w:val="00D13A6F"/>
    <w:rsid w:val="00D13C55"/>
    <w:rsid w:val="00D13EBF"/>
    <w:rsid w:val="00D1425E"/>
    <w:rsid w:val="00D14600"/>
    <w:rsid w:val="00D148B5"/>
    <w:rsid w:val="00D14BE1"/>
    <w:rsid w:val="00D1507E"/>
    <w:rsid w:val="00D15E87"/>
    <w:rsid w:val="00D17022"/>
    <w:rsid w:val="00D17BD7"/>
    <w:rsid w:val="00D17EA4"/>
    <w:rsid w:val="00D17FB8"/>
    <w:rsid w:val="00D21040"/>
    <w:rsid w:val="00D21217"/>
    <w:rsid w:val="00D217E1"/>
    <w:rsid w:val="00D22D68"/>
    <w:rsid w:val="00D24A6A"/>
    <w:rsid w:val="00D24B6A"/>
    <w:rsid w:val="00D25220"/>
    <w:rsid w:val="00D25D4C"/>
    <w:rsid w:val="00D2671A"/>
    <w:rsid w:val="00D27410"/>
    <w:rsid w:val="00D3071B"/>
    <w:rsid w:val="00D30EA3"/>
    <w:rsid w:val="00D310CD"/>
    <w:rsid w:val="00D31B49"/>
    <w:rsid w:val="00D31CF1"/>
    <w:rsid w:val="00D32170"/>
    <w:rsid w:val="00D32822"/>
    <w:rsid w:val="00D32EC6"/>
    <w:rsid w:val="00D33206"/>
    <w:rsid w:val="00D334DF"/>
    <w:rsid w:val="00D35641"/>
    <w:rsid w:val="00D36005"/>
    <w:rsid w:val="00D36AE0"/>
    <w:rsid w:val="00D371B7"/>
    <w:rsid w:val="00D40BCC"/>
    <w:rsid w:val="00D40FFD"/>
    <w:rsid w:val="00D41DF3"/>
    <w:rsid w:val="00D4319D"/>
    <w:rsid w:val="00D44D32"/>
    <w:rsid w:val="00D44E8E"/>
    <w:rsid w:val="00D453CE"/>
    <w:rsid w:val="00D45CCD"/>
    <w:rsid w:val="00D45FCD"/>
    <w:rsid w:val="00D46133"/>
    <w:rsid w:val="00D46C29"/>
    <w:rsid w:val="00D46DD4"/>
    <w:rsid w:val="00D470B5"/>
    <w:rsid w:val="00D47454"/>
    <w:rsid w:val="00D47A74"/>
    <w:rsid w:val="00D50222"/>
    <w:rsid w:val="00D50C8E"/>
    <w:rsid w:val="00D51A04"/>
    <w:rsid w:val="00D53379"/>
    <w:rsid w:val="00D5376B"/>
    <w:rsid w:val="00D54F21"/>
    <w:rsid w:val="00D557C1"/>
    <w:rsid w:val="00D557E3"/>
    <w:rsid w:val="00D5581A"/>
    <w:rsid w:val="00D56A38"/>
    <w:rsid w:val="00D573C1"/>
    <w:rsid w:val="00D600BC"/>
    <w:rsid w:val="00D605E1"/>
    <w:rsid w:val="00D60A0E"/>
    <w:rsid w:val="00D6121E"/>
    <w:rsid w:val="00D6184B"/>
    <w:rsid w:val="00D61E29"/>
    <w:rsid w:val="00D62BCD"/>
    <w:rsid w:val="00D63125"/>
    <w:rsid w:val="00D6321E"/>
    <w:rsid w:val="00D635D3"/>
    <w:rsid w:val="00D64733"/>
    <w:rsid w:val="00D660F8"/>
    <w:rsid w:val="00D6612C"/>
    <w:rsid w:val="00D6686A"/>
    <w:rsid w:val="00D66B30"/>
    <w:rsid w:val="00D66BBD"/>
    <w:rsid w:val="00D671DC"/>
    <w:rsid w:val="00D67A42"/>
    <w:rsid w:val="00D70009"/>
    <w:rsid w:val="00D700A0"/>
    <w:rsid w:val="00D71CE9"/>
    <w:rsid w:val="00D744DA"/>
    <w:rsid w:val="00D745CB"/>
    <w:rsid w:val="00D75696"/>
    <w:rsid w:val="00D75C2F"/>
    <w:rsid w:val="00D772BD"/>
    <w:rsid w:val="00D77C44"/>
    <w:rsid w:val="00D77E1C"/>
    <w:rsid w:val="00D809B5"/>
    <w:rsid w:val="00D812BE"/>
    <w:rsid w:val="00D82F3B"/>
    <w:rsid w:val="00D8367F"/>
    <w:rsid w:val="00D83E1F"/>
    <w:rsid w:val="00D84091"/>
    <w:rsid w:val="00D84285"/>
    <w:rsid w:val="00D842E9"/>
    <w:rsid w:val="00D8466A"/>
    <w:rsid w:val="00D84819"/>
    <w:rsid w:val="00D84CB2"/>
    <w:rsid w:val="00D84F5A"/>
    <w:rsid w:val="00D85349"/>
    <w:rsid w:val="00D8601F"/>
    <w:rsid w:val="00D860D8"/>
    <w:rsid w:val="00D8668E"/>
    <w:rsid w:val="00D86CC1"/>
    <w:rsid w:val="00D8719F"/>
    <w:rsid w:val="00D87AB9"/>
    <w:rsid w:val="00D90394"/>
    <w:rsid w:val="00D91450"/>
    <w:rsid w:val="00D91C8E"/>
    <w:rsid w:val="00D92067"/>
    <w:rsid w:val="00D92158"/>
    <w:rsid w:val="00D93CB1"/>
    <w:rsid w:val="00D95972"/>
    <w:rsid w:val="00D9628B"/>
    <w:rsid w:val="00D967B2"/>
    <w:rsid w:val="00D96BDF"/>
    <w:rsid w:val="00D96D1A"/>
    <w:rsid w:val="00DA10E6"/>
    <w:rsid w:val="00DA16D4"/>
    <w:rsid w:val="00DA20DB"/>
    <w:rsid w:val="00DA29B0"/>
    <w:rsid w:val="00DA2F48"/>
    <w:rsid w:val="00DA4A86"/>
    <w:rsid w:val="00DA5FE2"/>
    <w:rsid w:val="00DB0D45"/>
    <w:rsid w:val="00DB141B"/>
    <w:rsid w:val="00DB14A1"/>
    <w:rsid w:val="00DB24B0"/>
    <w:rsid w:val="00DB2ECD"/>
    <w:rsid w:val="00DB307C"/>
    <w:rsid w:val="00DB3CFD"/>
    <w:rsid w:val="00DB4190"/>
    <w:rsid w:val="00DB4383"/>
    <w:rsid w:val="00DB525F"/>
    <w:rsid w:val="00DB6D02"/>
    <w:rsid w:val="00DB782A"/>
    <w:rsid w:val="00DC1120"/>
    <w:rsid w:val="00DC19D4"/>
    <w:rsid w:val="00DC22D9"/>
    <w:rsid w:val="00DC3193"/>
    <w:rsid w:val="00DC31E4"/>
    <w:rsid w:val="00DC34C5"/>
    <w:rsid w:val="00DC50E3"/>
    <w:rsid w:val="00DC5307"/>
    <w:rsid w:val="00DC6382"/>
    <w:rsid w:val="00DC68E7"/>
    <w:rsid w:val="00DC6CD0"/>
    <w:rsid w:val="00DD096F"/>
    <w:rsid w:val="00DD2072"/>
    <w:rsid w:val="00DD2970"/>
    <w:rsid w:val="00DD3F65"/>
    <w:rsid w:val="00DD426A"/>
    <w:rsid w:val="00DD43BB"/>
    <w:rsid w:val="00DD4D63"/>
    <w:rsid w:val="00DD4D8C"/>
    <w:rsid w:val="00DD56FF"/>
    <w:rsid w:val="00DD570E"/>
    <w:rsid w:val="00DD64BA"/>
    <w:rsid w:val="00DE26AE"/>
    <w:rsid w:val="00DE2DC7"/>
    <w:rsid w:val="00DE3152"/>
    <w:rsid w:val="00DE4764"/>
    <w:rsid w:val="00DE49DC"/>
    <w:rsid w:val="00DE57B5"/>
    <w:rsid w:val="00DE593F"/>
    <w:rsid w:val="00DE5E59"/>
    <w:rsid w:val="00DF0743"/>
    <w:rsid w:val="00DF0A71"/>
    <w:rsid w:val="00DF0ECA"/>
    <w:rsid w:val="00DF1C74"/>
    <w:rsid w:val="00DF3340"/>
    <w:rsid w:val="00DF3458"/>
    <w:rsid w:val="00DF3C52"/>
    <w:rsid w:val="00DF5B58"/>
    <w:rsid w:val="00DF5FA6"/>
    <w:rsid w:val="00DF60E9"/>
    <w:rsid w:val="00DF717B"/>
    <w:rsid w:val="00DF79E4"/>
    <w:rsid w:val="00DF7BDD"/>
    <w:rsid w:val="00DF7FA4"/>
    <w:rsid w:val="00E016CF"/>
    <w:rsid w:val="00E01D15"/>
    <w:rsid w:val="00E01F3B"/>
    <w:rsid w:val="00E02711"/>
    <w:rsid w:val="00E02725"/>
    <w:rsid w:val="00E04395"/>
    <w:rsid w:val="00E047AC"/>
    <w:rsid w:val="00E060F3"/>
    <w:rsid w:val="00E07672"/>
    <w:rsid w:val="00E102CE"/>
    <w:rsid w:val="00E1123C"/>
    <w:rsid w:val="00E11CD3"/>
    <w:rsid w:val="00E126C6"/>
    <w:rsid w:val="00E12AE1"/>
    <w:rsid w:val="00E12B2B"/>
    <w:rsid w:val="00E13029"/>
    <w:rsid w:val="00E151C8"/>
    <w:rsid w:val="00E15C19"/>
    <w:rsid w:val="00E16F27"/>
    <w:rsid w:val="00E17A7C"/>
    <w:rsid w:val="00E21D1D"/>
    <w:rsid w:val="00E232A1"/>
    <w:rsid w:val="00E262EC"/>
    <w:rsid w:val="00E2687E"/>
    <w:rsid w:val="00E301B6"/>
    <w:rsid w:val="00E3186E"/>
    <w:rsid w:val="00E32272"/>
    <w:rsid w:val="00E33443"/>
    <w:rsid w:val="00E334E6"/>
    <w:rsid w:val="00E33DB8"/>
    <w:rsid w:val="00E34DCA"/>
    <w:rsid w:val="00E35923"/>
    <w:rsid w:val="00E36333"/>
    <w:rsid w:val="00E3664E"/>
    <w:rsid w:val="00E378CB"/>
    <w:rsid w:val="00E400A3"/>
    <w:rsid w:val="00E40AB0"/>
    <w:rsid w:val="00E41391"/>
    <w:rsid w:val="00E41569"/>
    <w:rsid w:val="00E418EB"/>
    <w:rsid w:val="00E424EB"/>
    <w:rsid w:val="00E43816"/>
    <w:rsid w:val="00E4382D"/>
    <w:rsid w:val="00E448E6"/>
    <w:rsid w:val="00E44DEA"/>
    <w:rsid w:val="00E46165"/>
    <w:rsid w:val="00E4658A"/>
    <w:rsid w:val="00E46E61"/>
    <w:rsid w:val="00E46ED2"/>
    <w:rsid w:val="00E478F8"/>
    <w:rsid w:val="00E5015A"/>
    <w:rsid w:val="00E51C6E"/>
    <w:rsid w:val="00E528F3"/>
    <w:rsid w:val="00E52A10"/>
    <w:rsid w:val="00E53A41"/>
    <w:rsid w:val="00E53BEE"/>
    <w:rsid w:val="00E5493E"/>
    <w:rsid w:val="00E5587E"/>
    <w:rsid w:val="00E55997"/>
    <w:rsid w:val="00E563F2"/>
    <w:rsid w:val="00E569B8"/>
    <w:rsid w:val="00E570DB"/>
    <w:rsid w:val="00E572FF"/>
    <w:rsid w:val="00E60DD2"/>
    <w:rsid w:val="00E611EF"/>
    <w:rsid w:val="00E6276A"/>
    <w:rsid w:val="00E62DB7"/>
    <w:rsid w:val="00E62F3C"/>
    <w:rsid w:val="00E6307A"/>
    <w:rsid w:val="00E64D02"/>
    <w:rsid w:val="00E65A50"/>
    <w:rsid w:val="00E66188"/>
    <w:rsid w:val="00E66508"/>
    <w:rsid w:val="00E6683C"/>
    <w:rsid w:val="00E67160"/>
    <w:rsid w:val="00E67B0C"/>
    <w:rsid w:val="00E67D5B"/>
    <w:rsid w:val="00E67E80"/>
    <w:rsid w:val="00E7056C"/>
    <w:rsid w:val="00E7057E"/>
    <w:rsid w:val="00E71379"/>
    <w:rsid w:val="00E73AC1"/>
    <w:rsid w:val="00E757F5"/>
    <w:rsid w:val="00E76BFE"/>
    <w:rsid w:val="00E80208"/>
    <w:rsid w:val="00E8064E"/>
    <w:rsid w:val="00E80779"/>
    <w:rsid w:val="00E8090E"/>
    <w:rsid w:val="00E82196"/>
    <w:rsid w:val="00E82714"/>
    <w:rsid w:val="00E82808"/>
    <w:rsid w:val="00E83420"/>
    <w:rsid w:val="00E84779"/>
    <w:rsid w:val="00E84A85"/>
    <w:rsid w:val="00E85B90"/>
    <w:rsid w:val="00E86DAF"/>
    <w:rsid w:val="00E86FBD"/>
    <w:rsid w:val="00E876C7"/>
    <w:rsid w:val="00E878D6"/>
    <w:rsid w:val="00E87EBF"/>
    <w:rsid w:val="00E9108A"/>
    <w:rsid w:val="00E91370"/>
    <w:rsid w:val="00E9175F"/>
    <w:rsid w:val="00E92509"/>
    <w:rsid w:val="00E96EEE"/>
    <w:rsid w:val="00E971C1"/>
    <w:rsid w:val="00E97284"/>
    <w:rsid w:val="00E97625"/>
    <w:rsid w:val="00EA1DC9"/>
    <w:rsid w:val="00EA29EC"/>
    <w:rsid w:val="00EA2FE1"/>
    <w:rsid w:val="00EA346B"/>
    <w:rsid w:val="00EA3F3B"/>
    <w:rsid w:val="00EA48F4"/>
    <w:rsid w:val="00EA502C"/>
    <w:rsid w:val="00EA53C2"/>
    <w:rsid w:val="00EA5AB2"/>
    <w:rsid w:val="00EA61F1"/>
    <w:rsid w:val="00EA6A47"/>
    <w:rsid w:val="00EA731B"/>
    <w:rsid w:val="00EA7D52"/>
    <w:rsid w:val="00EB0334"/>
    <w:rsid w:val="00EB10C7"/>
    <w:rsid w:val="00EB1243"/>
    <w:rsid w:val="00EB1838"/>
    <w:rsid w:val="00EB40A4"/>
    <w:rsid w:val="00EB6999"/>
    <w:rsid w:val="00EB7274"/>
    <w:rsid w:val="00EB7F0A"/>
    <w:rsid w:val="00EC06AF"/>
    <w:rsid w:val="00EC0FD6"/>
    <w:rsid w:val="00EC19A6"/>
    <w:rsid w:val="00EC2122"/>
    <w:rsid w:val="00EC224A"/>
    <w:rsid w:val="00EC3246"/>
    <w:rsid w:val="00EC36AB"/>
    <w:rsid w:val="00EC613F"/>
    <w:rsid w:val="00ED146A"/>
    <w:rsid w:val="00ED173F"/>
    <w:rsid w:val="00ED5411"/>
    <w:rsid w:val="00ED6EB5"/>
    <w:rsid w:val="00ED7F39"/>
    <w:rsid w:val="00EE2DA3"/>
    <w:rsid w:val="00EE38C9"/>
    <w:rsid w:val="00EE6522"/>
    <w:rsid w:val="00EE7114"/>
    <w:rsid w:val="00EE73FA"/>
    <w:rsid w:val="00EF104B"/>
    <w:rsid w:val="00EF1D2C"/>
    <w:rsid w:val="00EF229A"/>
    <w:rsid w:val="00EF2570"/>
    <w:rsid w:val="00EF25E4"/>
    <w:rsid w:val="00EF288B"/>
    <w:rsid w:val="00EF2B03"/>
    <w:rsid w:val="00EF332C"/>
    <w:rsid w:val="00EF43CC"/>
    <w:rsid w:val="00EF572D"/>
    <w:rsid w:val="00EF5A16"/>
    <w:rsid w:val="00EF73D8"/>
    <w:rsid w:val="00F00C40"/>
    <w:rsid w:val="00F01328"/>
    <w:rsid w:val="00F02E4E"/>
    <w:rsid w:val="00F03F40"/>
    <w:rsid w:val="00F04ABD"/>
    <w:rsid w:val="00F061BD"/>
    <w:rsid w:val="00F068AC"/>
    <w:rsid w:val="00F07278"/>
    <w:rsid w:val="00F0788B"/>
    <w:rsid w:val="00F1218F"/>
    <w:rsid w:val="00F13180"/>
    <w:rsid w:val="00F13CF8"/>
    <w:rsid w:val="00F1407F"/>
    <w:rsid w:val="00F14250"/>
    <w:rsid w:val="00F144F9"/>
    <w:rsid w:val="00F1562F"/>
    <w:rsid w:val="00F158FB"/>
    <w:rsid w:val="00F15F79"/>
    <w:rsid w:val="00F16006"/>
    <w:rsid w:val="00F17384"/>
    <w:rsid w:val="00F20CB9"/>
    <w:rsid w:val="00F2207C"/>
    <w:rsid w:val="00F22097"/>
    <w:rsid w:val="00F227CC"/>
    <w:rsid w:val="00F2394E"/>
    <w:rsid w:val="00F245C0"/>
    <w:rsid w:val="00F25A75"/>
    <w:rsid w:val="00F2600E"/>
    <w:rsid w:val="00F262A3"/>
    <w:rsid w:val="00F2655D"/>
    <w:rsid w:val="00F27ED7"/>
    <w:rsid w:val="00F30144"/>
    <w:rsid w:val="00F3111A"/>
    <w:rsid w:val="00F311E5"/>
    <w:rsid w:val="00F31289"/>
    <w:rsid w:val="00F34180"/>
    <w:rsid w:val="00F352D9"/>
    <w:rsid w:val="00F35338"/>
    <w:rsid w:val="00F35442"/>
    <w:rsid w:val="00F35C72"/>
    <w:rsid w:val="00F367A8"/>
    <w:rsid w:val="00F37301"/>
    <w:rsid w:val="00F3741D"/>
    <w:rsid w:val="00F37736"/>
    <w:rsid w:val="00F4023D"/>
    <w:rsid w:val="00F41ED0"/>
    <w:rsid w:val="00F42458"/>
    <w:rsid w:val="00F43830"/>
    <w:rsid w:val="00F43D67"/>
    <w:rsid w:val="00F43DFB"/>
    <w:rsid w:val="00F44BF5"/>
    <w:rsid w:val="00F45445"/>
    <w:rsid w:val="00F4583E"/>
    <w:rsid w:val="00F46125"/>
    <w:rsid w:val="00F46283"/>
    <w:rsid w:val="00F46FCD"/>
    <w:rsid w:val="00F4723E"/>
    <w:rsid w:val="00F50919"/>
    <w:rsid w:val="00F518A3"/>
    <w:rsid w:val="00F51A2D"/>
    <w:rsid w:val="00F51E4C"/>
    <w:rsid w:val="00F5245F"/>
    <w:rsid w:val="00F528CC"/>
    <w:rsid w:val="00F539CB"/>
    <w:rsid w:val="00F54851"/>
    <w:rsid w:val="00F55430"/>
    <w:rsid w:val="00F55B46"/>
    <w:rsid w:val="00F55B8F"/>
    <w:rsid w:val="00F56196"/>
    <w:rsid w:val="00F577F6"/>
    <w:rsid w:val="00F608F4"/>
    <w:rsid w:val="00F60ACF"/>
    <w:rsid w:val="00F61285"/>
    <w:rsid w:val="00F61453"/>
    <w:rsid w:val="00F6181A"/>
    <w:rsid w:val="00F62C82"/>
    <w:rsid w:val="00F6410D"/>
    <w:rsid w:val="00F64152"/>
    <w:rsid w:val="00F643DF"/>
    <w:rsid w:val="00F64AD4"/>
    <w:rsid w:val="00F64FE9"/>
    <w:rsid w:val="00F65C13"/>
    <w:rsid w:val="00F66B2E"/>
    <w:rsid w:val="00F70CE7"/>
    <w:rsid w:val="00F71C95"/>
    <w:rsid w:val="00F72D27"/>
    <w:rsid w:val="00F72DF4"/>
    <w:rsid w:val="00F73342"/>
    <w:rsid w:val="00F7335A"/>
    <w:rsid w:val="00F73BFC"/>
    <w:rsid w:val="00F73E38"/>
    <w:rsid w:val="00F7469D"/>
    <w:rsid w:val="00F74E8E"/>
    <w:rsid w:val="00F75273"/>
    <w:rsid w:val="00F760D0"/>
    <w:rsid w:val="00F766A8"/>
    <w:rsid w:val="00F77430"/>
    <w:rsid w:val="00F77AA4"/>
    <w:rsid w:val="00F77D21"/>
    <w:rsid w:val="00F80398"/>
    <w:rsid w:val="00F808C0"/>
    <w:rsid w:val="00F8095C"/>
    <w:rsid w:val="00F81E04"/>
    <w:rsid w:val="00F81EA4"/>
    <w:rsid w:val="00F821AE"/>
    <w:rsid w:val="00F822AD"/>
    <w:rsid w:val="00F82F76"/>
    <w:rsid w:val="00F832AF"/>
    <w:rsid w:val="00F8438A"/>
    <w:rsid w:val="00F8481F"/>
    <w:rsid w:val="00F866EC"/>
    <w:rsid w:val="00F870F0"/>
    <w:rsid w:val="00F87576"/>
    <w:rsid w:val="00F87CD2"/>
    <w:rsid w:val="00F87F06"/>
    <w:rsid w:val="00F9023A"/>
    <w:rsid w:val="00F90402"/>
    <w:rsid w:val="00F90730"/>
    <w:rsid w:val="00F912F0"/>
    <w:rsid w:val="00F9284D"/>
    <w:rsid w:val="00F93C3B"/>
    <w:rsid w:val="00F93FB0"/>
    <w:rsid w:val="00F95A1A"/>
    <w:rsid w:val="00F95C07"/>
    <w:rsid w:val="00FA12B4"/>
    <w:rsid w:val="00FA1B19"/>
    <w:rsid w:val="00FA21CB"/>
    <w:rsid w:val="00FA265D"/>
    <w:rsid w:val="00FA2CF7"/>
    <w:rsid w:val="00FA3891"/>
    <w:rsid w:val="00FA3BED"/>
    <w:rsid w:val="00FA65FF"/>
    <w:rsid w:val="00FA6678"/>
    <w:rsid w:val="00FA712A"/>
    <w:rsid w:val="00FA713B"/>
    <w:rsid w:val="00FA779E"/>
    <w:rsid w:val="00FB0D77"/>
    <w:rsid w:val="00FB2238"/>
    <w:rsid w:val="00FB4EF3"/>
    <w:rsid w:val="00FB50F7"/>
    <w:rsid w:val="00FB55DF"/>
    <w:rsid w:val="00FB55F6"/>
    <w:rsid w:val="00FB6853"/>
    <w:rsid w:val="00FB71F2"/>
    <w:rsid w:val="00FB75D8"/>
    <w:rsid w:val="00FC0F25"/>
    <w:rsid w:val="00FC1623"/>
    <w:rsid w:val="00FC363F"/>
    <w:rsid w:val="00FC3D5A"/>
    <w:rsid w:val="00FC4D24"/>
    <w:rsid w:val="00FC520F"/>
    <w:rsid w:val="00FC63A3"/>
    <w:rsid w:val="00FC660F"/>
    <w:rsid w:val="00FC6CC1"/>
    <w:rsid w:val="00FC707C"/>
    <w:rsid w:val="00FC73A3"/>
    <w:rsid w:val="00FC75C6"/>
    <w:rsid w:val="00FD05E1"/>
    <w:rsid w:val="00FD0852"/>
    <w:rsid w:val="00FD1D8A"/>
    <w:rsid w:val="00FD3086"/>
    <w:rsid w:val="00FD32E1"/>
    <w:rsid w:val="00FD5687"/>
    <w:rsid w:val="00FD597C"/>
    <w:rsid w:val="00FD59B4"/>
    <w:rsid w:val="00FD5D59"/>
    <w:rsid w:val="00FD6541"/>
    <w:rsid w:val="00FD7F15"/>
    <w:rsid w:val="00FE11C2"/>
    <w:rsid w:val="00FE150F"/>
    <w:rsid w:val="00FE182F"/>
    <w:rsid w:val="00FE1D00"/>
    <w:rsid w:val="00FE2982"/>
    <w:rsid w:val="00FE2A9A"/>
    <w:rsid w:val="00FE2B60"/>
    <w:rsid w:val="00FE2C05"/>
    <w:rsid w:val="00FE3672"/>
    <w:rsid w:val="00FE3D45"/>
    <w:rsid w:val="00FE41D7"/>
    <w:rsid w:val="00FE4489"/>
    <w:rsid w:val="00FE46CE"/>
    <w:rsid w:val="00FE5B12"/>
    <w:rsid w:val="00FE733D"/>
    <w:rsid w:val="00FE7636"/>
    <w:rsid w:val="00FF06B3"/>
    <w:rsid w:val="00FF16E1"/>
    <w:rsid w:val="00FF1942"/>
    <w:rsid w:val="00FF21DA"/>
    <w:rsid w:val="00FF3D47"/>
    <w:rsid w:val="00FF5834"/>
    <w:rsid w:val="00FF66F8"/>
    <w:rsid w:val="00FF6B57"/>
    <w:rsid w:val="00FF6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181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AFD"/>
    <w:pPr>
      <w:spacing w:line="480" w:lineRule="auto"/>
      <w:jc w:val="both"/>
    </w:pPr>
    <w:rPr>
      <w:rFonts w:ascii="Times New Roman" w:hAnsi="Times New Roman"/>
      <w:sz w:val="24"/>
    </w:rPr>
  </w:style>
  <w:style w:type="paragraph" w:styleId="Heading1">
    <w:name w:val="heading 1"/>
    <w:basedOn w:val="Normal"/>
    <w:next w:val="Normal"/>
    <w:link w:val="Heading1Char"/>
    <w:uiPriority w:val="9"/>
    <w:qFormat/>
    <w:rsid w:val="00573D27"/>
    <w:pPr>
      <w:jc w:val="center"/>
      <w:outlineLvl w:val="0"/>
    </w:pPr>
    <w:rPr>
      <w:rFonts w:cs="Times New Roman"/>
      <w:b/>
      <w:szCs w:val="24"/>
    </w:rPr>
  </w:style>
  <w:style w:type="paragraph" w:styleId="Heading2">
    <w:name w:val="heading 2"/>
    <w:basedOn w:val="Normal"/>
    <w:next w:val="Normal"/>
    <w:link w:val="Heading2Char"/>
    <w:uiPriority w:val="9"/>
    <w:unhideWhenUsed/>
    <w:qFormat/>
    <w:rsid w:val="009646AD"/>
    <w:pPr>
      <w:outlineLvl w:val="1"/>
    </w:pPr>
    <w:rPr>
      <w:rFonts w:cs="Times New Roman"/>
      <w:b/>
      <w:szCs w:val="24"/>
    </w:rPr>
  </w:style>
  <w:style w:type="paragraph" w:styleId="Heading3">
    <w:name w:val="heading 3"/>
    <w:basedOn w:val="Normal"/>
    <w:next w:val="Normal"/>
    <w:link w:val="Heading3Char"/>
    <w:uiPriority w:val="9"/>
    <w:unhideWhenUsed/>
    <w:qFormat/>
    <w:rsid w:val="00F15F79"/>
    <w:pPr>
      <w:outlineLvl w:val="2"/>
    </w:pPr>
    <w:rPr>
      <w:rFonts w:cs="Times New Roman"/>
      <w:b/>
      <w:szCs w:val="24"/>
    </w:rPr>
  </w:style>
  <w:style w:type="paragraph" w:styleId="Heading4">
    <w:name w:val="heading 4"/>
    <w:basedOn w:val="Normal"/>
    <w:next w:val="Normal"/>
    <w:link w:val="Heading4Char"/>
    <w:uiPriority w:val="9"/>
    <w:unhideWhenUsed/>
    <w:qFormat/>
    <w:rsid w:val="002F7076"/>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unhideWhenUsed/>
    <w:qFormat/>
    <w:rsid w:val="002F7076"/>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unhideWhenUsed/>
    <w:qFormat/>
    <w:rsid w:val="002F7076"/>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2F7076"/>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2F7076"/>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2F7076"/>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3D27"/>
    <w:rPr>
      <w:rFonts w:ascii="Times New Roman" w:hAnsi="Times New Roman" w:cs="Times New Roman"/>
      <w:b/>
      <w:sz w:val="24"/>
      <w:szCs w:val="24"/>
    </w:rPr>
  </w:style>
  <w:style w:type="character" w:customStyle="1" w:styleId="Heading2Char">
    <w:name w:val="Heading 2 Char"/>
    <w:basedOn w:val="DefaultParagraphFont"/>
    <w:link w:val="Heading2"/>
    <w:uiPriority w:val="9"/>
    <w:rsid w:val="009646AD"/>
    <w:rPr>
      <w:rFonts w:ascii="Times New Roman" w:hAnsi="Times New Roman" w:cs="Times New Roman"/>
      <w:b/>
      <w:sz w:val="24"/>
      <w:szCs w:val="24"/>
    </w:rPr>
  </w:style>
  <w:style w:type="character" w:customStyle="1" w:styleId="Heading3Char">
    <w:name w:val="Heading 3 Char"/>
    <w:basedOn w:val="DefaultParagraphFont"/>
    <w:link w:val="Heading3"/>
    <w:uiPriority w:val="9"/>
    <w:rsid w:val="00F15F79"/>
    <w:rPr>
      <w:rFonts w:ascii="Times New Roman" w:hAnsi="Times New Roman" w:cs="Times New Roman"/>
      <w:b/>
      <w:sz w:val="24"/>
      <w:szCs w:val="24"/>
    </w:rPr>
  </w:style>
  <w:style w:type="character" w:customStyle="1" w:styleId="Heading4Char">
    <w:name w:val="Heading 4 Char"/>
    <w:basedOn w:val="DefaultParagraphFont"/>
    <w:link w:val="Heading4"/>
    <w:uiPriority w:val="9"/>
    <w:rsid w:val="002F7076"/>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rsid w:val="002F7076"/>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rsid w:val="002F7076"/>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2F7076"/>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2F7076"/>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2F7076"/>
    <w:rPr>
      <w:rFonts w:asciiTheme="majorHAnsi" w:eastAsiaTheme="majorEastAsia" w:hAnsiTheme="majorHAnsi" w:cstheme="majorBidi"/>
      <w:b/>
      <w:bCs/>
      <w:i/>
      <w:iCs/>
      <w:color w:val="44546A" w:themeColor="text2"/>
    </w:rPr>
  </w:style>
  <w:style w:type="paragraph" w:styleId="ListParagraph">
    <w:name w:val="List Paragraph"/>
    <w:basedOn w:val="Normal"/>
    <w:uiPriority w:val="34"/>
    <w:qFormat/>
    <w:rsid w:val="00F03F40"/>
    <w:pPr>
      <w:ind w:left="720"/>
      <w:contextualSpacing/>
    </w:pPr>
  </w:style>
  <w:style w:type="character" w:styleId="Hyperlink">
    <w:name w:val="Hyperlink"/>
    <w:basedOn w:val="DefaultParagraphFont"/>
    <w:uiPriority w:val="99"/>
    <w:unhideWhenUsed/>
    <w:rsid w:val="00B66998"/>
    <w:rPr>
      <w:color w:val="0563C1" w:themeColor="hyperlink"/>
      <w:u w:val="single"/>
    </w:rPr>
  </w:style>
  <w:style w:type="character" w:customStyle="1" w:styleId="UnresolvedMention1">
    <w:name w:val="Unresolved Mention1"/>
    <w:basedOn w:val="DefaultParagraphFont"/>
    <w:uiPriority w:val="99"/>
    <w:semiHidden/>
    <w:unhideWhenUsed/>
    <w:rsid w:val="00B66998"/>
    <w:rPr>
      <w:color w:val="605E5C"/>
      <w:shd w:val="clear" w:color="auto" w:fill="E1DFDD"/>
    </w:rPr>
  </w:style>
  <w:style w:type="table" w:styleId="TableGrid">
    <w:name w:val="Table Grid"/>
    <w:basedOn w:val="TableNormal"/>
    <w:uiPriority w:val="59"/>
    <w:rsid w:val="002447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83C52"/>
    <w:rPr>
      <w:rFonts w:cs="Times New Roman"/>
      <w:szCs w:val="24"/>
    </w:rPr>
  </w:style>
  <w:style w:type="paragraph" w:customStyle="1" w:styleId="Default">
    <w:name w:val="Default"/>
    <w:rsid w:val="00661BDD"/>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7465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65F1"/>
  </w:style>
  <w:style w:type="paragraph" w:styleId="Footer">
    <w:name w:val="footer"/>
    <w:basedOn w:val="Normal"/>
    <w:link w:val="FooterChar"/>
    <w:uiPriority w:val="99"/>
    <w:unhideWhenUsed/>
    <w:rsid w:val="007465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65F1"/>
  </w:style>
  <w:style w:type="paragraph" w:styleId="TOCHeading">
    <w:name w:val="TOC Heading"/>
    <w:basedOn w:val="Heading1"/>
    <w:next w:val="Normal"/>
    <w:uiPriority w:val="39"/>
    <w:unhideWhenUsed/>
    <w:qFormat/>
    <w:rsid w:val="002F7076"/>
    <w:pPr>
      <w:outlineLvl w:val="9"/>
    </w:pPr>
  </w:style>
  <w:style w:type="paragraph" w:styleId="TOC1">
    <w:name w:val="toc 1"/>
    <w:basedOn w:val="Normal"/>
    <w:next w:val="Normal"/>
    <w:autoRedefine/>
    <w:uiPriority w:val="39"/>
    <w:unhideWhenUsed/>
    <w:rsid w:val="00662DCC"/>
    <w:pPr>
      <w:tabs>
        <w:tab w:val="right" w:leader="dot" w:pos="9350"/>
      </w:tabs>
      <w:spacing w:after="100"/>
    </w:pPr>
    <w:rPr>
      <w:b/>
      <w:noProof/>
    </w:rPr>
  </w:style>
  <w:style w:type="paragraph" w:styleId="TOC2">
    <w:name w:val="toc 2"/>
    <w:basedOn w:val="Normal"/>
    <w:next w:val="Normal"/>
    <w:autoRedefine/>
    <w:uiPriority w:val="39"/>
    <w:unhideWhenUsed/>
    <w:rsid w:val="007517C9"/>
    <w:pPr>
      <w:tabs>
        <w:tab w:val="right" w:leader="dot" w:pos="9350"/>
      </w:tabs>
      <w:spacing w:after="100"/>
      <w:ind w:left="220"/>
    </w:pPr>
    <w:rPr>
      <w:noProof/>
    </w:rPr>
  </w:style>
  <w:style w:type="paragraph" w:styleId="TOC3">
    <w:name w:val="toc 3"/>
    <w:basedOn w:val="Normal"/>
    <w:next w:val="Normal"/>
    <w:autoRedefine/>
    <w:uiPriority w:val="39"/>
    <w:unhideWhenUsed/>
    <w:rsid w:val="00A3798E"/>
    <w:pPr>
      <w:tabs>
        <w:tab w:val="right" w:leader="dot" w:pos="9350"/>
      </w:tabs>
      <w:spacing w:after="100"/>
      <w:ind w:left="440"/>
    </w:pPr>
    <w:rPr>
      <w:rFonts w:cs="Times New Roman"/>
      <w:noProof/>
    </w:rPr>
  </w:style>
  <w:style w:type="paragraph" w:styleId="TOC4">
    <w:name w:val="toc 4"/>
    <w:basedOn w:val="Normal"/>
    <w:next w:val="Normal"/>
    <w:autoRedefine/>
    <w:uiPriority w:val="39"/>
    <w:unhideWhenUsed/>
    <w:rsid w:val="001F7F0D"/>
    <w:pPr>
      <w:spacing w:after="100"/>
      <w:ind w:left="660"/>
    </w:pPr>
  </w:style>
  <w:style w:type="paragraph" w:styleId="TOC5">
    <w:name w:val="toc 5"/>
    <w:basedOn w:val="Normal"/>
    <w:next w:val="Normal"/>
    <w:autoRedefine/>
    <w:uiPriority w:val="39"/>
    <w:unhideWhenUsed/>
    <w:rsid w:val="001F7F0D"/>
    <w:pPr>
      <w:spacing w:after="100"/>
      <w:ind w:left="880"/>
    </w:pPr>
  </w:style>
  <w:style w:type="paragraph" w:styleId="TOC6">
    <w:name w:val="toc 6"/>
    <w:basedOn w:val="Normal"/>
    <w:next w:val="Normal"/>
    <w:autoRedefine/>
    <w:uiPriority w:val="39"/>
    <w:unhideWhenUsed/>
    <w:rsid w:val="001F7F0D"/>
    <w:pPr>
      <w:spacing w:after="100"/>
      <w:ind w:left="1100"/>
    </w:pPr>
  </w:style>
  <w:style w:type="table" w:customStyle="1" w:styleId="Calendar1">
    <w:name w:val="Calendar 1"/>
    <w:basedOn w:val="TableNormal"/>
    <w:uiPriority w:val="99"/>
    <w:qFormat/>
    <w:rsid w:val="00334138"/>
    <w:pPr>
      <w:spacing w:after="0" w:line="240" w:lineRule="auto"/>
    </w:p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styleId="Caption">
    <w:name w:val="caption"/>
    <w:basedOn w:val="Normal"/>
    <w:next w:val="Normal"/>
    <w:uiPriority w:val="35"/>
    <w:semiHidden/>
    <w:unhideWhenUsed/>
    <w:qFormat/>
    <w:rsid w:val="002F7076"/>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2F7076"/>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2F7076"/>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2F7076"/>
    <w:pPr>
      <w:numPr>
        <w:ilvl w:val="1"/>
      </w:numPr>
      <w:spacing w:line="240" w:lineRule="auto"/>
    </w:pPr>
    <w:rPr>
      <w:rFonts w:asciiTheme="majorHAnsi" w:eastAsiaTheme="majorEastAsia" w:hAnsiTheme="majorHAnsi" w:cstheme="majorBidi"/>
      <w:szCs w:val="24"/>
    </w:rPr>
  </w:style>
  <w:style w:type="character" w:customStyle="1" w:styleId="SubtitleChar">
    <w:name w:val="Subtitle Char"/>
    <w:basedOn w:val="DefaultParagraphFont"/>
    <w:link w:val="Subtitle"/>
    <w:uiPriority w:val="11"/>
    <w:rsid w:val="002F7076"/>
    <w:rPr>
      <w:rFonts w:asciiTheme="majorHAnsi" w:eastAsiaTheme="majorEastAsia" w:hAnsiTheme="majorHAnsi" w:cstheme="majorBidi"/>
      <w:sz w:val="24"/>
      <w:szCs w:val="24"/>
    </w:rPr>
  </w:style>
  <w:style w:type="character" w:styleId="Strong">
    <w:name w:val="Strong"/>
    <w:basedOn w:val="DefaultParagraphFont"/>
    <w:uiPriority w:val="22"/>
    <w:qFormat/>
    <w:rsid w:val="002F7076"/>
    <w:rPr>
      <w:b/>
      <w:bCs/>
    </w:rPr>
  </w:style>
  <w:style w:type="character" w:styleId="Emphasis">
    <w:name w:val="Emphasis"/>
    <w:basedOn w:val="DefaultParagraphFont"/>
    <w:uiPriority w:val="20"/>
    <w:qFormat/>
    <w:rsid w:val="002F7076"/>
    <w:rPr>
      <w:i/>
      <w:iCs/>
    </w:rPr>
  </w:style>
  <w:style w:type="paragraph" w:styleId="NoSpacing">
    <w:name w:val="No Spacing"/>
    <w:uiPriority w:val="1"/>
    <w:qFormat/>
    <w:rsid w:val="002F7076"/>
    <w:pPr>
      <w:spacing w:after="0" w:line="240" w:lineRule="auto"/>
    </w:pPr>
  </w:style>
  <w:style w:type="paragraph" w:styleId="Quote">
    <w:name w:val="Quote"/>
    <w:basedOn w:val="Normal"/>
    <w:next w:val="Normal"/>
    <w:link w:val="QuoteChar"/>
    <w:uiPriority w:val="29"/>
    <w:qFormat/>
    <w:rsid w:val="002F7076"/>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2F7076"/>
    <w:rPr>
      <w:i/>
      <w:iCs/>
      <w:color w:val="404040" w:themeColor="text1" w:themeTint="BF"/>
    </w:rPr>
  </w:style>
  <w:style w:type="paragraph" w:styleId="IntenseQuote">
    <w:name w:val="Intense Quote"/>
    <w:basedOn w:val="Normal"/>
    <w:next w:val="Normal"/>
    <w:link w:val="IntenseQuoteChar"/>
    <w:uiPriority w:val="30"/>
    <w:qFormat/>
    <w:rsid w:val="002F7076"/>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2F7076"/>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2F7076"/>
    <w:rPr>
      <w:i/>
      <w:iCs/>
      <w:color w:val="404040" w:themeColor="text1" w:themeTint="BF"/>
    </w:rPr>
  </w:style>
  <w:style w:type="character" w:styleId="IntenseEmphasis">
    <w:name w:val="Intense Emphasis"/>
    <w:basedOn w:val="DefaultParagraphFont"/>
    <w:uiPriority w:val="21"/>
    <w:qFormat/>
    <w:rsid w:val="002F7076"/>
    <w:rPr>
      <w:b/>
      <w:bCs/>
      <w:i/>
      <w:iCs/>
    </w:rPr>
  </w:style>
  <w:style w:type="character" w:styleId="SubtleReference">
    <w:name w:val="Subtle Reference"/>
    <w:basedOn w:val="DefaultParagraphFont"/>
    <w:uiPriority w:val="31"/>
    <w:qFormat/>
    <w:rsid w:val="002F707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2F7076"/>
    <w:rPr>
      <w:b/>
      <w:bCs/>
      <w:smallCaps/>
      <w:spacing w:val="5"/>
      <w:u w:val="single"/>
    </w:rPr>
  </w:style>
  <w:style w:type="character" w:styleId="BookTitle">
    <w:name w:val="Book Title"/>
    <w:basedOn w:val="DefaultParagraphFont"/>
    <w:uiPriority w:val="33"/>
    <w:qFormat/>
    <w:rsid w:val="002F7076"/>
    <w:rPr>
      <w:b/>
      <w:bCs/>
      <w:smallCaps/>
    </w:rPr>
  </w:style>
  <w:style w:type="table" w:customStyle="1" w:styleId="ListTable4-Accent11">
    <w:name w:val="List Table 4 - Accent 11"/>
    <w:basedOn w:val="TableNormal"/>
    <w:uiPriority w:val="49"/>
    <w:rsid w:val="00717328"/>
    <w:pPr>
      <w:spacing w:after="0" w:line="240" w:lineRule="auto"/>
    </w:pPr>
    <w:rPr>
      <w:rFonts w:eastAsiaTheme="minorHAnsi"/>
      <w:sz w:val="22"/>
      <w:szCs w:val="22"/>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eGrid1">
    <w:name w:val="Table Grid1"/>
    <w:basedOn w:val="TableNormal"/>
    <w:next w:val="TableGrid"/>
    <w:uiPriority w:val="39"/>
    <w:rsid w:val="00411D3E"/>
    <w:pPr>
      <w:spacing w:after="0" w:line="240" w:lineRule="auto"/>
    </w:pPr>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527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738"/>
    <w:rPr>
      <w:rFonts w:ascii="Tahoma" w:hAnsi="Tahoma" w:cs="Tahoma"/>
      <w:sz w:val="16"/>
      <w:szCs w:val="16"/>
    </w:rPr>
  </w:style>
  <w:style w:type="paragraph" w:styleId="TOC7">
    <w:name w:val="toc 7"/>
    <w:basedOn w:val="Normal"/>
    <w:next w:val="Normal"/>
    <w:autoRedefine/>
    <w:uiPriority w:val="39"/>
    <w:unhideWhenUsed/>
    <w:rsid w:val="007517C9"/>
    <w:pPr>
      <w:spacing w:after="100" w:line="276" w:lineRule="auto"/>
      <w:ind w:left="1320"/>
      <w:jc w:val="left"/>
    </w:pPr>
    <w:rPr>
      <w:rFonts w:asciiTheme="minorHAnsi" w:hAnsiTheme="minorHAnsi"/>
      <w:sz w:val="22"/>
      <w:szCs w:val="22"/>
    </w:rPr>
  </w:style>
  <w:style w:type="paragraph" w:styleId="TOC8">
    <w:name w:val="toc 8"/>
    <w:basedOn w:val="Normal"/>
    <w:next w:val="Normal"/>
    <w:autoRedefine/>
    <w:uiPriority w:val="39"/>
    <w:unhideWhenUsed/>
    <w:rsid w:val="007517C9"/>
    <w:pPr>
      <w:spacing w:after="100" w:line="276" w:lineRule="auto"/>
      <w:ind w:left="1540"/>
      <w:jc w:val="left"/>
    </w:pPr>
    <w:rPr>
      <w:rFonts w:asciiTheme="minorHAnsi" w:hAnsiTheme="minorHAnsi"/>
      <w:sz w:val="22"/>
      <w:szCs w:val="22"/>
    </w:rPr>
  </w:style>
  <w:style w:type="paragraph" w:styleId="TOC9">
    <w:name w:val="toc 9"/>
    <w:basedOn w:val="Normal"/>
    <w:next w:val="Normal"/>
    <w:autoRedefine/>
    <w:uiPriority w:val="39"/>
    <w:unhideWhenUsed/>
    <w:rsid w:val="007517C9"/>
    <w:pPr>
      <w:spacing w:after="100" w:line="276" w:lineRule="auto"/>
      <w:ind w:left="1760"/>
      <w:jc w:val="left"/>
    </w:pPr>
    <w:rPr>
      <w:rFonts w:asciiTheme="minorHAnsi" w:hAnsiTheme="minorHAnsi"/>
      <w:sz w:val="22"/>
      <w:szCs w:val="22"/>
    </w:rPr>
  </w:style>
  <w:style w:type="character" w:styleId="CommentReference">
    <w:name w:val="annotation reference"/>
    <w:basedOn w:val="DefaultParagraphFont"/>
    <w:uiPriority w:val="99"/>
    <w:semiHidden/>
    <w:unhideWhenUsed/>
    <w:rsid w:val="009B7A71"/>
    <w:rPr>
      <w:sz w:val="16"/>
      <w:szCs w:val="16"/>
    </w:rPr>
  </w:style>
  <w:style w:type="paragraph" w:styleId="CommentText">
    <w:name w:val="annotation text"/>
    <w:basedOn w:val="Normal"/>
    <w:link w:val="CommentTextChar"/>
    <w:uiPriority w:val="99"/>
    <w:unhideWhenUsed/>
    <w:rsid w:val="009B7A71"/>
    <w:pPr>
      <w:spacing w:line="240" w:lineRule="auto"/>
    </w:pPr>
    <w:rPr>
      <w:sz w:val="20"/>
    </w:rPr>
  </w:style>
  <w:style w:type="character" w:customStyle="1" w:styleId="CommentTextChar">
    <w:name w:val="Comment Text Char"/>
    <w:basedOn w:val="DefaultParagraphFont"/>
    <w:link w:val="CommentText"/>
    <w:uiPriority w:val="99"/>
    <w:rsid w:val="009B7A71"/>
    <w:rPr>
      <w:rFonts w:ascii="Times New Roman" w:hAnsi="Times New Roman"/>
    </w:rPr>
  </w:style>
  <w:style w:type="paragraph" w:styleId="CommentSubject">
    <w:name w:val="annotation subject"/>
    <w:basedOn w:val="CommentText"/>
    <w:next w:val="CommentText"/>
    <w:link w:val="CommentSubjectChar"/>
    <w:uiPriority w:val="99"/>
    <w:semiHidden/>
    <w:unhideWhenUsed/>
    <w:rsid w:val="009B7A71"/>
    <w:rPr>
      <w:b/>
      <w:bCs/>
    </w:rPr>
  </w:style>
  <w:style w:type="character" w:customStyle="1" w:styleId="CommentSubjectChar">
    <w:name w:val="Comment Subject Char"/>
    <w:basedOn w:val="CommentTextChar"/>
    <w:link w:val="CommentSubject"/>
    <w:uiPriority w:val="99"/>
    <w:semiHidden/>
    <w:rsid w:val="009B7A71"/>
    <w:rPr>
      <w:rFonts w:ascii="Times New Roman" w:hAnsi="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AFD"/>
    <w:pPr>
      <w:spacing w:line="480" w:lineRule="auto"/>
      <w:jc w:val="both"/>
    </w:pPr>
    <w:rPr>
      <w:rFonts w:ascii="Times New Roman" w:hAnsi="Times New Roman"/>
      <w:sz w:val="24"/>
    </w:rPr>
  </w:style>
  <w:style w:type="paragraph" w:styleId="Heading1">
    <w:name w:val="heading 1"/>
    <w:basedOn w:val="Normal"/>
    <w:next w:val="Normal"/>
    <w:link w:val="Heading1Char"/>
    <w:uiPriority w:val="9"/>
    <w:qFormat/>
    <w:rsid w:val="00573D27"/>
    <w:pPr>
      <w:jc w:val="center"/>
      <w:outlineLvl w:val="0"/>
    </w:pPr>
    <w:rPr>
      <w:rFonts w:cs="Times New Roman"/>
      <w:b/>
      <w:szCs w:val="24"/>
    </w:rPr>
  </w:style>
  <w:style w:type="paragraph" w:styleId="Heading2">
    <w:name w:val="heading 2"/>
    <w:basedOn w:val="Normal"/>
    <w:next w:val="Normal"/>
    <w:link w:val="Heading2Char"/>
    <w:uiPriority w:val="9"/>
    <w:unhideWhenUsed/>
    <w:qFormat/>
    <w:rsid w:val="009646AD"/>
    <w:pPr>
      <w:outlineLvl w:val="1"/>
    </w:pPr>
    <w:rPr>
      <w:rFonts w:cs="Times New Roman"/>
      <w:b/>
      <w:szCs w:val="24"/>
    </w:rPr>
  </w:style>
  <w:style w:type="paragraph" w:styleId="Heading3">
    <w:name w:val="heading 3"/>
    <w:basedOn w:val="Normal"/>
    <w:next w:val="Normal"/>
    <w:link w:val="Heading3Char"/>
    <w:uiPriority w:val="9"/>
    <w:unhideWhenUsed/>
    <w:qFormat/>
    <w:rsid w:val="00F15F79"/>
    <w:pPr>
      <w:outlineLvl w:val="2"/>
    </w:pPr>
    <w:rPr>
      <w:rFonts w:cs="Times New Roman"/>
      <w:b/>
      <w:szCs w:val="24"/>
    </w:rPr>
  </w:style>
  <w:style w:type="paragraph" w:styleId="Heading4">
    <w:name w:val="heading 4"/>
    <w:basedOn w:val="Normal"/>
    <w:next w:val="Normal"/>
    <w:link w:val="Heading4Char"/>
    <w:uiPriority w:val="9"/>
    <w:unhideWhenUsed/>
    <w:qFormat/>
    <w:rsid w:val="002F7076"/>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unhideWhenUsed/>
    <w:qFormat/>
    <w:rsid w:val="002F7076"/>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unhideWhenUsed/>
    <w:qFormat/>
    <w:rsid w:val="002F7076"/>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2F7076"/>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2F7076"/>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2F7076"/>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3D27"/>
    <w:rPr>
      <w:rFonts w:ascii="Times New Roman" w:hAnsi="Times New Roman" w:cs="Times New Roman"/>
      <w:b/>
      <w:sz w:val="24"/>
      <w:szCs w:val="24"/>
    </w:rPr>
  </w:style>
  <w:style w:type="character" w:customStyle="1" w:styleId="Heading2Char">
    <w:name w:val="Heading 2 Char"/>
    <w:basedOn w:val="DefaultParagraphFont"/>
    <w:link w:val="Heading2"/>
    <w:uiPriority w:val="9"/>
    <w:rsid w:val="009646AD"/>
    <w:rPr>
      <w:rFonts w:ascii="Times New Roman" w:hAnsi="Times New Roman" w:cs="Times New Roman"/>
      <w:b/>
      <w:sz w:val="24"/>
      <w:szCs w:val="24"/>
    </w:rPr>
  </w:style>
  <w:style w:type="character" w:customStyle="1" w:styleId="Heading3Char">
    <w:name w:val="Heading 3 Char"/>
    <w:basedOn w:val="DefaultParagraphFont"/>
    <w:link w:val="Heading3"/>
    <w:uiPriority w:val="9"/>
    <w:rsid w:val="00F15F79"/>
    <w:rPr>
      <w:rFonts w:ascii="Times New Roman" w:hAnsi="Times New Roman" w:cs="Times New Roman"/>
      <w:b/>
      <w:sz w:val="24"/>
      <w:szCs w:val="24"/>
    </w:rPr>
  </w:style>
  <w:style w:type="character" w:customStyle="1" w:styleId="Heading4Char">
    <w:name w:val="Heading 4 Char"/>
    <w:basedOn w:val="DefaultParagraphFont"/>
    <w:link w:val="Heading4"/>
    <w:uiPriority w:val="9"/>
    <w:rsid w:val="002F7076"/>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rsid w:val="002F7076"/>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rsid w:val="002F7076"/>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2F7076"/>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2F7076"/>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2F7076"/>
    <w:rPr>
      <w:rFonts w:asciiTheme="majorHAnsi" w:eastAsiaTheme="majorEastAsia" w:hAnsiTheme="majorHAnsi" w:cstheme="majorBidi"/>
      <w:b/>
      <w:bCs/>
      <w:i/>
      <w:iCs/>
      <w:color w:val="44546A" w:themeColor="text2"/>
    </w:rPr>
  </w:style>
  <w:style w:type="paragraph" w:styleId="ListParagraph">
    <w:name w:val="List Paragraph"/>
    <w:basedOn w:val="Normal"/>
    <w:uiPriority w:val="34"/>
    <w:qFormat/>
    <w:rsid w:val="00F03F40"/>
    <w:pPr>
      <w:ind w:left="720"/>
      <w:contextualSpacing/>
    </w:pPr>
  </w:style>
  <w:style w:type="character" w:styleId="Hyperlink">
    <w:name w:val="Hyperlink"/>
    <w:basedOn w:val="DefaultParagraphFont"/>
    <w:uiPriority w:val="99"/>
    <w:unhideWhenUsed/>
    <w:rsid w:val="00B66998"/>
    <w:rPr>
      <w:color w:val="0563C1" w:themeColor="hyperlink"/>
      <w:u w:val="single"/>
    </w:rPr>
  </w:style>
  <w:style w:type="character" w:customStyle="1" w:styleId="UnresolvedMention1">
    <w:name w:val="Unresolved Mention1"/>
    <w:basedOn w:val="DefaultParagraphFont"/>
    <w:uiPriority w:val="99"/>
    <w:semiHidden/>
    <w:unhideWhenUsed/>
    <w:rsid w:val="00B66998"/>
    <w:rPr>
      <w:color w:val="605E5C"/>
      <w:shd w:val="clear" w:color="auto" w:fill="E1DFDD"/>
    </w:rPr>
  </w:style>
  <w:style w:type="table" w:styleId="TableGrid">
    <w:name w:val="Table Grid"/>
    <w:basedOn w:val="TableNormal"/>
    <w:uiPriority w:val="59"/>
    <w:rsid w:val="002447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83C52"/>
    <w:rPr>
      <w:rFonts w:cs="Times New Roman"/>
      <w:szCs w:val="24"/>
    </w:rPr>
  </w:style>
  <w:style w:type="paragraph" w:customStyle="1" w:styleId="Default">
    <w:name w:val="Default"/>
    <w:rsid w:val="00661BDD"/>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7465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65F1"/>
  </w:style>
  <w:style w:type="paragraph" w:styleId="Footer">
    <w:name w:val="footer"/>
    <w:basedOn w:val="Normal"/>
    <w:link w:val="FooterChar"/>
    <w:uiPriority w:val="99"/>
    <w:unhideWhenUsed/>
    <w:rsid w:val="007465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65F1"/>
  </w:style>
  <w:style w:type="paragraph" w:styleId="TOCHeading">
    <w:name w:val="TOC Heading"/>
    <w:basedOn w:val="Heading1"/>
    <w:next w:val="Normal"/>
    <w:uiPriority w:val="39"/>
    <w:unhideWhenUsed/>
    <w:qFormat/>
    <w:rsid w:val="002F7076"/>
    <w:pPr>
      <w:outlineLvl w:val="9"/>
    </w:pPr>
  </w:style>
  <w:style w:type="paragraph" w:styleId="TOC1">
    <w:name w:val="toc 1"/>
    <w:basedOn w:val="Normal"/>
    <w:next w:val="Normal"/>
    <w:autoRedefine/>
    <w:uiPriority w:val="39"/>
    <w:unhideWhenUsed/>
    <w:rsid w:val="00662DCC"/>
    <w:pPr>
      <w:tabs>
        <w:tab w:val="right" w:leader="dot" w:pos="9350"/>
      </w:tabs>
      <w:spacing w:after="100"/>
    </w:pPr>
    <w:rPr>
      <w:b/>
      <w:noProof/>
    </w:rPr>
  </w:style>
  <w:style w:type="paragraph" w:styleId="TOC2">
    <w:name w:val="toc 2"/>
    <w:basedOn w:val="Normal"/>
    <w:next w:val="Normal"/>
    <w:autoRedefine/>
    <w:uiPriority w:val="39"/>
    <w:unhideWhenUsed/>
    <w:rsid w:val="007517C9"/>
    <w:pPr>
      <w:tabs>
        <w:tab w:val="right" w:leader="dot" w:pos="9350"/>
      </w:tabs>
      <w:spacing w:after="100"/>
      <w:ind w:left="220"/>
    </w:pPr>
    <w:rPr>
      <w:noProof/>
    </w:rPr>
  </w:style>
  <w:style w:type="paragraph" w:styleId="TOC3">
    <w:name w:val="toc 3"/>
    <w:basedOn w:val="Normal"/>
    <w:next w:val="Normal"/>
    <w:autoRedefine/>
    <w:uiPriority w:val="39"/>
    <w:unhideWhenUsed/>
    <w:rsid w:val="00A3798E"/>
    <w:pPr>
      <w:tabs>
        <w:tab w:val="right" w:leader="dot" w:pos="9350"/>
      </w:tabs>
      <w:spacing w:after="100"/>
      <w:ind w:left="440"/>
    </w:pPr>
    <w:rPr>
      <w:rFonts w:cs="Times New Roman"/>
      <w:noProof/>
    </w:rPr>
  </w:style>
  <w:style w:type="paragraph" w:styleId="TOC4">
    <w:name w:val="toc 4"/>
    <w:basedOn w:val="Normal"/>
    <w:next w:val="Normal"/>
    <w:autoRedefine/>
    <w:uiPriority w:val="39"/>
    <w:unhideWhenUsed/>
    <w:rsid w:val="001F7F0D"/>
    <w:pPr>
      <w:spacing w:after="100"/>
      <w:ind w:left="660"/>
    </w:pPr>
  </w:style>
  <w:style w:type="paragraph" w:styleId="TOC5">
    <w:name w:val="toc 5"/>
    <w:basedOn w:val="Normal"/>
    <w:next w:val="Normal"/>
    <w:autoRedefine/>
    <w:uiPriority w:val="39"/>
    <w:unhideWhenUsed/>
    <w:rsid w:val="001F7F0D"/>
    <w:pPr>
      <w:spacing w:after="100"/>
      <w:ind w:left="880"/>
    </w:pPr>
  </w:style>
  <w:style w:type="paragraph" w:styleId="TOC6">
    <w:name w:val="toc 6"/>
    <w:basedOn w:val="Normal"/>
    <w:next w:val="Normal"/>
    <w:autoRedefine/>
    <w:uiPriority w:val="39"/>
    <w:unhideWhenUsed/>
    <w:rsid w:val="001F7F0D"/>
    <w:pPr>
      <w:spacing w:after="100"/>
      <w:ind w:left="1100"/>
    </w:pPr>
  </w:style>
  <w:style w:type="table" w:customStyle="1" w:styleId="Calendar1">
    <w:name w:val="Calendar 1"/>
    <w:basedOn w:val="TableNormal"/>
    <w:uiPriority w:val="99"/>
    <w:qFormat/>
    <w:rsid w:val="00334138"/>
    <w:pPr>
      <w:spacing w:after="0" w:line="240" w:lineRule="auto"/>
    </w:p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styleId="Caption">
    <w:name w:val="caption"/>
    <w:basedOn w:val="Normal"/>
    <w:next w:val="Normal"/>
    <w:uiPriority w:val="35"/>
    <w:semiHidden/>
    <w:unhideWhenUsed/>
    <w:qFormat/>
    <w:rsid w:val="002F7076"/>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2F7076"/>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2F7076"/>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2F7076"/>
    <w:pPr>
      <w:numPr>
        <w:ilvl w:val="1"/>
      </w:numPr>
      <w:spacing w:line="240" w:lineRule="auto"/>
    </w:pPr>
    <w:rPr>
      <w:rFonts w:asciiTheme="majorHAnsi" w:eastAsiaTheme="majorEastAsia" w:hAnsiTheme="majorHAnsi" w:cstheme="majorBidi"/>
      <w:szCs w:val="24"/>
    </w:rPr>
  </w:style>
  <w:style w:type="character" w:customStyle="1" w:styleId="SubtitleChar">
    <w:name w:val="Subtitle Char"/>
    <w:basedOn w:val="DefaultParagraphFont"/>
    <w:link w:val="Subtitle"/>
    <w:uiPriority w:val="11"/>
    <w:rsid w:val="002F7076"/>
    <w:rPr>
      <w:rFonts w:asciiTheme="majorHAnsi" w:eastAsiaTheme="majorEastAsia" w:hAnsiTheme="majorHAnsi" w:cstheme="majorBidi"/>
      <w:sz w:val="24"/>
      <w:szCs w:val="24"/>
    </w:rPr>
  </w:style>
  <w:style w:type="character" w:styleId="Strong">
    <w:name w:val="Strong"/>
    <w:basedOn w:val="DefaultParagraphFont"/>
    <w:uiPriority w:val="22"/>
    <w:qFormat/>
    <w:rsid w:val="002F7076"/>
    <w:rPr>
      <w:b/>
      <w:bCs/>
    </w:rPr>
  </w:style>
  <w:style w:type="character" w:styleId="Emphasis">
    <w:name w:val="Emphasis"/>
    <w:basedOn w:val="DefaultParagraphFont"/>
    <w:uiPriority w:val="20"/>
    <w:qFormat/>
    <w:rsid w:val="002F7076"/>
    <w:rPr>
      <w:i/>
      <w:iCs/>
    </w:rPr>
  </w:style>
  <w:style w:type="paragraph" w:styleId="NoSpacing">
    <w:name w:val="No Spacing"/>
    <w:uiPriority w:val="1"/>
    <w:qFormat/>
    <w:rsid w:val="002F7076"/>
    <w:pPr>
      <w:spacing w:after="0" w:line="240" w:lineRule="auto"/>
    </w:pPr>
  </w:style>
  <w:style w:type="paragraph" w:styleId="Quote">
    <w:name w:val="Quote"/>
    <w:basedOn w:val="Normal"/>
    <w:next w:val="Normal"/>
    <w:link w:val="QuoteChar"/>
    <w:uiPriority w:val="29"/>
    <w:qFormat/>
    <w:rsid w:val="002F7076"/>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2F7076"/>
    <w:rPr>
      <w:i/>
      <w:iCs/>
      <w:color w:val="404040" w:themeColor="text1" w:themeTint="BF"/>
    </w:rPr>
  </w:style>
  <w:style w:type="paragraph" w:styleId="IntenseQuote">
    <w:name w:val="Intense Quote"/>
    <w:basedOn w:val="Normal"/>
    <w:next w:val="Normal"/>
    <w:link w:val="IntenseQuoteChar"/>
    <w:uiPriority w:val="30"/>
    <w:qFormat/>
    <w:rsid w:val="002F7076"/>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2F7076"/>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2F7076"/>
    <w:rPr>
      <w:i/>
      <w:iCs/>
      <w:color w:val="404040" w:themeColor="text1" w:themeTint="BF"/>
    </w:rPr>
  </w:style>
  <w:style w:type="character" w:styleId="IntenseEmphasis">
    <w:name w:val="Intense Emphasis"/>
    <w:basedOn w:val="DefaultParagraphFont"/>
    <w:uiPriority w:val="21"/>
    <w:qFormat/>
    <w:rsid w:val="002F7076"/>
    <w:rPr>
      <w:b/>
      <w:bCs/>
      <w:i/>
      <w:iCs/>
    </w:rPr>
  </w:style>
  <w:style w:type="character" w:styleId="SubtleReference">
    <w:name w:val="Subtle Reference"/>
    <w:basedOn w:val="DefaultParagraphFont"/>
    <w:uiPriority w:val="31"/>
    <w:qFormat/>
    <w:rsid w:val="002F707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2F7076"/>
    <w:rPr>
      <w:b/>
      <w:bCs/>
      <w:smallCaps/>
      <w:spacing w:val="5"/>
      <w:u w:val="single"/>
    </w:rPr>
  </w:style>
  <w:style w:type="character" w:styleId="BookTitle">
    <w:name w:val="Book Title"/>
    <w:basedOn w:val="DefaultParagraphFont"/>
    <w:uiPriority w:val="33"/>
    <w:qFormat/>
    <w:rsid w:val="002F7076"/>
    <w:rPr>
      <w:b/>
      <w:bCs/>
      <w:smallCaps/>
    </w:rPr>
  </w:style>
  <w:style w:type="table" w:customStyle="1" w:styleId="ListTable4-Accent11">
    <w:name w:val="List Table 4 - Accent 11"/>
    <w:basedOn w:val="TableNormal"/>
    <w:uiPriority w:val="49"/>
    <w:rsid w:val="00717328"/>
    <w:pPr>
      <w:spacing w:after="0" w:line="240" w:lineRule="auto"/>
    </w:pPr>
    <w:rPr>
      <w:rFonts w:eastAsiaTheme="minorHAnsi"/>
      <w:sz w:val="22"/>
      <w:szCs w:val="22"/>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eGrid1">
    <w:name w:val="Table Grid1"/>
    <w:basedOn w:val="TableNormal"/>
    <w:next w:val="TableGrid"/>
    <w:uiPriority w:val="39"/>
    <w:rsid w:val="00411D3E"/>
    <w:pPr>
      <w:spacing w:after="0" w:line="240" w:lineRule="auto"/>
    </w:pPr>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527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738"/>
    <w:rPr>
      <w:rFonts w:ascii="Tahoma" w:hAnsi="Tahoma" w:cs="Tahoma"/>
      <w:sz w:val="16"/>
      <w:szCs w:val="16"/>
    </w:rPr>
  </w:style>
  <w:style w:type="paragraph" w:styleId="TOC7">
    <w:name w:val="toc 7"/>
    <w:basedOn w:val="Normal"/>
    <w:next w:val="Normal"/>
    <w:autoRedefine/>
    <w:uiPriority w:val="39"/>
    <w:unhideWhenUsed/>
    <w:rsid w:val="007517C9"/>
    <w:pPr>
      <w:spacing w:after="100" w:line="276" w:lineRule="auto"/>
      <w:ind w:left="1320"/>
      <w:jc w:val="left"/>
    </w:pPr>
    <w:rPr>
      <w:rFonts w:asciiTheme="minorHAnsi" w:hAnsiTheme="minorHAnsi"/>
      <w:sz w:val="22"/>
      <w:szCs w:val="22"/>
    </w:rPr>
  </w:style>
  <w:style w:type="paragraph" w:styleId="TOC8">
    <w:name w:val="toc 8"/>
    <w:basedOn w:val="Normal"/>
    <w:next w:val="Normal"/>
    <w:autoRedefine/>
    <w:uiPriority w:val="39"/>
    <w:unhideWhenUsed/>
    <w:rsid w:val="007517C9"/>
    <w:pPr>
      <w:spacing w:after="100" w:line="276" w:lineRule="auto"/>
      <w:ind w:left="1540"/>
      <w:jc w:val="left"/>
    </w:pPr>
    <w:rPr>
      <w:rFonts w:asciiTheme="minorHAnsi" w:hAnsiTheme="minorHAnsi"/>
      <w:sz w:val="22"/>
      <w:szCs w:val="22"/>
    </w:rPr>
  </w:style>
  <w:style w:type="paragraph" w:styleId="TOC9">
    <w:name w:val="toc 9"/>
    <w:basedOn w:val="Normal"/>
    <w:next w:val="Normal"/>
    <w:autoRedefine/>
    <w:uiPriority w:val="39"/>
    <w:unhideWhenUsed/>
    <w:rsid w:val="007517C9"/>
    <w:pPr>
      <w:spacing w:after="100" w:line="276" w:lineRule="auto"/>
      <w:ind w:left="1760"/>
      <w:jc w:val="left"/>
    </w:pPr>
    <w:rPr>
      <w:rFonts w:asciiTheme="minorHAnsi" w:hAnsiTheme="minorHAnsi"/>
      <w:sz w:val="22"/>
      <w:szCs w:val="22"/>
    </w:rPr>
  </w:style>
  <w:style w:type="character" w:styleId="CommentReference">
    <w:name w:val="annotation reference"/>
    <w:basedOn w:val="DefaultParagraphFont"/>
    <w:uiPriority w:val="99"/>
    <w:semiHidden/>
    <w:unhideWhenUsed/>
    <w:rsid w:val="009B7A71"/>
    <w:rPr>
      <w:sz w:val="16"/>
      <w:szCs w:val="16"/>
    </w:rPr>
  </w:style>
  <w:style w:type="paragraph" w:styleId="CommentText">
    <w:name w:val="annotation text"/>
    <w:basedOn w:val="Normal"/>
    <w:link w:val="CommentTextChar"/>
    <w:uiPriority w:val="99"/>
    <w:unhideWhenUsed/>
    <w:rsid w:val="009B7A71"/>
    <w:pPr>
      <w:spacing w:line="240" w:lineRule="auto"/>
    </w:pPr>
    <w:rPr>
      <w:sz w:val="20"/>
    </w:rPr>
  </w:style>
  <w:style w:type="character" w:customStyle="1" w:styleId="CommentTextChar">
    <w:name w:val="Comment Text Char"/>
    <w:basedOn w:val="DefaultParagraphFont"/>
    <w:link w:val="CommentText"/>
    <w:uiPriority w:val="99"/>
    <w:rsid w:val="009B7A71"/>
    <w:rPr>
      <w:rFonts w:ascii="Times New Roman" w:hAnsi="Times New Roman"/>
    </w:rPr>
  </w:style>
  <w:style w:type="paragraph" w:styleId="CommentSubject">
    <w:name w:val="annotation subject"/>
    <w:basedOn w:val="CommentText"/>
    <w:next w:val="CommentText"/>
    <w:link w:val="CommentSubjectChar"/>
    <w:uiPriority w:val="99"/>
    <w:semiHidden/>
    <w:unhideWhenUsed/>
    <w:rsid w:val="009B7A71"/>
    <w:rPr>
      <w:b/>
      <w:bCs/>
    </w:rPr>
  </w:style>
  <w:style w:type="character" w:customStyle="1" w:styleId="CommentSubjectChar">
    <w:name w:val="Comment Subject Char"/>
    <w:basedOn w:val="CommentTextChar"/>
    <w:link w:val="CommentSubject"/>
    <w:uiPriority w:val="99"/>
    <w:semiHidden/>
    <w:rsid w:val="009B7A71"/>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1289">
      <w:bodyDiv w:val="1"/>
      <w:marLeft w:val="0"/>
      <w:marRight w:val="0"/>
      <w:marTop w:val="0"/>
      <w:marBottom w:val="0"/>
      <w:divBdr>
        <w:top w:val="none" w:sz="0" w:space="0" w:color="auto"/>
        <w:left w:val="none" w:sz="0" w:space="0" w:color="auto"/>
        <w:bottom w:val="none" w:sz="0" w:space="0" w:color="auto"/>
        <w:right w:val="none" w:sz="0" w:space="0" w:color="auto"/>
      </w:divBdr>
    </w:div>
    <w:div w:id="28772911">
      <w:bodyDiv w:val="1"/>
      <w:marLeft w:val="0"/>
      <w:marRight w:val="0"/>
      <w:marTop w:val="0"/>
      <w:marBottom w:val="0"/>
      <w:divBdr>
        <w:top w:val="none" w:sz="0" w:space="0" w:color="auto"/>
        <w:left w:val="none" w:sz="0" w:space="0" w:color="auto"/>
        <w:bottom w:val="none" w:sz="0" w:space="0" w:color="auto"/>
        <w:right w:val="none" w:sz="0" w:space="0" w:color="auto"/>
      </w:divBdr>
    </w:div>
    <w:div w:id="48307302">
      <w:bodyDiv w:val="1"/>
      <w:marLeft w:val="0"/>
      <w:marRight w:val="0"/>
      <w:marTop w:val="0"/>
      <w:marBottom w:val="0"/>
      <w:divBdr>
        <w:top w:val="none" w:sz="0" w:space="0" w:color="auto"/>
        <w:left w:val="none" w:sz="0" w:space="0" w:color="auto"/>
        <w:bottom w:val="none" w:sz="0" w:space="0" w:color="auto"/>
        <w:right w:val="none" w:sz="0" w:space="0" w:color="auto"/>
      </w:divBdr>
    </w:div>
    <w:div w:id="74328885">
      <w:bodyDiv w:val="1"/>
      <w:marLeft w:val="0"/>
      <w:marRight w:val="0"/>
      <w:marTop w:val="0"/>
      <w:marBottom w:val="0"/>
      <w:divBdr>
        <w:top w:val="none" w:sz="0" w:space="0" w:color="auto"/>
        <w:left w:val="none" w:sz="0" w:space="0" w:color="auto"/>
        <w:bottom w:val="none" w:sz="0" w:space="0" w:color="auto"/>
        <w:right w:val="none" w:sz="0" w:space="0" w:color="auto"/>
      </w:divBdr>
    </w:div>
    <w:div w:id="91249186">
      <w:bodyDiv w:val="1"/>
      <w:marLeft w:val="0"/>
      <w:marRight w:val="0"/>
      <w:marTop w:val="0"/>
      <w:marBottom w:val="0"/>
      <w:divBdr>
        <w:top w:val="none" w:sz="0" w:space="0" w:color="auto"/>
        <w:left w:val="none" w:sz="0" w:space="0" w:color="auto"/>
        <w:bottom w:val="none" w:sz="0" w:space="0" w:color="auto"/>
        <w:right w:val="none" w:sz="0" w:space="0" w:color="auto"/>
      </w:divBdr>
    </w:div>
    <w:div w:id="99498758">
      <w:bodyDiv w:val="1"/>
      <w:marLeft w:val="0"/>
      <w:marRight w:val="0"/>
      <w:marTop w:val="0"/>
      <w:marBottom w:val="0"/>
      <w:divBdr>
        <w:top w:val="none" w:sz="0" w:space="0" w:color="auto"/>
        <w:left w:val="none" w:sz="0" w:space="0" w:color="auto"/>
        <w:bottom w:val="none" w:sz="0" w:space="0" w:color="auto"/>
        <w:right w:val="none" w:sz="0" w:space="0" w:color="auto"/>
      </w:divBdr>
    </w:div>
    <w:div w:id="115956404">
      <w:bodyDiv w:val="1"/>
      <w:marLeft w:val="0"/>
      <w:marRight w:val="0"/>
      <w:marTop w:val="0"/>
      <w:marBottom w:val="0"/>
      <w:divBdr>
        <w:top w:val="none" w:sz="0" w:space="0" w:color="auto"/>
        <w:left w:val="none" w:sz="0" w:space="0" w:color="auto"/>
        <w:bottom w:val="none" w:sz="0" w:space="0" w:color="auto"/>
        <w:right w:val="none" w:sz="0" w:space="0" w:color="auto"/>
      </w:divBdr>
    </w:div>
    <w:div w:id="127475102">
      <w:bodyDiv w:val="1"/>
      <w:marLeft w:val="0"/>
      <w:marRight w:val="0"/>
      <w:marTop w:val="0"/>
      <w:marBottom w:val="0"/>
      <w:divBdr>
        <w:top w:val="none" w:sz="0" w:space="0" w:color="auto"/>
        <w:left w:val="none" w:sz="0" w:space="0" w:color="auto"/>
        <w:bottom w:val="none" w:sz="0" w:space="0" w:color="auto"/>
        <w:right w:val="none" w:sz="0" w:space="0" w:color="auto"/>
      </w:divBdr>
    </w:div>
    <w:div w:id="136261870">
      <w:bodyDiv w:val="1"/>
      <w:marLeft w:val="0"/>
      <w:marRight w:val="0"/>
      <w:marTop w:val="0"/>
      <w:marBottom w:val="0"/>
      <w:divBdr>
        <w:top w:val="none" w:sz="0" w:space="0" w:color="auto"/>
        <w:left w:val="none" w:sz="0" w:space="0" w:color="auto"/>
        <w:bottom w:val="none" w:sz="0" w:space="0" w:color="auto"/>
        <w:right w:val="none" w:sz="0" w:space="0" w:color="auto"/>
      </w:divBdr>
    </w:div>
    <w:div w:id="159928147">
      <w:bodyDiv w:val="1"/>
      <w:marLeft w:val="0"/>
      <w:marRight w:val="0"/>
      <w:marTop w:val="0"/>
      <w:marBottom w:val="0"/>
      <w:divBdr>
        <w:top w:val="none" w:sz="0" w:space="0" w:color="auto"/>
        <w:left w:val="none" w:sz="0" w:space="0" w:color="auto"/>
        <w:bottom w:val="none" w:sz="0" w:space="0" w:color="auto"/>
        <w:right w:val="none" w:sz="0" w:space="0" w:color="auto"/>
      </w:divBdr>
    </w:div>
    <w:div w:id="161970298">
      <w:bodyDiv w:val="1"/>
      <w:marLeft w:val="0"/>
      <w:marRight w:val="0"/>
      <w:marTop w:val="0"/>
      <w:marBottom w:val="0"/>
      <w:divBdr>
        <w:top w:val="none" w:sz="0" w:space="0" w:color="auto"/>
        <w:left w:val="none" w:sz="0" w:space="0" w:color="auto"/>
        <w:bottom w:val="none" w:sz="0" w:space="0" w:color="auto"/>
        <w:right w:val="none" w:sz="0" w:space="0" w:color="auto"/>
      </w:divBdr>
    </w:div>
    <w:div w:id="170606242">
      <w:bodyDiv w:val="1"/>
      <w:marLeft w:val="0"/>
      <w:marRight w:val="0"/>
      <w:marTop w:val="0"/>
      <w:marBottom w:val="0"/>
      <w:divBdr>
        <w:top w:val="none" w:sz="0" w:space="0" w:color="auto"/>
        <w:left w:val="none" w:sz="0" w:space="0" w:color="auto"/>
        <w:bottom w:val="none" w:sz="0" w:space="0" w:color="auto"/>
        <w:right w:val="none" w:sz="0" w:space="0" w:color="auto"/>
      </w:divBdr>
    </w:div>
    <w:div w:id="174196123">
      <w:bodyDiv w:val="1"/>
      <w:marLeft w:val="0"/>
      <w:marRight w:val="0"/>
      <w:marTop w:val="0"/>
      <w:marBottom w:val="0"/>
      <w:divBdr>
        <w:top w:val="none" w:sz="0" w:space="0" w:color="auto"/>
        <w:left w:val="none" w:sz="0" w:space="0" w:color="auto"/>
        <w:bottom w:val="none" w:sz="0" w:space="0" w:color="auto"/>
        <w:right w:val="none" w:sz="0" w:space="0" w:color="auto"/>
      </w:divBdr>
    </w:div>
    <w:div w:id="177354075">
      <w:bodyDiv w:val="1"/>
      <w:marLeft w:val="0"/>
      <w:marRight w:val="0"/>
      <w:marTop w:val="0"/>
      <w:marBottom w:val="0"/>
      <w:divBdr>
        <w:top w:val="none" w:sz="0" w:space="0" w:color="auto"/>
        <w:left w:val="none" w:sz="0" w:space="0" w:color="auto"/>
        <w:bottom w:val="none" w:sz="0" w:space="0" w:color="auto"/>
        <w:right w:val="none" w:sz="0" w:space="0" w:color="auto"/>
      </w:divBdr>
      <w:divsChild>
        <w:div w:id="1517424096">
          <w:marLeft w:val="0"/>
          <w:marRight w:val="0"/>
          <w:marTop w:val="0"/>
          <w:marBottom w:val="0"/>
          <w:divBdr>
            <w:top w:val="none" w:sz="0" w:space="0" w:color="auto"/>
            <w:left w:val="none" w:sz="0" w:space="0" w:color="auto"/>
            <w:bottom w:val="none" w:sz="0" w:space="0" w:color="auto"/>
            <w:right w:val="none" w:sz="0" w:space="0" w:color="auto"/>
          </w:divBdr>
        </w:div>
      </w:divsChild>
    </w:div>
    <w:div w:id="194319374">
      <w:bodyDiv w:val="1"/>
      <w:marLeft w:val="0"/>
      <w:marRight w:val="0"/>
      <w:marTop w:val="0"/>
      <w:marBottom w:val="0"/>
      <w:divBdr>
        <w:top w:val="none" w:sz="0" w:space="0" w:color="auto"/>
        <w:left w:val="none" w:sz="0" w:space="0" w:color="auto"/>
        <w:bottom w:val="none" w:sz="0" w:space="0" w:color="auto"/>
        <w:right w:val="none" w:sz="0" w:space="0" w:color="auto"/>
      </w:divBdr>
    </w:div>
    <w:div w:id="217254205">
      <w:bodyDiv w:val="1"/>
      <w:marLeft w:val="0"/>
      <w:marRight w:val="0"/>
      <w:marTop w:val="0"/>
      <w:marBottom w:val="0"/>
      <w:divBdr>
        <w:top w:val="none" w:sz="0" w:space="0" w:color="auto"/>
        <w:left w:val="none" w:sz="0" w:space="0" w:color="auto"/>
        <w:bottom w:val="none" w:sz="0" w:space="0" w:color="auto"/>
        <w:right w:val="none" w:sz="0" w:space="0" w:color="auto"/>
      </w:divBdr>
    </w:div>
    <w:div w:id="224223312">
      <w:bodyDiv w:val="1"/>
      <w:marLeft w:val="0"/>
      <w:marRight w:val="0"/>
      <w:marTop w:val="0"/>
      <w:marBottom w:val="0"/>
      <w:divBdr>
        <w:top w:val="none" w:sz="0" w:space="0" w:color="auto"/>
        <w:left w:val="none" w:sz="0" w:space="0" w:color="auto"/>
        <w:bottom w:val="none" w:sz="0" w:space="0" w:color="auto"/>
        <w:right w:val="none" w:sz="0" w:space="0" w:color="auto"/>
      </w:divBdr>
    </w:div>
    <w:div w:id="229921870">
      <w:bodyDiv w:val="1"/>
      <w:marLeft w:val="0"/>
      <w:marRight w:val="0"/>
      <w:marTop w:val="0"/>
      <w:marBottom w:val="0"/>
      <w:divBdr>
        <w:top w:val="none" w:sz="0" w:space="0" w:color="auto"/>
        <w:left w:val="none" w:sz="0" w:space="0" w:color="auto"/>
        <w:bottom w:val="none" w:sz="0" w:space="0" w:color="auto"/>
        <w:right w:val="none" w:sz="0" w:space="0" w:color="auto"/>
      </w:divBdr>
    </w:div>
    <w:div w:id="246698257">
      <w:bodyDiv w:val="1"/>
      <w:marLeft w:val="0"/>
      <w:marRight w:val="0"/>
      <w:marTop w:val="0"/>
      <w:marBottom w:val="0"/>
      <w:divBdr>
        <w:top w:val="none" w:sz="0" w:space="0" w:color="auto"/>
        <w:left w:val="none" w:sz="0" w:space="0" w:color="auto"/>
        <w:bottom w:val="none" w:sz="0" w:space="0" w:color="auto"/>
        <w:right w:val="none" w:sz="0" w:space="0" w:color="auto"/>
      </w:divBdr>
    </w:div>
    <w:div w:id="248470947">
      <w:bodyDiv w:val="1"/>
      <w:marLeft w:val="0"/>
      <w:marRight w:val="0"/>
      <w:marTop w:val="0"/>
      <w:marBottom w:val="0"/>
      <w:divBdr>
        <w:top w:val="none" w:sz="0" w:space="0" w:color="auto"/>
        <w:left w:val="none" w:sz="0" w:space="0" w:color="auto"/>
        <w:bottom w:val="none" w:sz="0" w:space="0" w:color="auto"/>
        <w:right w:val="none" w:sz="0" w:space="0" w:color="auto"/>
      </w:divBdr>
    </w:div>
    <w:div w:id="248543178">
      <w:bodyDiv w:val="1"/>
      <w:marLeft w:val="0"/>
      <w:marRight w:val="0"/>
      <w:marTop w:val="0"/>
      <w:marBottom w:val="0"/>
      <w:divBdr>
        <w:top w:val="none" w:sz="0" w:space="0" w:color="auto"/>
        <w:left w:val="none" w:sz="0" w:space="0" w:color="auto"/>
        <w:bottom w:val="none" w:sz="0" w:space="0" w:color="auto"/>
        <w:right w:val="none" w:sz="0" w:space="0" w:color="auto"/>
      </w:divBdr>
    </w:div>
    <w:div w:id="254629932">
      <w:bodyDiv w:val="1"/>
      <w:marLeft w:val="0"/>
      <w:marRight w:val="0"/>
      <w:marTop w:val="0"/>
      <w:marBottom w:val="0"/>
      <w:divBdr>
        <w:top w:val="none" w:sz="0" w:space="0" w:color="auto"/>
        <w:left w:val="none" w:sz="0" w:space="0" w:color="auto"/>
        <w:bottom w:val="none" w:sz="0" w:space="0" w:color="auto"/>
        <w:right w:val="none" w:sz="0" w:space="0" w:color="auto"/>
      </w:divBdr>
    </w:div>
    <w:div w:id="255676550">
      <w:bodyDiv w:val="1"/>
      <w:marLeft w:val="0"/>
      <w:marRight w:val="0"/>
      <w:marTop w:val="0"/>
      <w:marBottom w:val="0"/>
      <w:divBdr>
        <w:top w:val="none" w:sz="0" w:space="0" w:color="auto"/>
        <w:left w:val="none" w:sz="0" w:space="0" w:color="auto"/>
        <w:bottom w:val="none" w:sz="0" w:space="0" w:color="auto"/>
        <w:right w:val="none" w:sz="0" w:space="0" w:color="auto"/>
      </w:divBdr>
    </w:div>
    <w:div w:id="258146482">
      <w:bodyDiv w:val="1"/>
      <w:marLeft w:val="0"/>
      <w:marRight w:val="0"/>
      <w:marTop w:val="0"/>
      <w:marBottom w:val="0"/>
      <w:divBdr>
        <w:top w:val="none" w:sz="0" w:space="0" w:color="auto"/>
        <w:left w:val="none" w:sz="0" w:space="0" w:color="auto"/>
        <w:bottom w:val="none" w:sz="0" w:space="0" w:color="auto"/>
        <w:right w:val="none" w:sz="0" w:space="0" w:color="auto"/>
      </w:divBdr>
    </w:div>
    <w:div w:id="276300770">
      <w:bodyDiv w:val="1"/>
      <w:marLeft w:val="0"/>
      <w:marRight w:val="0"/>
      <w:marTop w:val="0"/>
      <w:marBottom w:val="0"/>
      <w:divBdr>
        <w:top w:val="none" w:sz="0" w:space="0" w:color="auto"/>
        <w:left w:val="none" w:sz="0" w:space="0" w:color="auto"/>
        <w:bottom w:val="none" w:sz="0" w:space="0" w:color="auto"/>
        <w:right w:val="none" w:sz="0" w:space="0" w:color="auto"/>
      </w:divBdr>
    </w:div>
    <w:div w:id="314073524">
      <w:bodyDiv w:val="1"/>
      <w:marLeft w:val="0"/>
      <w:marRight w:val="0"/>
      <w:marTop w:val="0"/>
      <w:marBottom w:val="0"/>
      <w:divBdr>
        <w:top w:val="none" w:sz="0" w:space="0" w:color="auto"/>
        <w:left w:val="none" w:sz="0" w:space="0" w:color="auto"/>
        <w:bottom w:val="none" w:sz="0" w:space="0" w:color="auto"/>
        <w:right w:val="none" w:sz="0" w:space="0" w:color="auto"/>
      </w:divBdr>
    </w:div>
    <w:div w:id="324015569">
      <w:bodyDiv w:val="1"/>
      <w:marLeft w:val="0"/>
      <w:marRight w:val="0"/>
      <w:marTop w:val="0"/>
      <w:marBottom w:val="0"/>
      <w:divBdr>
        <w:top w:val="none" w:sz="0" w:space="0" w:color="auto"/>
        <w:left w:val="none" w:sz="0" w:space="0" w:color="auto"/>
        <w:bottom w:val="none" w:sz="0" w:space="0" w:color="auto"/>
        <w:right w:val="none" w:sz="0" w:space="0" w:color="auto"/>
      </w:divBdr>
      <w:divsChild>
        <w:div w:id="771047219">
          <w:marLeft w:val="0"/>
          <w:marRight w:val="0"/>
          <w:marTop w:val="60"/>
          <w:marBottom w:val="60"/>
          <w:divBdr>
            <w:top w:val="none" w:sz="0" w:space="0" w:color="auto"/>
            <w:left w:val="none" w:sz="0" w:space="0" w:color="auto"/>
            <w:bottom w:val="none" w:sz="0" w:space="0" w:color="auto"/>
            <w:right w:val="none" w:sz="0" w:space="0" w:color="auto"/>
          </w:divBdr>
        </w:div>
      </w:divsChild>
    </w:div>
    <w:div w:id="350299733">
      <w:bodyDiv w:val="1"/>
      <w:marLeft w:val="0"/>
      <w:marRight w:val="0"/>
      <w:marTop w:val="0"/>
      <w:marBottom w:val="0"/>
      <w:divBdr>
        <w:top w:val="none" w:sz="0" w:space="0" w:color="auto"/>
        <w:left w:val="none" w:sz="0" w:space="0" w:color="auto"/>
        <w:bottom w:val="none" w:sz="0" w:space="0" w:color="auto"/>
        <w:right w:val="none" w:sz="0" w:space="0" w:color="auto"/>
      </w:divBdr>
    </w:div>
    <w:div w:id="356851131">
      <w:bodyDiv w:val="1"/>
      <w:marLeft w:val="0"/>
      <w:marRight w:val="0"/>
      <w:marTop w:val="0"/>
      <w:marBottom w:val="0"/>
      <w:divBdr>
        <w:top w:val="none" w:sz="0" w:space="0" w:color="auto"/>
        <w:left w:val="none" w:sz="0" w:space="0" w:color="auto"/>
        <w:bottom w:val="none" w:sz="0" w:space="0" w:color="auto"/>
        <w:right w:val="none" w:sz="0" w:space="0" w:color="auto"/>
      </w:divBdr>
    </w:div>
    <w:div w:id="374432352">
      <w:bodyDiv w:val="1"/>
      <w:marLeft w:val="0"/>
      <w:marRight w:val="0"/>
      <w:marTop w:val="0"/>
      <w:marBottom w:val="0"/>
      <w:divBdr>
        <w:top w:val="none" w:sz="0" w:space="0" w:color="auto"/>
        <w:left w:val="none" w:sz="0" w:space="0" w:color="auto"/>
        <w:bottom w:val="none" w:sz="0" w:space="0" w:color="auto"/>
        <w:right w:val="none" w:sz="0" w:space="0" w:color="auto"/>
      </w:divBdr>
    </w:div>
    <w:div w:id="381947418">
      <w:bodyDiv w:val="1"/>
      <w:marLeft w:val="0"/>
      <w:marRight w:val="0"/>
      <w:marTop w:val="0"/>
      <w:marBottom w:val="0"/>
      <w:divBdr>
        <w:top w:val="none" w:sz="0" w:space="0" w:color="auto"/>
        <w:left w:val="none" w:sz="0" w:space="0" w:color="auto"/>
        <w:bottom w:val="none" w:sz="0" w:space="0" w:color="auto"/>
        <w:right w:val="none" w:sz="0" w:space="0" w:color="auto"/>
      </w:divBdr>
    </w:div>
    <w:div w:id="383451919">
      <w:bodyDiv w:val="1"/>
      <w:marLeft w:val="0"/>
      <w:marRight w:val="0"/>
      <w:marTop w:val="0"/>
      <w:marBottom w:val="0"/>
      <w:divBdr>
        <w:top w:val="none" w:sz="0" w:space="0" w:color="auto"/>
        <w:left w:val="none" w:sz="0" w:space="0" w:color="auto"/>
        <w:bottom w:val="none" w:sz="0" w:space="0" w:color="auto"/>
        <w:right w:val="none" w:sz="0" w:space="0" w:color="auto"/>
      </w:divBdr>
    </w:div>
    <w:div w:id="387874547">
      <w:bodyDiv w:val="1"/>
      <w:marLeft w:val="0"/>
      <w:marRight w:val="0"/>
      <w:marTop w:val="0"/>
      <w:marBottom w:val="0"/>
      <w:divBdr>
        <w:top w:val="none" w:sz="0" w:space="0" w:color="auto"/>
        <w:left w:val="none" w:sz="0" w:space="0" w:color="auto"/>
        <w:bottom w:val="none" w:sz="0" w:space="0" w:color="auto"/>
        <w:right w:val="none" w:sz="0" w:space="0" w:color="auto"/>
      </w:divBdr>
    </w:div>
    <w:div w:id="394013560">
      <w:bodyDiv w:val="1"/>
      <w:marLeft w:val="0"/>
      <w:marRight w:val="0"/>
      <w:marTop w:val="0"/>
      <w:marBottom w:val="0"/>
      <w:divBdr>
        <w:top w:val="none" w:sz="0" w:space="0" w:color="auto"/>
        <w:left w:val="none" w:sz="0" w:space="0" w:color="auto"/>
        <w:bottom w:val="none" w:sz="0" w:space="0" w:color="auto"/>
        <w:right w:val="none" w:sz="0" w:space="0" w:color="auto"/>
      </w:divBdr>
    </w:div>
    <w:div w:id="424302576">
      <w:bodyDiv w:val="1"/>
      <w:marLeft w:val="0"/>
      <w:marRight w:val="0"/>
      <w:marTop w:val="0"/>
      <w:marBottom w:val="0"/>
      <w:divBdr>
        <w:top w:val="none" w:sz="0" w:space="0" w:color="auto"/>
        <w:left w:val="none" w:sz="0" w:space="0" w:color="auto"/>
        <w:bottom w:val="none" w:sz="0" w:space="0" w:color="auto"/>
        <w:right w:val="none" w:sz="0" w:space="0" w:color="auto"/>
      </w:divBdr>
    </w:div>
    <w:div w:id="442653997">
      <w:bodyDiv w:val="1"/>
      <w:marLeft w:val="0"/>
      <w:marRight w:val="0"/>
      <w:marTop w:val="0"/>
      <w:marBottom w:val="0"/>
      <w:divBdr>
        <w:top w:val="none" w:sz="0" w:space="0" w:color="auto"/>
        <w:left w:val="none" w:sz="0" w:space="0" w:color="auto"/>
        <w:bottom w:val="none" w:sz="0" w:space="0" w:color="auto"/>
        <w:right w:val="none" w:sz="0" w:space="0" w:color="auto"/>
      </w:divBdr>
    </w:div>
    <w:div w:id="449280921">
      <w:bodyDiv w:val="1"/>
      <w:marLeft w:val="0"/>
      <w:marRight w:val="0"/>
      <w:marTop w:val="0"/>
      <w:marBottom w:val="0"/>
      <w:divBdr>
        <w:top w:val="none" w:sz="0" w:space="0" w:color="auto"/>
        <w:left w:val="none" w:sz="0" w:space="0" w:color="auto"/>
        <w:bottom w:val="none" w:sz="0" w:space="0" w:color="auto"/>
        <w:right w:val="none" w:sz="0" w:space="0" w:color="auto"/>
      </w:divBdr>
    </w:div>
    <w:div w:id="451244513">
      <w:bodyDiv w:val="1"/>
      <w:marLeft w:val="0"/>
      <w:marRight w:val="0"/>
      <w:marTop w:val="0"/>
      <w:marBottom w:val="0"/>
      <w:divBdr>
        <w:top w:val="none" w:sz="0" w:space="0" w:color="auto"/>
        <w:left w:val="none" w:sz="0" w:space="0" w:color="auto"/>
        <w:bottom w:val="none" w:sz="0" w:space="0" w:color="auto"/>
        <w:right w:val="none" w:sz="0" w:space="0" w:color="auto"/>
      </w:divBdr>
    </w:div>
    <w:div w:id="451941787">
      <w:bodyDiv w:val="1"/>
      <w:marLeft w:val="0"/>
      <w:marRight w:val="0"/>
      <w:marTop w:val="0"/>
      <w:marBottom w:val="0"/>
      <w:divBdr>
        <w:top w:val="none" w:sz="0" w:space="0" w:color="auto"/>
        <w:left w:val="none" w:sz="0" w:space="0" w:color="auto"/>
        <w:bottom w:val="none" w:sz="0" w:space="0" w:color="auto"/>
        <w:right w:val="none" w:sz="0" w:space="0" w:color="auto"/>
      </w:divBdr>
    </w:div>
    <w:div w:id="473716806">
      <w:bodyDiv w:val="1"/>
      <w:marLeft w:val="0"/>
      <w:marRight w:val="0"/>
      <w:marTop w:val="0"/>
      <w:marBottom w:val="0"/>
      <w:divBdr>
        <w:top w:val="none" w:sz="0" w:space="0" w:color="auto"/>
        <w:left w:val="none" w:sz="0" w:space="0" w:color="auto"/>
        <w:bottom w:val="none" w:sz="0" w:space="0" w:color="auto"/>
        <w:right w:val="none" w:sz="0" w:space="0" w:color="auto"/>
      </w:divBdr>
    </w:div>
    <w:div w:id="487214435">
      <w:bodyDiv w:val="1"/>
      <w:marLeft w:val="0"/>
      <w:marRight w:val="0"/>
      <w:marTop w:val="0"/>
      <w:marBottom w:val="0"/>
      <w:divBdr>
        <w:top w:val="none" w:sz="0" w:space="0" w:color="auto"/>
        <w:left w:val="none" w:sz="0" w:space="0" w:color="auto"/>
        <w:bottom w:val="none" w:sz="0" w:space="0" w:color="auto"/>
        <w:right w:val="none" w:sz="0" w:space="0" w:color="auto"/>
      </w:divBdr>
    </w:div>
    <w:div w:id="488978624">
      <w:bodyDiv w:val="1"/>
      <w:marLeft w:val="0"/>
      <w:marRight w:val="0"/>
      <w:marTop w:val="0"/>
      <w:marBottom w:val="0"/>
      <w:divBdr>
        <w:top w:val="none" w:sz="0" w:space="0" w:color="auto"/>
        <w:left w:val="none" w:sz="0" w:space="0" w:color="auto"/>
        <w:bottom w:val="none" w:sz="0" w:space="0" w:color="auto"/>
        <w:right w:val="none" w:sz="0" w:space="0" w:color="auto"/>
      </w:divBdr>
    </w:div>
    <w:div w:id="519397724">
      <w:bodyDiv w:val="1"/>
      <w:marLeft w:val="0"/>
      <w:marRight w:val="0"/>
      <w:marTop w:val="0"/>
      <w:marBottom w:val="0"/>
      <w:divBdr>
        <w:top w:val="none" w:sz="0" w:space="0" w:color="auto"/>
        <w:left w:val="none" w:sz="0" w:space="0" w:color="auto"/>
        <w:bottom w:val="none" w:sz="0" w:space="0" w:color="auto"/>
        <w:right w:val="none" w:sz="0" w:space="0" w:color="auto"/>
      </w:divBdr>
    </w:div>
    <w:div w:id="525602562">
      <w:bodyDiv w:val="1"/>
      <w:marLeft w:val="0"/>
      <w:marRight w:val="0"/>
      <w:marTop w:val="0"/>
      <w:marBottom w:val="0"/>
      <w:divBdr>
        <w:top w:val="none" w:sz="0" w:space="0" w:color="auto"/>
        <w:left w:val="none" w:sz="0" w:space="0" w:color="auto"/>
        <w:bottom w:val="none" w:sz="0" w:space="0" w:color="auto"/>
        <w:right w:val="none" w:sz="0" w:space="0" w:color="auto"/>
      </w:divBdr>
    </w:div>
    <w:div w:id="530532148">
      <w:bodyDiv w:val="1"/>
      <w:marLeft w:val="0"/>
      <w:marRight w:val="0"/>
      <w:marTop w:val="0"/>
      <w:marBottom w:val="0"/>
      <w:divBdr>
        <w:top w:val="none" w:sz="0" w:space="0" w:color="auto"/>
        <w:left w:val="none" w:sz="0" w:space="0" w:color="auto"/>
        <w:bottom w:val="none" w:sz="0" w:space="0" w:color="auto"/>
        <w:right w:val="none" w:sz="0" w:space="0" w:color="auto"/>
      </w:divBdr>
      <w:divsChild>
        <w:div w:id="1770155772">
          <w:marLeft w:val="0"/>
          <w:marRight w:val="0"/>
          <w:marTop w:val="0"/>
          <w:marBottom w:val="0"/>
          <w:divBdr>
            <w:top w:val="none" w:sz="0" w:space="0" w:color="auto"/>
            <w:left w:val="none" w:sz="0" w:space="0" w:color="auto"/>
            <w:bottom w:val="none" w:sz="0" w:space="0" w:color="auto"/>
            <w:right w:val="none" w:sz="0" w:space="0" w:color="auto"/>
          </w:divBdr>
        </w:div>
      </w:divsChild>
    </w:div>
    <w:div w:id="540674207">
      <w:bodyDiv w:val="1"/>
      <w:marLeft w:val="0"/>
      <w:marRight w:val="0"/>
      <w:marTop w:val="0"/>
      <w:marBottom w:val="0"/>
      <w:divBdr>
        <w:top w:val="none" w:sz="0" w:space="0" w:color="auto"/>
        <w:left w:val="none" w:sz="0" w:space="0" w:color="auto"/>
        <w:bottom w:val="none" w:sz="0" w:space="0" w:color="auto"/>
        <w:right w:val="none" w:sz="0" w:space="0" w:color="auto"/>
      </w:divBdr>
    </w:div>
    <w:div w:id="558130808">
      <w:bodyDiv w:val="1"/>
      <w:marLeft w:val="0"/>
      <w:marRight w:val="0"/>
      <w:marTop w:val="0"/>
      <w:marBottom w:val="0"/>
      <w:divBdr>
        <w:top w:val="none" w:sz="0" w:space="0" w:color="auto"/>
        <w:left w:val="none" w:sz="0" w:space="0" w:color="auto"/>
        <w:bottom w:val="none" w:sz="0" w:space="0" w:color="auto"/>
        <w:right w:val="none" w:sz="0" w:space="0" w:color="auto"/>
      </w:divBdr>
    </w:div>
    <w:div w:id="570434071">
      <w:bodyDiv w:val="1"/>
      <w:marLeft w:val="0"/>
      <w:marRight w:val="0"/>
      <w:marTop w:val="0"/>
      <w:marBottom w:val="0"/>
      <w:divBdr>
        <w:top w:val="none" w:sz="0" w:space="0" w:color="auto"/>
        <w:left w:val="none" w:sz="0" w:space="0" w:color="auto"/>
        <w:bottom w:val="none" w:sz="0" w:space="0" w:color="auto"/>
        <w:right w:val="none" w:sz="0" w:space="0" w:color="auto"/>
      </w:divBdr>
    </w:div>
    <w:div w:id="591354696">
      <w:bodyDiv w:val="1"/>
      <w:marLeft w:val="0"/>
      <w:marRight w:val="0"/>
      <w:marTop w:val="0"/>
      <w:marBottom w:val="0"/>
      <w:divBdr>
        <w:top w:val="none" w:sz="0" w:space="0" w:color="auto"/>
        <w:left w:val="none" w:sz="0" w:space="0" w:color="auto"/>
        <w:bottom w:val="none" w:sz="0" w:space="0" w:color="auto"/>
        <w:right w:val="none" w:sz="0" w:space="0" w:color="auto"/>
      </w:divBdr>
    </w:div>
    <w:div w:id="630940638">
      <w:bodyDiv w:val="1"/>
      <w:marLeft w:val="0"/>
      <w:marRight w:val="0"/>
      <w:marTop w:val="0"/>
      <w:marBottom w:val="0"/>
      <w:divBdr>
        <w:top w:val="none" w:sz="0" w:space="0" w:color="auto"/>
        <w:left w:val="none" w:sz="0" w:space="0" w:color="auto"/>
        <w:bottom w:val="none" w:sz="0" w:space="0" w:color="auto"/>
        <w:right w:val="none" w:sz="0" w:space="0" w:color="auto"/>
      </w:divBdr>
    </w:div>
    <w:div w:id="631986768">
      <w:bodyDiv w:val="1"/>
      <w:marLeft w:val="0"/>
      <w:marRight w:val="0"/>
      <w:marTop w:val="0"/>
      <w:marBottom w:val="0"/>
      <w:divBdr>
        <w:top w:val="none" w:sz="0" w:space="0" w:color="auto"/>
        <w:left w:val="none" w:sz="0" w:space="0" w:color="auto"/>
        <w:bottom w:val="none" w:sz="0" w:space="0" w:color="auto"/>
        <w:right w:val="none" w:sz="0" w:space="0" w:color="auto"/>
      </w:divBdr>
    </w:div>
    <w:div w:id="635137526">
      <w:bodyDiv w:val="1"/>
      <w:marLeft w:val="0"/>
      <w:marRight w:val="0"/>
      <w:marTop w:val="0"/>
      <w:marBottom w:val="0"/>
      <w:divBdr>
        <w:top w:val="none" w:sz="0" w:space="0" w:color="auto"/>
        <w:left w:val="none" w:sz="0" w:space="0" w:color="auto"/>
        <w:bottom w:val="none" w:sz="0" w:space="0" w:color="auto"/>
        <w:right w:val="none" w:sz="0" w:space="0" w:color="auto"/>
      </w:divBdr>
    </w:div>
    <w:div w:id="640693928">
      <w:bodyDiv w:val="1"/>
      <w:marLeft w:val="0"/>
      <w:marRight w:val="0"/>
      <w:marTop w:val="0"/>
      <w:marBottom w:val="0"/>
      <w:divBdr>
        <w:top w:val="none" w:sz="0" w:space="0" w:color="auto"/>
        <w:left w:val="none" w:sz="0" w:space="0" w:color="auto"/>
        <w:bottom w:val="none" w:sz="0" w:space="0" w:color="auto"/>
        <w:right w:val="none" w:sz="0" w:space="0" w:color="auto"/>
      </w:divBdr>
    </w:div>
    <w:div w:id="656805634">
      <w:bodyDiv w:val="1"/>
      <w:marLeft w:val="0"/>
      <w:marRight w:val="0"/>
      <w:marTop w:val="0"/>
      <w:marBottom w:val="0"/>
      <w:divBdr>
        <w:top w:val="none" w:sz="0" w:space="0" w:color="auto"/>
        <w:left w:val="none" w:sz="0" w:space="0" w:color="auto"/>
        <w:bottom w:val="none" w:sz="0" w:space="0" w:color="auto"/>
        <w:right w:val="none" w:sz="0" w:space="0" w:color="auto"/>
      </w:divBdr>
    </w:div>
    <w:div w:id="674651699">
      <w:bodyDiv w:val="1"/>
      <w:marLeft w:val="0"/>
      <w:marRight w:val="0"/>
      <w:marTop w:val="0"/>
      <w:marBottom w:val="0"/>
      <w:divBdr>
        <w:top w:val="none" w:sz="0" w:space="0" w:color="auto"/>
        <w:left w:val="none" w:sz="0" w:space="0" w:color="auto"/>
        <w:bottom w:val="none" w:sz="0" w:space="0" w:color="auto"/>
        <w:right w:val="none" w:sz="0" w:space="0" w:color="auto"/>
      </w:divBdr>
    </w:div>
    <w:div w:id="682509885">
      <w:bodyDiv w:val="1"/>
      <w:marLeft w:val="0"/>
      <w:marRight w:val="0"/>
      <w:marTop w:val="0"/>
      <w:marBottom w:val="0"/>
      <w:divBdr>
        <w:top w:val="none" w:sz="0" w:space="0" w:color="auto"/>
        <w:left w:val="none" w:sz="0" w:space="0" w:color="auto"/>
        <w:bottom w:val="none" w:sz="0" w:space="0" w:color="auto"/>
        <w:right w:val="none" w:sz="0" w:space="0" w:color="auto"/>
      </w:divBdr>
    </w:div>
    <w:div w:id="682783766">
      <w:bodyDiv w:val="1"/>
      <w:marLeft w:val="0"/>
      <w:marRight w:val="0"/>
      <w:marTop w:val="0"/>
      <w:marBottom w:val="0"/>
      <w:divBdr>
        <w:top w:val="none" w:sz="0" w:space="0" w:color="auto"/>
        <w:left w:val="none" w:sz="0" w:space="0" w:color="auto"/>
        <w:bottom w:val="none" w:sz="0" w:space="0" w:color="auto"/>
        <w:right w:val="none" w:sz="0" w:space="0" w:color="auto"/>
      </w:divBdr>
    </w:div>
    <w:div w:id="687100425">
      <w:bodyDiv w:val="1"/>
      <w:marLeft w:val="0"/>
      <w:marRight w:val="0"/>
      <w:marTop w:val="0"/>
      <w:marBottom w:val="0"/>
      <w:divBdr>
        <w:top w:val="none" w:sz="0" w:space="0" w:color="auto"/>
        <w:left w:val="none" w:sz="0" w:space="0" w:color="auto"/>
        <w:bottom w:val="none" w:sz="0" w:space="0" w:color="auto"/>
        <w:right w:val="none" w:sz="0" w:space="0" w:color="auto"/>
      </w:divBdr>
    </w:div>
    <w:div w:id="688877927">
      <w:bodyDiv w:val="1"/>
      <w:marLeft w:val="0"/>
      <w:marRight w:val="0"/>
      <w:marTop w:val="0"/>
      <w:marBottom w:val="0"/>
      <w:divBdr>
        <w:top w:val="none" w:sz="0" w:space="0" w:color="auto"/>
        <w:left w:val="none" w:sz="0" w:space="0" w:color="auto"/>
        <w:bottom w:val="none" w:sz="0" w:space="0" w:color="auto"/>
        <w:right w:val="none" w:sz="0" w:space="0" w:color="auto"/>
      </w:divBdr>
    </w:div>
    <w:div w:id="699010471">
      <w:bodyDiv w:val="1"/>
      <w:marLeft w:val="0"/>
      <w:marRight w:val="0"/>
      <w:marTop w:val="0"/>
      <w:marBottom w:val="0"/>
      <w:divBdr>
        <w:top w:val="none" w:sz="0" w:space="0" w:color="auto"/>
        <w:left w:val="none" w:sz="0" w:space="0" w:color="auto"/>
        <w:bottom w:val="none" w:sz="0" w:space="0" w:color="auto"/>
        <w:right w:val="none" w:sz="0" w:space="0" w:color="auto"/>
      </w:divBdr>
    </w:div>
    <w:div w:id="702944938">
      <w:bodyDiv w:val="1"/>
      <w:marLeft w:val="0"/>
      <w:marRight w:val="0"/>
      <w:marTop w:val="0"/>
      <w:marBottom w:val="0"/>
      <w:divBdr>
        <w:top w:val="none" w:sz="0" w:space="0" w:color="auto"/>
        <w:left w:val="none" w:sz="0" w:space="0" w:color="auto"/>
        <w:bottom w:val="none" w:sz="0" w:space="0" w:color="auto"/>
        <w:right w:val="none" w:sz="0" w:space="0" w:color="auto"/>
      </w:divBdr>
    </w:div>
    <w:div w:id="711929665">
      <w:bodyDiv w:val="1"/>
      <w:marLeft w:val="0"/>
      <w:marRight w:val="0"/>
      <w:marTop w:val="0"/>
      <w:marBottom w:val="0"/>
      <w:divBdr>
        <w:top w:val="none" w:sz="0" w:space="0" w:color="auto"/>
        <w:left w:val="none" w:sz="0" w:space="0" w:color="auto"/>
        <w:bottom w:val="none" w:sz="0" w:space="0" w:color="auto"/>
        <w:right w:val="none" w:sz="0" w:space="0" w:color="auto"/>
      </w:divBdr>
    </w:div>
    <w:div w:id="723453974">
      <w:bodyDiv w:val="1"/>
      <w:marLeft w:val="0"/>
      <w:marRight w:val="0"/>
      <w:marTop w:val="0"/>
      <w:marBottom w:val="0"/>
      <w:divBdr>
        <w:top w:val="none" w:sz="0" w:space="0" w:color="auto"/>
        <w:left w:val="none" w:sz="0" w:space="0" w:color="auto"/>
        <w:bottom w:val="none" w:sz="0" w:space="0" w:color="auto"/>
        <w:right w:val="none" w:sz="0" w:space="0" w:color="auto"/>
      </w:divBdr>
    </w:div>
    <w:div w:id="740323567">
      <w:bodyDiv w:val="1"/>
      <w:marLeft w:val="0"/>
      <w:marRight w:val="0"/>
      <w:marTop w:val="0"/>
      <w:marBottom w:val="0"/>
      <w:divBdr>
        <w:top w:val="none" w:sz="0" w:space="0" w:color="auto"/>
        <w:left w:val="none" w:sz="0" w:space="0" w:color="auto"/>
        <w:bottom w:val="none" w:sz="0" w:space="0" w:color="auto"/>
        <w:right w:val="none" w:sz="0" w:space="0" w:color="auto"/>
      </w:divBdr>
    </w:div>
    <w:div w:id="744491547">
      <w:bodyDiv w:val="1"/>
      <w:marLeft w:val="0"/>
      <w:marRight w:val="0"/>
      <w:marTop w:val="0"/>
      <w:marBottom w:val="0"/>
      <w:divBdr>
        <w:top w:val="none" w:sz="0" w:space="0" w:color="auto"/>
        <w:left w:val="none" w:sz="0" w:space="0" w:color="auto"/>
        <w:bottom w:val="none" w:sz="0" w:space="0" w:color="auto"/>
        <w:right w:val="none" w:sz="0" w:space="0" w:color="auto"/>
      </w:divBdr>
    </w:div>
    <w:div w:id="752162132">
      <w:bodyDiv w:val="1"/>
      <w:marLeft w:val="0"/>
      <w:marRight w:val="0"/>
      <w:marTop w:val="0"/>
      <w:marBottom w:val="0"/>
      <w:divBdr>
        <w:top w:val="none" w:sz="0" w:space="0" w:color="auto"/>
        <w:left w:val="none" w:sz="0" w:space="0" w:color="auto"/>
        <w:bottom w:val="none" w:sz="0" w:space="0" w:color="auto"/>
        <w:right w:val="none" w:sz="0" w:space="0" w:color="auto"/>
      </w:divBdr>
    </w:div>
    <w:div w:id="776756574">
      <w:bodyDiv w:val="1"/>
      <w:marLeft w:val="0"/>
      <w:marRight w:val="0"/>
      <w:marTop w:val="0"/>
      <w:marBottom w:val="0"/>
      <w:divBdr>
        <w:top w:val="none" w:sz="0" w:space="0" w:color="auto"/>
        <w:left w:val="none" w:sz="0" w:space="0" w:color="auto"/>
        <w:bottom w:val="none" w:sz="0" w:space="0" w:color="auto"/>
        <w:right w:val="none" w:sz="0" w:space="0" w:color="auto"/>
      </w:divBdr>
    </w:div>
    <w:div w:id="800079158">
      <w:bodyDiv w:val="1"/>
      <w:marLeft w:val="0"/>
      <w:marRight w:val="0"/>
      <w:marTop w:val="0"/>
      <w:marBottom w:val="0"/>
      <w:divBdr>
        <w:top w:val="none" w:sz="0" w:space="0" w:color="auto"/>
        <w:left w:val="none" w:sz="0" w:space="0" w:color="auto"/>
        <w:bottom w:val="none" w:sz="0" w:space="0" w:color="auto"/>
        <w:right w:val="none" w:sz="0" w:space="0" w:color="auto"/>
      </w:divBdr>
    </w:div>
    <w:div w:id="807360779">
      <w:bodyDiv w:val="1"/>
      <w:marLeft w:val="0"/>
      <w:marRight w:val="0"/>
      <w:marTop w:val="0"/>
      <w:marBottom w:val="0"/>
      <w:divBdr>
        <w:top w:val="none" w:sz="0" w:space="0" w:color="auto"/>
        <w:left w:val="none" w:sz="0" w:space="0" w:color="auto"/>
        <w:bottom w:val="none" w:sz="0" w:space="0" w:color="auto"/>
        <w:right w:val="none" w:sz="0" w:space="0" w:color="auto"/>
      </w:divBdr>
      <w:divsChild>
        <w:div w:id="768818953">
          <w:marLeft w:val="0"/>
          <w:marRight w:val="0"/>
          <w:marTop w:val="0"/>
          <w:marBottom w:val="0"/>
          <w:divBdr>
            <w:top w:val="none" w:sz="0" w:space="0" w:color="auto"/>
            <w:left w:val="none" w:sz="0" w:space="0" w:color="auto"/>
            <w:bottom w:val="none" w:sz="0" w:space="0" w:color="auto"/>
            <w:right w:val="none" w:sz="0" w:space="0" w:color="auto"/>
          </w:divBdr>
        </w:div>
        <w:div w:id="466046722">
          <w:marLeft w:val="0"/>
          <w:marRight w:val="0"/>
          <w:marTop w:val="0"/>
          <w:marBottom w:val="0"/>
          <w:divBdr>
            <w:top w:val="none" w:sz="0" w:space="0" w:color="auto"/>
            <w:left w:val="none" w:sz="0" w:space="0" w:color="auto"/>
            <w:bottom w:val="none" w:sz="0" w:space="0" w:color="auto"/>
            <w:right w:val="none" w:sz="0" w:space="0" w:color="auto"/>
          </w:divBdr>
          <w:divsChild>
            <w:div w:id="1556160548">
              <w:marLeft w:val="0"/>
              <w:marRight w:val="0"/>
              <w:marTop w:val="0"/>
              <w:marBottom w:val="0"/>
              <w:divBdr>
                <w:top w:val="none" w:sz="0" w:space="0" w:color="auto"/>
                <w:left w:val="none" w:sz="0" w:space="0" w:color="auto"/>
                <w:bottom w:val="none" w:sz="0" w:space="0" w:color="auto"/>
                <w:right w:val="none" w:sz="0" w:space="0" w:color="auto"/>
              </w:divBdr>
            </w:div>
            <w:div w:id="526061808">
              <w:marLeft w:val="0"/>
              <w:marRight w:val="0"/>
              <w:marTop w:val="0"/>
              <w:marBottom w:val="0"/>
              <w:divBdr>
                <w:top w:val="none" w:sz="0" w:space="0" w:color="auto"/>
                <w:left w:val="none" w:sz="0" w:space="0" w:color="auto"/>
                <w:bottom w:val="none" w:sz="0" w:space="0" w:color="auto"/>
                <w:right w:val="none" w:sz="0" w:space="0" w:color="auto"/>
              </w:divBdr>
            </w:div>
            <w:div w:id="305940730">
              <w:marLeft w:val="0"/>
              <w:marRight w:val="0"/>
              <w:marTop w:val="0"/>
              <w:marBottom w:val="0"/>
              <w:divBdr>
                <w:top w:val="none" w:sz="0" w:space="0" w:color="auto"/>
                <w:left w:val="none" w:sz="0" w:space="0" w:color="auto"/>
                <w:bottom w:val="single" w:sz="6" w:space="0" w:color="808080"/>
                <w:right w:val="none" w:sz="0" w:space="0" w:color="auto"/>
              </w:divBdr>
            </w:div>
            <w:div w:id="2080244467">
              <w:marLeft w:val="0"/>
              <w:marRight w:val="0"/>
              <w:marTop w:val="0"/>
              <w:marBottom w:val="0"/>
              <w:divBdr>
                <w:top w:val="none" w:sz="0" w:space="0" w:color="auto"/>
                <w:left w:val="none" w:sz="0" w:space="0" w:color="auto"/>
                <w:bottom w:val="none" w:sz="0" w:space="0" w:color="auto"/>
                <w:right w:val="none" w:sz="0" w:space="0" w:color="auto"/>
              </w:divBdr>
              <w:divsChild>
                <w:div w:id="47000218">
                  <w:marLeft w:val="0"/>
                  <w:marRight w:val="0"/>
                  <w:marTop w:val="0"/>
                  <w:marBottom w:val="0"/>
                  <w:divBdr>
                    <w:top w:val="none" w:sz="0" w:space="0" w:color="auto"/>
                    <w:left w:val="none" w:sz="0" w:space="0" w:color="auto"/>
                    <w:bottom w:val="none" w:sz="0" w:space="0" w:color="auto"/>
                    <w:right w:val="none" w:sz="0" w:space="0" w:color="auto"/>
                  </w:divBdr>
                  <w:divsChild>
                    <w:div w:id="72217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810489">
      <w:bodyDiv w:val="1"/>
      <w:marLeft w:val="0"/>
      <w:marRight w:val="0"/>
      <w:marTop w:val="0"/>
      <w:marBottom w:val="0"/>
      <w:divBdr>
        <w:top w:val="none" w:sz="0" w:space="0" w:color="auto"/>
        <w:left w:val="none" w:sz="0" w:space="0" w:color="auto"/>
        <w:bottom w:val="none" w:sz="0" w:space="0" w:color="auto"/>
        <w:right w:val="none" w:sz="0" w:space="0" w:color="auto"/>
      </w:divBdr>
    </w:div>
    <w:div w:id="826285777">
      <w:bodyDiv w:val="1"/>
      <w:marLeft w:val="0"/>
      <w:marRight w:val="0"/>
      <w:marTop w:val="0"/>
      <w:marBottom w:val="0"/>
      <w:divBdr>
        <w:top w:val="none" w:sz="0" w:space="0" w:color="auto"/>
        <w:left w:val="none" w:sz="0" w:space="0" w:color="auto"/>
        <w:bottom w:val="none" w:sz="0" w:space="0" w:color="auto"/>
        <w:right w:val="none" w:sz="0" w:space="0" w:color="auto"/>
      </w:divBdr>
    </w:div>
    <w:div w:id="829755132">
      <w:bodyDiv w:val="1"/>
      <w:marLeft w:val="0"/>
      <w:marRight w:val="0"/>
      <w:marTop w:val="0"/>
      <w:marBottom w:val="0"/>
      <w:divBdr>
        <w:top w:val="none" w:sz="0" w:space="0" w:color="auto"/>
        <w:left w:val="none" w:sz="0" w:space="0" w:color="auto"/>
        <w:bottom w:val="none" w:sz="0" w:space="0" w:color="auto"/>
        <w:right w:val="none" w:sz="0" w:space="0" w:color="auto"/>
      </w:divBdr>
    </w:div>
    <w:div w:id="834341241">
      <w:bodyDiv w:val="1"/>
      <w:marLeft w:val="0"/>
      <w:marRight w:val="0"/>
      <w:marTop w:val="0"/>
      <w:marBottom w:val="0"/>
      <w:divBdr>
        <w:top w:val="none" w:sz="0" w:space="0" w:color="auto"/>
        <w:left w:val="none" w:sz="0" w:space="0" w:color="auto"/>
        <w:bottom w:val="none" w:sz="0" w:space="0" w:color="auto"/>
        <w:right w:val="none" w:sz="0" w:space="0" w:color="auto"/>
      </w:divBdr>
    </w:div>
    <w:div w:id="842822768">
      <w:bodyDiv w:val="1"/>
      <w:marLeft w:val="0"/>
      <w:marRight w:val="0"/>
      <w:marTop w:val="0"/>
      <w:marBottom w:val="0"/>
      <w:divBdr>
        <w:top w:val="none" w:sz="0" w:space="0" w:color="auto"/>
        <w:left w:val="none" w:sz="0" w:space="0" w:color="auto"/>
        <w:bottom w:val="none" w:sz="0" w:space="0" w:color="auto"/>
        <w:right w:val="none" w:sz="0" w:space="0" w:color="auto"/>
      </w:divBdr>
    </w:div>
    <w:div w:id="847789991">
      <w:bodyDiv w:val="1"/>
      <w:marLeft w:val="0"/>
      <w:marRight w:val="0"/>
      <w:marTop w:val="0"/>
      <w:marBottom w:val="0"/>
      <w:divBdr>
        <w:top w:val="none" w:sz="0" w:space="0" w:color="auto"/>
        <w:left w:val="none" w:sz="0" w:space="0" w:color="auto"/>
        <w:bottom w:val="none" w:sz="0" w:space="0" w:color="auto"/>
        <w:right w:val="none" w:sz="0" w:space="0" w:color="auto"/>
      </w:divBdr>
    </w:div>
    <w:div w:id="854996921">
      <w:bodyDiv w:val="1"/>
      <w:marLeft w:val="0"/>
      <w:marRight w:val="0"/>
      <w:marTop w:val="0"/>
      <w:marBottom w:val="0"/>
      <w:divBdr>
        <w:top w:val="none" w:sz="0" w:space="0" w:color="auto"/>
        <w:left w:val="none" w:sz="0" w:space="0" w:color="auto"/>
        <w:bottom w:val="none" w:sz="0" w:space="0" w:color="auto"/>
        <w:right w:val="none" w:sz="0" w:space="0" w:color="auto"/>
      </w:divBdr>
    </w:div>
    <w:div w:id="856692694">
      <w:bodyDiv w:val="1"/>
      <w:marLeft w:val="0"/>
      <w:marRight w:val="0"/>
      <w:marTop w:val="0"/>
      <w:marBottom w:val="0"/>
      <w:divBdr>
        <w:top w:val="none" w:sz="0" w:space="0" w:color="auto"/>
        <w:left w:val="none" w:sz="0" w:space="0" w:color="auto"/>
        <w:bottom w:val="none" w:sz="0" w:space="0" w:color="auto"/>
        <w:right w:val="none" w:sz="0" w:space="0" w:color="auto"/>
      </w:divBdr>
    </w:div>
    <w:div w:id="859781693">
      <w:bodyDiv w:val="1"/>
      <w:marLeft w:val="0"/>
      <w:marRight w:val="0"/>
      <w:marTop w:val="0"/>
      <w:marBottom w:val="0"/>
      <w:divBdr>
        <w:top w:val="none" w:sz="0" w:space="0" w:color="auto"/>
        <w:left w:val="none" w:sz="0" w:space="0" w:color="auto"/>
        <w:bottom w:val="none" w:sz="0" w:space="0" w:color="auto"/>
        <w:right w:val="none" w:sz="0" w:space="0" w:color="auto"/>
      </w:divBdr>
    </w:div>
    <w:div w:id="870611826">
      <w:bodyDiv w:val="1"/>
      <w:marLeft w:val="0"/>
      <w:marRight w:val="0"/>
      <w:marTop w:val="0"/>
      <w:marBottom w:val="0"/>
      <w:divBdr>
        <w:top w:val="none" w:sz="0" w:space="0" w:color="auto"/>
        <w:left w:val="none" w:sz="0" w:space="0" w:color="auto"/>
        <w:bottom w:val="none" w:sz="0" w:space="0" w:color="auto"/>
        <w:right w:val="none" w:sz="0" w:space="0" w:color="auto"/>
      </w:divBdr>
    </w:div>
    <w:div w:id="872350777">
      <w:bodyDiv w:val="1"/>
      <w:marLeft w:val="0"/>
      <w:marRight w:val="0"/>
      <w:marTop w:val="0"/>
      <w:marBottom w:val="0"/>
      <w:divBdr>
        <w:top w:val="none" w:sz="0" w:space="0" w:color="auto"/>
        <w:left w:val="none" w:sz="0" w:space="0" w:color="auto"/>
        <w:bottom w:val="none" w:sz="0" w:space="0" w:color="auto"/>
        <w:right w:val="none" w:sz="0" w:space="0" w:color="auto"/>
      </w:divBdr>
    </w:div>
    <w:div w:id="880485224">
      <w:bodyDiv w:val="1"/>
      <w:marLeft w:val="0"/>
      <w:marRight w:val="0"/>
      <w:marTop w:val="0"/>
      <w:marBottom w:val="0"/>
      <w:divBdr>
        <w:top w:val="none" w:sz="0" w:space="0" w:color="auto"/>
        <w:left w:val="none" w:sz="0" w:space="0" w:color="auto"/>
        <w:bottom w:val="none" w:sz="0" w:space="0" w:color="auto"/>
        <w:right w:val="none" w:sz="0" w:space="0" w:color="auto"/>
      </w:divBdr>
    </w:div>
    <w:div w:id="882785840">
      <w:bodyDiv w:val="1"/>
      <w:marLeft w:val="0"/>
      <w:marRight w:val="0"/>
      <w:marTop w:val="0"/>
      <w:marBottom w:val="0"/>
      <w:divBdr>
        <w:top w:val="none" w:sz="0" w:space="0" w:color="auto"/>
        <w:left w:val="none" w:sz="0" w:space="0" w:color="auto"/>
        <w:bottom w:val="none" w:sz="0" w:space="0" w:color="auto"/>
        <w:right w:val="none" w:sz="0" w:space="0" w:color="auto"/>
      </w:divBdr>
    </w:div>
    <w:div w:id="888804589">
      <w:bodyDiv w:val="1"/>
      <w:marLeft w:val="0"/>
      <w:marRight w:val="0"/>
      <w:marTop w:val="0"/>
      <w:marBottom w:val="0"/>
      <w:divBdr>
        <w:top w:val="none" w:sz="0" w:space="0" w:color="auto"/>
        <w:left w:val="none" w:sz="0" w:space="0" w:color="auto"/>
        <w:bottom w:val="none" w:sz="0" w:space="0" w:color="auto"/>
        <w:right w:val="none" w:sz="0" w:space="0" w:color="auto"/>
      </w:divBdr>
    </w:div>
    <w:div w:id="893009458">
      <w:bodyDiv w:val="1"/>
      <w:marLeft w:val="0"/>
      <w:marRight w:val="0"/>
      <w:marTop w:val="0"/>
      <w:marBottom w:val="0"/>
      <w:divBdr>
        <w:top w:val="none" w:sz="0" w:space="0" w:color="auto"/>
        <w:left w:val="none" w:sz="0" w:space="0" w:color="auto"/>
        <w:bottom w:val="none" w:sz="0" w:space="0" w:color="auto"/>
        <w:right w:val="none" w:sz="0" w:space="0" w:color="auto"/>
      </w:divBdr>
    </w:div>
    <w:div w:id="911046039">
      <w:bodyDiv w:val="1"/>
      <w:marLeft w:val="0"/>
      <w:marRight w:val="0"/>
      <w:marTop w:val="0"/>
      <w:marBottom w:val="0"/>
      <w:divBdr>
        <w:top w:val="none" w:sz="0" w:space="0" w:color="auto"/>
        <w:left w:val="none" w:sz="0" w:space="0" w:color="auto"/>
        <w:bottom w:val="none" w:sz="0" w:space="0" w:color="auto"/>
        <w:right w:val="none" w:sz="0" w:space="0" w:color="auto"/>
      </w:divBdr>
      <w:divsChild>
        <w:div w:id="1618565981">
          <w:marLeft w:val="0"/>
          <w:marRight w:val="0"/>
          <w:marTop w:val="0"/>
          <w:marBottom w:val="0"/>
          <w:divBdr>
            <w:top w:val="none" w:sz="0" w:space="0" w:color="auto"/>
            <w:left w:val="none" w:sz="0" w:space="0" w:color="auto"/>
            <w:bottom w:val="none" w:sz="0" w:space="0" w:color="auto"/>
            <w:right w:val="none" w:sz="0" w:space="0" w:color="auto"/>
          </w:divBdr>
          <w:divsChild>
            <w:div w:id="370544477">
              <w:marLeft w:val="0"/>
              <w:marRight w:val="0"/>
              <w:marTop w:val="0"/>
              <w:marBottom w:val="0"/>
              <w:divBdr>
                <w:top w:val="none" w:sz="0" w:space="0" w:color="auto"/>
                <w:left w:val="none" w:sz="0" w:space="0" w:color="auto"/>
                <w:bottom w:val="none" w:sz="0" w:space="0" w:color="auto"/>
                <w:right w:val="none" w:sz="0" w:space="0" w:color="auto"/>
              </w:divBdr>
            </w:div>
          </w:divsChild>
        </w:div>
        <w:div w:id="1253245124">
          <w:marLeft w:val="0"/>
          <w:marRight w:val="0"/>
          <w:marTop w:val="0"/>
          <w:marBottom w:val="0"/>
          <w:divBdr>
            <w:top w:val="none" w:sz="0" w:space="0" w:color="auto"/>
            <w:left w:val="none" w:sz="0" w:space="0" w:color="auto"/>
            <w:bottom w:val="none" w:sz="0" w:space="0" w:color="auto"/>
            <w:right w:val="none" w:sz="0" w:space="0" w:color="auto"/>
          </w:divBdr>
          <w:divsChild>
            <w:div w:id="667829101">
              <w:marLeft w:val="0"/>
              <w:marRight w:val="0"/>
              <w:marTop w:val="0"/>
              <w:marBottom w:val="0"/>
              <w:divBdr>
                <w:top w:val="none" w:sz="0" w:space="0" w:color="auto"/>
                <w:left w:val="none" w:sz="0" w:space="0" w:color="auto"/>
                <w:bottom w:val="none" w:sz="0" w:space="0" w:color="auto"/>
                <w:right w:val="none" w:sz="0" w:space="0" w:color="auto"/>
              </w:divBdr>
            </w:div>
          </w:divsChild>
        </w:div>
        <w:div w:id="954479347">
          <w:marLeft w:val="0"/>
          <w:marRight w:val="0"/>
          <w:marTop w:val="0"/>
          <w:marBottom w:val="0"/>
          <w:divBdr>
            <w:top w:val="none" w:sz="0" w:space="0" w:color="auto"/>
            <w:left w:val="none" w:sz="0" w:space="0" w:color="auto"/>
            <w:bottom w:val="none" w:sz="0" w:space="0" w:color="auto"/>
            <w:right w:val="none" w:sz="0" w:space="0" w:color="auto"/>
          </w:divBdr>
          <w:divsChild>
            <w:div w:id="1516924287">
              <w:marLeft w:val="0"/>
              <w:marRight w:val="0"/>
              <w:marTop w:val="0"/>
              <w:marBottom w:val="0"/>
              <w:divBdr>
                <w:top w:val="none" w:sz="0" w:space="0" w:color="auto"/>
                <w:left w:val="none" w:sz="0" w:space="0" w:color="auto"/>
                <w:bottom w:val="none" w:sz="0" w:space="0" w:color="auto"/>
                <w:right w:val="none" w:sz="0" w:space="0" w:color="auto"/>
              </w:divBdr>
            </w:div>
          </w:divsChild>
        </w:div>
        <w:div w:id="1759908983">
          <w:marLeft w:val="0"/>
          <w:marRight w:val="0"/>
          <w:marTop w:val="0"/>
          <w:marBottom w:val="0"/>
          <w:divBdr>
            <w:top w:val="none" w:sz="0" w:space="0" w:color="auto"/>
            <w:left w:val="none" w:sz="0" w:space="0" w:color="auto"/>
            <w:bottom w:val="none" w:sz="0" w:space="0" w:color="auto"/>
            <w:right w:val="none" w:sz="0" w:space="0" w:color="auto"/>
          </w:divBdr>
          <w:divsChild>
            <w:div w:id="491945305">
              <w:marLeft w:val="0"/>
              <w:marRight w:val="0"/>
              <w:marTop w:val="0"/>
              <w:marBottom w:val="0"/>
              <w:divBdr>
                <w:top w:val="none" w:sz="0" w:space="0" w:color="auto"/>
                <w:left w:val="none" w:sz="0" w:space="0" w:color="auto"/>
                <w:bottom w:val="none" w:sz="0" w:space="0" w:color="auto"/>
                <w:right w:val="none" w:sz="0" w:space="0" w:color="auto"/>
              </w:divBdr>
            </w:div>
          </w:divsChild>
        </w:div>
        <w:div w:id="62722441">
          <w:marLeft w:val="0"/>
          <w:marRight w:val="0"/>
          <w:marTop w:val="0"/>
          <w:marBottom w:val="0"/>
          <w:divBdr>
            <w:top w:val="none" w:sz="0" w:space="0" w:color="auto"/>
            <w:left w:val="none" w:sz="0" w:space="0" w:color="auto"/>
            <w:bottom w:val="none" w:sz="0" w:space="0" w:color="auto"/>
            <w:right w:val="none" w:sz="0" w:space="0" w:color="auto"/>
          </w:divBdr>
          <w:divsChild>
            <w:div w:id="61081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278029">
      <w:bodyDiv w:val="1"/>
      <w:marLeft w:val="0"/>
      <w:marRight w:val="0"/>
      <w:marTop w:val="0"/>
      <w:marBottom w:val="0"/>
      <w:divBdr>
        <w:top w:val="none" w:sz="0" w:space="0" w:color="auto"/>
        <w:left w:val="none" w:sz="0" w:space="0" w:color="auto"/>
        <w:bottom w:val="none" w:sz="0" w:space="0" w:color="auto"/>
        <w:right w:val="none" w:sz="0" w:space="0" w:color="auto"/>
      </w:divBdr>
    </w:div>
    <w:div w:id="912735770">
      <w:bodyDiv w:val="1"/>
      <w:marLeft w:val="0"/>
      <w:marRight w:val="0"/>
      <w:marTop w:val="0"/>
      <w:marBottom w:val="0"/>
      <w:divBdr>
        <w:top w:val="none" w:sz="0" w:space="0" w:color="auto"/>
        <w:left w:val="none" w:sz="0" w:space="0" w:color="auto"/>
        <w:bottom w:val="none" w:sz="0" w:space="0" w:color="auto"/>
        <w:right w:val="none" w:sz="0" w:space="0" w:color="auto"/>
      </w:divBdr>
      <w:divsChild>
        <w:div w:id="1314136604">
          <w:marLeft w:val="0"/>
          <w:marRight w:val="0"/>
          <w:marTop w:val="0"/>
          <w:marBottom w:val="0"/>
          <w:divBdr>
            <w:top w:val="none" w:sz="0" w:space="0" w:color="auto"/>
            <w:left w:val="none" w:sz="0" w:space="0" w:color="auto"/>
            <w:bottom w:val="none" w:sz="0" w:space="0" w:color="auto"/>
            <w:right w:val="none" w:sz="0" w:space="0" w:color="auto"/>
          </w:divBdr>
          <w:divsChild>
            <w:div w:id="1012991669">
              <w:marLeft w:val="0"/>
              <w:marRight w:val="150"/>
              <w:marTop w:val="0"/>
              <w:marBottom w:val="0"/>
              <w:divBdr>
                <w:top w:val="none" w:sz="0" w:space="0" w:color="auto"/>
                <w:left w:val="none" w:sz="0" w:space="0" w:color="auto"/>
                <w:bottom w:val="none" w:sz="0" w:space="0" w:color="auto"/>
                <w:right w:val="none" w:sz="0" w:space="0" w:color="auto"/>
              </w:divBdr>
            </w:div>
          </w:divsChild>
        </w:div>
        <w:div w:id="181821912">
          <w:marLeft w:val="0"/>
          <w:marRight w:val="0"/>
          <w:marTop w:val="0"/>
          <w:marBottom w:val="0"/>
          <w:divBdr>
            <w:top w:val="none" w:sz="0" w:space="0" w:color="auto"/>
            <w:left w:val="none" w:sz="0" w:space="0" w:color="auto"/>
            <w:bottom w:val="none" w:sz="0" w:space="0" w:color="auto"/>
            <w:right w:val="none" w:sz="0" w:space="0" w:color="auto"/>
          </w:divBdr>
          <w:divsChild>
            <w:div w:id="47457112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913390412">
      <w:bodyDiv w:val="1"/>
      <w:marLeft w:val="0"/>
      <w:marRight w:val="0"/>
      <w:marTop w:val="0"/>
      <w:marBottom w:val="0"/>
      <w:divBdr>
        <w:top w:val="none" w:sz="0" w:space="0" w:color="auto"/>
        <w:left w:val="none" w:sz="0" w:space="0" w:color="auto"/>
        <w:bottom w:val="none" w:sz="0" w:space="0" w:color="auto"/>
        <w:right w:val="none" w:sz="0" w:space="0" w:color="auto"/>
      </w:divBdr>
    </w:div>
    <w:div w:id="916281518">
      <w:bodyDiv w:val="1"/>
      <w:marLeft w:val="0"/>
      <w:marRight w:val="0"/>
      <w:marTop w:val="0"/>
      <w:marBottom w:val="0"/>
      <w:divBdr>
        <w:top w:val="none" w:sz="0" w:space="0" w:color="auto"/>
        <w:left w:val="none" w:sz="0" w:space="0" w:color="auto"/>
        <w:bottom w:val="none" w:sz="0" w:space="0" w:color="auto"/>
        <w:right w:val="none" w:sz="0" w:space="0" w:color="auto"/>
      </w:divBdr>
    </w:div>
    <w:div w:id="927693477">
      <w:bodyDiv w:val="1"/>
      <w:marLeft w:val="0"/>
      <w:marRight w:val="0"/>
      <w:marTop w:val="0"/>
      <w:marBottom w:val="0"/>
      <w:divBdr>
        <w:top w:val="none" w:sz="0" w:space="0" w:color="auto"/>
        <w:left w:val="none" w:sz="0" w:space="0" w:color="auto"/>
        <w:bottom w:val="none" w:sz="0" w:space="0" w:color="auto"/>
        <w:right w:val="none" w:sz="0" w:space="0" w:color="auto"/>
      </w:divBdr>
    </w:div>
    <w:div w:id="929658220">
      <w:bodyDiv w:val="1"/>
      <w:marLeft w:val="0"/>
      <w:marRight w:val="0"/>
      <w:marTop w:val="0"/>
      <w:marBottom w:val="0"/>
      <w:divBdr>
        <w:top w:val="none" w:sz="0" w:space="0" w:color="auto"/>
        <w:left w:val="none" w:sz="0" w:space="0" w:color="auto"/>
        <w:bottom w:val="none" w:sz="0" w:space="0" w:color="auto"/>
        <w:right w:val="none" w:sz="0" w:space="0" w:color="auto"/>
      </w:divBdr>
    </w:div>
    <w:div w:id="943998438">
      <w:bodyDiv w:val="1"/>
      <w:marLeft w:val="0"/>
      <w:marRight w:val="0"/>
      <w:marTop w:val="0"/>
      <w:marBottom w:val="0"/>
      <w:divBdr>
        <w:top w:val="none" w:sz="0" w:space="0" w:color="auto"/>
        <w:left w:val="none" w:sz="0" w:space="0" w:color="auto"/>
        <w:bottom w:val="none" w:sz="0" w:space="0" w:color="auto"/>
        <w:right w:val="none" w:sz="0" w:space="0" w:color="auto"/>
      </w:divBdr>
    </w:div>
    <w:div w:id="947737659">
      <w:bodyDiv w:val="1"/>
      <w:marLeft w:val="0"/>
      <w:marRight w:val="0"/>
      <w:marTop w:val="0"/>
      <w:marBottom w:val="0"/>
      <w:divBdr>
        <w:top w:val="none" w:sz="0" w:space="0" w:color="auto"/>
        <w:left w:val="none" w:sz="0" w:space="0" w:color="auto"/>
        <w:bottom w:val="none" w:sz="0" w:space="0" w:color="auto"/>
        <w:right w:val="none" w:sz="0" w:space="0" w:color="auto"/>
      </w:divBdr>
    </w:div>
    <w:div w:id="953512673">
      <w:bodyDiv w:val="1"/>
      <w:marLeft w:val="0"/>
      <w:marRight w:val="0"/>
      <w:marTop w:val="0"/>
      <w:marBottom w:val="0"/>
      <w:divBdr>
        <w:top w:val="none" w:sz="0" w:space="0" w:color="auto"/>
        <w:left w:val="none" w:sz="0" w:space="0" w:color="auto"/>
        <w:bottom w:val="none" w:sz="0" w:space="0" w:color="auto"/>
        <w:right w:val="none" w:sz="0" w:space="0" w:color="auto"/>
      </w:divBdr>
    </w:div>
    <w:div w:id="974331806">
      <w:bodyDiv w:val="1"/>
      <w:marLeft w:val="0"/>
      <w:marRight w:val="0"/>
      <w:marTop w:val="0"/>
      <w:marBottom w:val="0"/>
      <w:divBdr>
        <w:top w:val="none" w:sz="0" w:space="0" w:color="auto"/>
        <w:left w:val="none" w:sz="0" w:space="0" w:color="auto"/>
        <w:bottom w:val="none" w:sz="0" w:space="0" w:color="auto"/>
        <w:right w:val="none" w:sz="0" w:space="0" w:color="auto"/>
      </w:divBdr>
    </w:div>
    <w:div w:id="985621238">
      <w:bodyDiv w:val="1"/>
      <w:marLeft w:val="0"/>
      <w:marRight w:val="0"/>
      <w:marTop w:val="0"/>
      <w:marBottom w:val="0"/>
      <w:divBdr>
        <w:top w:val="none" w:sz="0" w:space="0" w:color="auto"/>
        <w:left w:val="none" w:sz="0" w:space="0" w:color="auto"/>
        <w:bottom w:val="none" w:sz="0" w:space="0" w:color="auto"/>
        <w:right w:val="none" w:sz="0" w:space="0" w:color="auto"/>
      </w:divBdr>
      <w:divsChild>
        <w:div w:id="678124816">
          <w:marLeft w:val="0"/>
          <w:marRight w:val="0"/>
          <w:marTop w:val="0"/>
          <w:marBottom w:val="0"/>
          <w:divBdr>
            <w:top w:val="none" w:sz="0" w:space="0" w:color="auto"/>
            <w:left w:val="none" w:sz="0" w:space="0" w:color="auto"/>
            <w:bottom w:val="none" w:sz="0" w:space="0" w:color="auto"/>
            <w:right w:val="none" w:sz="0" w:space="0" w:color="auto"/>
          </w:divBdr>
        </w:div>
        <w:div w:id="1590041987">
          <w:marLeft w:val="-150"/>
          <w:marRight w:val="0"/>
          <w:marTop w:val="240"/>
          <w:marBottom w:val="120"/>
          <w:divBdr>
            <w:top w:val="none" w:sz="0" w:space="0" w:color="auto"/>
            <w:left w:val="none" w:sz="0" w:space="0" w:color="auto"/>
            <w:bottom w:val="none" w:sz="0" w:space="0" w:color="auto"/>
            <w:right w:val="none" w:sz="0" w:space="0" w:color="auto"/>
          </w:divBdr>
          <w:divsChild>
            <w:div w:id="1679846393">
              <w:marLeft w:val="150"/>
              <w:marRight w:val="90"/>
              <w:marTop w:val="0"/>
              <w:marBottom w:val="0"/>
              <w:divBdr>
                <w:top w:val="none" w:sz="0" w:space="0" w:color="auto"/>
                <w:left w:val="none" w:sz="0" w:space="0" w:color="auto"/>
                <w:bottom w:val="none" w:sz="0" w:space="0" w:color="auto"/>
                <w:right w:val="none" w:sz="0" w:space="0" w:color="auto"/>
              </w:divBdr>
            </w:div>
          </w:divsChild>
        </w:div>
      </w:divsChild>
    </w:div>
    <w:div w:id="996230249">
      <w:bodyDiv w:val="1"/>
      <w:marLeft w:val="0"/>
      <w:marRight w:val="0"/>
      <w:marTop w:val="0"/>
      <w:marBottom w:val="0"/>
      <w:divBdr>
        <w:top w:val="none" w:sz="0" w:space="0" w:color="auto"/>
        <w:left w:val="none" w:sz="0" w:space="0" w:color="auto"/>
        <w:bottom w:val="none" w:sz="0" w:space="0" w:color="auto"/>
        <w:right w:val="none" w:sz="0" w:space="0" w:color="auto"/>
      </w:divBdr>
    </w:div>
    <w:div w:id="1000087520">
      <w:bodyDiv w:val="1"/>
      <w:marLeft w:val="0"/>
      <w:marRight w:val="0"/>
      <w:marTop w:val="0"/>
      <w:marBottom w:val="0"/>
      <w:divBdr>
        <w:top w:val="none" w:sz="0" w:space="0" w:color="auto"/>
        <w:left w:val="none" w:sz="0" w:space="0" w:color="auto"/>
        <w:bottom w:val="none" w:sz="0" w:space="0" w:color="auto"/>
        <w:right w:val="none" w:sz="0" w:space="0" w:color="auto"/>
      </w:divBdr>
    </w:div>
    <w:div w:id="1003627760">
      <w:bodyDiv w:val="1"/>
      <w:marLeft w:val="0"/>
      <w:marRight w:val="0"/>
      <w:marTop w:val="0"/>
      <w:marBottom w:val="0"/>
      <w:divBdr>
        <w:top w:val="none" w:sz="0" w:space="0" w:color="auto"/>
        <w:left w:val="none" w:sz="0" w:space="0" w:color="auto"/>
        <w:bottom w:val="none" w:sz="0" w:space="0" w:color="auto"/>
        <w:right w:val="none" w:sz="0" w:space="0" w:color="auto"/>
      </w:divBdr>
    </w:div>
    <w:div w:id="1012805806">
      <w:bodyDiv w:val="1"/>
      <w:marLeft w:val="0"/>
      <w:marRight w:val="0"/>
      <w:marTop w:val="0"/>
      <w:marBottom w:val="0"/>
      <w:divBdr>
        <w:top w:val="none" w:sz="0" w:space="0" w:color="auto"/>
        <w:left w:val="none" w:sz="0" w:space="0" w:color="auto"/>
        <w:bottom w:val="none" w:sz="0" w:space="0" w:color="auto"/>
        <w:right w:val="none" w:sz="0" w:space="0" w:color="auto"/>
      </w:divBdr>
    </w:div>
    <w:div w:id="1022247331">
      <w:bodyDiv w:val="1"/>
      <w:marLeft w:val="0"/>
      <w:marRight w:val="0"/>
      <w:marTop w:val="0"/>
      <w:marBottom w:val="0"/>
      <w:divBdr>
        <w:top w:val="none" w:sz="0" w:space="0" w:color="auto"/>
        <w:left w:val="none" w:sz="0" w:space="0" w:color="auto"/>
        <w:bottom w:val="none" w:sz="0" w:space="0" w:color="auto"/>
        <w:right w:val="none" w:sz="0" w:space="0" w:color="auto"/>
      </w:divBdr>
    </w:div>
    <w:div w:id="1036388672">
      <w:bodyDiv w:val="1"/>
      <w:marLeft w:val="0"/>
      <w:marRight w:val="0"/>
      <w:marTop w:val="0"/>
      <w:marBottom w:val="0"/>
      <w:divBdr>
        <w:top w:val="none" w:sz="0" w:space="0" w:color="auto"/>
        <w:left w:val="none" w:sz="0" w:space="0" w:color="auto"/>
        <w:bottom w:val="none" w:sz="0" w:space="0" w:color="auto"/>
        <w:right w:val="none" w:sz="0" w:space="0" w:color="auto"/>
      </w:divBdr>
    </w:div>
    <w:div w:id="1048838447">
      <w:bodyDiv w:val="1"/>
      <w:marLeft w:val="0"/>
      <w:marRight w:val="0"/>
      <w:marTop w:val="0"/>
      <w:marBottom w:val="0"/>
      <w:divBdr>
        <w:top w:val="none" w:sz="0" w:space="0" w:color="auto"/>
        <w:left w:val="none" w:sz="0" w:space="0" w:color="auto"/>
        <w:bottom w:val="none" w:sz="0" w:space="0" w:color="auto"/>
        <w:right w:val="none" w:sz="0" w:space="0" w:color="auto"/>
      </w:divBdr>
    </w:div>
    <w:div w:id="1050299072">
      <w:bodyDiv w:val="1"/>
      <w:marLeft w:val="0"/>
      <w:marRight w:val="0"/>
      <w:marTop w:val="0"/>
      <w:marBottom w:val="0"/>
      <w:divBdr>
        <w:top w:val="none" w:sz="0" w:space="0" w:color="auto"/>
        <w:left w:val="none" w:sz="0" w:space="0" w:color="auto"/>
        <w:bottom w:val="none" w:sz="0" w:space="0" w:color="auto"/>
        <w:right w:val="none" w:sz="0" w:space="0" w:color="auto"/>
      </w:divBdr>
    </w:div>
    <w:div w:id="1051809021">
      <w:bodyDiv w:val="1"/>
      <w:marLeft w:val="0"/>
      <w:marRight w:val="0"/>
      <w:marTop w:val="0"/>
      <w:marBottom w:val="0"/>
      <w:divBdr>
        <w:top w:val="none" w:sz="0" w:space="0" w:color="auto"/>
        <w:left w:val="none" w:sz="0" w:space="0" w:color="auto"/>
        <w:bottom w:val="none" w:sz="0" w:space="0" w:color="auto"/>
        <w:right w:val="none" w:sz="0" w:space="0" w:color="auto"/>
      </w:divBdr>
    </w:div>
    <w:div w:id="1063912527">
      <w:bodyDiv w:val="1"/>
      <w:marLeft w:val="0"/>
      <w:marRight w:val="0"/>
      <w:marTop w:val="0"/>
      <w:marBottom w:val="0"/>
      <w:divBdr>
        <w:top w:val="none" w:sz="0" w:space="0" w:color="auto"/>
        <w:left w:val="none" w:sz="0" w:space="0" w:color="auto"/>
        <w:bottom w:val="none" w:sz="0" w:space="0" w:color="auto"/>
        <w:right w:val="none" w:sz="0" w:space="0" w:color="auto"/>
      </w:divBdr>
    </w:div>
    <w:div w:id="1081413811">
      <w:bodyDiv w:val="1"/>
      <w:marLeft w:val="0"/>
      <w:marRight w:val="0"/>
      <w:marTop w:val="0"/>
      <w:marBottom w:val="0"/>
      <w:divBdr>
        <w:top w:val="none" w:sz="0" w:space="0" w:color="auto"/>
        <w:left w:val="none" w:sz="0" w:space="0" w:color="auto"/>
        <w:bottom w:val="none" w:sz="0" w:space="0" w:color="auto"/>
        <w:right w:val="none" w:sz="0" w:space="0" w:color="auto"/>
      </w:divBdr>
    </w:div>
    <w:div w:id="1081948503">
      <w:bodyDiv w:val="1"/>
      <w:marLeft w:val="0"/>
      <w:marRight w:val="0"/>
      <w:marTop w:val="0"/>
      <w:marBottom w:val="0"/>
      <w:divBdr>
        <w:top w:val="none" w:sz="0" w:space="0" w:color="auto"/>
        <w:left w:val="none" w:sz="0" w:space="0" w:color="auto"/>
        <w:bottom w:val="none" w:sz="0" w:space="0" w:color="auto"/>
        <w:right w:val="none" w:sz="0" w:space="0" w:color="auto"/>
      </w:divBdr>
    </w:div>
    <w:div w:id="1097367279">
      <w:bodyDiv w:val="1"/>
      <w:marLeft w:val="0"/>
      <w:marRight w:val="0"/>
      <w:marTop w:val="0"/>
      <w:marBottom w:val="0"/>
      <w:divBdr>
        <w:top w:val="none" w:sz="0" w:space="0" w:color="auto"/>
        <w:left w:val="none" w:sz="0" w:space="0" w:color="auto"/>
        <w:bottom w:val="none" w:sz="0" w:space="0" w:color="auto"/>
        <w:right w:val="none" w:sz="0" w:space="0" w:color="auto"/>
      </w:divBdr>
    </w:div>
    <w:div w:id="1137651428">
      <w:bodyDiv w:val="1"/>
      <w:marLeft w:val="0"/>
      <w:marRight w:val="0"/>
      <w:marTop w:val="0"/>
      <w:marBottom w:val="0"/>
      <w:divBdr>
        <w:top w:val="none" w:sz="0" w:space="0" w:color="auto"/>
        <w:left w:val="none" w:sz="0" w:space="0" w:color="auto"/>
        <w:bottom w:val="none" w:sz="0" w:space="0" w:color="auto"/>
        <w:right w:val="none" w:sz="0" w:space="0" w:color="auto"/>
      </w:divBdr>
    </w:div>
    <w:div w:id="1139878714">
      <w:bodyDiv w:val="1"/>
      <w:marLeft w:val="0"/>
      <w:marRight w:val="0"/>
      <w:marTop w:val="0"/>
      <w:marBottom w:val="0"/>
      <w:divBdr>
        <w:top w:val="none" w:sz="0" w:space="0" w:color="auto"/>
        <w:left w:val="none" w:sz="0" w:space="0" w:color="auto"/>
        <w:bottom w:val="none" w:sz="0" w:space="0" w:color="auto"/>
        <w:right w:val="none" w:sz="0" w:space="0" w:color="auto"/>
      </w:divBdr>
    </w:div>
    <w:div w:id="1142691488">
      <w:bodyDiv w:val="1"/>
      <w:marLeft w:val="0"/>
      <w:marRight w:val="0"/>
      <w:marTop w:val="0"/>
      <w:marBottom w:val="0"/>
      <w:divBdr>
        <w:top w:val="none" w:sz="0" w:space="0" w:color="auto"/>
        <w:left w:val="none" w:sz="0" w:space="0" w:color="auto"/>
        <w:bottom w:val="none" w:sz="0" w:space="0" w:color="auto"/>
        <w:right w:val="none" w:sz="0" w:space="0" w:color="auto"/>
      </w:divBdr>
    </w:div>
    <w:div w:id="1143502414">
      <w:bodyDiv w:val="1"/>
      <w:marLeft w:val="0"/>
      <w:marRight w:val="0"/>
      <w:marTop w:val="0"/>
      <w:marBottom w:val="0"/>
      <w:divBdr>
        <w:top w:val="none" w:sz="0" w:space="0" w:color="auto"/>
        <w:left w:val="none" w:sz="0" w:space="0" w:color="auto"/>
        <w:bottom w:val="none" w:sz="0" w:space="0" w:color="auto"/>
        <w:right w:val="none" w:sz="0" w:space="0" w:color="auto"/>
      </w:divBdr>
    </w:div>
    <w:div w:id="1147816548">
      <w:bodyDiv w:val="1"/>
      <w:marLeft w:val="0"/>
      <w:marRight w:val="0"/>
      <w:marTop w:val="0"/>
      <w:marBottom w:val="0"/>
      <w:divBdr>
        <w:top w:val="none" w:sz="0" w:space="0" w:color="auto"/>
        <w:left w:val="none" w:sz="0" w:space="0" w:color="auto"/>
        <w:bottom w:val="none" w:sz="0" w:space="0" w:color="auto"/>
        <w:right w:val="none" w:sz="0" w:space="0" w:color="auto"/>
      </w:divBdr>
      <w:divsChild>
        <w:div w:id="1199197681">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151022319">
      <w:bodyDiv w:val="1"/>
      <w:marLeft w:val="0"/>
      <w:marRight w:val="0"/>
      <w:marTop w:val="0"/>
      <w:marBottom w:val="0"/>
      <w:divBdr>
        <w:top w:val="none" w:sz="0" w:space="0" w:color="auto"/>
        <w:left w:val="none" w:sz="0" w:space="0" w:color="auto"/>
        <w:bottom w:val="none" w:sz="0" w:space="0" w:color="auto"/>
        <w:right w:val="none" w:sz="0" w:space="0" w:color="auto"/>
      </w:divBdr>
    </w:div>
    <w:div w:id="1161772715">
      <w:bodyDiv w:val="1"/>
      <w:marLeft w:val="0"/>
      <w:marRight w:val="0"/>
      <w:marTop w:val="0"/>
      <w:marBottom w:val="0"/>
      <w:divBdr>
        <w:top w:val="none" w:sz="0" w:space="0" w:color="auto"/>
        <w:left w:val="none" w:sz="0" w:space="0" w:color="auto"/>
        <w:bottom w:val="none" w:sz="0" w:space="0" w:color="auto"/>
        <w:right w:val="none" w:sz="0" w:space="0" w:color="auto"/>
      </w:divBdr>
    </w:div>
    <w:div w:id="1191915149">
      <w:bodyDiv w:val="1"/>
      <w:marLeft w:val="0"/>
      <w:marRight w:val="0"/>
      <w:marTop w:val="0"/>
      <w:marBottom w:val="0"/>
      <w:divBdr>
        <w:top w:val="none" w:sz="0" w:space="0" w:color="auto"/>
        <w:left w:val="none" w:sz="0" w:space="0" w:color="auto"/>
        <w:bottom w:val="none" w:sz="0" w:space="0" w:color="auto"/>
        <w:right w:val="none" w:sz="0" w:space="0" w:color="auto"/>
      </w:divBdr>
      <w:divsChild>
        <w:div w:id="1714960170">
          <w:marLeft w:val="0"/>
          <w:marRight w:val="0"/>
          <w:marTop w:val="0"/>
          <w:marBottom w:val="0"/>
          <w:divBdr>
            <w:top w:val="none" w:sz="0" w:space="0" w:color="auto"/>
            <w:left w:val="none" w:sz="0" w:space="0" w:color="auto"/>
            <w:bottom w:val="none" w:sz="0" w:space="0" w:color="auto"/>
            <w:right w:val="none" w:sz="0" w:space="0" w:color="auto"/>
          </w:divBdr>
          <w:divsChild>
            <w:div w:id="1501966602">
              <w:marLeft w:val="0"/>
              <w:marRight w:val="0"/>
              <w:marTop w:val="0"/>
              <w:marBottom w:val="0"/>
              <w:divBdr>
                <w:top w:val="none" w:sz="0" w:space="0" w:color="auto"/>
                <w:left w:val="none" w:sz="0" w:space="0" w:color="auto"/>
                <w:bottom w:val="none" w:sz="0" w:space="0" w:color="auto"/>
                <w:right w:val="none" w:sz="0" w:space="0" w:color="auto"/>
              </w:divBdr>
              <w:divsChild>
                <w:div w:id="338775983">
                  <w:marLeft w:val="0"/>
                  <w:marRight w:val="0"/>
                  <w:marTop w:val="0"/>
                  <w:marBottom w:val="0"/>
                  <w:divBdr>
                    <w:top w:val="none" w:sz="0" w:space="0" w:color="auto"/>
                    <w:left w:val="none" w:sz="0" w:space="0" w:color="auto"/>
                    <w:bottom w:val="none" w:sz="0" w:space="0" w:color="auto"/>
                    <w:right w:val="none" w:sz="0" w:space="0" w:color="auto"/>
                  </w:divBdr>
                </w:div>
                <w:div w:id="319700848">
                  <w:marLeft w:val="0"/>
                  <w:marRight w:val="0"/>
                  <w:marTop w:val="0"/>
                  <w:marBottom w:val="0"/>
                  <w:divBdr>
                    <w:top w:val="none" w:sz="0" w:space="0" w:color="auto"/>
                    <w:left w:val="none" w:sz="0" w:space="0" w:color="auto"/>
                    <w:bottom w:val="none" w:sz="0" w:space="0" w:color="auto"/>
                    <w:right w:val="none" w:sz="0" w:space="0" w:color="auto"/>
                  </w:divBdr>
                </w:div>
                <w:div w:id="1407070414">
                  <w:marLeft w:val="0"/>
                  <w:marRight w:val="0"/>
                  <w:marTop w:val="0"/>
                  <w:marBottom w:val="0"/>
                  <w:divBdr>
                    <w:top w:val="none" w:sz="0" w:space="0" w:color="auto"/>
                    <w:left w:val="none" w:sz="0" w:space="0" w:color="auto"/>
                    <w:bottom w:val="none" w:sz="0" w:space="0" w:color="auto"/>
                    <w:right w:val="none" w:sz="0" w:space="0" w:color="auto"/>
                  </w:divBdr>
                </w:div>
                <w:div w:id="179136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887190">
      <w:bodyDiv w:val="1"/>
      <w:marLeft w:val="0"/>
      <w:marRight w:val="0"/>
      <w:marTop w:val="0"/>
      <w:marBottom w:val="0"/>
      <w:divBdr>
        <w:top w:val="none" w:sz="0" w:space="0" w:color="auto"/>
        <w:left w:val="none" w:sz="0" w:space="0" w:color="auto"/>
        <w:bottom w:val="none" w:sz="0" w:space="0" w:color="auto"/>
        <w:right w:val="none" w:sz="0" w:space="0" w:color="auto"/>
      </w:divBdr>
    </w:div>
    <w:div w:id="1200624343">
      <w:bodyDiv w:val="1"/>
      <w:marLeft w:val="0"/>
      <w:marRight w:val="0"/>
      <w:marTop w:val="0"/>
      <w:marBottom w:val="0"/>
      <w:divBdr>
        <w:top w:val="none" w:sz="0" w:space="0" w:color="auto"/>
        <w:left w:val="none" w:sz="0" w:space="0" w:color="auto"/>
        <w:bottom w:val="none" w:sz="0" w:space="0" w:color="auto"/>
        <w:right w:val="none" w:sz="0" w:space="0" w:color="auto"/>
      </w:divBdr>
      <w:divsChild>
        <w:div w:id="1566792342">
          <w:marLeft w:val="0"/>
          <w:marRight w:val="0"/>
          <w:marTop w:val="0"/>
          <w:marBottom w:val="600"/>
          <w:divBdr>
            <w:top w:val="none" w:sz="0" w:space="0" w:color="auto"/>
            <w:left w:val="none" w:sz="0" w:space="0" w:color="auto"/>
            <w:bottom w:val="none" w:sz="0" w:space="0" w:color="auto"/>
            <w:right w:val="none" w:sz="0" w:space="0" w:color="auto"/>
          </w:divBdr>
        </w:div>
      </w:divsChild>
    </w:div>
    <w:div w:id="1205483685">
      <w:bodyDiv w:val="1"/>
      <w:marLeft w:val="0"/>
      <w:marRight w:val="0"/>
      <w:marTop w:val="0"/>
      <w:marBottom w:val="0"/>
      <w:divBdr>
        <w:top w:val="none" w:sz="0" w:space="0" w:color="auto"/>
        <w:left w:val="none" w:sz="0" w:space="0" w:color="auto"/>
        <w:bottom w:val="none" w:sz="0" w:space="0" w:color="auto"/>
        <w:right w:val="none" w:sz="0" w:space="0" w:color="auto"/>
      </w:divBdr>
    </w:div>
    <w:div w:id="1206799437">
      <w:bodyDiv w:val="1"/>
      <w:marLeft w:val="0"/>
      <w:marRight w:val="0"/>
      <w:marTop w:val="0"/>
      <w:marBottom w:val="0"/>
      <w:divBdr>
        <w:top w:val="none" w:sz="0" w:space="0" w:color="auto"/>
        <w:left w:val="none" w:sz="0" w:space="0" w:color="auto"/>
        <w:bottom w:val="none" w:sz="0" w:space="0" w:color="auto"/>
        <w:right w:val="none" w:sz="0" w:space="0" w:color="auto"/>
      </w:divBdr>
      <w:divsChild>
        <w:div w:id="1932885492">
          <w:marLeft w:val="0"/>
          <w:marRight w:val="0"/>
          <w:marTop w:val="0"/>
          <w:marBottom w:val="0"/>
          <w:divBdr>
            <w:top w:val="none" w:sz="0" w:space="0" w:color="auto"/>
            <w:left w:val="none" w:sz="0" w:space="0" w:color="auto"/>
            <w:bottom w:val="none" w:sz="0" w:space="0" w:color="auto"/>
            <w:right w:val="none" w:sz="0" w:space="0" w:color="auto"/>
          </w:divBdr>
          <w:divsChild>
            <w:div w:id="1177499441">
              <w:marLeft w:val="0"/>
              <w:marRight w:val="0"/>
              <w:marTop w:val="0"/>
              <w:marBottom w:val="0"/>
              <w:divBdr>
                <w:top w:val="none" w:sz="0" w:space="0" w:color="auto"/>
                <w:left w:val="none" w:sz="0" w:space="0" w:color="auto"/>
                <w:bottom w:val="none" w:sz="0" w:space="0" w:color="auto"/>
                <w:right w:val="none" w:sz="0" w:space="0" w:color="auto"/>
              </w:divBdr>
              <w:divsChild>
                <w:div w:id="167564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047215">
      <w:bodyDiv w:val="1"/>
      <w:marLeft w:val="0"/>
      <w:marRight w:val="0"/>
      <w:marTop w:val="0"/>
      <w:marBottom w:val="0"/>
      <w:divBdr>
        <w:top w:val="none" w:sz="0" w:space="0" w:color="auto"/>
        <w:left w:val="none" w:sz="0" w:space="0" w:color="auto"/>
        <w:bottom w:val="none" w:sz="0" w:space="0" w:color="auto"/>
        <w:right w:val="none" w:sz="0" w:space="0" w:color="auto"/>
      </w:divBdr>
    </w:div>
    <w:div w:id="1238324142">
      <w:bodyDiv w:val="1"/>
      <w:marLeft w:val="0"/>
      <w:marRight w:val="0"/>
      <w:marTop w:val="0"/>
      <w:marBottom w:val="0"/>
      <w:divBdr>
        <w:top w:val="none" w:sz="0" w:space="0" w:color="auto"/>
        <w:left w:val="none" w:sz="0" w:space="0" w:color="auto"/>
        <w:bottom w:val="none" w:sz="0" w:space="0" w:color="auto"/>
        <w:right w:val="none" w:sz="0" w:space="0" w:color="auto"/>
      </w:divBdr>
    </w:div>
    <w:div w:id="1238637049">
      <w:bodyDiv w:val="1"/>
      <w:marLeft w:val="0"/>
      <w:marRight w:val="0"/>
      <w:marTop w:val="0"/>
      <w:marBottom w:val="0"/>
      <w:divBdr>
        <w:top w:val="none" w:sz="0" w:space="0" w:color="auto"/>
        <w:left w:val="none" w:sz="0" w:space="0" w:color="auto"/>
        <w:bottom w:val="none" w:sz="0" w:space="0" w:color="auto"/>
        <w:right w:val="none" w:sz="0" w:space="0" w:color="auto"/>
      </w:divBdr>
    </w:div>
    <w:div w:id="1263028469">
      <w:bodyDiv w:val="1"/>
      <w:marLeft w:val="0"/>
      <w:marRight w:val="0"/>
      <w:marTop w:val="0"/>
      <w:marBottom w:val="0"/>
      <w:divBdr>
        <w:top w:val="none" w:sz="0" w:space="0" w:color="auto"/>
        <w:left w:val="none" w:sz="0" w:space="0" w:color="auto"/>
        <w:bottom w:val="none" w:sz="0" w:space="0" w:color="auto"/>
        <w:right w:val="none" w:sz="0" w:space="0" w:color="auto"/>
      </w:divBdr>
    </w:div>
    <w:div w:id="1263731720">
      <w:bodyDiv w:val="1"/>
      <w:marLeft w:val="0"/>
      <w:marRight w:val="0"/>
      <w:marTop w:val="0"/>
      <w:marBottom w:val="0"/>
      <w:divBdr>
        <w:top w:val="none" w:sz="0" w:space="0" w:color="auto"/>
        <w:left w:val="none" w:sz="0" w:space="0" w:color="auto"/>
        <w:bottom w:val="none" w:sz="0" w:space="0" w:color="auto"/>
        <w:right w:val="none" w:sz="0" w:space="0" w:color="auto"/>
      </w:divBdr>
    </w:div>
    <w:div w:id="1267730178">
      <w:bodyDiv w:val="1"/>
      <w:marLeft w:val="0"/>
      <w:marRight w:val="0"/>
      <w:marTop w:val="0"/>
      <w:marBottom w:val="0"/>
      <w:divBdr>
        <w:top w:val="none" w:sz="0" w:space="0" w:color="auto"/>
        <w:left w:val="none" w:sz="0" w:space="0" w:color="auto"/>
        <w:bottom w:val="none" w:sz="0" w:space="0" w:color="auto"/>
        <w:right w:val="none" w:sz="0" w:space="0" w:color="auto"/>
      </w:divBdr>
    </w:div>
    <w:div w:id="1268153452">
      <w:bodyDiv w:val="1"/>
      <w:marLeft w:val="0"/>
      <w:marRight w:val="0"/>
      <w:marTop w:val="0"/>
      <w:marBottom w:val="0"/>
      <w:divBdr>
        <w:top w:val="none" w:sz="0" w:space="0" w:color="auto"/>
        <w:left w:val="none" w:sz="0" w:space="0" w:color="auto"/>
        <w:bottom w:val="none" w:sz="0" w:space="0" w:color="auto"/>
        <w:right w:val="none" w:sz="0" w:space="0" w:color="auto"/>
      </w:divBdr>
    </w:div>
    <w:div w:id="1272666539">
      <w:bodyDiv w:val="1"/>
      <w:marLeft w:val="0"/>
      <w:marRight w:val="0"/>
      <w:marTop w:val="0"/>
      <w:marBottom w:val="0"/>
      <w:divBdr>
        <w:top w:val="none" w:sz="0" w:space="0" w:color="auto"/>
        <w:left w:val="none" w:sz="0" w:space="0" w:color="auto"/>
        <w:bottom w:val="none" w:sz="0" w:space="0" w:color="auto"/>
        <w:right w:val="none" w:sz="0" w:space="0" w:color="auto"/>
      </w:divBdr>
    </w:div>
    <w:div w:id="1275214866">
      <w:bodyDiv w:val="1"/>
      <w:marLeft w:val="0"/>
      <w:marRight w:val="0"/>
      <w:marTop w:val="0"/>
      <w:marBottom w:val="0"/>
      <w:divBdr>
        <w:top w:val="none" w:sz="0" w:space="0" w:color="auto"/>
        <w:left w:val="none" w:sz="0" w:space="0" w:color="auto"/>
        <w:bottom w:val="none" w:sz="0" w:space="0" w:color="auto"/>
        <w:right w:val="none" w:sz="0" w:space="0" w:color="auto"/>
      </w:divBdr>
    </w:div>
    <w:div w:id="1376345146">
      <w:bodyDiv w:val="1"/>
      <w:marLeft w:val="0"/>
      <w:marRight w:val="0"/>
      <w:marTop w:val="0"/>
      <w:marBottom w:val="0"/>
      <w:divBdr>
        <w:top w:val="none" w:sz="0" w:space="0" w:color="auto"/>
        <w:left w:val="none" w:sz="0" w:space="0" w:color="auto"/>
        <w:bottom w:val="none" w:sz="0" w:space="0" w:color="auto"/>
        <w:right w:val="none" w:sz="0" w:space="0" w:color="auto"/>
      </w:divBdr>
      <w:divsChild>
        <w:div w:id="1307127955">
          <w:marLeft w:val="-150"/>
          <w:marRight w:val="0"/>
          <w:marTop w:val="0"/>
          <w:marBottom w:val="0"/>
          <w:divBdr>
            <w:top w:val="none" w:sz="0" w:space="0" w:color="auto"/>
            <w:left w:val="none" w:sz="0" w:space="0" w:color="auto"/>
            <w:bottom w:val="none" w:sz="0" w:space="0" w:color="auto"/>
            <w:right w:val="none" w:sz="0" w:space="0" w:color="auto"/>
          </w:divBdr>
          <w:divsChild>
            <w:div w:id="1565485229">
              <w:marLeft w:val="0"/>
              <w:marRight w:val="0"/>
              <w:marTop w:val="0"/>
              <w:marBottom w:val="0"/>
              <w:divBdr>
                <w:top w:val="none" w:sz="0" w:space="0" w:color="auto"/>
                <w:left w:val="none" w:sz="0" w:space="0" w:color="auto"/>
                <w:bottom w:val="none" w:sz="0" w:space="0" w:color="auto"/>
                <w:right w:val="none" w:sz="0" w:space="0" w:color="auto"/>
              </w:divBdr>
              <w:divsChild>
                <w:div w:id="1252157603">
                  <w:marLeft w:val="0"/>
                  <w:marRight w:val="0"/>
                  <w:marTop w:val="0"/>
                  <w:marBottom w:val="0"/>
                  <w:divBdr>
                    <w:top w:val="none" w:sz="0" w:space="0" w:color="auto"/>
                    <w:left w:val="none" w:sz="0" w:space="0" w:color="auto"/>
                    <w:bottom w:val="none" w:sz="0" w:space="0" w:color="auto"/>
                    <w:right w:val="none" w:sz="0" w:space="0" w:color="auto"/>
                  </w:divBdr>
                  <w:divsChild>
                    <w:div w:id="621150306">
                      <w:marLeft w:val="0"/>
                      <w:marRight w:val="0"/>
                      <w:marTop w:val="0"/>
                      <w:marBottom w:val="0"/>
                      <w:divBdr>
                        <w:top w:val="none" w:sz="0" w:space="0" w:color="auto"/>
                        <w:left w:val="none" w:sz="0" w:space="0" w:color="auto"/>
                        <w:bottom w:val="none" w:sz="0" w:space="0" w:color="auto"/>
                        <w:right w:val="none" w:sz="0" w:space="0" w:color="auto"/>
                      </w:divBdr>
                      <w:divsChild>
                        <w:div w:id="1074009003">
                          <w:marLeft w:val="0"/>
                          <w:marRight w:val="0"/>
                          <w:marTop w:val="0"/>
                          <w:marBottom w:val="0"/>
                          <w:divBdr>
                            <w:top w:val="none" w:sz="0" w:space="0" w:color="auto"/>
                            <w:left w:val="none" w:sz="0" w:space="0" w:color="auto"/>
                            <w:bottom w:val="none" w:sz="0" w:space="0" w:color="auto"/>
                            <w:right w:val="none" w:sz="0" w:space="0" w:color="auto"/>
                          </w:divBdr>
                          <w:divsChild>
                            <w:div w:id="1226449964">
                              <w:marLeft w:val="0"/>
                              <w:marRight w:val="0"/>
                              <w:marTop w:val="0"/>
                              <w:marBottom w:val="0"/>
                              <w:divBdr>
                                <w:top w:val="none" w:sz="0" w:space="0" w:color="auto"/>
                                <w:left w:val="none" w:sz="0" w:space="0" w:color="auto"/>
                                <w:bottom w:val="none" w:sz="0" w:space="0" w:color="auto"/>
                                <w:right w:val="none" w:sz="0" w:space="0" w:color="auto"/>
                              </w:divBdr>
                              <w:divsChild>
                                <w:div w:id="194183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7659712">
      <w:bodyDiv w:val="1"/>
      <w:marLeft w:val="0"/>
      <w:marRight w:val="0"/>
      <w:marTop w:val="0"/>
      <w:marBottom w:val="0"/>
      <w:divBdr>
        <w:top w:val="none" w:sz="0" w:space="0" w:color="auto"/>
        <w:left w:val="none" w:sz="0" w:space="0" w:color="auto"/>
        <w:bottom w:val="none" w:sz="0" w:space="0" w:color="auto"/>
        <w:right w:val="none" w:sz="0" w:space="0" w:color="auto"/>
      </w:divBdr>
    </w:div>
    <w:div w:id="1388844828">
      <w:bodyDiv w:val="1"/>
      <w:marLeft w:val="0"/>
      <w:marRight w:val="0"/>
      <w:marTop w:val="0"/>
      <w:marBottom w:val="0"/>
      <w:divBdr>
        <w:top w:val="none" w:sz="0" w:space="0" w:color="auto"/>
        <w:left w:val="none" w:sz="0" w:space="0" w:color="auto"/>
        <w:bottom w:val="none" w:sz="0" w:space="0" w:color="auto"/>
        <w:right w:val="none" w:sz="0" w:space="0" w:color="auto"/>
      </w:divBdr>
    </w:div>
    <w:div w:id="1397509770">
      <w:bodyDiv w:val="1"/>
      <w:marLeft w:val="0"/>
      <w:marRight w:val="0"/>
      <w:marTop w:val="0"/>
      <w:marBottom w:val="0"/>
      <w:divBdr>
        <w:top w:val="none" w:sz="0" w:space="0" w:color="auto"/>
        <w:left w:val="none" w:sz="0" w:space="0" w:color="auto"/>
        <w:bottom w:val="none" w:sz="0" w:space="0" w:color="auto"/>
        <w:right w:val="none" w:sz="0" w:space="0" w:color="auto"/>
      </w:divBdr>
    </w:div>
    <w:div w:id="1399546983">
      <w:bodyDiv w:val="1"/>
      <w:marLeft w:val="0"/>
      <w:marRight w:val="0"/>
      <w:marTop w:val="0"/>
      <w:marBottom w:val="0"/>
      <w:divBdr>
        <w:top w:val="none" w:sz="0" w:space="0" w:color="auto"/>
        <w:left w:val="none" w:sz="0" w:space="0" w:color="auto"/>
        <w:bottom w:val="none" w:sz="0" w:space="0" w:color="auto"/>
        <w:right w:val="none" w:sz="0" w:space="0" w:color="auto"/>
      </w:divBdr>
    </w:div>
    <w:div w:id="1409688596">
      <w:bodyDiv w:val="1"/>
      <w:marLeft w:val="0"/>
      <w:marRight w:val="0"/>
      <w:marTop w:val="0"/>
      <w:marBottom w:val="0"/>
      <w:divBdr>
        <w:top w:val="none" w:sz="0" w:space="0" w:color="auto"/>
        <w:left w:val="none" w:sz="0" w:space="0" w:color="auto"/>
        <w:bottom w:val="none" w:sz="0" w:space="0" w:color="auto"/>
        <w:right w:val="none" w:sz="0" w:space="0" w:color="auto"/>
      </w:divBdr>
    </w:div>
    <w:div w:id="1412657226">
      <w:bodyDiv w:val="1"/>
      <w:marLeft w:val="0"/>
      <w:marRight w:val="0"/>
      <w:marTop w:val="0"/>
      <w:marBottom w:val="0"/>
      <w:divBdr>
        <w:top w:val="none" w:sz="0" w:space="0" w:color="auto"/>
        <w:left w:val="none" w:sz="0" w:space="0" w:color="auto"/>
        <w:bottom w:val="none" w:sz="0" w:space="0" w:color="auto"/>
        <w:right w:val="none" w:sz="0" w:space="0" w:color="auto"/>
      </w:divBdr>
    </w:div>
    <w:div w:id="1437868665">
      <w:bodyDiv w:val="1"/>
      <w:marLeft w:val="0"/>
      <w:marRight w:val="0"/>
      <w:marTop w:val="0"/>
      <w:marBottom w:val="0"/>
      <w:divBdr>
        <w:top w:val="none" w:sz="0" w:space="0" w:color="auto"/>
        <w:left w:val="none" w:sz="0" w:space="0" w:color="auto"/>
        <w:bottom w:val="none" w:sz="0" w:space="0" w:color="auto"/>
        <w:right w:val="none" w:sz="0" w:space="0" w:color="auto"/>
      </w:divBdr>
    </w:div>
    <w:div w:id="1462310284">
      <w:bodyDiv w:val="1"/>
      <w:marLeft w:val="0"/>
      <w:marRight w:val="0"/>
      <w:marTop w:val="0"/>
      <w:marBottom w:val="0"/>
      <w:divBdr>
        <w:top w:val="none" w:sz="0" w:space="0" w:color="auto"/>
        <w:left w:val="none" w:sz="0" w:space="0" w:color="auto"/>
        <w:bottom w:val="none" w:sz="0" w:space="0" w:color="auto"/>
        <w:right w:val="none" w:sz="0" w:space="0" w:color="auto"/>
      </w:divBdr>
    </w:div>
    <w:div w:id="1468472420">
      <w:bodyDiv w:val="1"/>
      <w:marLeft w:val="0"/>
      <w:marRight w:val="0"/>
      <w:marTop w:val="0"/>
      <w:marBottom w:val="0"/>
      <w:divBdr>
        <w:top w:val="none" w:sz="0" w:space="0" w:color="auto"/>
        <w:left w:val="none" w:sz="0" w:space="0" w:color="auto"/>
        <w:bottom w:val="none" w:sz="0" w:space="0" w:color="auto"/>
        <w:right w:val="none" w:sz="0" w:space="0" w:color="auto"/>
      </w:divBdr>
    </w:div>
    <w:div w:id="1507015569">
      <w:bodyDiv w:val="1"/>
      <w:marLeft w:val="0"/>
      <w:marRight w:val="0"/>
      <w:marTop w:val="0"/>
      <w:marBottom w:val="0"/>
      <w:divBdr>
        <w:top w:val="none" w:sz="0" w:space="0" w:color="auto"/>
        <w:left w:val="none" w:sz="0" w:space="0" w:color="auto"/>
        <w:bottom w:val="none" w:sz="0" w:space="0" w:color="auto"/>
        <w:right w:val="none" w:sz="0" w:space="0" w:color="auto"/>
      </w:divBdr>
      <w:divsChild>
        <w:div w:id="1992170511">
          <w:marLeft w:val="0"/>
          <w:marRight w:val="0"/>
          <w:marTop w:val="0"/>
          <w:marBottom w:val="0"/>
          <w:divBdr>
            <w:top w:val="none" w:sz="0" w:space="0" w:color="auto"/>
            <w:left w:val="none" w:sz="0" w:space="0" w:color="auto"/>
            <w:bottom w:val="none" w:sz="0" w:space="0" w:color="auto"/>
            <w:right w:val="none" w:sz="0" w:space="0" w:color="auto"/>
          </w:divBdr>
          <w:divsChild>
            <w:div w:id="151861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470486">
      <w:bodyDiv w:val="1"/>
      <w:marLeft w:val="0"/>
      <w:marRight w:val="0"/>
      <w:marTop w:val="0"/>
      <w:marBottom w:val="0"/>
      <w:divBdr>
        <w:top w:val="none" w:sz="0" w:space="0" w:color="auto"/>
        <w:left w:val="none" w:sz="0" w:space="0" w:color="auto"/>
        <w:bottom w:val="none" w:sz="0" w:space="0" w:color="auto"/>
        <w:right w:val="none" w:sz="0" w:space="0" w:color="auto"/>
      </w:divBdr>
    </w:div>
    <w:div w:id="1571774356">
      <w:bodyDiv w:val="1"/>
      <w:marLeft w:val="0"/>
      <w:marRight w:val="0"/>
      <w:marTop w:val="0"/>
      <w:marBottom w:val="0"/>
      <w:divBdr>
        <w:top w:val="none" w:sz="0" w:space="0" w:color="auto"/>
        <w:left w:val="none" w:sz="0" w:space="0" w:color="auto"/>
        <w:bottom w:val="none" w:sz="0" w:space="0" w:color="auto"/>
        <w:right w:val="none" w:sz="0" w:space="0" w:color="auto"/>
      </w:divBdr>
    </w:div>
    <w:div w:id="1635674952">
      <w:bodyDiv w:val="1"/>
      <w:marLeft w:val="0"/>
      <w:marRight w:val="0"/>
      <w:marTop w:val="0"/>
      <w:marBottom w:val="0"/>
      <w:divBdr>
        <w:top w:val="none" w:sz="0" w:space="0" w:color="auto"/>
        <w:left w:val="none" w:sz="0" w:space="0" w:color="auto"/>
        <w:bottom w:val="none" w:sz="0" w:space="0" w:color="auto"/>
        <w:right w:val="none" w:sz="0" w:space="0" w:color="auto"/>
      </w:divBdr>
    </w:div>
    <w:div w:id="1648126320">
      <w:bodyDiv w:val="1"/>
      <w:marLeft w:val="0"/>
      <w:marRight w:val="0"/>
      <w:marTop w:val="0"/>
      <w:marBottom w:val="0"/>
      <w:divBdr>
        <w:top w:val="none" w:sz="0" w:space="0" w:color="auto"/>
        <w:left w:val="none" w:sz="0" w:space="0" w:color="auto"/>
        <w:bottom w:val="none" w:sz="0" w:space="0" w:color="auto"/>
        <w:right w:val="none" w:sz="0" w:space="0" w:color="auto"/>
      </w:divBdr>
    </w:div>
    <w:div w:id="1657147305">
      <w:bodyDiv w:val="1"/>
      <w:marLeft w:val="0"/>
      <w:marRight w:val="0"/>
      <w:marTop w:val="0"/>
      <w:marBottom w:val="0"/>
      <w:divBdr>
        <w:top w:val="none" w:sz="0" w:space="0" w:color="auto"/>
        <w:left w:val="none" w:sz="0" w:space="0" w:color="auto"/>
        <w:bottom w:val="none" w:sz="0" w:space="0" w:color="auto"/>
        <w:right w:val="none" w:sz="0" w:space="0" w:color="auto"/>
      </w:divBdr>
      <w:divsChild>
        <w:div w:id="2071877875">
          <w:marLeft w:val="0"/>
          <w:marRight w:val="0"/>
          <w:marTop w:val="0"/>
          <w:marBottom w:val="0"/>
          <w:divBdr>
            <w:top w:val="none" w:sz="0" w:space="0" w:color="auto"/>
            <w:left w:val="none" w:sz="0" w:space="0" w:color="auto"/>
            <w:bottom w:val="none" w:sz="0" w:space="0" w:color="auto"/>
            <w:right w:val="none" w:sz="0" w:space="0" w:color="auto"/>
          </w:divBdr>
        </w:div>
        <w:div w:id="1906597818">
          <w:marLeft w:val="0"/>
          <w:marRight w:val="0"/>
          <w:marTop w:val="0"/>
          <w:marBottom w:val="0"/>
          <w:divBdr>
            <w:top w:val="none" w:sz="0" w:space="0" w:color="auto"/>
            <w:left w:val="none" w:sz="0" w:space="0" w:color="auto"/>
            <w:bottom w:val="none" w:sz="0" w:space="0" w:color="auto"/>
            <w:right w:val="none" w:sz="0" w:space="0" w:color="auto"/>
          </w:divBdr>
        </w:div>
        <w:div w:id="67391472">
          <w:marLeft w:val="0"/>
          <w:marRight w:val="0"/>
          <w:marTop w:val="0"/>
          <w:marBottom w:val="0"/>
          <w:divBdr>
            <w:top w:val="none" w:sz="0" w:space="0" w:color="auto"/>
            <w:left w:val="none" w:sz="0" w:space="0" w:color="auto"/>
            <w:bottom w:val="none" w:sz="0" w:space="0" w:color="auto"/>
            <w:right w:val="none" w:sz="0" w:space="0" w:color="auto"/>
          </w:divBdr>
        </w:div>
        <w:div w:id="1087191667">
          <w:marLeft w:val="0"/>
          <w:marRight w:val="0"/>
          <w:marTop w:val="0"/>
          <w:marBottom w:val="0"/>
          <w:divBdr>
            <w:top w:val="none" w:sz="0" w:space="0" w:color="auto"/>
            <w:left w:val="none" w:sz="0" w:space="0" w:color="auto"/>
            <w:bottom w:val="none" w:sz="0" w:space="0" w:color="auto"/>
            <w:right w:val="none" w:sz="0" w:space="0" w:color="auto"/>
          </w:divBdr>
        </w:div>
      </w:divsChild>
    </w:div>
    <w:div w:id="1663198282">
      <w:bodyDiv w:val="1"/>
      <w:marLeft w:val="0"/>
      <w:marRight w:val="0"/>
      <w:marTop w:val="0"/>
      <w:marBottom w:val="0"/>
      <w:divBdr>
        <w:top w:val="none" w:sz="0" w:space="0" w:color="auto"/>
        <w:left w:val="none" w:sz="0" w:space="0" w:color="auto"/>
        <w:bottom w:val="none" w:sz="0" w:space="0" w:color="auto"/>
        <w:right w:val="none" w:sz="0" w:space="0" w:color="auto"/>
      </w:divBdr>
    </w:div>
    <w:div w:id="1680544766">
      <w:bodyDiv w:val="1"/>
      <w:marLeft w:val="0"/>
      <w:marRight w:val="0"/>
      <w:marTop w:val="0"/>
      <w:marBottom w:val="0"/>
      <w:divBdr>
        <w:top w:val="none" w:sz="0" w:space="0" w:color="auto"/>
        <w:left w:val="none" w:sz="0" w:space="0" w:color="auto"/>
        <w:bottom w:val="none" w:sz="0" w:space="0" w:color="auto"/>
        <w:right w:val="none" w:sz="0" w:space="0" w:color="auto"/>
      </w:divBdr>
    </w:div>
    <w:div w:id="1689478499">
      <w:bodyDiv w:val="1"/>
      <w:marLeft w:val="0"/>
      <w:marRight w:val="0"/>
      <w:marTop w:val="0"/>
      <w:marBottom w:val="0"/>
      <w:divBdr>
        <w:top w:val="none" w:sz="0" w:space="0" w:color="auto"/>
        <w:left w:val="none" w:sz="0" w:space="0" w:color="auto"/>
        <w:bottom w:val="none" w:sz="0" w:space="0" w:color="auto"/>
        <w:right w:val="none" w:sz="0" w:space="0" w:color="auto"/>
      </w:divBdr>
      <w:divsChild>
        <w:div w:id="145828156">
          <w:marLeft w:val="0"/>
          <w:marRight w:val="0"/>
          <w:marTop w:val="600"/>
          <w:marBottom w:val="600"/>
          <w:divBdr>
            <w:top w:val="none" w:sz="0" w:space="0" w:color="auto"/>
            <w:left w:val="none" w:sz="0" w:space="0" w:color="auto"/>
            <w:bottom w:val="none" w:sz="0" w:space="0" w:color="auto"/>
            <w:right w:val="none" w:sz="0" w:space="0" w:color="auto"/>
          </w:divBdr>
          <w:divsChild>
            <w:div w:id="1655256915">
              <w:marLeft w:val="0"/>
              <w:marRight w:val="0"/>
              <w:marTop w:val="0"/>
              <w:marBottom w:val="0"/>
              <w:divBdr>
                <w:top w:val="single" w:sz="6" w:space="15" w:color="BBBBBB"/>
                <w:left w:val="single" w:sz="6" w:space="15" w:color="BBBBBB"/>
                <w:bottom w:val="single" w:sz="6" w:space="15" w:color="BBBBBB"/>
                <w:right w:val="single" w:sz="6" w:space="15" w:color="BBBBBB"/>
              </w:divBdr>
            </w:div>
          </w:divsChild>
        </w:div>
      </w:divsChild>
    </w:div>
    <w:div w:id="1718779606">
      <w:bodyDiv w:val="1"/>
      <w:marLeft w:val="0"/>
      <w:marRight w:val="0"/>
      <w:marTop w:val="0"/>
      <w:marBottom w:val="0"/>
      <w:divBdr>
        <w:top w:val="none" w:sz="0" w:space="0" w:color="auto"/>
        <w:left w:val="none" w:sz="0" w:space="0" w:color="auto"/>
        <w:bottom w:val="none" w:sz="0" w:space="0" w:color="auto"/>
        <w:right w:val="none" w:sz="0" w:space="0" w:color="auto"/>
      </w:divBdr>
    </w:div>
    <w:div w:id="1745637555">
      <w:bodyDiv w:val="1"/>
      <w:marLeft w:val="0"/>
      <w:marRight w:val="0"/>
      <w:marTop w:val="0"/>
      <w:marBottom w:val="0"/>
      <w:divBdr>
        <w:top w:val="none" w:sz="0" w:space="0" w:color="auto"/>
        <w:left w:val="none" w:sz="0" w:space="0" w:color="auto"/>
        <w:bottom w:val="none" w:sz="0" w:space="0" w:color="auto"/>
        <w:right w:val="none" w:sz="0" w:space="0" w:color="auto"/>
      </w:divBdr>
    </w:div>
    <w:div w:id="1747916678">
      <w:bodyDiv w:val="1"/>
      <w:marLeft w:val="0"/>
      <w:marRight w:val="0"/>
      <w:marTop w:val="0"/>
      <w:marBottom w:val="0"/>
      <w:divBdr>
        <w:top w:val="none" w:sz="0" w:space="0" w:color="auto"/>
        <w:left w:val="none" w:sz="0" w:space="0" w:color="auto"/>
        <w:bottom w:val="none" w:sz="0" w:space="0" w:color="auto"/>
        <w:right w:val="none" w:sz="0" w:space="0" w:color="auto"/>
      </w:divBdr>
    </w:div>
    <w:div w:id="1753818597">
      <w:bodyDiv w:val="1"/>
      <w:marLeft w:val="0"/>
      <w:marRight w:val="0"/>
      <w:marTop w:val="0"/>
      <w:marBottom w:val="0"/>
      <w:divBdr>
        <w:top w:val="none" w:sz="0" w:space="0" w:color="auto"/>
        <w:left w:val="none" w:sz="0" w:space="0" w:color="auto"/>
        <w:bottom w:val="none" w:sz="0" w:space="0" w:color="auto"/>
        <w:right w:val="none" w:sz="0" w:space="0" w:color="auto"/>
      </w:divBdr>
    </w:div>
    <w:div w:id="1765108947">
      <w:bodyDiv w:val="1"/>
      <w:marLeft w:val="0"/>
      <w:marRight w:val="0"/>
      <w:marTop w:val="0"/>
      <w:marBottom w:val="0"/>
      <w:divBdr>
        <w:top w:val="none" w:sz="0" w:space="0" w:color="auto"/>
        <w:left w:val="none" w:sz="0" w:space="0" w:color="auto"/>
        <w:bottom w:val="none" w:sz="0" w:space="0" w:color="auto"/>
        <w:right w:val="none" w:sz="0" w:space="0" w:color="auto"/>
      </w:divBdr>
    </w:div>
    <w:div w:id="1775009004">
      <w:bodyDiv w:val="1"/>
      <w:marLeft w:val="0"/>
      <w:marRight w:val="0"/>
      <w:marTop w:val="0"/>
      <w:marBottom w:val="0"/>
      <w:divBdr>
        <w:top w:val="none" w:sz="0" w:space="0" w:color="auto"/>
        <w:left w:val="none" w:sz="0" w:space="0" w:color="auto"/>
        <w:bottom w:val="none" w:sz="0" w:space="0" w:color="auto"/>
        <w:right w:val="none" w:sz="0" w:space="0" w:color="auto"/>
      </w:divBdr>
    </w:div>
    <w:div w:id="1786119888">
      <w:bodyDiv w:val="1"/>
      <w:marLeft w:val="0"/>
      <w:marRight w:val="0"/>
      <w:marTop w:val="0"/>
      <w:marBottom w:val="0"/>
      <w:divBdr>
        <w:top w:val="none" w:sz="0" w:space="0" w:color="auto"/>
        <w:left w:val="none" w:sz="0" w:space="0" w:color="auto"/>
        <w:bottom w:val="none" w:sz="0" w:space="0" w:color="auto"/>
        <w:right w:val="none" w:sz="0" w:space="0" w:color="auto"/>
      </w:divBdr>
    </w:div>
    <w:div w:id="1786539290">
      <w:bodyDiv w:val="1"/>
      <w:marLeft w:val="0"/>
      <w:marRight w:val="0"/>
      <w:marTop w:val="0"/>
      <w:marBottom w:val="0"/>
      <w:divBdr>
        <w:top w:val="none" w:sz="0" w:space="0" w:color="auto"/>
        <w:left w:val="none" w:sz="0" w:space="0" w:color="auto"/>
        <w:bottom w:val="none" w:sz="0" w:space="0" w:color="auto"/>
        <w:right w:val="none" w:sz="0" w:space="0" w:color="auto"/>
      </w:divBdr>
    </w:div>
    <w:div w:id="1790972475">
      <w:bodyDiv w:val="1"/>
      <w:marLeft w:val="0"/>
      <w:marRight w:val="0"/>
      <w:marTop w:val="0"/>
      <w:marBottom w:val="0"/>
      <w:divBdr>
        <w:top w:val="none" w:sz="0" w:space="0" w:color="auto"/>
        <w:left w:val="none" w:sz="0" w:space="0" w:color="auto"/>
        <w:bottom w:val="none" w:sz="0" w:space="0" w:color="auto"/>
        <w:right w:val="none" w:sz="0" w:space="0" w:color="auto"/>
      </w:divBdr>
    </w:div>
    <w:div w:id="1807502194">
      <w:bodyDiv w:val="1"/>
      <w:marLeft w:val="0"/>
      <w:marRight w:val="0"/>
      <w:marTop w:val="0"/>
      <w:marBottom w:val="0"/>
      <w:divBdr>
        <w:top w:val="none" w:sz="0" w:space="0" w:color="auto"/>
        <w:left w:val="none" w:sz="0" w:space="0" w:color="auto"/>
        <w:bottom w:val="none" w:sz="0" w:space="0" w:color="auto"/>
        <w:right w:val="none" w:sz="0" w:space="0" w:color="auto"/>
      </w:divBdr>
    </w:div>
    <w:div w:id="1881867235">
      <w:bodyDiv w:val="1"/>
      <w:marLeft w:val="0"/>
      <w:marRight w:val="0"/>
      <w:marTop w:val="0"/>
      <w:marBottom w:val="0"/>
      <w:divBdr>
        <w:top w:val="none" w:sz="0" w:space="0" w:color="auto"/>
        <w:left w:val="none" w:sz="0" w:space="0" w:color="auto"/>
        <w:bottom w:val="none" w:sz="0" w:space="0" w:color="auto"/>
        <w:right w:val="none" w:sz="0" w:space="0" w:color="auto"/>
      </w:divBdr>
    </w:div>
    <w:div w:id="1887637627">
      <w:bodyDiv w:val="1"/>
      <w:marLeft w:val="0"/>
      <w:marRight w:val="0"/>
      <w:marTop w:val="0"/>
      <w:marBottom w:val="0"/>
      <w:divBdr>
        <w:top w:val="none" w:sz="0" w:space="0" w:color="auto"/>
        <w:left w:val="none" w:sz="0" w:space="0" w:color="auto"/>
        <w:bottom w:val="none" w:sz="0" w:space="0" w:color="auto"/>
        <w:right w:val="none" w:sz="0" w:space="0" w:color="auto"/>
      </w:divBdr>
    </w:div>
    <w:div w:id="1903904554">
      <w:bodyDiv w:val="1"/>
      <w:marLeft w:val="0"/>
      <w:marRight w:val="0"/>
      <w:marTop w:val="0"/>
      <w:marBottom w:val="0"/>
      <w:divBdr>
        <w:top w:val="none" w:sz="0" w:space="0" w:color="auto"/>
        <w:left w:val="none" w:sz="0" w:space="0" w:color="auto"/>
        <w:bottom w:val="none" w:sz="0" w:space="0" w:color="auto"/>
        <w:right w:val="none" w:sz="0" w:space="0" w:color="auto"/>
      </w:divBdr>
    </w:div>
    <w:div w:id="1923447579">
      <w:bodyDiv w:val="1"/>
      <w:marLeft w:val="0"/>
      <w:marRight w:val="0"/>
      <w:marTop w:val="0"/>
      <w:marBottom w:val="0"/>
      <w:divBdr>
        <w:top w:val="none" w:sz="0" w:space="0" w:color="auto"/>
        <w:left w:val="none" w:sz="0" w:space="0" w:color="auto"/>
        <w:bottom w:val="none" w:sz="0" w:space="0" w:color="auto"/>
        <w:right w:val="none" w:sz="0" w:space="0" w:color="auto"/>
      </w:divBdr>
    </w:div>
    <w:div w:id="1934896540">
      <w:bodyDiv w:val="1"/>
      <w:marLeft w:val="0"/>
      <w:marRight w:val="0"/>
      <w:marTop w:val="0"/>
      <w:marBottom w:val="0"/>
      <w:divBdr>
        <w:top w:val="none" w:sz="0" w:space="0" w:color="auto"/>
        <w:left w:val="none" w:sz="0" w:space="0" w:color="auto"/>
        <w:bottom w:val="none" w:sz="0" w:space="0" w:color="auto"/>
        <w:right w:val="none" w:sz="0" w:space="0" w:color="auto"/>
      </w:divBdr>
    </w:div>
    <w:div w:id="1948195106">
      <w:bodyDiv w:val="1"/>
      <w:marLeft w:val="0"/>
      <w:marRight w:val="0"/>
      <w:marTop w:val="0"/>
      <w:marBottom w:val="0"/>
      <w:divBdr>
        <w:top w:val="none" w:sz="0" w:space="0" w:color="auto"/>
        <w:left w:val="none" w:sz="0" w:space="0" w:color="auto"/>
        <w:bottom w:val="none" w:sz="0" w:space="0" w:color="auto"/>
        <w:right w:val="none" w:sz="0" w:space="0" w:color="auto"/>
      </w:divBdr>
    </w:div>
    <w:div w:id="1948997304">
      <w:bodyDiv w:val="1"/>
      <w:marLeft w:val="0"/>
      <w:marRight w:val="0"/>
      <w:marTop w:val="0"/>
      <w:marBottom w:val="0"/>
      <w:divBdr>
        <w:top w:val="none" w:sz="0" w:space="0" w:color="auto"/>
        <w:left w:val="none" w:sz="0" w:space="0" w:color="auto"/>
        <w:bottom w:val="none" w:sz="0" w:space="0" w:color="auto"/>
        <w:right w:val="none" w:sz="0" w:space="0" w:color="auto"/>
      </w:divBdr>
    </w:div>
    <w:div w:id="1951082512">
      <w:bodyDiv w:val="1"/>
      <w:marLeft w:val="0"/>
      <w:marRight w:val="0"/>
      <w:marTop w:val="0"/>
      <w:marBottom w:val="0"/>
      <w:divBdr>
        <w:top w:val="none" w:sz="0" w:space="0" w:color="auto"/>
        <w:left w:val="none" w:sz="0" w:space="0" w:color="auto"/>
        <w:bottom w:val="none" w:sz="0" w:space="0" w:color="auto"/>
        <w:right w:val="none" w:sz="0" w:space="0" w:color="auto"/>
      </w:divBdr>
    </w:div>
    <w:div w:id="1955861477">
      <w:bodyDiv w:val="1"/>
      <w:marLeft w:val="0"/>
      <w:marRight w:val="0"/>
      <w:marTop w:val="0"/>
      <w:marBottom w:val="0"/>
      <w:divBdr>
        <w:top w:val="none" w:sz="0" w:space="0" w:color="auto"/>
        <w:left w:val="none" w:sz="0" w:space="0" w:color="auto"/>
        <w:bottom w:val="none" w:sz="0" w:space="0" w:color="auto"/>
        <w:right w:val="none" w:sz="0" w:space="0" w:color="auto"/>
      </w:divBdr>
    </w:div>
    <w:div w:id="1961103124">
      <w:bodyDiv w:val="1"/>
      <w:marLeft w:val="0"/>
      <w:marRight w:val="0"/>
      <w:marTop w:val="0"/>
      <w:marBottom w:val="0"/>
      <w:divBdr>
        <w:top w:val="none" w:sz="0" w:space="0" w:color="auto"/>
        <w:left w:val="none" w:sz="0" w:space="0" w:color="auto"/>
        <w:bottom w:val="none" w:sz="0" w:space="0" w:color="auto"/>
        <w:right w:val="none" w:sz="0" w:space="0" w:color="auto"/>
      </w:divBdr>
    </w:div>
    <w:div w:id="1976331701">
      <w:bodyDiv w:val="1"/>
      <w:marLeft w:val="0"/>
      <w:marRight w:val="0"/>
      <w:marTop w:val="0"/>
      <w:marBottom w:val="0"/>
      <w:divBdr>
        <w:top w:val="none" w:sz="0" w:space="0" w:color="auto"/>
        <w:left w:val="none" w:sz="0" w:space="0" w:color="auto"/>
        <w:bottom w:val="none" w:sz="0" w:space="0" w:color="auto"/>
        <w:right w:val="none" w:sz="0" w:space="0" w:color="auto"/>
      </w:divBdr>
    </w:div>
    <w:div w:id="1984263710">
      <w:bodyDiv w:val="1"/>
      <w:marLeft w:val="0"/>
      <w:marRight w:val="0"/>
      <w:marTop w:val="0"/>
      <w:marBottom w:val="0"/>
      <w:divBdr>
        <w:top w:val="none" w:sz="0" w:space="0" w:color="auto"/>
        <w:left w:val="none" w:sz="0" w:space="0" w:color="auto"/>
        <w:bottom w:val="none" w:sz="0" w:space="0" w:color="auto"/>
        <w:right w:val="none" w:sz="0" w:space="0" w:color="auto"/>
      </w:divBdr>
    </w:div>
    <w:div w:id="1984771596">
      <w:bodyDiv w:val="1"/>
      <w:marLeft w:val="0"/>
      <w:marRight w:val="0"/>
      <w:marTop w:val="0"/>
      <w:marBottom w:val="0"/>
      <w:divBdr>
        <w:top w:val="none" w:sz="0" w:space="0" w:color="auto"/>
        <w:left w:val="none" w:sz="0" w:space="0" w:color="auto"/>
        <w:bottom w:val="none" w:sz="0" w:space="0" w:color="auto"/>
        <w:right w:val="none" w:sz="0" w:space="0" w:color="auto"/>
      </w:divBdr>
    </w:div>
    <w:div w:id="1992832302">
      <w:bodyDiv w:val="1"/>
      <w:marLeft w:val="0"/>
      <w:marRight w:val="0"/>
      <w:marTop w:val="0"/>
      <w:marBottom w:val="0"/>
      <w:divBdr>
        <w:top w:val="none" w:sz="0" w:space="0" w:color="auto"/>
        <w:left w:val="none" w:sz="0" w:space="0" w:color="auto"/>
        <w:bottom w:val="none" w:sz="0" w:space="0" w:color="auto"/>
        <w:right w:val="none" w:sz="0" w:space="0" w:color="auto"/>
      </w:divBdr>
    </w:div>
    <w:div w:id="1996377106">
      <w:bodyDiv w:val="1"/>
      <w:marLeft w:val="0"/>
      <w:marRight w:val="0"/>
      <w:marTop w:val="0"/>
      <w:marBottom w:val="0"/>
      <w:divBdr>
        <w:top w:val="none" w:sz="0" w:space="0" w:color="auto"/>
        <w:left w:val="none" w:sz="0" w:space="0" w:color="auto"/>
        <w:bottom w:val="none" w:sz="0" w:space="0" w:color="auto"/>
        <w:right w:val="none" w:sz="0" w:space="0" w:color="auto"/>
      </w:divBdr>
    </w:div>
    <w:div w:id="1997414057">
      <w:bodyDiv w:val="1"/>
      <w:marLeft w:val="0"/>
      <w:marRight w:val="0"/>
      <w:marTop w:val="0"/>
      <w:marBottom w:val="0"/>
      <w:divBdr>
        <w:top w:val="none" w:sz="0" w:space="0" w:color="auto"/>
        <w:left w:val="none" w:sz="0" w:space="0" w:color="auto"/>
        <w:bottom w:val="none" w:sz="0" w:space="0" w:color="auto"/>
        <w:right w:val="none" w:sz="0" w:space="0" w:color="auto"/>
      </w:divBdr>
    </w:div>
    <w:div w:id="2000230245">
      <w:bodyDiv w:val="1"/>
      <w:marLeft w:val="0"/>
      <w:marRight w:val="0"/>
      <w:marTop w:val="0"/>
      <w:marBottom w:val="0"/>
      <w:divBdr>
        <w:top w:val="none" w:sz="0" w:space="0" w:color="auto"/>
        <w:left w:val="none" w:sz="0" w:space="0" w:color="auto"/>
        <w:bottom w:val="none" w:sz="0" w:space="0" w:color="auto"/>
        <w:right w:val="none" w:sz="0" w:space="0" w:color="auto"/>
      </w:divBdr>
    </w:div>
    <w:div w:id="2020737180">
      <w:bodyDiv w:val="1"/>
      <w:marLeft w:val="0"/>
      <w:marRight w:val="0"/>
      <w:marTop w:val="0"/>
      <w:marBottom w:val="0"/>
      <w:divBdr>
        <w:top w:val="none" w:sz="0" w:space="0" w:color="auto"/>
        <w:left w:val="none" w:sz="0" w:space="0" w:color="auto"/>
        <w:bottom w:val="none" w:sz="0" w:space="0" w:color="auto"/>
        <w:right w:val="none" w:sz="0" w:space="0" w:color="auto"/>
      </w:divBdr>
    </w:div>
    <w:div w:id="2041204105">
      <w:bodyDiv w:val="1"/>
      <w:marLeft w:val="0"/>
      <w:marRight w:val="0"/>
      <w:marTop w:val="0"/>
      <w:marBottom w:val="0"/>
      <w:divBdr>
        <w:top w:val="none" w:sz="0" w:space="0" w:color="auto"/>
        <w:left w:val="none" w:sz="0" w:space="0" w:color="auto"/>
        <w:bottom w:val="none" w:sz="0" w:space="0" w:color="auto"/>
        <w:right w:val="none" w:sz="0" w:space="0" w:color="auto"/>
      </w:divBdr>
    </w:div>
    <w:div w:id="2045013368">
      <w:bodyDiv w:val="1"/>
      <w:marLeft w:val="0"/>
      <w:marRight w:val="0"/>
      <w:marTop w:val="0"/>
      <w:marBottom w:val="0"/>
      <w:divBdr>
        <w:top w:val="none" w:sz="0" w:space="0" w:color="auto"/>
        <w:left w:val="none" w:sz="0" w:space="0" w:color="auto"/>
        <w:bottom w:val="none" w:sz="0" w:space="0" w:color="auto"/>
        <w:right w:val="none" w:sz="0" w:space="0" w:color="auto"/>
      </w:divBdr>
    </w:div>
    <w:div w:id="2081782216">
      <w:bodyDiv w:val="1"/>
      <w:marLeft w:val="0"/>
      <w:marRight w:val="0"/>
      <w:marTop w:val="0"/>
      <w:marBottom w:val="0"/>
      <w:divBdr>
        <w:top w:val="none" w:sz="0" w:space="0" w:color="auto"/>
        <w:left w:val="none" w:sz="0" w:space="0" w:color="auto"/>
        <w:bottom w:val="none" w:sz="0" w:space="0" w:color="auto"/>
        <w:right w:val="none" w:sz="0" w:space="0" w:color="auto"/>
      </w:divBdr>
    </w:div>
    <w:div w:id="2093890368">
      <w:bodyDiv w:val="1"/>
      <w:marLeft w:val="0"/>
      <w:marRight w:val="0"/>
      <w:marTop w:val="0"/>
      <w:marBottom w:val="0"/>
      <w:divBdr>
        <w:top w:val="none" w:sz="0" w:space="0" w:color="auto"/>
        <w:left w:val="none" w:sz="0" w:space="0" w:color="auto"/>
        <w:bottom w:val="none" w:sz="0" w:space="0" w:color="auto"/>
        <w:right w:val="none" w:sz="0" w:space="0" w:color="auto"/>
      </w:divBdr>
    </w:div>
    <w:div w:id="2096512833">
      <w:bodyDiv w:val="1"/>
      <w:marLeft w:val="0"/>
      <w:marRight w:val="0"/>
      <w:marTop w:val="0"/>
      <w:marBottom w:val="0"/>
      <w:divBdr>
        <w:top w:val="none" w:sz="0" w:space="0" w:color="auto"/>
        <w:left w:val="none" w:sz="0" w:space="0" w:color="auto"/>
        <w:bottom w:val="none" w:sz="0" w:space="0" w:color="auto"/>
        <w:right w:val="none" w:sz="0" w:space="0" w:color="auto"/>
      </w:divBdr>
    </w:div>
    <w:div w:id="2110158587">
      <w:bodyDiv w:val="1"/>
      <w:marLeft w:val="0"/>
      <w:marRight w:val="0"/>
      <w:marTop w:val="0"/>
      <w:marBottom w:val="0"/>
      <w:divBdr>
        <w:top w:val="none" w:sz="0" w:space="0" w:color="auto"/>
        <w:left w:val="none" w:sz="0" w:space="0" w:color="auto"/>
        <w:bottom w:val="none" w:sz="0" w:space="0" w:color="auto"/>
        <w:right w:val="none" w:sz="0" w:space="0" w:color="auto"/>
      </w:divBdr>
    </w:div>
    <w:div w:id="2114594345">
      <w:bodyDiv w:val="1"/>
      <w:marLeft w:val="0"/>
      <w:marRight w:val="0"/>
      <w:marTop w:val="0"/>
      <w:marBottom w:val="0"/>
      <w:divBdr>
        <w:top w:val="none" w:sz="0" w:space="0" w:color="auto"/>
        <w:left w:val="none" w:sz="0" w:space="0" w:color="auto"/>
        <w:bottom w:val="none" w:sz="0" w:space="0" w:color="auto"/>
        <w:right w:val="none" w:sz="0" w:space="0" w:color="auto"/>
      </w:divBdr>
    </w:div>
    <w:div w:id="2130582778">
      <w:bodyDiv w:val="1"/>
      <w:marLeft w:val="0"/>
      <w:marRight w:val="0"/>
      <w:marTop w:val="0"/>
      <w:marBottom w:val="0"/>
      <w:divBdr>
        <w:top w:val="none" w:sz="0" w:space="0" w:color="auto"/>
        <w:left w:val="none" w:sz="0" w:space="0" w:color="auto"/>
        <w:bottom w:val="none" w:sz="0" w:space="0" w:color="auto"/>
        <w:right w:val="none" w:sz="0" w:space="0" w:color="auto"/>
      </w:divBdr>
    </w:div>
    <w:div w:id="2131825301">
      <w:bodyDiv w:val="1"/>
      <w:marLeft w:val="0"/>
      <w:marRight w:val="0"/>
      <w:marTop w:val="0"/>
      <w:marBottom w:val="0"/>
      <w:divBdr>
        <w:top w:val="none" w:sz="0" w:space="0" w:color="auto"/>
        <w:left w:val="none" w:sz="0" w:space="0" w:color="auto"/>
        <w:bottom w:val="none" w:sz="0" w:space="0" w:color="auto"/>
        <w:right w:val="none" w:sz="0" w:space="0" w:color="auto"/>
      </w:divBdr>
      <w:divsChild>
        <w:div w:id="13788177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42BE4F-DF1A-4710-87CA-223AFA53C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6509</Words>
  <Characters>37103</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Silayi</dc:creator>
  <cp:lastModifiedBy>qwert</cp:lastModifiedBy>
  <cp:revision>3</cp:revision>
  <dcterms:created xsi:type="dcterms:W3CDTF">2026-03-17T12:42:00Z</dcterms:created>
  <dcterms:modified xsi:type="dcterms:W3CDTF">2026-04-06T18:09:00Z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f935671e7c35216c4d004788f38a1b7d700ec6e9332450de992037b0821db473</vt:lpwstr>
  </property>
</Properties>
</file>