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B5" w:rsidRDefault="00D046F1" w:rsidP="005E2918">
      <w:pPr>
        <w:pStyle w:val="Heading1"/>
        <w:spacing w:line="360" w:lineRule="auto"/>
        <w:ind w:firstLineChars="1150" w:firstLine="3694"/>
        <w:rPr>
          <w:rFonts w:ascii="Times New Roman" w:hAnsi="Times New Roman" w:cs="Times New Roman"/>
          <w:b/>
          <w:bCs/>
          <w:color w:val="C00000"/>
          <w:sz w:val="28"/>
          <w:szCs w:val="28"/>
        </w:rPr>
      </w:pPr>
      <w:r>
        <w:rPr>
          <w:rFonts w:ascii="Times New Roman" w:hAnsi="Times New Roman" w:cs="Times New Roman"/>
          <w:b/>
          <w:bCs/>
          <w:color w:val="C00000"/>
        </w:rPr>
        <w:t>RESEARCH  ARTICLE</w:t>
      </w:r>
    </w:p>
    <w:p w:rsidR="005A19B5" w:rsidRDefault="005A19B5"/>
    <w:p w:rsidR="005A19B5" w:rsidRDefault="00D046F1">
      <w:pPr>
        <w:spacing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STABILITY INDICATING RP-HPLC METHOD DEVELOPMENT AND VALIDATION FOR SIMULTANEOUS ESTIMATION OF DAPAGLIFLOZIN PROPANEDIOL MONOHYDRATE AND  EPLERENONE IN ITS SYNTHETIC MIXTURE </w:t>
      </w:r>
    </w:p>
    <w:p w:rsidR="005A19B5" w:rsidRDefault="005A19B5">
      <w:pPr>
        <w:spacing w:line="360" w:lineRule="auto"/>
        <w:rPr>
          <w:rFonts w:ascii="Times New Roman" w:hAnsi="Times New Roman"/>
          <w:b/>
          <w:bCs/>
          <w:sz w:val="24"/>
          <w:szCs w:val="24"/>
        </w:rPr>
      </w:pPr>
    </w:p>
    <w:p w:rsidR="005A19B5" w:rsidRDefault="005A19B5">
      <w:pPr>
        <w:spacing w:line="240" w:lineRule="auto"/>
        <w:jc w:val="center"/>
        <w:rPr>
          <w:rFonts w:ascii="Times New Roman" w:hAnsi="Times New Roman" w:cs="Times New Roman"/>
          <w:b/>
          <w:bCs/>
          <w:color w:val="C00000"/>
          <w:sz w:val="24"/>
          <w:szCs w:val="24"/>
        </w:rPr>
        <w:sectPr w:rsidR="005A19B5">
          <w:headerReference w:type="default" r:id="rId10"/>
          <w:footerReference w:type="default" r:id="rId11"/>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bookmarkStart w:id="0" w:name="_GoBack"/>
      <w:bookmarkEnd w:id="0"/>
    </w:p>
    <w:p w:rsidR="005A19B5" w:rsidRDefault="00D046F1">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5A19B5" w:rsidRDefault="005A19B5">
      <w:pPr>
        <w:spacing w:line="360" w:lineRule="auto"/>
        <w:ind w:firstLineChars="150" w:firstLine="360"/>
        <w:jc w:val="both"/>
        <w:rPr>
          <w:rFonts w:ascii="Times New Roman" w:hAnsi="Times New Roman" w:cs="Times New Roman"/>
          <w:sz w:val="24"/>
          <w:szCs w:val="24"/>
        </w:rPr>
        <w:sectPr w:rsidR="005A19B5">
          <w:type w:val="continuous"/>
          <w:pgSz w:w="11906" w:h="16838"/>
          <w:pgMar w:top="425" w:right="289" w:bottom="669" w:left="289" w:header="1134" w:footer="1134" w:gutter="0"/>
          <w:pgBorders>
            <w:top w:val="thinThickSmallGap" w:sz="24" w:space="1" w:color="C00000"/>
            <w:bottom w:val="thickThinSmallGap" w:sz="24" w:space="1" w:color="C00000"/>
          </w:pgBorders>
          <w:cols w:space="425"/>
          <w:docGrid w:linePitch="360"/>
        </w:sect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growing need for effective analytical techniques for </w:t>
      </w:r>
      <w:r>
        <w:rPr>
          <w:rFonts w:ascii="Times New Roman" w:hAnsi="Times New Roman" w:cs="Times New Roman"/>
          <w:sz w:val="24"/>
          <w:szCs w:val="24"/>
        </w:rPr>
        <w:t>combination drug therapy has led to the development of reliable and stability-indicating methods for quantitative estimation. The present work was aimed at developing and validating a reverse phase high performance liquid chromatographic (RP-HPLC) method f</w:t>
      </w:r>
      <w:r>
        <w:rPr>
          <w:rFonts w:ascii="Times New Roman" w:hAnsi="Times New Roman" w:cs="Times New Roman"/>
          <w:sz w:val="24"/>
          <w:szCs w:val="24"/>
        </w:rPr>
        <w:t>or the simultaneous estimation of dapagliflozin propanediol monohydrate and eplerenone in a synthetic mixture. The chromatographic separation was achieved using a Cosmosil C18 column (250 mm × 4.6 mm, 5 µm) with a mobile phase consisting of phosphate buffe</w:t>
      </w:r>
      <w:r>
        <w:rPr>
          <w:rFonts w:ascii="Times New Roman" w:hAnsi="Times New Roman" w:cs="Times New Roman"/>
          <w:sz w:val="24"/>
          <w:szCs w:val="24"/>
        </w:rPr>
        <w:t xml:space="preserve">r and methanol in the ratio of 30:70 % v/v. The detection was carried out at 228 nm. The retention times of dapagliflozin propanediol monohydrate and eplerenone were found to be 6.2 min and 2.6 min, respectively, indicating satisfactory separation of both </w:t>
      </w:r>
      <w:r>
        <w:rPr>
          <w:rFonts w:ascii="Times New Roman" w:hAnsi="Times New Roman" w:cs="Times New Roman"/>
          <w:sz w:val="24"/>
          <w:szCs w:val="24"/>
        </w:rPr>
        <w:t>analytes. The developed method was validated as per ICH guidelines for various parameters such as linearity, accuracy, precision, specificity, robustness, and system suitability. The method showed good linearity with correlation coefficients close to unity</w:t>
      </w:r>
      <w:r>
        <w:rPr>
          <w:rFonts w:ascii="Times New Roman" w:hAnsi="Times New Roman" w:cs="Times New Roman"/>
          <w:sz w:val="24"/>
          <w:szCs w:val="24"/>
        </w:rPr>
        <w:t xml:space="preserve"> for both drugs. The accuracy of the method was confirmed by recovery studies, and precision studies showed %RSD values within acceptable limit indicating reproducibility. The specificity of the method was established by the absence of interference from ex</w:t>
      </w:r>
      <w:r>
        <w:rPr>
          <w:rFonts w:ascii="Times New Roman" w:hAnsi="Times New Roman" w:cs="Times New Roman"/>
          <w:sz w:val="24"/>
          <w:szCs w:val="24"/>
        </w:rPr>
        <w:t xml:space="preserve">cipients and degradation products. Forced degradation studies were performed under acidic, alkaline, oxidative, thermal, and photolytic conditions,and the results confirmed that the method is capable of effectively separating degradation products from the </w:t>
      </w:r>
      <w:r>
        <w:rPr>
          <w:rFonts w:ascii="Times New Roman" w:hAnsi="Times New Roman" w:cs="Times New Roman"/>
          <w:sz w:val="24"/>
          <w:szCs w:val="24"/>
        </w:rPr>
        <w:t>analytes, thereby demonstrating its stability-indicating nature. The developed RP-HPLC method was found to be simple, precise, accurate,and robust, making it suitable for routine quality control analysis and stability studies of dapagliflozin propanediol m</w:t>
      </w:r>
      <w:r>
        <w:rPr>
          <w:rFonts w:ascii="Times New Roman" w:hAnsi="Times New Roman" w:cs="Times New Roman"/>
          <w:sz w:val="24"/>
          <w:szCs w:val="24"/>
        </w:rPr>
        <w:t>onohydrate and eplerenone in synthetic mixtures.</w:t>
      </w:r>
    </w:p>
    <w:p w:rsidR="005A19B5" w:rsidRDefault="005A19B5">
      <w:pPr>
        <w:spacing w:line="240" w:lineRule="auto"/>
        <w:ind w:firstLineChars="150" w:firstLine="360"/>
        <w:jc w:val="both"/>
        <w:rPr>
          <w:rFonts w:ascii="Times New Roman" w:hAnsi="Times New Roman" w:cs="Times New Roman"/>
          <w:sz w:val="24"/>
          <w:szCs w:val="24"/>
        </w:rPr>
        <w:sectPr w:rsidR="005A19B5">
          <w:type w:val="continuous"/>
          <w:pgSz w:w="11906" w:h="16838"/>
          <w:pgMar w:top="431" w:right="238" w:bottom="238" w:left="238" w:header="1134" w:footer="1134" w:gutter="0"/>
          <w:pgBorders>
            <w:top w:val="thinThickSmallGap" w:sz="24" w:space="1" w:color="C00000"/>
            <w:bottom w:val="thickThinSmallGap" w:sz="24" w:space="1" w:color="C00000"/>
          </w:pgBorders>
          <w:cols w:space="425"/>
          <w:docGrid w:linePitch="360"/>
        </w:sectPr>
      </w:pP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KEYWORDS</w:t>
      </w:r>
    </w:p>
    <w:p w:rsidR="005A19B5" w:rsidRDefault="00D046F1">
      <w:pPr>
        <w:spacing w:line="240" w:lineRule="auto"/>
        <w:ind w:firstLineChars="250" w:firstLine="600"/>
        <w:rPr>
          <w:rFonts w:ascii="Times New Roman" w:hAnsi="Times New Roman" w:cs="Times New Roman"/>
          <w:sz w:val="24"/>
          <w:szCs w:val="24"/>
        </w:rPr>
      </w:pPr>
      <w:r>
        <w:rPr>
          <w:rFonts w:ascii="Times New Roman" w:hAnsi="Times New Roman" w:cs="Times New Roman"/>
          <w:sz w:val="24"/>
          <w:szCs w:val="24"/>
        </w:rPr>
        <w:t>Dapagliflozin Propanediol Monohydrate, Eplerenone, Forced degradation studies, RP-HPLC, Stability-indicating method</w:t>
      </w:r>
    </w:p>
    <w:p w:rsidR="005A19B5" w:rsidRDefault="005A19B5">
      <w:pPr>
        <w:spacing w:line="240" w:lineRule="auto"/>
        <w:rPr>
          <w:rFonts w:ascii="Times New Roman" w:hAnsi="Times New Roman" w:cs="Times New Roman"/>
          <w:b/>
          <w:bCs/>
          <w:color w:val="C00000"/>
          <w:sz w:val="24"/>
          <w:szCs w:val="24"/>
        </w:rPr>
        <w:sectPr w:rsidR="005A19B5">
          <w:type w:val="continuous"/>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p w:rsidR="005A19B5" w:rsidRDefault="005A19B5">
      <w:pPr>
        <w:pStyle w:val="Heading1"/>
        <w:spacing w:line="240" w:lineRule="auto"/>
        <w:ind w:left="567" w:hanging="567"/>
        <w:jc w:val="both"/>
        <w:rPr>
          <w:rFonts w:ascii="Times New Roman" w:hAnsi="Times New Roman" w:cs="Times New Roman"/>
          <w:b/>
          <w:bCs/>
          <w:color w:val="auto"/>
          <w:sz w:val="24"/>
          <w:szCs w:val="24"/>
        </w:rPr>
        <w:sectPr w:rsidR="005A19B5">
          <w:pgSz w:w="11906" w:h="16838"/>
          <w:pgMar w:top="425" w:right="289" w:bottom="669" w:left="289" w:header="346" w:footer="403" w:gutter="0"/>
          <w:pgBorders>
            <w:top w:val="thinThickSmallGap" w:sz="24" w:space="1" w:color="C00000"/>
            <w:bottom w:val="thickThinSmallGap" w:sz="24" w:space="1" w:color="C00000"/>
          </w:pgBorders>
          <w:cols w:space="425"/>
          <w:docGrid w:linePitch="360"/>
        </w:sectPr>
      </w:pPr>
    </w:p>
    <w:p w:rsidR="005A19B5" w:rsidRDefault="00D046F1">
      <w:pPr>
        <w:pStyle w:val="Heading1"/>
        <w:spacing w:line="240" w:lineRule="auto"/>
        <w:ind w:left="567" w:hanging="567"/>
        <w:jc w:val="both"/>
        <w:rPr>
          <w:rFonts w:ascii="Times New Roman" w:hAnsi="Times New Roman" w:cs="Times New Roman"/>
          <w:b/>
          <w:bCs/>
          <w:color w:val="auto"/>
          <w:sz w:val="24"/>
          <w:szCs w:val="24"/>
        </w:rPr>
      </w:pPr>
      <w:r>
        <w:rPr>
          <w:rFonts w:ascii="Times New Roman" w:hAnsi="Times New Roman" w:cs="Times New Roman"/>
          <w:b/>
          <w:bCs/>
          <w:color w:val="auto"/>
          <w:sz w:val="28"/>
          <w:szCs w:val="28"/>
        </w:rPr>
        <w:lastRenderedPageBreak/>
        <w:t>INTRODUCTION</w:t>
      </w:r>
    </w:p>
    <w:p w:rsidR="005A19B5" w:rsidRDefault="00D046F1">
      <w:pPr>
        <w:pStyle w:val="Heading2"/>
        <w:spacing w:line="240" w:lineRule="auto"/>
        <w:ind w:left="567" w:hanging="567"/>
        <w:jc w:val="both"/>
        <w:rPr>
          <w:rFonts w:ascii="Times New Roman" w:hAnsi="Times New Roman" w:cs="Times New Roman"/>
          <w:b/>
          <w:bCs/>
          <w:color w:val="auto"/>
          <w:sz w:val="24"/>
          <w:szCs w:val="24"/>
          <w:vertAlign w:val="superscript"/>
        </w:rPr>
      </w:pPr>
      <w:r>
        <w:rPr>
          <w:rFonts w:ascii="Times New Roman" w:hAnsi="Times New Roman" w:cs="Times New Roman"/>
          <w:b/>
          <w:bCs/>
          <w:color w:val="auto"/>
          <w:sz w:val="24"/>
          <w:szCs w:val="24"/>
        </w:rPr>
        <w:t xml:space="preserve">Introduction to disease and drug combination </w:t>
      </w:r>
      <w:r>
        <w:rPr>
          <w:rFonts w:ascii="Times New Roman" w:hAnsi="Times New Roman" w:cs="Times New Roman"/>
          <w:b/>
          <w:bCs/>
          <w:color w:val="auto"/>
          <w:sz w:val="24"/>
          <w:szCs w:val="24"/>
          <w:vertAlign w:val="superscript"/>
        </w:rPr>
        <w:t>[1-3]</w:t>
      </w:r>
    </w:p>
    <w:p w:rsidR="005A19B5" w:rsidRDefault="00D046F1">
      <w:pPr>
        <w:pStyle w:val="Heading2"/>
        <w:spacing w:line="240" w:lineRule="auto"/>
        <w:ind w:left="567" w:hanging="567"/>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Chronic cardiovascular and renal disease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Chronic cardiovascular and renal diseases often coexist with metabolic disorders such as type 2 diabetes </w:t>
      </w:r>
      <w:r>
        <w:rPr>
          <w:rFonts w:ascii="Times New Roman" w:hAnsi="Times New Roman" w:cs="Times New Roman"/>
          <w:sz w:val="24"/>
          <w:szCs w:val="24"/>
        </w:rPr>
        <w:t>mellitus (T2DM). In patients with T2DM, the risks of heart failure, chronic kidney disease (CKD), and hypertension are elevated. Over the past decade, therapeutic strategies have increasingly sought not only to control glycemia or blood pressure, but to pr</w:t>
      </w:r>
      <w:r>
        <w:rPr>
          <w:rFonts w:ascii="Times New Roman" w:hAnsi="Times New Roman" w:cs="Times New Roman"/>
          <w:sz w:val="24"/>
          <w:szCs w:val="24"/>
        </w:rPr>
        <w:t>ovide cardio-renal protection beyond glucose lowering. In this regard, combination therapies that address multiple pathophysiologic axes hold promise.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Eplerenone is a selective mineralocorticoid (aldosterone) receptor antagonist, primarily used in </w:t>
      </w:r>
      <w:r>
        <w:rPr>
          <w:rFonts w:ascii="Times New Roman" w:hAnsi="Times New Roman" w:cs="Times New Roman"/>
          <w:sz w:val="24"/>
          <w:szCs w:val="24"/>
        </w:rPr>
        <w:t>cardiovascular settings to mitigate the harmful effects of aldosterone excess (e.g. in heart failure or post-myocardial infarction). Dapagliflozin is an inhibitor of sodium–glucose cotransporter 2 (SGLT2), a newer class of medicines originally developed to</w:t>
      </w:r>
      <w:r>
        <w:rPr>
          <w:rFonts w:ascii="Times New Roman" w:hAnsi="Times New Roman" w:cs="Times New Roman"/>
          <w:sz w:val="24"/>
          <w:szCs w:val="24"/>
        </w:rPr>
        <w:t xml:space="preserve"> enhance urinary glucose excretion and thus improve glycemic control in T2DM, but which has also shown substantial benefits on heart failure and renal outcomes. The hypothesis of combining eplerenone with dapagliflozin is to target complementary mechanisms</w:t>
      </w:r>
      <w:r>
        <w:rPr>
          <w:rFonts w:ascii="Times New Roman" w:hAnsi="Times New Roman" w:cs="Times New Roman"/>
          <w:sz w:val="24"/>
          <w:szCs w:val="24"/>
        </w:rPr>
        <w:t xml:space="preserve"> of disease (aldosterone-mediated remodeling, fluid retention, renal stress, metabolic stress) and thereby achieve additive or even synergistic benefits, while balancing safety considerations (e.g. electrolyte disturbances, volume effects).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Below is the ou</w:t>
      </w:r>
      <w:r>
        <w:rPr>
          <w:rFonts w:ascii="Times New Roman" w:hAnsi="Times New Roman" w:cs="Times New Roman"/>
          <w:sz w:val="24"/>
          <w:szCs w:val="24"/>
        </w:rPr>
        <w:t>tline of the pharmacologic profiles of each drug, their therapeutic roles, and the mechanistic and clinical rationale for their combination.</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Pharmacology of Eplerenone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Chemical and Pharmacodynamic Properties</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Eplerenone is a steroidal compound that acts as </w:t>
      </w:r>
      <w:r>
        <w:rPr>
          <w:rFonts w:ascii="Times New Roman" w:hAnsi="Times New Roman" w:cs="Times New Roman"/>
          <w:bCs/>
          <w:sz w:val="24"/>
          <w:szCs w:val="24"/>
        </w:rPr>
        <w:t>a selective antagonist of the mineralocorticoid receptor (MR). It competes with aldosterone for binding to the receptor in target tissues (kidneys, heart, vasculature). Compared to older agents like spironolactone, eplerenone has a lower affinity for andro</w:t>
      </w:r>
      <w:r>
        <w:rPr>
          <w:rFonts w:ascii="Times New Roman" w:hAnsi="Times New Roman" w:cs="Times New Roman"/>
          <w:bCs/>
          <w:sz w:val="24"/>
          <w:szCs w:val="24"/>
        </w:rPr>
        <w:t>gen or progesterone receptors and thus fewer endocrine side effects (e.g. gynecomastia).</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By blocking aldosterone action, eplerenone reduces sodium reabsorption and water retention, attenuates potassium excretion, and diminishes maladaptive remodeling, infl</w:t>
      </w:r>
      <w:r>
        <w:rPr>
          <w:rFonts w:ascii="Times New Roman" w:hAnsi="Times New Roman" w:cs="Times New Roman"/>
          <w:bCs/>
          <w:sz w:val="24"/>
          <w:szCs w:val="24"/>
        </w:rPr>
        <w:t>ammation, and fibrosis in cardiovascular and renal tissues.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Indications and Clinical Benefits</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Eplerenone is indicated primarily in:</w:t>
      </w:r>
    </w:p>
    <w:p w:rsidR="005A19B5" w:rsidRDefault="00D046F1">
      <w:pPr>
        <w:numPr>
          <w:ilvl w:val="0"/>
          <w:numId w:val="1"/>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Patients with heart failure with reduced ejection fraction (HFrEF) to reduce morbidity and mortality. </w:t>
      </w:r>
    </w:p>
    <w:p w:rsidR="005A19B5" w:rsidRDefault="00D046F1">
      <w:pPr>
        <w:numPr>
          <w:ilvl w:val="0"/>
          <w:numId w:val="1"/>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Post‐myocardial </w:t>
      </w:r>
      <w:r>
        <w:rPr>
          <w:rFonts w:ascii="Times New Roman" w:hAnsi="Times New Roman" w:cs="Times New Roman"/>
          <w:bCs/>
          <w:sz w:val="24"/>
          <w:szCs w:val="24"/>
        </w:rPr>
        <w:t>infarction (with left ventricular dysfunction) to reduce risk of death and hospitalization from heart failure.</w:t>
      </w:r>
    </w:p>
    <w:p w:rsidR="005A19B5" w:rsidRDefault="00D046F1">
      <w:pPr>
        <w:numPr>
          <w:ilvl w:val="0"/>
          <w:numId w:val="1"/>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Off‐label in resistant hypertension settings, particularly when aldosterone excess is implicated.</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In heart failure, eplerenone helps suppress the</w:t>
      </w:r>
      <w:r>
        <w:rPr>
          <w:rFonts w:ascii="Times New Roman" w:hAnsi="Times New Roman" w:cs="Times New Roman"/>
          <w:bCs/>
          <w:sz w:val="24"/>
          <w:szCs w:val="24"/>
        </w:rPr>
        <w:t xml:space="preserve"> harmful effects of elevated aldosterone signaling (ventricular remodeling, fibrosis, sodium retention) and contributes to improved outcomes when used as part of guideline-directed medical therapy. </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Pharmacokinetics and Safety</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Eplerenone is orally bioavail</w:t>
      </w:r>
      <w:r>
        <w:rPr>
          <w:rFonts w:ascii="Times New Roman" w:hAnsi="Times New Roman" w:cs="Times New Roman"/>
          <w:bCs/>
          <w:sz w:val="24"/>
          <w:szCs w:val="24"/>
        </w:rPr>
        <w:t xml:space="preserve">able, has moderate half-life, and is metabolized by hepatic cytochrome P450 enzymes. Because of its potassium-sparing action, hyperkalemia is a key safety concern, especially when used with other agents that increase potassium (e.g. ACE inhibitors, ARBs). </w:t>
      </w:r>
      <w:r>
        <w:rPr>
          <w:rFonts w:ascii="Times New Roman" w:hAnsi="Times New Roman" w:cs="Times New Roman"/>
          <w:bCs/>
          <w:sz w:val="24"/>
          <w:szCs w:val="24"/>
        </w:rPr>
        <w:t>Renal function must be monitored, and dose adjustment or discontinuation may be needed in renal insufficiency.</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Pharmacology of Dapagliflozin</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Mechanism of Action</w:t>
      </w:r>
    </w:p>
    <w:p w:rsidR="005A19B5" w:rsidRDefault="005A19B5">
      <w:pPr>
        <w:spacing w:line="240" w:lineRule="auto"/>
        <w:jc w:val="both"/>
        <w:rPr>
          <w:rFonts w:ascii="Times New Roman" w:hAnsi="Times New Roman" w:cs="Times New Roman"/>
          <w:bCs/>
          <w:sz w:val="24"/>
          <w:szCs w:val="24"/>
        </w:rPr>
      </w:pP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Dapagliflozin belongs to the class of SGLT2 inhibitors. In the renal proximal tubule, SGLT2 is</w:t>
      </w:r>
      <w:r>
        <w:rPr>
          <w:rFonts w:ascii="Times New Roman" w:hAnsi="Times New Roman" w:cs="Times New Roman"/>
          <w:bCs/>
          <w:sz w:val="24"/>
          <w:szCs w:val="24"/>
        </w:rPr>
        <w:t xml:space="preserve"> responsible for reabsorbing about 90 % of filtered glucose. By inhibiting SGLT2, dapagliflozin reduces reabsorption of glucose (and associated sodium) and increases urinary glucose excretion (glucosuria) — thereby lowering plasma glucose levels. Because s</w:t>
      </w:r>
      <w:r>
        <w:rPr>
          <w:rFonts w:ascii="Times New Roman" w:hAnsi="Times New Roman" w:cs="Times New Roman"/>
          <w:bCs/>
          <w:sz w:val="24"/>
          <w:szCs w:val="24"/>
        </w:rPr>
        <w:t>odium reabsorption is coupled, it also increases natriuresis moderately, reducing intravascular volume and lowering blood pressure.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Therapeutic Uses and Benefits Beyond Glycemic Control</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Originally approved for improving glycemic control in T2DM as adjuncts</w:t>
      </w:r>
      <w:r>
        <w:rPr>
          <w:rFonts w:ascii="Times New Roman" w:hAnsi="Times New Roman" w:cs="Times New Roman"/>
          <w:bCs/>
          <w:sz w:val="24"/>
          <w:szCs w:val="24"/>
        </w:rPr>
        <w:t xml:space="preserve"> to diet and exercise, dapagliflozin’s scope has expanded due to its favorable effects on cardiovascular and renal endpoints.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Key benefits include:</w:t>
      </w:r>
    </w:p>
    <w:p w:rsidR="005A19B5" w:rsidRDefault="00D046F1">
      <w:pPr>
        <w:numPr>
          <w:ilvl w:val="0"/>
          <w:numId w:val="2"/>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Heart failure benefits: In patients with and without diabetes, dapagliflozin reduces risk of hospitalization</w:t>
      </w:r>
      <w:r>
        <w:rPr>
          <w:rFonts w:ascii="Times New Roman" w:hAnsi="Times New Roman" w:cs="Times New Roman"/>
          <w:bCs/>
          <w:sz w:val="24"/>
          <w:szCs w:val="24"/>
        </w:rPr>
        <w:t xml:space="preserve"> for heart failure and cardiovascular death, particularly in patients with reduced ejection fraction. </w:t>
      </w:r>
    </w:p>
    <w:p w:rsidR="005A19B5" w:rsidRDefault="00D046F1">
      <w:pPr>
        <w:numPr>
          <w:ilvl w:val="0"/>
          <w:numId w:val="2"/>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Renal protection: Slowed decline in estimated glomerular filtration rate (eGFR), reduced risk of end-stage kidney disease, and diminished progression of </w:t>
      </w:r>
      <w:r>
        <w:rPr>
          <w:rFonts w:ascii="Times New Roman" w:hAnsi="Times New Roman" w:cs="Times New Roman"/>
          <w:bCs/>
          <w:sz w:val="24"/>
          <w:szCs w:val="24"/>
        </w:rPr>
        <w:t xml:space="preserve">CKD in at-risk populations. </w:t>
      </w:r>
    </w:p>
    <w:p w:rsidR="005A19B5" w:rsidRDefault="00D046F1">
      <w:pPr>
        <w:numPr>
          <w:ilvl w:val="0"/>
          <w:numId w:val="2"/>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Blood pressure and weight effects: Modest reductions in blood pressure (through natriuresis) and modest weight loss (due to caloric loss via glucosuria).</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Pharmacokinetics and Safety Considerations</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After oral administration, </w:t>
      </w:r>
      <w:r>
        <w:rPr>
          <w:rFonts w:ascii="Times New Roman" w:hAnsi="Times New Roman" w:cs="Times New Roman"/>
          <w:bCs/>
          <w:sz w:val="24"/>
          <w:szCs w:val="24"/>
        </w:rPr>
        <w:t>dapagliflozin is absorbed and becomes systemically available; it is eliminated largely via metabolism (UGT enzymes). Because its action depends on renal filtration and function, the efficacy is attenuated in patients with reduced eGFR; below certain cutoff</w:t>
      </w:r>
      <w:r>
        <w:rPr>
          <w:rFonts w:ascii="Times New Roman" w:hAnsi="Times New Roman" w:cs="Times New Roman"/>
          <w:bCs/>
          <w:sz w:val="24"/>
          <w:szCs w:val="24"/>
        </w:rPr>
        <w:t>s (often eGFR &lt;45 mL/min/1.73 m²) its use may be contraindicated or limited.</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Major safety issues include:</w:t>
      </w:r>
    </w:p>
    <w:p w:rsidR="005A19B5" w:rsidRDefault="00D046F1">
      <w:pPr>
        <w:numPr>
          <w:ilvl w:val="0"/>
          <w:numId w:val="3"/>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Genital mycotic infections and urinary tract infections (due to glucosuria)</w:t>
      </w:r>
    </w:p>
    <w:p w:rsidR="005A19B5" w:rsidRDefault="00D046F1">
      <w:pPr>
        <w:numPr>
          <w:ilvl w:val="0"/>
          <w:numId w:val="3"/>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Volume depletion, hypotension (especially in those taking diuretics or wit</w:t>
      </w:r>
      <w:r>
        <w:rPr>
          <w:rFonts w:ascii="Times New Roman" w:hAnsi="Times New Roman" w:cs="Times New Roman"/>
          <w:bCs/>
          <w:sz w:val="24"/>
          <w:szCs w:val="24"/>
        </w:rPr>
        <w:t>h low baseline volume)</w:t>
      </w:r>
    </w:p>
    <w:p w:rsidR="005A19B5" w:rsidRDefault="00D046F1">
      <w:pPr>
        <w:numPr>
          <w:ilvl w:val="0"/>
          <w:numId w:val="3"/>
        </w:numPr>
        <w:tabs>
          <w:tab w:val="clear" w:pos="720"/>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Rarely, euglycemic diabetic ketoacidosis (in susceptible individuals) </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Rationale and Potential Advantages of Combination Therapy</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Given the distinct but partially overlapping mechanisms of eplerenone and dapagliflozin, combining them </w:t>
      </w:r>
      <w:r>
        <w:rPr>
          <w:rFonts w:ascii="Times New Roman" w:hAnsi="Times New Roman" w:cs="Times New Roman"/>
          <w:bCs/>
          <w:sz w:val="24"/>
          <w:szCs w:val="24"/>
        </w:rPr>
        <w:t>offers several theoretical and practical advantages. Below is an outline of the rationale:</w:t>
      </w:r>
    </w:p>
    <w:p w:rsidR="005A19B5" w:rsidRDefault="00D046F1">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Complementary Mechanisms</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Eplerenone acts primarily by blocking aldosterone-mediated effects — sodium retention, potassium excretion, fibrosis, and remodeling.</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Dapagl</w:t>
      </w:r>
      <w:r>
        <w:rPr>
          <w:rFonts w:ascii="Times New Roman" w:hAnsi="Times New Roman" w:cs="Times New Roman"/>
          <w:bCs/>
          <w:sz w:val="24"/>
          <w:szCs w:val="24"/>
        </w:rPr>
        <w:t>iflozin acts via inhibition of glucose and sodium reabsorption, inducing natriuresis, osmotic diuresis, and metabolic effects.</w:t>
      </w:r>
      <w:r>
        <w:rPr>
          <w:rFonts w:ascii="Times New Roman" w:hAnsi="Times New Roman" w:cs="Times New Roman"/>
          <w:bCs/>
          <w:sz w:val="24"/>
          <w:szCs w:val="24"/>
        </w:rPr>
        <w:br/>
        <w:t>Because the two act at different points in renal and cardiovascular homeostasis, their effects may complement rather than duplica</w:t>
      </w:r>
      <w:r>
        <w:rPr>
          <w:rFonts w:ascii="Times New Roman" w:hAnsi="Times New Roman" w:cs="Times New Roman"/>
          <w:bCs/>
          <w:sz w:val="24"/>
          <w:szCs w:val="24"/>
        </w:rPr>
        <w:t>te.</w:t>
      </w:r>
    </w:p>
    <w:p w:rsidR="005A19B5" w:rsidRDefault="00D046F1">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Enhanced Natriuretic/Diuretic Effect</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Dapagliflozin produces mild natriuresis; adding eplerenone may enhance sodium excretion further by antagonizing distal sodium retention pathways mediated by aldosterone.</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In conditions of fluid retention (e.g. heart </w:t>
      </w:r>
      <w:r>
        <w:rPr>
          <w:rFonts w:ascii="Times New Roman" w:hAnsi="Times New Roman" w:cs="Times New Roman"/>
          <w:bCs/>
          <w:sz w:val="24"/>
          <w:szCs w:val="24"/>
        </w:rPr>
        <w:t>failure), this complementary diuretic effect may improve decongestion while potentially allowing lower doses of loop diuretics.</w:t>
      </w:r>
    </w:p>
    <w:p w:rsidR="005A19B5" w:rsidRDefault="00D046F1">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Attenuation of Adverse Remodeling and Fibrosis</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Aldosterone promotes myocardial and vascular fibrosis; eplerenone mitigates this.</w:t>
      </w:r>
    </w:p>
    <w:p w:rsidR="005A19B5" w:rsidRDefault="005A19B5">
      <w:pPr>
        <w:tabs>
          <w:tab w:val="left" w:pos="567"/>
        </w:tabs>
        <w:spacing w:line="240" w:lineRule="auto"/>
        <w:jc w:val="both"/>
        <w:rPr>
          <w:rFonts w:ascii="Times New Roman" w:hAnsi="Times New Roman" w:cs="Times New Roman"/>
          <w:bCs/>
          <w:sz w:val="24"/>
          <w:szCs w:val="24"/>
        </w:rPr>
      </w:pP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Dapagliflozin, via hemodynamic and metabolic effects, may also lessen stress on cardiac tissue and kidneys, thereby reducing maladaptive remodeling. Some preclinical and clinical data suggest that SGLT2 inhibitors have anti-inflammatory or anti-fibrotic </w:t>
      </w:r>
      <w:r>
        <w:rPr>
          <w:rFonts w:ascii="Times New Roman" w:hAnsi="Times New Roman" w:cs="Times New Roman"/>
          <w:bCs/>
          <w:sz w:val="24"/>
          <w:szCs w:val="24"/>
        </w:rPr>
        <w:t>effects beyond hemodynamics.</w:t>
      </w:r>
    </w:p>
    <w:p w:rsidR="005A19B5" w:rsidRDefault="00D046F1">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Improved Cardiovascular and Renal Outcomes</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Both drugs individually have demonstrated cardiovascular and renal benefits in randomized trials (e.g. SGLT2 inhibitors in heart failure, MRAs in post-MI or HFrEF). Using them together</w:t>
      </w:r>
      <w:r>
        <w:rPr>
          <w:rFonts w:ascii="Times New Roman" w:hAnsi="Times New Roman" w:cs="Times New Roman"/>
          <w:bCs/>
          <w:sz w:val="24"/>
          <w:szCs w:val="24"/>
        </w:rPr>
        <w:t xml:space="preserve"> may yield additive protection.</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In patients with T2DM and heart failure, combining glycemic control (via dapagliflozin) with neurohormonal blockade (via eplerenone) might more comprehensively address disease progression.</w:t>
      </w:r>
    </w:p>
    <w:p w:rsidR="005A19B5" w:rsidRDefault="00D046F1">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Mitigating Side-Effects via Dose Op</w:t>
      </w:r>
      <w:r>
        <w:rPr>
          <w:rFonts w:ascii="Times New Roman" w:hAnsi="Times New Roman" w:cs="Times New Roman"/>
          <w:b/>
          <w:bCs/>
          <w:sz w:val="24"/>
          <w:szCs w:val="24"/>
        </w:rPr>
        <w:t>timization</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A combination approach may allow use of lower doses of each with retained benefit, potentially reducing side effects (e.g. hyperkalemia risk from MR antagonists, volume depletion from SGLT2 inhibitors).</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Careful monitoring of electrolytes (especi</w:t>
      </w:r>
      <w:r>
        <w:rPr>
          <w:rFonts w:ascii="Times New Roman" w:hAnsi="Times New Roman" w:cs="Times New Roman"/>
          <w:bCs/>
          <w:sz w:val="24"/>
          <w:szCs w:val="24"/>
        </w:rPr>
        <w:t>ally potassium), renal function, and volume status would be necessary.</w:t>
      </w:r>
    </w:p>
    <w:p w:rsidR="005A19B5" w:rsidRDefault="00D046F1">
      <w:pPr>
        <w:numPr>
          <w:ilvl w:val="0"/>
          <w:numId w:val="4"/>
        </w:numPr>
        <w:tabs>
          <w:tab w:val="clear" w:pos="720"/>
          <w:tab w:val="left" w:pos="567"/>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Synergistic Renal Protection</w:t>
      </w:r>
    </w:p>
    <w:p w:rsidR="005A19B5" w:rsidRDefault="00D046F1">
      <w:pPr>
        <w:numPr>
          <w:ilvl w:val="1"/>
          <w:numId w:val="4"/>
        </w:numPr>
        <w:tabs>
          <w:tab w:val="left" w:pos="567"/>
        </w:tabs>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Dapagliflozin reduces intraglomerular pressure and attenuates hyperfiltration; eplerenone may reduce aldosterone-mediated glomerular injury and interstitial</w:t>
      </w:r>
      <w:r>
        <w:rPr>
          <w:rFonts w:ascii="Times New Roman" w:hAnsi="Times New Roman" w:cs="Times New Roman"/>
          <w:bCs/>
          <w:sz w:val="24"/>
          <w:szCs w:val="24"/>
        </w:rPr>
        <w:t xml:space="preserve"> fibrosis. Together, they may slow CKD progression more effectively.</w:t>
      </w:r>
    </w:p>
    <w:p w:rsidR="005A19B5" w:rsidRDefault="00D046F1">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However, this combination also raises potential challenges—most notably, the risk of hyperkalemia, volume depletion, and acute declines in renal function. In patients receiving ACE inhibi</w:t>
      </w:r>
      <w:r>
        <w:rPr>
          <w:rFonts w:ascii="Times New Roman" w:hAnsi="Times New Roman" w:cs="Times New Roman"/>
          <w:bCs/>
          <w:sz w:val="24"/>
          <w:szCs w:val="24"/>
        </w:rPr>
        <w:t>tors, ARBs, or other potassium-sparing medications, the combination must be used with caution, with frequent monitoring.</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 Summary of Eplerenone and Dapagliflozin</w:t>
      </w:r>
    </w:p>
    <w:tbl>
      <w:tblPr>
        <w:tblStyle w:val="TableGrid"/>
        <w:tblW w:w="0" w:type="auto"/>
        <w:jc w:val="center"/>
        <w:tblLook w:val="04A0" w:firstRow="1" w:lastRow="0" w:firstColumn="1" w:lastColumn="0" w:noHBand="0" w:noVBand="1"/>
      </w:tblPr>
      <w:tblGrid>
        <w:gridCol w:w="1669"/>
        <w:gridCol w:w="3184"/>
        <w:gridCol w:w="3840"/>
        <w:gridCol w:w="2953"/>
      </w:tblGrid>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Feature</w:t>
            </w:r>
          </w:p>
        </w:tc>
        <w:tc>
          <w:tcPr>
            <w:tcW w:w="0" w:type="auto"/>
          </w:tcPr>
          <w:p w:rsidR="005A19B5" w:rsidRDefault="00D046F1">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Eplerenone</w:t>
            </w:r>
          </w:p>
        </w:tc>
        <w:tc>
          <w:tcPr>
            <w:tcW w:w="0" w:type="auto"/>
          </w:tcPr>
          <w:p w:rsidR="005A19B5" w:rsidRDefault="00D046F1">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Dapagliflozin</w:t>
            </w:r>
          </w:p>
        </w:tc>
        <w:tc>
          <w:tcPr>
            <w:tcW w:w="0" w:type="auto"/>
          </w:tcPr>
          <w:p w:rsidR="005A19B5" w:rsidRDefault="00D046F1">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Combination Benefit</w:t>
            </w:r>
          </w:p>
        </w:tc>
      </w:tr>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Drug Type</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Aldosterone </w:t>
            </w:r>
            <w:r>
              <w:rPr>
                <w:rFonts w:ascii="Times New Roman" w:eastAsia="Times New Roman" w:hAnsi="Times New Roman" w:cs="Times New Roman"/>
                <w:kern w:val="0"/>
                <w:sz w:val="24"/>
                <w:szCs w:val="24"/>
                <w:lang w:eastAsia="en-IN"/>
                <w14:ligatures w14:val="none"/>
              </w:rPr>
              <w:t>(mineralocorticoid) receptor blocker</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SGLT2 (sodium–glucose cotransporter 2) inhibitor</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Two different actions that work well together</w:t>
            </w:r>
          </w:p>
        </w:tc>
      </w:tr>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Main Use</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Heart failure, high blood pressure</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Diabetes, heart failure, kidney disease</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Useful for patients with both heart and</w:t>
            </w:r>
            <w:r>
              <w:rPr>
                <w:rFonts w:ascii="Times New Roman" w:eastAsia="Times New Roman" w:hAnsi="Times New Roman" w:cs="Times New Roman"/>
                <w:kern w:val="0"/>
                <w:sz w:val="24"/>
                <w:szCs w:val="24"/>
                <w:lang w:eastAsia="en-IN"/>
                <w14:ligatures w14:val="none"/>
              </w:rPr>
              <w:t xml:space="preserve"> kidney problems</w:t>
            </w:r>
          </w:p>
        </w:tc>
      </w:tr>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How It Works</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Stops aldosterone → less sodium and water retention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Blocks glucose and sodium reabsorption in kidneys → more sugar and salt in urine</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Helps reduce blood pressure, swelling, and heart strain</w:t>
            </w:r>
          </w:p>
        </w:tc>
      </w:tr>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Heart Benefits</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Reduces heart strain</w:t>
            </w:r>
            <w:r>
              <w:rPr>
                <w:rFonts w:ascii="Times New Roman" w:eastAsia="Times New Roman" w:hAnsi="Times New Roman" w:cs="Times New Roman"/>
                <w:kern w:val="0"/>
                <w:sz w:val="24"/>
                <w:szCs w:val="24"/>
                <w:lang w:eastAsia="en-IN"/>
                <w14:ligatures w14:val="none"/>
              </w:rPr>
              <w:t xml:space="preserve"> and scarring</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Lowers risk of heart failure and death</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May give stronger heart protection</w:t>
            </w:r>
          </w:p>
        </w:tc>
      </w:tr>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Kidney Benefits</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Protects kidneys from aldosterone damage</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Slows kidney damage and protein loss</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Combined kidney protection</w:t>
            </w:r>
          </w:p>
        </w:tc>
      </w:tr>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Main Side Effects</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High potassium, low blood </w:t>
            </w:r>
            <w:r>
              <w:rPr>
                <w:rFonts w:ascii="Times New Roman" w:eastAsia="Times New Roman" w:hAnsi="Times New Roman" w:cs="Times New Roman"/>
                <w:kern w:val="0"/>
                <w:sz w:val="24"/>
                <w:szCs w:val="24"/>
                <w:lang w:eastAsia="en-IN"/>
                <w14:ligatures w14:val="none"/>
              </w:rPr>
              <w:t>pressure</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Dehydration, low BP, genital infections</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Must monitor kidney function, potassium, and hydration</w:t>
            </w:r>
          </w:p>
        </w:tc>
      </w:tr>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Form</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Oral tablet</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Oral tablet</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Easy to take together</w:t>
            </w:r>
          </w:p>
        </w:tc>
      </w:tr>
      <w:tr w:rsidR="005A19B5">
        <w:trPr>
          <w:jc w:val="center"/>
        </w:trPr>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Monitoring Needed</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Check potassium, kidney function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Check kidney function, hydration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Regular labs an</w:t>
            </w:r>
            <w:r>
              <w:rPr>
                <w:rFonts w:ascii="Times New Roman" w:eastAsia="Times New Roman" w:hAnsi="Times New Roman" w:cs="Times New Roman"/>
                <w:kern w:val="0"/>
                <w:sz w:val="24"/>
                <w:szCs w:val="24"/>
                <w:lang w:eastAsia="en-IN"/>
                <w14:ligatures w14:val="none"/>
              </w:rPr>
              <w:t>d BP checks</w:t>
            </w:r>
          </w:p>
        </w:tc>
      </w:tr>
    </w:tbl>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Based on these findings, CDSCO has given approval for the FDC of Dapagliflozin and Eplerenone tablets with a dose of 10mg + 25 mg to M/s. Exemed Pharmaceuticals on 07/01/2025.</w:t>
      </w:r>
    </w:p>
    <w:p w:rsidR="005A19B5" w:rsidRDefault="00D046F1">
      <w:pPr>
        <w:pStyle w:val="Heading2"/>
        <w:spacing w:line="24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anchor distT="0" distB="0" distL="114300" distR="114300" simplePos="0" relativeHeight="251658240" behindDoc="0" locked="0" layoutInCell="1" allowOverlap="1">
            <wp:simplePos x="0" y="0"/>
            <wp:positionH relativeFrom="margin">
              <wp:posOffset>115570</wp:posOffset>
            </wp:positionH>
            <wp:positionV relativeFrom="margin">
              <wp:posOffset>-153670</wp:posOffset>
            </wp:positionV>
            <wp:extent cx="7011035" cy="2056130"/>
            <wp:effectExtent l="0" t="0" r="18415" b="127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011035" cy="2056130"/>
                    </a:xfrm>
                    <a:prstGeom prst="rect">
                      <a:avLst/>
                    </a:prstGeom>
                  </pic:spPr>
                </pic:pic>
              </a:graphicData>
            </a:graphic>
          </wp:anchor>
        </w:drawing>
      </w:r>
      <w:r>
        <w:rPr>
          <w:rFonts w:ascii="Times New Roman" w:hAnsi="Times New Roman" w:cs="Times New Roman"/>
          <w:b/>
          <w:sz w:val="24"/>
          <w:szCs w:val="24"/>
        </w:rPr>
        <w:t xml:space="preserve">        </w:t>
      </w:r>
      <w:r>
        <w:rPr>
          <w:rFonts w:ascii="Times New Roman" w:hAnsi="Times New Roman" w:cs="Times New Roman"/>
          <w:b/>
          <w:color w:val="auto"/>
          <w:sz w:val="24"/>
          <w:szCs w:val="24"/>
        </w:rPr>
        <w:t>Figure 1: CDSCO approval letter</w:t>
      </w:r>
    </w:p>
    <w:p w:rsidR="005A19B5" w:rsidRDefault="00D046F1">
      <w:pPr>
        <w:pStyle w:val="Heading2"/>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Introduction to Analytical Method Development </w:t>
      </w:r>
      <w:r>
        <w:rPr>
          <w:rFonts w:ascii="Times New Roman" w:hAnsi="Times New Roman" w:cs="Times New Roman"/>
          <w:b/>
          <w:bCs/>
          <w:color w:val="auto"/>
          <w:sz w:val="24"/>
          <w:szCs w:val="24"/>
          <w:vertAlign w:val="superscript"/>
        </w:rPr>
        <w:t>[4-10]</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Analytical methods are fundamental to modern science, quietly driving progress across many fields. In the pharmaceutical industry, however, their role becomes even more critical, as they form the backbon</w:t>
      </w:r>
      <w:r>
        <w:rPr>
          <w:rFonts w:ascii="Times New Roman" w:hAnsi="Times New Roman" w:cs="Times New Roman"/>
          <w:sz w:val="24"/>
          <w:szCs w:val="24"/>
        </w:rPr>
        <w:t>e of ensuring that medicines are safe, effective, and consistent. Developing analytical methods is therefore not just a technical exercise but a vital process that safeguards patient health and supports innovation. This section highlights why analytical me</w:t>
      </w:r>
      <w:r>
        <w:rPr>
          <w:rFonts w:ascii="Times New Roman" w:hAnsi="Times New Roman" w:cs="Times New Roman"/>
          <w:sz w:val="24"/>
          <w:szCs w:val="24"/>
        </w:rPr>
        <w:t>thod development is essential, how the process unfolds, and the long-term benefits it brings.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 Need for Developing Analytical Methods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Drug discovery and development are fast-paced, with new compounds constantly being designed and tested. Standard analyt</w:t>
      </w:r>
      <w:r>
        <w:rPr>
          <w:rFonts w:ascii="Times New Roman" w:hAnsi="Times New Roman" w:cs="Times New Roman"/>
          <w:sz w:val="24"/>
          <w:szCs w:val="24"/>
        </w:rPr>
        <w:t>ical techniques are not always adequate for these novel drugs, each of which may have unique chemical and physical characteristics. Analytical method development fills this gap by designing approaches tailored to each molecule, covering multiple key areas:</w:t>
      </w:r>
    </w:p>
    <w:p w:rsidR="005A19B5" w:rsidRDefault="00D046F1">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Characterization:</w:t>
      </w:r>
      <w:r>
        <w:rPr>
          <w:rFonts w:ascii="Times New Roman" w:hAnsi="Times New Roman" w:cs="Times New Roman"/>
          <w:sz w:val="24"/>
          <w:szCs w:val="24"/>
        </w:rPr>
        <w:t xml:space="preserve"> Analytical techniques help in identifying a drug’s basic properties such as solubility, stability, and purity. These insights are crucial in determining whether the drug can be developed safely and effectively.</w:t>
      </w:r>
    </w:p>
    <w:p w:rsidR="005A19B5" w:rsidRDefault="00D046F1">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Quantification:</w:t>
      </w:r>
      <w:r>
        <w:rPr>
          <w:rFonts w:ascii="Times New Roman" w:hAnsi="Times New Roman" w:cs="Times New Roman"/>
          <w:sz w:val="24"/>
          <w:szCs w:val="24"/>
        </w:rPr>
        <w:t xml:space="preserve"> Precise me</w:t>
      </w:r>
      <w:r>
        <w:rPr>
          <w:rFonts w:ascii="Times New Roman" w:hAnsi="Times New Roman" w:cs="Times New Roman"/>
          <w:sz w:val="24"/>
          <w:szCs w:val="24"/>
        </w:rPr>
        <w:t>asurement of active pharmaceutical ingredients in raw materials, intermediates, and finished products ensures consistent strength and performance across all manufactured batches.</w:t>
      </w:r>
    </w:p>
    <w:p w:rsidR="005A19B5" w:rsidRDefault="00D046F1">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Quality Assurance:</w:t>
      </w:r>
      <w:r>
        <w:rPr>
          <w:rFonts w:ascii="Times New Roman" w:hAnsi="Times New Roman" w:cs="Times New Roman"/>
          <w:sz w:val="24"/>
          <w:szCs w:val="24"/>
        </w:rPr>
        <w:t xml:space="preserve"> Every stage of drug production must meet strict quality be</w:t>
      </w:r>
      <w:r>
        <w:rPr>
          <w:rFonts w:ascii="Times New Roman" w:hAnsi="Times New Roman" w:cs="Times New Roman"/>
          <w:sz w:val="24"/>
          <w:szCs w:val="24"/>
        </w:rPr>
        <w:t>nchmarks. Analytical methods act as quality checkpoints, detecting deviations early and ensuring regulatory compliance.</w:t>
      </w:r>
    </w:p>
    <w:p w:rsidR="005A19B5" w:rsidRDefault="00D046F1">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Impurity Profiling:</w:t>
      </w:r>
      <w:r>
        <w:rPr>
          <w:rFonts w:ascii="Times New Roman" w:hAnsi="Times New Roman" w:cs="Times New Roman"/>
          <w:sz w:val="24"/>
          <w:szCs w:val="24"/>
        </w:rPr>
        <w:t xml:space="preserve"> Impurities introduced during synthesis or storage may compromise safety. Specialized methods allow for their detecti</w:t>
      </w:r>
      <w:r>
        <w:rPr>
          <w:rFonts w:ascii="Times New Roman" w:hAnsi="Times New Roman" w:cs="Times New Roman"/>
          <w:sz w:val="24"/>
          <w:szCs w:val="24"/>
        </w:rPr>
        <w:t>on, quantification, and control, ensuring patient safety.</w:t>
      </w:r>
    </w:p>
    <w:p w:rsidR="005A19B5" w:rsidRDefault="00D046F1">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Dissolution Testing:</w:t>
      </w:r>
      <w:r>
        <w:rPr>
          <w:rFonts w:ascii="Times New Roman" w:hAnsi="Times New Roman" w:cs="Times New Roman"/>
          <w:sz w:val="24"/>
          <w:szCs w:val="24"/>
        </w:rPr>
        <w:t xml:space="preserve"> By assessing how well a drug dissolves in physiological conditions, analytical methods predict absorption and bioavailability, which are directly linked to therapeutic effective</w:t>
      </w:r>
      <w:r>
        <w:rPr>
          <w:rFonts w:ascii="Times New Roman" w:hAnsi="Times New Roman" w:cs="Times New Roman"/>
          <w:sz w:val="24"/>
          <w:szCs w:val="24"/>
        </w:rPr>
        <w:t>ness.</w:t>
      </w:r>
    </w:p>
    <w:p w:rsidR="005A19B5" w:rsidRDefault="00D046F1">
      <w:pPr>
        <w:numPr>
          <w:ilvl w:val="0"/>
          <w:numId w:val="5"/>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Stability Studies:</w:t>
      </w:r>
      <w:r>
        <w:rPr>
          <w:rFonts w:ascii="Times New Roman" w:hAnsi="Times New Roman" w:cs="Times New Roman"/>
          <w:sz w:val="24"/>
          <w:szCs w:val="24"/>
        </w:rPr>
        <w:t xml:space="preserve"> Drugs face environmental challenges such as heat, humidity, and light. Stability testing determines how a compound holds up under these conditions, guiding shelf life and storage requirements.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 Method Development Process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Creating a robust analytical method is a systematic journey involving several stages:</w:t>
      </w:r>
    </w:p>
    <w:p w:rsidR="005A19B5" w:rsidRDefault="00D046F1">
      <w:pPr>
        <w:numPr>
          <w:ilvl w:val="0"/>
          <w:numId w:val="6"/>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Technique Selection:</w:t>
      </w:r>
      <w:r>
        <w:rPr>
          <w:rFonts w:ascii="Times New Roman" w:hAnsi="Times New Roman" w:cs="Times New Roman"/>
          <w:sz w:val="24"/>
          <w:szCs w:val="24"/>
        </w:rPr>
        <w:t xml:space="preserve"> Choosing the most appropriate analytical tool is the starting point. High-performance liquid chromatography (HPLC), gas chromatography (GC), spectros</w:t>
      </w:r>
      <w:r>
        <w:rPr>
          <w:rFonts w:ascii="Times New Roman" w:hAnsi="Times New Roman" w:cs="Times New Roman"/>
          <w:sz w:val="24"/>
          <w:szCs w:val="24"/>
        </w:rPr>
        <w:t>copy, and mass spectrometry are among the most widely used, each selected based on the drug’s properties and the type of data required.</w:t>
      </w:r>
    </w:p>
    <w:p w:rsidR="005A19B5" w:rsidRDefault="00D046F1">
      <w:pPr>
        <w:numPr>
          <w:ilvl w:val="0"/>
          <w:numId w:val="6"/>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Optimization:</w:t>
      </w:r>
      <w:r>
        <w:rPr>
          <w:rFonts w:ascii="Times New Roman" w:hAnsi="Times New Roman" w:cs="Times New Roman"/>
          <w:sz w:val="24"/>
          <w:szCs w:val="24"/>
        </w:rPr>
        <w:t xml:space="preserve"> Once a technique is chosen, conditions are fine-tuned. In HPLC, for example, factors like mobile phase com</w:t>
      </w:r>
      <w:r>
        <w:rPr>
          <w:rFonts w:ascii="Times New Roman" w:hAnsi="Times New Roman" w:cs="Times New Roman"/>
          <w:sz w:val="24"/>
          <w:szCs w:val="24"/>
        </w:rPr>
        <w:t>position, column type, and detector wavelength are adjusted to achieve accurate separation and measurement.</w:t>
      </w:r>
    </w:p>
    <w:p w:rsidR="005A19B5" w:rsidRDefault="00D046F1">
      <w:pPr>
        <w:numPr>
          <w:ilvl w:val="0"/>
          <w:numId w:val="6"/>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Validation:</w:t>
      </w:r>
      <w:r>
        <w:rPr>
          <w:rFonts w:ascii="Times New Roman" w:hAnsi="Times New Roman" w:cs="Times New Roman"/>
          <w:sz w:val="24"/>
          <w:szCs w:val="24"/>
        </w:rPr>
        <w:t xml:space="preserve"> Before implementation, the method must demonstrate reliability. Validation involves testing for parameters such as accuracy, precision, </w:t>
      </w:r>
      <w:r>
        <w:rPr>
          <w:rFonts w:ascii="Times New Roman" w:hAnsi="Times New Roman" w:cs="Times New Roman"/>
          <w:sz w:val="24"/>
          <w:szCs w:val="24"/>
        </w:rPr>
        <w:t>specificity, linearity, robustness, and reproducibility, ensuring the method is fit for its intended purpose.</w:t>
      </w:r>
    </w:p>
    <w:p w:rsidR="005A19B5" w:rsidRDefault="005A19B5">
      <w:pPr>
        <w:tabs>
          <w:tab w:val="left" w:pos="567"/>
        </w:tabs>
        <w:spacing w:line="240" w:lineRule="auto"/>
        <w:jc w:val="both"/>
        <w:rPr>
          <w:rFonts w:ascii="Times New Roman" w:hAnsi="Times New Roman" w:cs="Times New Roman"/>
          <w:sz w:val="24"/>
          <w:szCs w:val="24"/>
        </w:rPr>
      </w:pPr>
    </w:p>
    <w:p w:rsidR="005A19B5" w:rsidRDefault="00D046F1">
      <w:pPr>
        <w:numPr>
          <w:ilvl w:val="0"/>
          <w:numId w:val="6"/>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lastRenderedPageBreak/>
        <w:t>Documentation:</w:t>
      </w:r>
      <w:r>
        <w:rPr>
          <w:rFonts w:ascii="Times New Roman" w:hAnsi="Times New Roman" w:cs="Times New Roman"/>
          <w:sz w:val="24"/>
          <w:szCs w:val="24"/>
        </w:rPr>
        <w:t xml:space="preserve"> Every detail of the method—from equipment settings to acceptance criteria—is documented. This ensures consistency, reproducibility</w:t>
      </w:r>
      <w:r>
        <w:rPr>
          <w:rFonts w:ascii="Times New Roman" w:hAnsi="Times New Roman" w:cs="Times New Roman"/>
          <w:sz w:val="24"/>
          <w:szCs w:val="24"/>
        </w:rPr>
        <w:t>, and alignment with regulatory requirements.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Benefits of Effective Method Development</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Well-designed analytical methods benefit both research and manufacturing:</w:t>
      </w:r>
    </w:p>
    <w:p w:rsidR="005A19B5" w:rsidRDefault="00D046F1">
      <w:pPr>
        <w:numPr>
          <w:ilvl w:val="0"/>
          <w:numId w:val="7"/>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Improved Drug Quality:</w:t>
      </w:r>
      <w:r>
        <w:rPr>
          <w:rFonts w:ascii="Times New Roman" w:hAnsi="Times New Roman" w:cs="Times New Roman"/>
          <w:sz w:val="24"/>
          <w:szCs w:val="24"/>
        </w:rPr>
        <w:t xml:space="preserve"> They ensure that medicines consistently meet required standards of potency, purity, and safety.</w:t>
      </w:r>
    </w:p>
    <w:p w:rsidR="005A19B5" w:rsidRDefault="00D046F1">
      <w:pPr>
        <w:numPr>
          <w:ilvl w:val="0"/>
          <w:numId w:val="7"/>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Efficient Manufacturing:</w:t>
      </w:r>
      <w:r>
        <w:rPr>
          <w:rFonts w:ascii="Times New Roman" w:hAnsi="Times New Roman" w:cs="Times New Roman"/>
          <w:sz w:val="24"/>
          <w:szCs w:val="24"/>
        </w:rPr>
        <w:t xml:space="preserve"> Real-time analysis during production helps quickly detect and correct problems, reducing delays and costs.</w:t>
      </w:r>
    </w:p>
    <w:p w:rsidR="005A19B5" w:rsidRDefault="00D046F1">
      <w:pPr>
        <w:numPr>
          <w:ilvl w:val="0"/>
          <w:numId w:val="7"/>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Regulatory Readiness:</w:t>
      </w:r>
      <w:r>
        <w:rPr>
          <w:rFonts w:ascii="Times New Roman" w:hAnsi="Times New Roman" w:cs="Times New Roman"/>
          <w:sz w:val="24"/>
          <w:szCs w:val="24"/>
        </w:rPr>
        <w:t xml:space="preserve"> Compr</w:t>
      </w:r>
      <w:r>
        <w:rPr>
          <w:rFonts w:ascii="Times New Roman" w:hAnsi="Times New Roman" w:cs="Times New Roman"/>
          <w:sz w:val="24"/>
          <w:szCs w:val="24"/>
        </w:rPr>
        <w:t>ehensive analytical data supports submissions to regulatory agencies, streamlining the approval process.</w:t>
      </w:r>
    </w:p>
    <w:p w:rsidR="005A19B5" w:rsidRDefault="00D046F1">
      <w:pPr>
        <w:numPr>
          <w:ilvl w:val="0"/>
          <w:numId w:val="7"/>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Accelerated R&amp;D:</w:t>
      </w:r>
      <w:r>
        <w:rPr>
          <w:rFonts w:ascii="Times New Roman" w:hAnsi="Times New Roman" w:cs="Times New Roman"/>
          <w:sz w:val="24"/>
          <w:szCs w:val="24"/>
        </w:rPr>
        <w:t xml:space="preserve"> Reliable methods enable researchers to better evaluate new drug candidates and move them through development pipelines faster.</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Conclus</w:t>
      </w:r>
      <w:r>
        <w:rPr>
          <w:rFonts w:ascii="Times New Roman" w:hAnsi="Times New Roman" w:cs="Times New Roman"/>
          <w:b/>
          <w:bCs/>
          <w:sz w:val="24"/>
          <w:szCs w:val="24"/>
        </w:rPr>
        <w: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Analytical method development is not optional but essential in pharmaceutical research and production. By enabling precise characterization, accurate measurement, and rigorous quality control, these methods protect patient safety and enhance drug relia</w:t>
      </w:r>
      <w:r>
        <w:rPr>
          <w:rFonts w:ascii="Times New Roman" w:hAnsi="Times New Roman" w:cs="Times New Roman"/>
          <w:sz w:val="24"/>
          <w:szCs w:val="24"/>
        </w:rPr>
        <w:t>bility. As new therapies emerge and technologies evolve, advancing analytical approaches will remain a cornerstone of successful drug development.</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Key elements of analytical method development </w:t>
      </w:r>
    </w:p>
    <w:tbl>
      <w:tblPr>
        <w:tblStyle w:val="TableGrid"/>
        <w:tblW w:w="0" w:type="auto"/>
        <w:tblLook w:val="04A0" w:firstRow="1" w:lastRow="0" w:firstColumn="1" w:lastColumn="0" w:noHBand="0" w:noVBand="1"/>
      </w:tblPr>
      <w:tblGrid>
        <w:gridCol w:w="2071"/>
        <w:gridCol w:w="4535"/>
        <w:gridCol w:w="5040"/>
      </w:tblGrid>
      <w:tr w:rsidR="005A19B5">
        <w:tc>
          <w:tcPr>
            <w:tcW w:w="0" w:type="auto"/>
          </w:tcPr>
          <w:p w:rsidR="005A19B5" w:rsidRDefault="00D046F1">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Stage/Aspect</w:t>
            </w:r>
          </w:p>
        </w:tc>
        <w:tc>
          <w:tcPr>
            <w:tcW w:w="0" w:type="auto"/>
          </w:tcPr>
          <w:p w:rsidR="005A19B5" w:rsidRDefault="00D046F1">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Purpose</w:t>
            </w:r>
          </w:p>
        </w:tc>
        <w:tc>
          <w:tcPr>
            <w:tcW w:w="0" w:type="auto"/>
          </w:tcPr>
          <w:p w:rsidR="005A19B5" w:rsidRDefault="00D046F1">
            <w:pPr>
              <w:spacing w:after="0"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Examples/Details</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Characterizati</w:t>
            </w:r>
            <w:r>
              <w:rPr>
                <w:rFonts w:ascii="Times New Roman" w:eastAsia="Times New Roman" w:hAnsi="Times New Roman" w:cs="Times New Roman"/>
                <w:b/>
                <w:bCs/>
                <w:kern w:val="0"/>
                <w:sz w:val="24"/>
                <w:szCs w:val="24"/>
                <w:lang w:eastAsia="en-IN"/>
                <w14:ligatures w14:val="none"/>
              </w:rPr>
              <w:t>on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understand basic physicochemical properties of the drug.</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Solubility, stability, purity, molecular structure.</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Quantification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measure the exact amount of drug substance or product.</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Active pharmaceutical ingredient (API) levels in raw materials, </w:t>
            </w:r>
            <w:r>
              <w:rPr>
                <w:rFonts w:ascii="Times New Roman" w:eastAsia="Times New Roman" w:hAnsi="Times New Roman" w:cs="Times New Roman"/>
                <w:kern w:val="0"/>
                <w:sz w:val="24"/>
                <w:szCs w:val="24"/>
                <w:lang w:eastAsia="en-IN"/>
                <w14:ligatures w14:val="none"/>
              </w:rPr>
              <w:t>tablets, or capsules.</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Quality Control</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ensure consistent product quality during manufacturing.</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Batch testing, in-process controls, detection of deviations.</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Impurity Profiling</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detect, identify, and quantify impurities or degradation products.</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By-prod</w:t>
            </w:r>
            <w:r>
              <w:rPr>
                <w:rFonts w:ascii="Times New Roman" w:eastAsia="Times New Roman" w:hAnsi="Times New Roman" w:cs="Times New Roman"/>
                <w:kern w:val="0"/>
                <w:sz w:val="24"/>
                <w:szCs w:val="24"/>
                <w:lang w:eastAsia="en-IN"/>
                <w14:ligatures w14:val="none"/>
              </w:rPr>
              <w:t>ucts, contaminants, degradation markers.</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Dissolution Testing</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evaluate how quickly and completely a drug dissolves in a medium.</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Predicts absorption, bioavailability, and therapeutic effectiveness.</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Stability Testing</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determine how the drug performs un</w:t>
            </w:r>
            <w:r>
              <w:rPr>
                <w:rFonts w:ascii="Times New Roman" w:eastAsia="Times New Roman" w:hAnsi="Times New Roman" w:cs="Times New Roman"/>
                <w:kern w:val="0"/>
                <w:sz w:val="24"/>
                <w:szCs w:val="24"/>
                <w:lang w:eastAsia="en-IN"/>
                <w14:ligatures w14:val="none"/>
              </w:rPr>
              <w:t>der environmental stress.</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Effect of temperature, light, humidity on shelf life and degradation.</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Method Selection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choose the most suitable analytical technique.</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HPLC, GC, UV/IR spectroscopy, Mass Spectrometry.</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Optimization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To refine the chosen method </w:t>
            </w:r>
            <w:r>
              <w:rPr>
                <w:rFonts w:ascii="Times New Roman" w:eastAsia="Times New Roman" w:hAnsi="Times New Roman" w:cs="Times New Roman"/>
                <w:kern w:val="0"/>
                <w:sz w:val="24"/>
                <w:szCs w:val="24"/>
                <w:lang w:eastAsia="en-IN"/>
                <w14:ligatures w14:val="none"/>
              </w:rPr>
              <w:t>for accuracy and reliability.</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Adjusting mobile phase, detector settings, or instrument parameters.</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Validation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confirm the method is reliable, reproducible, and regulatory-compliant.</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Accuracy, precision, specificity, linearity, robustness.</w:t>
            </w:r>
          </w:p>
        </w:tc>
      </w:tr>
      <w:tr w:rsidR="005A19B5">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Documentatio</w:t>
            </w:r>
            <w:r>
              <w:rPr>
                <w:rFonts w:ascii="Times New Roman" w:eastAsia="Times New Roman" w:hAnsi="Times New Roman" w:cs="Times New Roman"/>
                <w:b/>
                <w:bCs/>
                <w:kern w:val="0"/>
                <w:sz w:val="24"/>
                <w:szCs w:val="24"/>
                <w:lang w:eastAsia="en-IN"/>
                <w14:ligatures w14:val="none"/>
              </w:rPr>
              <w:t>n</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To ensure reproducibility and regulatory approval.</w:t>
            </w:r>
          </w:p>
        </w:tc>
        <w:tc>
          <w:tcPr>
            <w:tcW w:w="0" w:type="auto"/>
          </w:tcPr>
          <w:p w:rsidR="005A19B5" w:rsidRDefault="00D046F1">
            <w:pPr>
              <w:spacing w:after="0" w:line="240" w:lineRule="auto"/>
              <w:jc w:val="center"/>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Standard operating procedures, acceptance criteria, method reports.</w:t>
            </w:r>
          </w:p>
        </w:tc>
      </w:tr>
    </w:tbl>
    <w:p w:rsidR="005A19B5" w:rsidRDefault="005A19B5">
      <w:pPr>
        <w:spacing w:line="240" w:lineRule="auto"/>
        <w:jc w:val="both"/>
        <w:rPr>
          <w:rFonts w:ascii="Times New Roman" w:hAnsi="Times New Roman" w:cs="Times New Roman"/>
          <w:b/>
          <w:bCs/>
          <w:sz w:val="24"/>
          <w:szCs w:val="24"/>
        </w:rPr>
      </w:pPr>
    </w:p>
    <w:p w:rsidR="005A19B5" w:rsidRDefault="00D046F1">
      <w:pPr>
        <w:pStyle w:val="Heading2"/>
        <w:spacing w:line="240" w:lineRule="auto"/>
        <w:jc w:val="both"/>
        <w:rPr>
          <w:rFonts w:ascii="Times New Roman" w:hAnsi="Times New Roman" w:cs="Times New Roman"/>
          <w:b/>
          <w:bCs/>
          <w:color w:val="auto"/>
          <w:sz w:val="24"/>
          <w:szCs w:val="24"/>
          <w:vertAlign w:val="superscript"/>
        </w:rPr>
      </w:pPr>
      <w:r>
        <w:rPr>
          <w:rFonts w:ascii="Times New Roman" w:hAnsi="Times New Roman" w:cs="Times New Roman"/>
          <w:b/>
          <w:bCs/>
          <w:color w:val="auto"/>
          <w:sz w:val="24"/>
          <w:szCs w:val="24"/>
        </w:rPr>
        <w:t xml:space="preserve">Introduction to High Performance Liquid Chromatography </w:t>
      </w:r>
      <w:r>
        <w:rPr>
          <w:rFonts w:ascii="Times New Roman" w:hAnsi="Times New Roman" w:cs="Times New Roman"/>
          <w:b/>
          <w:bCs/>
          <w:color w:val="auto"/>
          <w:sz w:val="24"/>
          <w:szCs w:val="24"/>
          <w:vertAlign w:val="superscript"/>
        </w:rPr>
        <w:t>[4-10]</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High-performance liquid chromatography (HPLC) is one of the most widely</w:t>
      </w:r>
      <w:r>
        <w:rPr>
          <w:rFonts w:ascii="Times New Roman" w:hAnsi="Times New Roman" w:cs="Times New Roman"/>
          <w:sz w:val="24"/>
          <w:szCs w:val="24"/>
        </w:rPr>
        <w:t xml:space="preserve"> used analytical tools in modern science. It allows researchers to separate, identify, and measure components within a liquid mixture with great precision. The technique relies on differences in how molecules interact with two phases: a stationary phase (t</w:t>
      </w:r>
      <w:r>
        <w:rPr>
          <w:rFonts w:ascii="Times New Roman" w:hAnsi="Times New Roman" w:cs="Times New Roman"/>
          <w:sz w:val="24"/>
          <w:szCs w:val="24"/>
        </w:rPr>
        <w:t>he column packing material) and a mobile phase (a liquid solvent that flows through the column). Molecules that bond more strongly with the stationary phase move slowly, while those that interact more with the mobile phase pass quickly, resulting in effect</w:t>
      </w:r>
      <w:r>
        <w:rPr>
          <w:rFonts w:ascii="Times New Roman" w:hAnsi="Times New Roman" w:cs="Times New Roman"/>
          <w:sz w:val="24"/>
          <w:szCs w:val="24"/>
        </w:rPr>
        <w:t>ive separation. By monitoring the time taken for each compound to exit the column—known as retention time—</w:t>
      </w: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and using suitable detectors, scientists obtain detailed insight into the composition of complex samples.</w:t>
      </w:r>
    </w:p>
    <w:p w:rsidR="005A19B5" w:rsidRDefault="00D046F1">
      <w:pPr>
        <w:pStyle w:val="Heading3"/>
        <w:spacing w:line="240" w:lineRule="auto"/>
        <w:jc w:val="both"/>
        <w:rPr>
          <w:rFonts w:ascii="Times New Roman" w:hAnsi="Times New Roman" w:cs="Times New Roman"/>
          <w:b/>
          <w:bCs/>
          <w:color w:val="auto"/>
        </w:rPr>
      </w:pPr>
      <w:r>
        <w:rPr>
          <w:rFonts w:ascii="Times New Roman" w:hAnsi="Times New Roman" w:cs="Times New Roman"/>
          <w:b/>
          <w:bCs/>
          <w:color w:val="auto"/>
        </w:rPr>
        <w:t>High</w:t>
      </w:r>
      <w:r>
        <w:rPr>
          <w:rFonts w:ascii="Times New Roman" w:hAnsi="Times New Roman" w:cs="Times New Roman"/>
          <w:b/>
          <w:bCs/>
          <w:color w:val="auto"/>
        </w:rPr>
        <w:t xml:space="preserve"> </w:t>
      </w:r>
      <w:r>
        <w:rPr>
          <w:rFonts w:ascii="Times New Roman" w:hAnsi="Times New Roman" w:cs="Times New Roman"/>
          <w:b/>
          <w:bCs/>
          <w:color w:val="auto"/>
        </w:rPr>
        <w:t>Performance Liquid Chromatography</w:t>
      </w:r>
    </w:p>
    <w:p w:rsidR="005A19B5" w:rsidRDefault="00D046F1">
      <w:pPr>
        <w:spacing w:line="240" w:lineRule="auto"/>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Wor</w:t>
      </w:r>
      <w:r>
        <w:rPr>
          <w:rFonts w:ascii="Times New Roman" w:eastAsiaTheme="majorEastAsia" w:hAnsi="Times New Roman" w:cs="Times New Roman"/>
          <w:b/>
          <w:bCs/>
          <w:sz w:val="24"/>
          <w:szCs w:val="24"/>
        </w:rPr>
        <w:t>king Principle</w:t>
      </w:r>
    </w:p>
    <w:p w:rsidR="005A19B5" w:rsidRDefault="00D046F1">
      <w:pPr>
        <w:spacing w:line="24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HPLC builds upon the fundamental concept of chromatography, which involves separating substances based on differential affinities. The stationary phase provides a solid framework inside the column that interacts with analytes, while the mobi</w:t>
      </w:r>
      <w:r>
        <w:rPr>
          <w:rFonts w:ascii="Times New Roman" w:eastAsiaTheme="majorEastAsia" w:hAnsi="Times New Roman" w:cs="Times New Roman"/>
          <w:bCs/>
          <w:sz w:val="24"/>
          <w:szCs w:val="24"/>
        </w:rPr>
        <w:t>le phase acts as a carrier solvent that drives the sample forward. As the sample travels through the system, different compounds migrate at different speeds depending on their interactions with the stationary and mobile phases. Careful selection of both ph</w:t>
      </w:r>
      <w:r>
        <w:rPr>
          <w:rFonts w:ascii="Times New Roman" w:eastAsiaTheme="majorEastAsia" w:hAnsi="Times New Roman" w:cs="Times New Roman"/>
          <w:bCs/>
          <w:sz w:val="24"/>
          <w:szCs w:val="24"/>
        </w:rPr>
        <w:t>ases, as well as optimization of experimental conditions, allows highly efficient resolution even for compounds with very similar properties.</w:t>
      </w:r>
    </w:p>
    <w:p w:rsidR="005A19B5" w:rsidRDefault="00D046F1">
      <w:pPr>
        <w:spacing w:line="240" w:lineRule="auto"/>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Detection Strategies</w:t>
      </w:r>
    </w:p>
    <w:p w:rsidR="005A19B5" w:rsidRDefault="00D046F1">
      <w:pPr>
        <w:spacing w:line="24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Once separated, analytes are detected at the column outlet by specialized instruments. Common</w:t>
      </w:r>
      <w:r>
        <w:rPr>
          <w:rFonts w:ascii="Times New Roman" w:eastAsiaTheme="majorEastAsia" w:hAnsi="Times New Roman" w:cs="Times New Roman"/>
          <w:bCs/>
          <w:sz w:val="24"/>
          <w:szCs w:val="24"/>
        </w:rPr>
        <w:t xml:space="preserve"> detectors include UV–Visible detectors, which measure absorbance of light at specific wavelengths, and mass spectrometers, which provide structural information about the molecules. The detector output generates a chromatogram, with each peak representing </w:t>
      </w:r>
      <w:r>
        <w:rPr>
          <w:rFonts w:ascii="Times New Roman" w:eastAsiaTheme="majorEastAsia" w:hAnsi="Times New Roman" w:cs="Times New Roman"/>
          <w:bCs/>
          <w:sz w:val="24"/>
          <w:szCs w:val="24"/>
        </w:rPr>
        <w:t>a compound in the sample. Analysis of peak shape, height, and retention time makes it possible to both identify and quantify the analytes present.</w:t>
      </w:r>
    </w:p>
    <w:p w:rsidR="005A19B5" w:rsidRDefault="00D046F1">
      <w:pPr>
        <w:spacing w:line="240" w:lineRule="auto"/>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Applications of HPLC</w:t>
      </w:r>
    </w:p>
    <w:p w:rsidR="005A19B5" w:rsidRDefault="00D046F1">
      <w:pPr>
        <w:pStyle w:val="Heading3"/>
        <w:spacing w:line="240" w:lineRule="auto"/>
        <w:jc w:val="both"/>
        <w:rPr>
          <w:rFonts w:ascii="Times New Roman" w:hAnsi="Times New Roman" w:cs="Times New Roman"/>
          <w:bCs/>
          <w:color w:val="auto"/>
        </w:rPr>
      </w:pPr>
      <w:r>
        <w:rPr>
          <w:rFonts w:ascii="Times New Roman" w:hAnsi="Times New Roman" w:cs="Times New Roman"/>
          <w:bCs/>
          <w:color w:val="auto"/>
        </w:rPr>
        <w:lastRenderedPageBreak/>
        <w:t>The versatility of HPLC makes it a central technique across many scientific disciplines:</w:t>
      </w:r>
    </w:p>
    <w:p w:rsidR="005A19B5" w:rsidRDefault="00D046F1">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Pharmaceutical Sciences: Used extensively in drug development, HPLC helps determine drug purity, quantify active ingredients, and monitor impurities or degradation products to ensure safety and efficacy.</w:t>
      </w:r>
    </w:p>
    <w:p w:rsidR="005A19B5" w:rsidRDefault="00D046F1">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Environmental Testing: HPLC is employed to detect p</w:t>
      </w:r>
      <w:r>
        <w:rPr>
          <w:rFonts w:ascii="Times New Roman" w:hAnsi="Times New Roman" w:cs="Times New Roman"/>
          <w:bCs/>
          <w:color w:val="auto"/>
        </w:rPr>
        <w:t>esticides, herbicides, and industrial pollutants in water, soil, and air samples, contributing to environmental monitoring and protection.</w:t>
      </w:r>
    </w:p>
    <w:p w:rsidR="005A19B5" w:rsidRDefault="00D046F1">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Food and Beverage Industry: It supports quality control by identifying additives, preservatives, and contaminants, as</w:t>
      </w:r>
      <w:r>
        <w:rPr>
          <w:rFonts w:ascii="Times New Roman" w:hAnsi="Times New Roman" w:cs="Times New Roman"/>
          <w:bCs/>
          <w:color w:val="auto"/>
        </w:rPr>
        <w:t xml:space="preserve"> well as quantifying nutrients such as vitamins and antioxidants.</w:t>
      </w:r>
    </w:p>
    <w:p w:rsidR="005A19B5" w:rsidRDefault="00D046F1">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Forensic Analysis: HPLC assists in toxicology studies by detecting drugs, toxins, and other compounds in biological specimens, as well as in the examination of trace evidence like fibers, in</w:t>
      </w:r>
      <w:r>
        <w:rPr>
          <w:rFonts w:ascii="Times New Roman" w:hAnsi="Times New Roman" w:cs="Times New Roman"/>
          <w:bCs/>
          <w:color w:val="auto"/>
        </w:rPr>
        <w:t>ks, and paints.</w:t>
      </w:r>
    </w:p>
    <w:p w:rsidR="005A19B5" w:rsidRDefault="00D046F1">
      <w:pPr>
        <w:pStyle w:val="Heading3"/>
        <w:numPr>
          <w:ilvl w:val="0"/>
          <w:numId w:val="8"/>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Biochemical Research: The technique is crucial for studying biomolecules including proteins, peptides, and nucleic acids, supporting research into disease mechanisms and therapeutic targets.</w:t>
      </w:r>
    </w:p>
    <w:p w:rsidR="005A19B5" w:rsidRDefault="00D046F1">
      <w:pPr>
        <w:pStyle w:val="Heading3"/>
        <w:spacing w:line="240" w:lineRule="auto"/>
        <w:jc w:val="both"/>
        <w:rPr>
          <w:rFonts w:ascii="Times New Roman" w:hAnsi="Times New Roman" w:cs="Times New Roman"/>
          <w:b/>
          <w:bCs/>
          <w:color w:val="auto"/>
        </w:rPr>
      </w:pPr>
      <w:r>
        <w:rPr>
          <w:rFonts w:ascii="Times New Roman" w:hAnsi="Times New Roman" w:cs="Times New Roman"/>
          <w:b/>
          <w:bCs/>
          <w:color w:val="auto"/>
        </w:rPr>
        <w:t>Advantages of HPLC</w:t>
      </w:r>
    </w:p>
    <w:p w:rsidR="005A19B5" w:rsidRDefault="00D046F1">
      <w:pPr>
        <w:pStyle w:val="Heading3"/>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HPLC offers a wide range of be</w:t>
      </w:r>
      <w:r>
        <w:rPr>
          <w:rFonts w:ascii="Times New Roman" w:hAnsi="Times New Roman" w:cs="Times New Roman"/>
          <w:bCs/>
          <w:color w:val="auto"/>
        </w:rPr>
        <w:t>nefits that explain its dominant role in analytical laboratories:</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Excellent Resolution: Capable of separating complex mixtures containing structurally similar compounds.</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Versatility: Applicable to a wide range of analytes due to different stationary and mo</w:t>
      </w:r>
      <w:r>
        <w:rPr>
          <w:rFonts w:ascii="Times New Roman" w:hAnsi="Times New Roman" w:cs="Times New Roman"/>
          <w:bCs/>
          <w:color w:val="auto"/>
        </w:rPr>
        <w:t>bile phase options.</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High Sensitivity: Modern detectors enable detection of trace-level compounds, critical in drug metabolism and pollutant analysis.</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Automation: Automated injection, solvent control, and data collection enhance accuracy and reduce operator</w:t>
      </w:r>
      <w:r>
        <w:rPr>
          <w:rFonts w:ascii="Times New Roman" w:hAnsi="Times New Roman" w:cs="Times New Roman"/>
          <w:bCs/>
          <w:color w:val="auto"/>
        </w:rPr>
        <w:t xml:space="preserve"> error.</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Speed and Efficiency: Faster than conventional chromatography, enabling high-throughput analysis.</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Quantitative Accuracy: Provides reliable quantitative data, essential in pharmaceutical quality control.</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 xml:space="preserve">Flexible Detection: Compatible with multiple </w:t>
      </w:r>
      <w:r>
        <w:rPr>
          <w:rFonts w:ascii="Times New Roman" w:hAnsi="Times New Roman" w:cs="Times New Roman"/>
          <w:bCs/>
          <w:color w:val="auto"/>
        </w:rPr>
        <w:t>detector types, allowing both routine and advanced analyses.</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Minimal Sample Preparation: Often requires only simple pretreatment, making it time- and resource-efficient.</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Destructive/Non-Destructive Use: Depending on the method, samples can either be collec</w:t>
      </w:r>
      <w:r>
        <w:rPr>
          <w:rFonts w:ascii="Times New Roman" w:hAnsi="Times New Roman" w:cs="Times New Roman"/>
          <w:bCs/>
          <w:color w:val="auto"/>
        </w:rPr>
        <w:t>ted post-analysis or destroyed during detection.</w:t>
      </w:r>
    </w:p>
    <w:p w:rsidR="005A19B5" w:rsidRDefault="00D046F1">
      <w:pPr>
        <w:pStyle w:val="Heading3"/>
        <w:numPr>
          <w:ilvl w:val="0"/>
          <w:numId w:val="9"/>
        </w:numPr>
        <w:tabs>
          <w:tab w:val="clear" w:pos="720"/>
          <w:tab w:val="left" w:pos="567"/>
        </w:tabs>
        <w:spacing w:line="240" w:lineRule="auto"/>
        <w:ind w:left="567" w:hanging="567"/>
        <w:jc w:val="both"/>
        <w:rPr>
          <w:rFonts w:ascii="Times New Roman" w:hAnsi="Times New Roman" w:cs="Times New Roman"/>
          <w:bCs/>
          <w:color w:val="auto"/>
        </w:rPr>
      </w:pPr>
      <w:r>
        <w:rPr>
          <w:rFonts w:ascii="Times New Roman" w:hAnsi="Times New Roman" w:cs="Times New Roman"/>
          <w:bCs/>
          <w:color w:val="auto"/>
        </w:rPr>
        <w:t>Wide Solvent Compatibility: Can handle a broad range of solvents, increasing applicability across diverse sample types.</w:t>
      </w:r>
    </w:p>
    <w:p w:rsidR="005A19B5" w:rsidRDefault="00D046F1">
      <w:pPr>
        <w:pStyle w:val="Heading3"/>
        <w:spacing w:line="240" w:lineRule="auto"/>
        <w:jc w:val="both"/>
        <w:rPr>
          <w:rFonts w:ascii="Times New Roman" w:hAnsi="Times New Roman" w:cs="Times New Roman"/>
          <w:b/>
          <w:bCs/>
          <w:color w:val="auto"/>
        </w:rPr>
      </w:pPr>
      <w:r>
        <w:rPr>
          <w:rFonts w:ascii="Times New Roman" w:hAnsi="Times New Roman" w:cs="Times New Roman"/>
          <w:b/>
          <w:bCs/>
          <w:color w:val="auto"/>
        </w:rPr>
        <w:t>Conclusion</w:t>
      </w:r>
    </w:p>
    <w:p w:rsidR="005A19B5" w:rsidRDefault="00D046F1">
      <w:pPr>
        <w:pStyle w:val="Heading3"/>
        <w:spacing w:line="240" w:lineRule="auto"/>
        <w:jc w:val="both"/>
        <w:rPr>
          <w:rFonts w:ascii="Times New Roman" w:hAnsi="Times New Roman" w:cs="Times New Roman"/>
          <w:b/>
          <w:bCs/>
        </w:rPr>
      </w:pPr>
      <w:r>
        <w:rPr>
          <w:rFonts w:ascii="Times New Roman" w:hAnsi="Times New Roman" w:cs="Times New Roman"/>
          <w:bCs/>
          <w:color w:val="auto"/>
        </w:rPr>
        <w:t xml:space="preserve">High-performance liquid chromatography has established itself as a </w:t>
      </w:r>
      <w:r>
        <w:rPr>
          <w:rFonts w:ascii="Times New Roman" w:hAnsi="Times New Roman" w:cs="Times New Roman"/>
          <w:bCs/>
          <w:color w:val="auto"/>
        </w:rPr>
        <w:t>cornerstone of analytical science. Its ability to separate, identify, and quantify compounds with speed and accuracy has made it indispensable in pharmaceuticals, environmental monitoring, food analysis, forensic science, and biochemistry. With ongoing tec</w:t>
      </w:r>
      <w:r>
        <w:rPr>
          <w:rFonts w:ascii="Times New Roman" w:hAnsi="Times New Roman" w:cs="Times New Roman"/>
          <w:bCs/>
          <w:color w:val="auto"/>
        </w:rPr>
        <w:t>hnological advancements, HPLC will continue to expand its scope, offering even greater precision and sensitivity in tackling the analytical challenges of the future.</w:t>
      </w:r>
    </w:p>
    <w:p w:rsidR="005A19B5" w:rsidRDefault="00D046F1">
      <w:pPr>
        <w:pStyle w:val="Heading3"/>
        <w:spacing w:line="240" w:lineRule="auto"/>
        <w:jc w:val="both"/>
        <w:rPr>
          <w:rFonts w:ascii="Times New Roman" w:hAnsi="Times New Roman" w:cs="Times New Roman"/>
        </w:rPr>
      </w:pPr>
      <w:r>
        <w:rPr>
          <w:rFonts w:ascii="Times New Roman" w:hAnsi="Times New Roman" w:cs="Times New Roman"/>
          <w:b/>
          <w:bCs/>
          <w:color w:val="auto"/>
        </w:rPr>
        <w:t>Classification of HPLC</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High-performance liquid chromatography (HPLC) can be grouped into d</w:t>
      </w:r>
      <w:r>
        <w:rPr>
          <w:rFonts w:ascii="Times New Roman" w:hAnsi="Times New Roman" w:cs="Times New Roman"/>
          <w:sz w:val="24"/>
          <w:szCs w:val="24"/>
        </w:rPr>
        <w:t>ifferent categories depending on how the separation is achieved, the type of column used, or the mobile phase strategy applied. Below is a detailed outline of the main classifications:</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Based on Separation Principle</w:t>
      </w:r>
    </w:p>
    <w:p w:rsidR="005A19B5" w:rsidRDefault="00D046F1">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Normal-Phase HPLC (NP-HPLC):</w:t>
      </w:r>
      <w:r>
        <w:rPr>
          <w:rFonts w:ascii="Times New Roman" w:hAnsi="Times New Roman" w:cs="Times New Roman"/>
          <w:sz w:val="24"/>
          <w:szCs w:val="24"/>
        </w:rPr>
        <w:t xml:space="preserve"> Uses a polar</w:t>
      </w:r>
      <w:r>
        <w:rPr>
          <w:rFonts w:ascii="Times New Roman" w:hAnsi="Times New Roman" w:cs="Times New Roman"/>
          <w:sz w:val="24"/>
          <w:szCs w:val="24"/>
        </w:rPr>
        <w:t xml:space="preserve"> stationary phase and a non-polar mobile phase. Best suited for the analysis of less polar or moderately polar compounds.</w:t>
      </w:r>
    </w:p>
    <w:p w:rsidR="005A19B5" w:rsidRDefault="00D046F1">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Reversed-Phase HPLC (RP-HPLC):</w:t>
      </w:r>
      <w:r>
        <w:rPr>
          <w:rFonts w:ascii="Times New Roman" w:hAnsi="Times New Roman" w:cs="Times New Roman"/>
          <w:sz w:val="24"/>
          <w:szCs w:val="24"/>
        </w:rPr>
        <w:t xml:space="preserve"> The most commonly applied form of HPLC. Here, the stationary phase is non-polar (such as C18), while th</w:t>
      </w:r>
      <w:r>
        <w:rPr>
          <w:rFonts w:ascii="Times New Roman" w:hAnsi="Times New Roman" w:cs="Times New Roman"/>
          <w:sz w:val="24"/>
          <w:szCs w:val="24"/>
        </w:rPr>
        <w:t>e mobile phase is a water-organic solvent mixture. It is highly effective for separating polar and semi-polar analytes, making it essential in pharmaceutical and biological testing.</w:t>
      </w:r>
    </w:p>
    <w:p w:rsidR="005A19B5" w:rsidRDefault="00D046F1">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Ion-Exchange Chromatography (IEC):</w:t>
      </w:r>
      <w:r>
        <w:rPr>
          <w:rFonts w:ascii="Times New Roman" w:hAnsi="Times New Roman" w:cs="Times New Roman"/>
          <w:sz w:val="24"/>
          <w:szCs w:val="24"/>
        </w:rPr>
        <w:t xml:space="preserve"> Employs a charged stationary phase to s</w:t>
      </w:r>
      <w:r>
        <w:rPr>
          <w:rFonts w:ascii="Times New Roman" w:hAnsi="Times New Roman" w:cs="Times New Roman"/>
          <w:sz w:val="24"/>
          <w:szCs w:val="24"/>
        </w:rPr>
        <w:t>eparate ionic compounds. It is particularly effective for proteins, amino acids, and peptides.</w:t>
      </w:r>
    </w:p>
    <w:p w:rsidR="005A19B5" w:rsidRDefault="00D046F1">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Size-Exclusion Chromatography (SEC) / Gel Permeation Chromatography (GPC):</w:t>
      </w:r>
      <w:r>
        <w:rPr>
          <w:rFonts w:ascii="Times New Roman" w:hAnsi="Times New Roman" w:cs="Times New Roman"/>
          <w:sz w:val="24"/>
          <w:szCs w:val="24"/>
        </w:rPr>
        <w:t xml:space="preserve"> Relies on molecular size for separation. Larger molecules pass through the column more</w:t>
      </w:r>
      <w:r>
        <w:rPr>
          <w:rFonts w:ascii="Times New Roman" w:hAnsi="Times New Roman" w:cs="Times New Roman"/>
          <w:sz w:val="24"/>
          <w:szCs w:val="24"/>
        </w:rPr>
        <w:t xml:space="preserve"> quickly, while smaller molecules are retained longer. Often used for polymers and biomacromolecules.</w:t>
      </w:r>
    </w:p>
    <w:p w:rsidR="005A19B5" w:rsidRDefault="005A19B5">
      <w:pPr>
        <w:tabs>
          <w:tab w:val="left" w:pos="567"/>
        </w:tabs>
        <w:spacing w:line="240" w:lineRule="auto"/>
        <w:jc w:val="both"/>
        <w:rPr>
          <w:rFonts w:ascii="Times New Roman" w:hAnsi="Times New Roman" w:cs="Times New Roman"/>
          <w:sz w:val="24"/>
          <w:szCs w:val="24"/>
        </w:rPr>
      </w:pPr>
    </w:p>
    <w:p w:rsidR="005A19B5" w:rsidRDefault="00D046F1">
      <w:pPr>
        <w:numPr>
          <w:ilvl w:val="0"/>
          <w:numId w:val="1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lastRenderedPageBreak/>
        <w:t>Affinity Chromatography:</w:t>
      </w:r>
      <w:r>
        <w:rPr>
          <w:rFonts w:ascii="Times New Roman" w:hAnsi="Times New Roman" w:cs="Times New Roman"/>
          <w:sz w:val="24"/>
          <w:szCs w:val="24"/>
        </w:rPr>
        <w:t xml:space="preserve"> Highly selective separation method that utilizes a stationary phase bonded with ligands to capture specific analytes. Widely use</w:t>
      </w:r>
      <w:r>
        <w:rPr>
          <w:rFonts w:ascii="Times New Roman" w:hAnsi="Times New Roman" w:cs="Times New Roman"/>
          <w:sz w:val="24"/>
          <w:szCs w:val="24"/>
        </w:rPr>
        <w:t>d for purifying enzymes, antibodies, and other biomolecules.</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Based on Column Configuration</w:t>
      </w:r>
    </w:p>
    <w:p w:rsidR="005A19B5" w:rsidRDefault="00D046F1">
      <w:pPr>
        <w:numPr>
          <w:ilvl w:val="0"/>
          <w:numId w:val="1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Analytical HPLC:</w:t>
      </w:r>
      <w:r>
        <w:rPr>
          <w:rFonts w:ascii="Times New Roman" w:hAnsi="Times New Roman" w:cs="Times New Roman"/>
          <w:sz w:val="24"/>
          <w:szCs w:val="24"/>
        </w:rPr>
        <w:t xml:space="preserve"> The standard choice for routine qualitative and quantitative analysis. These columns are typically narrow (around 4.6 mm internal diameter) and requ</w:t>
      </w:r>
      <w:r>
        <w:rPr>
          <w:rFonts w:ascii="Times New Roman" w:hAnsi="Times New Roman" w:cs="Times New Roman"/>
          <w:sz w:val="24"/>
          <w:szCs w:val="24"/>
        </w:rPr>
        <w:t>ire only small sample volumes.</w:t>
      </w:r>
    </w:p>
    <w:p w:rsidR="005A19B5" w:rsidRDefault="00D046F1">
      <w:pPr>
        <w:numPr>
          <w:ilvl w:val="0"/>
          <w:numId w:val="1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Preparative HPLC:</w:t>
      </w:r>
      <w:r>
        <w:rPr>
          <w:rFonts w:ascii="Times New Roman" w:hAnsi="Times New Roman" w:cs="Times New Roman"/>
          <w:sz w:val="24"/>
          <w:szCs w:val="24"/>
        </w:rPr>
        <w:t xml:space="preserve"> Designed for isolating larger amounts of compounds. Columns are wider (10 mm or more), allowing higher sample loading and collection of purified fractions.</w:t>
      </w:r>
    </w:p>
    <w:p w:rsidR="005A19B5" w:rsidRDefault="00D046F1">
      <w:pPr>
        <w:numPr>
          <w:ilvl w:val="0"/>
          <w:numId w:val="1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Micro-HPLC:</w:t>
      </w:r>
      <w:r>
        <w:rPr>
          <w:rFonts w:ascii="Times New Roman" w:hAnsi="Times New Roman" w:cs="Times New Roman"/>
          <w:sz w:val="24"/>
          <w:szCs w:val="24"/>
        </w:rPr>
        <w:t xml:space="preserve"> Utilizes columns with diameters below 2</w:t>
      </w:r>
      <w:r>
        <w:rPr>
          <w:rFonts w:ascii="Times New Roman" w:hAnsi="Times New Roman" w:cs="Times New Roman"/>
          <w:sz w:val="24"/>
          <w:szCs w:val="24"/>
        </w:rPr>
        <w:t xml:space="preserve"> mm. Benefits include reduced solvent use, higher resolution, and efficiency, though specialized instruments are required.</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Based on Mobile Phase Program</w:t>
      </w:r>
    </w:p>
    <w:p w:rsidR="005A19B5" w:rsidRDefault="00D046F1">
      <w:pPr>
        <w:numPr>
          <w:ilvl w:val="0"/>
          <w:numId w:val="12"/>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Isocratic Elution:</w:t>
      </w:r>
      <w:r>
        <w:rPr>
          <w:rFonts w:ascii="Times New Roman" w:hAnsi="Times New Roman" w:cs="Times New Roman"/>
          <w:sz w:val="24"/>
          <w:szCs w:val="24"/>
        </w:rPr>
        <w:t xml:space="preserve"> Maintains a constant solvent composition throughout the run. Ideal for simple mixtures where analytes differ significantly in polarity.</w:t>
      </w:r>
    </w:p>
    <w:p w:rsidR="005A19B5" w:rsidRDefault="00D046F1">
      <w:pPr>
        <w:numPr>
          <w:ilvl w:val="0"/>
          <w:numId w:val="12"/>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rPr>
        <w:t>Gradient Elution:</w:t>
      </w:r>
      <w:r>
        <w:rPr>
          <w:rFonts w:ascii="Times New Roman" w:hAnsi="Times New Roman" w:cs="Times New Roman"/>
          <w:sz w:val="24"/>
          <w:szCs w:val="24"/>
        </w:rPr>
        <w:t xml:space="preserve"> Gradually alters the mobile phase composition during analysis (e.g., increasing organic solvent conte</w:t>
      </w:r>
      <w:r>
        <w:rPr>
          <w:rFonts w:ascii="Times New Roman" w:hAnsi="Times New Roman" w:cs="Times New Roman"/>
          <w:sz w:val="24"/>
          <w:szCs w:val="24"/>
        </w:rPr>
        <w:t>nt). This approach is especially useful for complex samples with a wide polarity range.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iCs/>
          <w:sz w:val="24"/>
          <w:szCs w:val="24"/>
        </w:rPr>
        <w:t>The choice of classification depends largely on the chemical nature of the analytes and the analytical goal, ensuring the right method is used for accurate and efficien</w:t>
      </w:r>
      <w:r>
        <w:rPr>
          <w:rFonts w:ascii="Times New Roman" w:hAnsi="Times New Roman" w:cs="Times New Roman"/>
          <w:iCs/>
          <w:sz w:val="24"/>
          <w:szCs w:val="24"/>
        </w:rPr>
        <w:t>t separation.</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Instrumentation of HPLC</w:t>
      </w:r>
    </w:p>
    <w:p w:rsidR="005A19B5" w:rsidRDefault="00D046F1">
      <w:pPr>
        <w:pStyle w:val="ListParagraph"/>
        <w:spacing w:line="240" w:lineRule="auto"/>
        <w:ind w:left="567"/>
        <w:contextualSpacing w:val="0"/>
        <w:rPr>
          <w:rFonts w:ascii="Times New Roman" w:hAnsi="Times New Roman" w:cs="Times New Roman"/>
          <w:bCs/>
          <w:sz w:val="24"/>
          <w:szCs w:val="24"/>
        </w:rPr>
      </w:pPr>
      <w:r>
        <w:rPr>
          <w:rFonts w:ascii="Times New Roman" w:hAnsi="Times New Roman" w:cs="Times New Roman"/>
          <w:bCs/>
          <w:sz w:val="24"/>
          <w:szCs w:val="24"/>
        </w:rPr>
        <w:t>An HPLC system is composed of several interconnected components, each with a critical role in ensuring reliable separation and analysis of analytes.</w:t>
      </w:r>
    </w:p>
    <w:p w:rsidR="005A19B5" w:rsidRDefault="00D046F1">
      <w:pPr>
        <w:pStyle w:val="ListParagraph"/>
        <w:spacing w:line="240" w:lineRule="auto"/>
        <w:ind w:left="567"/>
        <w:contextualSpacing w:val="0"/>
        <w:rPr>
          <w:rFonts w:ascii="Times New Roman" w:hAnsi="Times New Roman" w:cs="Times New Roman"/>
          <w:b/>
          <w:bCs/>
          <w:sz w:val="24"/>
          <w:szCs w:val="24"/>
        </w:rPr>
      </w:pPr>
      <w:r>
        <w:rPr>
          <w:rFonts w:ascii="Times New Roman" w:hAnsi="Times New Roman" w:cs="Times New Roman"/>
          <w:b/>
          <w:bCs/>
          <w:sz w:val="24"/>
          <w:szCs w:val="24"/>
        </w:rPr>
        <w:t>Main Components</w:t>
      </w:r>
    </w:p>
    <w:p w:rsidR="005A19B5" w:rsidRDefault="00D046F1">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Solvent Reservoirs: Containers that hold mobile phase</w:t>
      </w:r>
      <w:r>
        <w:rPr>
          <w:rFonts w:ascii="Times New Roman" w:hAnsi="Times New Roman" w:cs="Times New Roman"/>
          <w:bCs/>
          <w:sz w:val="24"/>
          <w:szCs w:val="24"/>
        </w:rPr>
        <w:t xml:space="preserve"> solvents, typically water mixed with organic modifiers. Systems often include multiple reservoirs to accommodate gradient elution.</w:t>
      </w:r>
    </w:p>
    <w:p w:rsidR="005A19B5" w:rsidRDefault="00D046F1">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Degassing Unit: Removes dissolved gases from the mobile phase to prevent bubble formation, which could interfere with detect</w:t>
      </w:r>
      <w:r>
        <w:rPr>
          <w:rFonts w:ascii="Times New Roman" w:hAnsi="Times New Roman" w:cs="Times New Roman"/>
          <w:bCs/>
          <w:sz w:val="24"/>
          <w:szCs w:val="24"/>
        </w:rPr>
        <w:t>or performance.</w:t>
      </w:r>
    </w:p>
    <w:p w:rsidR="005A19B5" w:rsidRDefault="00D046F1">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Pump: Provides a consistent and precisely controlled flow of mobile phase through the column. Flow stability is crucial for reproducibility and resolution.</w:t>
      </w:r>
    </w:p>
    <w:p w:rsidR="005A19B5" w:rsidRDefault="00D046F1">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Injector: Introduces a defined volume of sample into the system. This can be done ma</w:t>
      </w:r>
      <w:r>
        <w:rPr>
          <w:rFonts w:ascii="Times New Roman" w:hAnsi="Times New Roman" w:cs="Times New Roman"/>
          <w:bCs/>
          <w:sz w:val="24"/>
          <w:szCs w:val="24"/>
        </w:rPr>
        <w:t>nually with syringes or automatically with autosamplers.</w:t>
      </w:r>
    </w:p>
    <w:p w:rsidR="005A19B5" w:rsidRDefault="005A19B5">
      <w:pPr>
        <w:pStyle w:val="ListParagraph"/>
        <w:tabs>
          <w:tab w:val="left" w:pos="567"/>
        </w:tabs>
        <w:spacing w:line="240" w:lineRule="auto"/>
        <w:ind w:left="0"/>
        <w:contextualSpacing w:val="0"/>
        <w:jc w:val="both"/>
        <w:rPr>
          <w:rFonts w:ascii="Times New Roman" w:hAnsi="Times New Roman" w:cs="Times New Roman"/>
          <w:bCs/>
          <w:sz w:val="24"/>
          <w:szCs w:val="24"/>
        </w:rPr>
      </w:pPr>
    </w:p>
    <w:p w:rsidR="005A19B5" w:rsidRDefault="00D046F1">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Column: The heart of the system where actual separation occurs. Packed with stationary phase material, the column’s chemistry and dimensions dictate separation efficiency.</w:t>
      </w:r>
    </w:p>
    <w:p w:rsidR="005A19B5" w:rsidRDefault="00D046F1">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Detector: Monitors analyte</w:t>
      </w:r>
      <w:r>
        <w:rPr>
          <w:rFonts w:ascii="Times New Roman" w:hAnsi="Times New Roman" w:cs="Times New Roman"/>
          <w:bCs/>
          <w:sz w:val="24"/>
          <w:szCs w:val="24"/>
        </w:rPr>
        <w:t>s as they elute from the column and converts their signal into measurable data. Common options include UV detectors for absorbance measurement and mass spectrometers for structural identification.</w:t>
      </w:r>
    </w:p>
    <w:p w:rsidR="005A19B5" w:rsidRDefault="00D046F1">
      <w:pPr>
        <w:pStyle w:val="ListParagraph"/>
        <w:tabs>
          <w:tab w:val="left" w:pos="567"/>
        </w:tabs>
        <w:spacing w:line="240" w:lineRule="auto"/>
        <w:ind w:left="0"/>
        <w:contextualSpacing w:val="0"/>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lastRenderedPageBreak/>
        <w:drawing>
          <wp:anchor distT="0" distB="0" distL="114300" distR="114300" simplePos="0" relativeHeight="251659264" behindDoc="0" locked="0" layoutInCell="1" allowOverlap="1">
            <wp:simplePos x="0" y="0"/>
            <wp:positionH relativeFrom="margin">
              <wp:posOffset>775335</wp:posOffset>
            </wp:positionH>
            <wp:positionV relativeFrom="margin">
              <wp:posOffset>1102360</wp:posOffset>
            </wp:positionV>
            <wp:extent cx="5683250" cy="1953895"/>
            <wp:effectExtent l="0" t="0" r="12700" b="8255"/>
            <wp:wrapSquare wrapText="bothSides"/>
            <wp:docPr id="6" name="Picture 6" descr="High Performance Liquid Chromatography - HPLC -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gh Performance Liquid Chromatography - HPLC - Principle"/>
                    <pic:cNvPicPr>
                      <a:picLocks noChangeAspect="1" noChangeArrowheads="1"/>
                    </pic:cNvPicPr>
                  </pic:nvPicPr>
                  <pic:blipFill>
                    <a:blip r:embed="rId13">
                      <a:extLst>
                        <a:ext uri="{28A0092B-C50C-407E-A947-70E740481C1C}">
                          <a14:useLocalDpi xmlns:a14="http://schemas.microsoft.com/office/drawing/2010/main" val="0"/>
                        </a:ext>
                      </a:extLst>
                    </a:blip>
                    <a:srcRect b="3236"/>
                    <a:stretch>
                      <a:fillRect/>
                    </a:stretch>
                  </pic:blipFill>
                  <pic:spPr>
                    <a:xfrm>
                      <a:off x="0" y="0"/>
                      <a:ext cx="5683250" cy="1953895"/>
                    </a:xfrm>
                    <a:prstGeom prst="rect">
                      <a:avLst/>
                    </a:prstGeom>
                    <a:noFill/>
                    <a:ln>
                      <a:noFill/>
                    </a:ln>
                  </pic:spPr>
                </pic:pic>
              </a:graphicData>
            </a:graphic>
          </wp:anchor>
        </w:drawing>
      </w:r>
    </w:p>
    <w:p w:rsidR="005A19B5" w:rsidRDefault="005A19B5">
      <w:pPr>
        <w:pStyle w:val="ListParagraph"/>
        <w:tabs>
          <w:tab w:val="left" w:pos="567"/>
        </w:tabs>
        <w:spacing w:line="240" w:lineRule="auto"/>
        <w:ind w:left="0"/>
        <w:contextualSpacing w:val="0"/>
        <w:jc w:val="both"/>
        <w:rPr>
          <w:rFonts w:ascii="Times New Roman" w:hAnsi="Times New Roman" w:cs="Times New Roman"/>
          <w:sz w:val="24"/>
          <w:szCs w:val="24"/>
          <w:lang w:eastAsia="en-IN"/>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center"/>
        <w:rPr>
          <w:rFonts w:ascii="Times New Roman" w:hAnsi="Times New Roman" w:cs="Times New Roman"/>
          <w:b/>
          <w:bCs/>
          <w:sz w:val="24"/>
          <w:szCs w:val="24"/>
        </w:rPr>
      </w:pPr>
    </w:p>
    <w:p w:rsidR="005A19B5" w:rsidRDefault="005A19B5">
      <w:pPr>
        <w:pStyle w:val="ListParagraph"/>
        <w:spacing w:line="240" w:lineRule="auto"/>
        <w:ind w:left="567"/>
        <w:jc w:val="both"/>
        <w:rPr>
          <w:rFonts w:ascii="Times New Roman" w:hAnsi="Times New Roman" w:cs="Times New Roman"/>
          <w:b/>
          <w:bCs/>
          <w:sz w:val="24"/>
          <w:szCs w:val="24"/>
        </w:rPr>
      </w:pPr>
    </w:p>
    <w:p w:rsidR="005A19B5" w:rsidRDefault="005A19B5">
      <w:pPr>
        <w:pStyle w:val="ListParagraph"/>
        <w:spacing w:line="240" w:lineRule="auto"/>
        <w:ind w:left="567"/>
        <w:jc w:val="both"/>
        <w:rPr>
          <w:rFonts w:ascii="Times New Roman" w:hAnsi="Times New Roman" w:cs="Times New Roman"/>
          <w:b/>
          <w:bCs/>
          <w:sz w:val="24"/>
          <w:szCs w:val="24"/>
        </w:rPr>
      </w:pPr>
    </w:p>
    <w:p w:rsidR="005A19B5" w:rsidRDefault="005A19B5">
      <w:pPr>
        <w:pStyle w:val="ListParagraph"/>
        <w:spacing w:line="240" w:lineRule="auto"/>
        <w:ind w:left="567"/>
        <w:jc w:val="both"/>
        <w:rPr>
          <w:rFonts w:ascii="Times New Roman" w:hAnsi="Times New Roman" w:cs="Times New Roman"/>
          <w:b/>
          <w:bCs/>
          <w:sz w:val="24"/>
          <w:szCs w:val="24"/>
        </w:rPr>
      </w:pPr>
    </w:p>
    <w:p w:rsidR="005A19B5" w:rsidRDefault="005A19B5">
      <w:pPr>
        <w:pStyle w:val="ListParagraph"/>
        <w:spacing w:line="240" w:lineRule="auto"/>
        <w:ind w:left="567"/>
        <w:jc w:val="both"/>
        <w:rPr>
          <w:rFonts w:ascii="Times New Roman" w:hAnsi="Times New Roman" w:cs="Times New Roman"/>
          <w:b/>
          <w:bCs/>
          <w:sz w:val="24"/>
          <w:szCs w:val="24"/>
        </w:rPr>
      </w:pPr>
    </w:p>
    <w:p w:rsidR="005A19B5" w:rsidRDefault="005A19B5">
      <w:pPr>
        <w:pStyle w:val="ListParagraph"/>
        <w:spacing w:line="240" w:lineRule="auto"/>
        <w:ind w:left="567"/>
        <w:jc w:val="both"/>
        <w:rPr>
          <w:rFonts w:ascii="Times New Roman" w:hAnsi="Times New Roman" w:cs="Times New Roman"/>
          <w:b/>
          <w:bCs/>
          <w:sz w:val="24"/>
          <w:szCs w:val="24"/>
        </w:rPr>
      </w:pPr>
    </w:p>
    <w:p w:rsidR="005A19B5" w:rsidRDefault="005A19B5">
      <w:pPr>
        <w:pStyle w:val="ListParagraph"/>
        <w:spacing w:line="240" w:lineRule="auto"/>
        <w:ind w:left="567"/>
        <w:jc w:val="both"/>
        <w:rPr>
          <w:rFonts w:ascii="Times New Roman" w:hAnsi="Times New Roman" w:cs="Times New Roman"/>
          <w:b/>
          <w:bCs/>
          <w:sz w:val="24"/>
          <w:szCs w:val="24"/>
        </w:rPr>
      </w:pPr>
    </w:p>
    <w:p w:rsidR="005A19B5" w:rsidRDefault="00D046F1">
      <w:pPr>
        <w:pStyle w:val="ListParagraph"/>
        <w:spacing w:line="240" w:lineRule="auto"/>
        <w:ind w:left="567"/>
        <w:jc w:val="both"/>
        <w:rPr>
          <w:rFonts w:ascii="Times New Roman" w:hAnsi="Times New Roman" w:cs="Times New Roman"/>
          <w:bCs/>
          <w:sz w:val="24"/>
          <w:szCs w:val="24"/>
        </w:rPr>
      </w:pPr>
      <w:r>
        <w:rPr>
          <w:rFonts w:ascii="Times New Roman" w:hAnsi="Times New Roman" w:cs="Times New Roman"/>
          <w:b/>
          <w:bCs/>
          <w:sz w:val="24"/>
          <w:szCs w:val="24"/>
        </w:rPr>
        <w:t>Figure 2- HPLC equipment</w:t>
      </w:r>
    </w:p>
    <w:p w:rsidR="005A19B5" w:rsidRDefault="00D046F1">
      <w:pPr>
        <w:pStyle w:val="ListParagraph"/>
        <w:numPr>
          <w:ilvl w:val="0"/>
          <w:numId w:val="13"/>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Data Acquisition</w:t>
      </w:r>
      <w:r>
        <w:rPr>
          <w:rFonts w:ascii="Times New Roman" w:hAnsi="Times New Roman" w:cs="Times New Roman"/>
          <w:bCs/>
          <w:sz w:val="24"/>
          <w:szCs w:val="24"/>
        </w:rPr>
        <w:t xml:space="preserve"> System (DAS): A computer-based system that manages instrument operation, records signals, and generates chromatograms. It also supports further data processing, analysis, and reporting.</w:t>
      </w:r>
    </w:p>
    <w:p w:rsidR="005A19B5" w:rsidRDefault="00D046F1">
      <w:pPr>
        <w:pStyle w:val="ListParagraph"/>
        <w:spacing w:line="240" w:lineRule="auto"/>
        <w:ind w:left="567"/>
        <w:contextualSpacing w:val="0"/>
        <w:rPr>
          <w:rFonts w:ascii="Times New Roman" w:hAnsi="Times New Roman" w:cs="Times New Roman"/>
          <w:b/>
          <w:bCs/>
          <w:sz w:val="24"/>
          <w:szCs w:val="24"/>
        </w:rPr>
      </w:pPr>
      <w:r>
        <w:rPr>
          <w:rFonts w:ascii="Times New Roman" w:hAnsi="Times New Roman" w:cs="Times New Roman"/>
          <w:b/>
          <w:bCs/>
          <w:sz w:val="24"/>
          <w:szCs w:val="24"/>
        </w:rPr>
        <w:t>Analytical Workflow</w:t>
      </w:r>
    </w:p>
    <w:p w:rsidR="005A19B5" w:rsidRDefault="00D046F1">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Preparation of Mobile Phase: Appropriate solvents</w:t>
      </w:r>
      <w:r>
        <w:rPr>
          <w:rFonts w:ascii="Times New Roman" w:hAnsi="Times New Roman" w:cs="Times New Roman"/>
          <w:bCs/>
          <w:sz w:val="24"/>
          <w:szCs w:val="24"/>
        </w:rPr>
        <w:t xml:space="preserve"> are prepared and degassed to remove air bubbles.</w:t>
      </w:r>
    </w:p>
    <w:p w:rsidR="005A19B5" w:rsidRDefault="00D046F1">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Sample Processing: Samples are dissolved in a compatible solvent and filtered to eliminate particulates.</w:t>
      </w:r>
    </w:p>
    <w:p w:rsidR="005A19B5" w:rsidRDefault="00D046F1">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Injection: The prepared sample is introduced into the column using the injector.</w:t>
      </w:r>
    </w:p>
    <w:p w:rsidR="005A19B5" w:rsidRDefault="00D046F1">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Separation: The pump</w:t>
      </w:r>
      <w:r>
        <w:rPr>
          <w:rFonts w:ascii="Times New Roman" w:hAnsi="Times New Roman" w:cs="Times New Roman"/>
          <w:bCs/>
          <w:sz w:val="24"/>
          <w:szCs w:val="24"/>
        </w:rPr>
        <w:t xml:space="preserve"> drives the mobile phase and sample through the column, where compounds separate according to their interactions with the stationary phase.</w:t>
      </w:r>
    </w:p>
    <w:p w:rsidR="005A19B5" w:rsidRDefault="00D046F1">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Detection: Eluted compounds are identified by the detector, which generates a measurable signal.</w:t>
      </w:r>
    </w:p>
    <w:p w:rsidR="005A19B5" w:rsidRDefault="00D046F1">
      <w:pPr>
        <w:pStyle w:val="ListParagraph"/>
        <w:numPr>
          <w:ilvl w:val="0"/>
          <w:numId w:val="14"/>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Data Recording and </w:t>
      </w:r>
      <w:r>
        <w:rPr>
          <w:rFonts w:ascii="Times New Roman" w:hAnsi="Times New Roman" w:cs="Times New Roman"/>
          <w:bCs/>
          <w:sz w:val="24"/>
          <w:szCs w:val="24"/>
        </w:rPr>
        <w:t>Analysis: The DAS produces a chromatogram showing peaks corresponding to analytes, enabling both qualitative and quantitative interpretation.</w:t>
      </w:r>
    </w:p>
    <w:p w:rsidR="005A19B5" w:rsidRDefault="00D046F1">
      <w:pPr>
        <w:pStyle w:val="ListParagraph"/>
        <w:spacing w:line="240" w:lineRule="auto"/>
        <w:ind w:left="567"/>
        <w:contextualSpacing w:val="0"/>
        <w:rPr>
          <w:rFonts w:ascii="Times New Roman" w:hAnsi="Times New Roman" w:cs="Times New Roman"/>
          <w:b/>
          <w:bCs/>
          <w:sz w:val="24"/>
          <w:szCs w:val="24"/>
        </w:rPr>
      </w:pPr>
      <w:r>
        <w:rPr>
          <w:rFonts w:ascii="Times New Roman" w:hAnsi="Times New Roman" w:cs="Times New Roman"/>
          <w:b/>
          <w:bCs/>
          <w:sz w:val="24"/>
          <w:szCs w:val="24"/>
        </w:rPr>
        <w:t>Additional Features</w:t>
      </w:r>
    </w:p>
    <w:p w:rsidR="005A19B5" w:rsidRDefault="00D046F1">
      <w:pPr>
        <w:pStyle w:val="ListParagraph"/>
        <w:numPr>
          <w:ilvl w:val="0"/>
          <w:numId w:val="15"/>
        </w:numPr>
        <w:tabs>
          <w:tab w:val="clear" w:pos="720"/>
          <w:tab w:val="left" w:pos="567"/>
        </w:tabs>
        <w:spacing w:line="240" w:lineRule="auto"/>
        <w:ind w:left="567" w:hanging="567"/>
        <w:contextualSpacing w:val="0"/>
        <w:jc w:val="both"/>
        <w:rPr>
          <w:rFonts w:ascii="Times New Roman" w:hAnsi="Times New Roman" w:cs="Times New Roman"/>
          <w:bCs/>
          <w:sz w:val="24"/>
          <w:szCs w:val="24"/>
        </w:rPr>
      </w:pPr>
      <w:r>
        <w:rPr>
          <w:rFonts w:ascii="Times New Roman" w:hAnsi="Times New Roman" w:cs="Times New Roman"/>
          <w:bCs/>
          <w:sz w:val="24"/>
          <w:szCs w:val="24"/>
        </w:rPr>
        <w:t>Column Oven: Temperature control is often applied to improve reproducibility and stabilize ret</w:t>
      </w:r>
      <w:r>
        <w:rPr>
          <w:rFonts w:ascii="Times New Roman" w:hAnsi="Times New Roman" w:cs="Times New Roman"/>
          <w:bCs/>
          <w:sz w:val="24"/>
          <w:szCs w:val="24"/>
        </w:rPr>
        <w:t>ention times.</w:t>
      </w:r>
    </w:p>
    <w:p w:rsidR="005A19B5" w:rsidRDefault="00D046F1">
      <w:pPr>
        <w:pStyle w:val="ListParagraph"/>
        <w:numPr>
          <w:ilvl w:val="0"/>
          <w:numId w:val="15"/>
        </w:numPr>
        <w:tabs>
          <w:tab w:val="clear" w:pos="720"/>
          <w:tab w:val="left" w:pos="567"/>
        </w:tabs>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bCs/>
          <w:sz w:val="24"/>
          <w:szCs w:val="24"/>
        </w:rPr>
        <w:t>Automation Options: Modern HPLC systems incorporate auto-samplers for high-throughput operation and fraction collectors for isolating separated compounds.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Introduction to Analytical Method Validation </w:t>
      </w:r>
      <w:r>
        <w:rPr>
          <w:rFonts w:ascii="Times New Roman" w:hAnsi="Times New Roman" w:cs="Times New Roman"/>
          <w:b/>
          <w:bCs/>
          <w:sz w:val="24"/>
          <w:szCs w:val="24"/>
          <w:vertAlign w:val="superscript"/>
        </w:rPr>
        <w:t>[4-10]</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Analytical method validation is a c</w:t>
      </w:r>
      <w:r>
        <w:rPr>
          <w:rFonts w:ascii="Times New Roman" w:hAnsi="Times New Roman" w:cs="Times New Roman"/>
          <w:sz w:val="24"/>
          <w:szCs w:val="24"/>
        </w:rPr>
        <w:t>ritical process that assesses the performance characteristics of an analytical method to ensure it consistently delivers reliable and accurate results. It establishes the method's suitability for its intended purpose, which is to generate data that meets p</w:t>
      </w:r>
      <w:r>
        <w:rPr>
          <w:rFonts w:ascii="Times New Roman" w:hAnsi="Times New Roman" w:cs="Times New Roman"/>
          <w:sz w:val="24"/>
          <w:szCs w:val="24"/>
        </w:rPr>
        <w:t>redetermined specifications. This process plays a vital role in various pharmacopoeias, including the United States Pharmacopeia (USP), the British Pharmacopoeia (BP), and guidelines established by the International Conference on Harmonization (ICH).</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 xml:space="preserve">World Health Organization (WHO) published a foundational document titled "Validation of analytical procedures used in the examination of pharmaceutical materials" in 1992. This guideline highlighted the importance of method validation as a cornerstone for </w:t>
      </w:r>
      <w:r>
        <w:rPr>
          <w:rFonts w:ascii="Times New Roman" w:hAnsi="Times New Roman" w:cs="Times New Roman"/>
          <w:sz w:val="24"/>
          <w:szCs w:val="24"/>
        </w:rPr>
        <w:t>proper method development and ultimately guaranteeing the quality of pharmaceutical products.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ICH, an organization that brings together regulatory authorities from Europe, the United States, and Japan, has </w:t>
      </w: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issued two key guidelines on analytical meth</w:t>
      </w:r>
      <w:r>
        <w:rPr>
          <w:rFonts w:ascii="Times New Roman" w:hAnsi="Times New Roman" w:cs="Times New Roman"/>
          <w:sz w:val="24"/>
          <w:szCs w:val="24"/>
        </w:rPr>
        <w:t>od validation:</w:t>
      </w:r>
    </w:p>
    <w:p w:rsidR="005A19B5" w:rsidRDefault="005A19B5">
      <w:pPr>
        <w:spacing w:line="240" w:lineRule="auto"/>
        <w:ind w:left="360"/>
        <w:jc w:val="both"/>
        <w:rPr>
          <w:rFonts w:ascii="Times New Roman" w:hAnsi="Times New Roman" w:cs="Times New Roman"/>
          <w:sz w:val="24"/>
          <w:szCs w:val="24"/>
        </w:rPr>
      </w:pPr>
    </w:p>
    <w:p w:rsidR="005A19B5" w:rsidRDefault="00D046F1">
      <w:pPr>
        <w:numPr>
          <w:ilvl w:val="0"/>
          <w:numId w:val="1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Q2A: Text on Validation of Analytical Procedures:</w:t>
      </w:r>
      <w:r>
        <w:rPr>
          <w:rFonts w:ascii="Times New Roman" w:hAnsi="Times New Roman" w:cs="Times New Roman"/>
          <w:sz w:val="24"/>
          <w:szCs w:val="24"/>
        </w:rPr>
        <w:t> This guideline outlines the theoretical aspects and principles of analytical method validation.</w:t>
      </w:r>
    </w:p>
    <w:p w:rsidR="005A19B5" w:rsidRDefault="00D046F1">
      <w:pPr>
        <w:numPr>
          <w:ilvl w:val="0"/>
          <w:numId w:val="1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Q2B: Validation of Analytical Procedures Methodology:</w:t>
      </w:r>
      <w:r>
        <w:rPr>
          <w:rFonts w:ascii="Times New Roman" w:hAnsi="Times New Roman" w:cs="Times New Roman"/>
          <w:sz w:val="24"/>
          <w:szCs w:val="24"/>
        </w:rPr>
        <w:t> This guideline provides practical detail</w:t>
      </w:r>
      <w:r>
        <w:rPr>
          <w:rFonts w:ascii="Times New Roman" w:hAnsi="Times New Roman" w:cs="Times New Roman"/>
          <w:sz w:val="24"/>
          <w:szCs w:val="24"/>
        </w:rPr>
        <w:t>s and recommendations for conducting method validation studies.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While the USP (2004) has a dedicated section outlining analytical method validation requirements, this specific guideline is not yet incorporated into the Indian Pharmacopoeia.</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Range and Linea</w:t>
      </w:r>
      <w:r>
        <w:rPr>
          <w:rFonts w:ascii="Times New Roman" w:hAnsi="Times New Roman" w:cs="Times New Roman"/>
          <w:b/>
          <w:bCs/>
          <w:sz w:val="24"/>
          <w:szCs w:val="24"/>
        </w:rPr>
        <w:t>rity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One of the key parameters evaluated during method validation is </w:t>
      </w:r>
      <w:r>
        <w:rPr>
          <w:rFonts w:ascii="Times New Roman" w:hAnsi="Times New Roman" w:cs="Times New Roman"/>
          <w:b/>
          <w:bCs/>
          <w:sz w:val="24"/>
          <w:szCs w:val="24"/>
        </w:rPr>
        <w:t>range and linearity</w:t>
      </w:r>
      <w:r>
        <w:rPr>
          <w:rFonts w:ascii="Times New Roman" w:hAnsi="Times New Roman" w:cs="Times New Roman"/>
          <w:sz w:val="24"/>
          <w:szCs w:val="24"/>
        </w:rPr>
        <w:t>. This parameter establishes the concentration interval within which the analytical method can produce results that are directly proportional to the concentration of th</w:t>
      </w:r>
      <w:r>
        <w:rPr>
          <w:rFonts w:ascii="Times New Roman" w:hAnsi="Times New Roman" w:cs="Times New Roman"/>
          <w:sz w:val="24"/>
          <w:szCs w:val="24"/>
        </w:rPr>
        <w:t>e analyte in the sample. Linearity can be demonstrated through various mathematical transformations:</w:t>
      </w:r>
    </w:p>
    <w:p w:rsidR="005A19B5" w:rsidRDefault="00D046F1">
      <w:pPr>
        <w:numPr>
          <w:ilvl w:val="0"/>
          <w:numId w:val="17"/>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Calibration Curve:</w:t>
      </w:r>
      <w:r>
        <w:rPr>
          <w:rFonts w:ascii="Times New Roman" w:hAnsi="Times New Roman" w:cs="Times New Roman"/>
          <w:sz w:val="24"/>
          <w:szCs w:val="24"/>
        </w:rPr>
        <w:t xml:space="preserve"> This approach involves analyzing a series of standards with known concentrations, typically at least five, spanning a range of 80-120% </w:t>
      </w:r>
      <w:r>
        <w:rPr>
          <w:rFonts w:ascii="Times New Roman" w:hAnsi="Times New Roman" w:cs="Times New Roman"/>
          <w:sz w:val="24"/>
          <w:szCs w:val="24"/>
        </w:rPr>
        <w:t>of the expected sample concentration. The analytical response (e.g., peak area) is plotted against the corresponding standard concentration. A linear regression analysis is performed on this data set. The method is considered linear if a statistically sign</w:t>
      </w:r>
      <w:r>
        <w:rPr>
          <w:rFonts w:ascii="Times New Roman" w:hAnsi="Times New Roman" w:cs="Times New Roman"/>
          <w:sz w:val="24"/>
          <w:szCs w:val="24"/>
        </w:rPr>
        <w:t>ificant correlation coefficient (R-squared) is obtained and there is a minimal zero intercept. A non-significant zero intercept indicates that the response is directly proportional to the concentration within the investigated range.</w:t>
      </w:r>
    </w:p>
    <w:p w:rsidR="005A19B5" w:rsidRDefault="00D046F1">
      <w:pPr>
        <w:numPr>
          <w:ilvl w:val="0"/>
          <w:numId w:val="17"/>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Response Factor Approac</w:t>
      </w:r>
      <w:r>
        <w:rPr>
          <w:rFonts w:ascii="Times New Roman" w:hAnsi="Times New Roman" w:cs="Times New Roman"/>
          <w:b/>
          <w:bCs/>
          <w:sz w:val="24"/>
          <w:szCs w:val="24"/>
        </w:rPr>
        <w:t>h:</w:t>
      </w:r>
      <w:r>
        <w:rPr>
          <w:rFonts w:ascii="Times New Roman" w:hAnsi="Times New Roman" w:cs="Times New Roman"/>
          <w:sz w:val="24"/>
          <w:szCs w:val="24"/>
        </w:rPr>
        <w:t> This method utilizes a response factor, calculated by dividing the analytical response by the corresponding standard concentration. A graph of relative response (response factor) versus concentration is plotted on a logarithmic scale. Linearity is estab</w:t>
      </w:r>
      <w:r>
        <w:rPr>
          <w:rFonts w:ascii="Times New Roman" w:hAnsi="Times New Roman" w:cs="Times New Roman"/>
          <w:sz w:val="24"/>
          <w:szCs w:val="24"/>
        </w:rPr>
        <w:t>lished if a horizontal line can be drawn across the entire concentration range encompassing at least 95% of the plotted data points. Deviations from linearity often occur at higher concentrations, and the upper limit of linearity is defined as the concentr</w:t>
      </w:r>
      <w:r>
        <w:rPr>
          <w:rFonts w:ascii="Times New Roman" w:hAnsi="Times New Roman" w:cs="Times New Roman"/>
          <w:sz w:val="24"/>
          <w:szCs w:val="24"/>
        </w:rPr>
        <w:t>ation where the response deviates significantly from the horizontal line.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range</w:t>
      </w:r>
      <w:r>
        <w:rPr>
          <w:rFonts w:ascii="Times New Roman" w:hAnsi="Times New Roman" w:cs="Times New Roman"/>
          <w:sz w:val="24"/>
          <w:szCs w:val="24"/>
        </w:rPr>
        <w:t xml:space="preserve"> of the analytical method is the concentration interval between the lower limit of quantification (LLOQ) and the upper limit of linearity (ULOQ). Within this range, the meth</w:t>
      </w:r>
      <w:r>
        <w:rPr>
          <w:rFonts w:ascii="Times New Roman" w:hAnsi="Times New Roman" w:cs="Times New Roman"/>
          <w:sz w:val="24"/>
          <w:szCs w:val="24"/>
        </w:rPr>
        <w:t>od can produce accurate and precise quantitative results. The range is typically expressed in the same units as the concentration (e.g., ppm or %).</w:t>
      </w: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6316980" cy="1941830"/>
            <wp:effectExtent l="0" t="0" r="7620" b="127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6316980" cy="1941830"/>
                    </a:xfrm>
                    <a:prstGeom prst="rect">
                      <a:avLst/>
                    </a:prstGeom>
                  </pic:spPr>
                </pic:pic>
              </a:graphicData>
            </a:graphic>
          </wp:inline>
        </w:drawing>
      </w:r>
    </w:p>
    <w:p w:rsidR="005A19B5" w:rsidRDefault="00D046F1">
      <w:pPr>
        <w:spacing w:line="240" w:lineRule="auto"/>
        <w:jc w:val="both"/>
        <w:rPr>
          <w:rFonts w:ascii="Times New Roman" w:eastAsia="Cambria Math"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 </w:t>
      </w:r>
      <w:r>
        <w:rPr>
          <w:rFonts w:ascii="Times New Roman" w:hAnsi="Times New Roman" w:cs="Times New Roman"/>
          <w:b/>
          <w:bCs/>
          <w:iCs/>
          <w:color w:val="000000" w:themeColor="text1"/>
          <w:sz w:val="24"/>
          <w:szCs w:val="24"/>
        </w:rPr>
        <w:t>3</w:t>
      </w:r>
      <w:r>
        <w:rPr>
          <w:rFonts w:ascii="Times New Roman" w:hAnsi="Times New Roman" w:cs="Times New Roman"/>
          <w:b/>
          <w:bCs/>
          <w:i/>
          <w:iCs/>
          <w:color w:val="000000" w:themeColor="text1"/>
          <w:sz w:val="24"/>
          <w:szCs w:val="24"/>
        </w:rPr>
        <w:t xml:space="preserve"> </w:t>
      </w:r>
      <w:r>
        <w:rPr>
          <w:rFonts w:ascii="Times New Roman" w:eastAsia="Cambria Math" w:hAnsi="Times New Roman" w:cs="Times New Roman"/>
          <w:b/>
          <w:bCs/>
          <w:color w:val="000000" w:themeColor="text1"/>
          <w:sz w:val="24"/>
          <w:szCs w:val="24"/>
        </w:rPr>
        <w:t>Diagrammatical Representative of Linearity</w:t>
      </w:r>
    </w:p>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i/>
          <w:iCs/>
          <w:noProof/>
          <w:color w:val="000000" w:themeColor="text1"/>
          <w:sz w:val="24"/>
          <w:szCs w:val="24"/>
          <w:lang w:eastAsia="en-IN"/>
        </w:rPr>
        <w:lastRenderedPageBreak/>
        <w:drawing>
          <wp:anchor distT="0" distB="0" distL="0" distR="0" simplePos="0" relativeHeight="251656192" behindDoc="1" locked="0" layoutInCell="1" allowOverlap="1">
            <wp:simplePos x="0" y="0"/>
            <wp:positionH relativeFrom="page">
              <wp:posOffset>76200</wp:posOffset>
            </wp:positionH>
            <wp:positionV relativeFrom="paragraph">
              <wp:posOffset>294640</wp:posOffset>
            </wp:positionV>
            <wp:extent cx="6570980" cy="2133600"/>
            <wp:effectExtent l="0" t="0" r="127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6570980" cy="2133600"/>
                    </a:xfrm>
                    <a:prstGeom prst="rect">
                      <a:avLst/>
                    </a:prstGeom>
                  </pic:spPr>
                </pic:pic>
              </a:graphicData>
            </a:graphic>
          </wp:anchor>
        </w:drawing>
      </w:r>
    </w:p>
    <w:p w:rsidR="005A19B5" w:rsidRDefault="005A19B5">
      <w:pPr>
        <w:pStyle w:val="Caption"/>
        <w:jc w:val="center"/>
        <w:rPr>
          <w:rFonts w:ascii="Times New Roman" w:eastAsia="Cambria Math" w:hAnsi="Times New Roman" w:cs="Times New Roman"/>
          <w:b/>
          <w:bCs/>
          <w:i w:val="0"/>
          <w:iCs w:val="0"/>
          <w:color w:val="auto"/>
          <w:sz w:val="24"/>
          <w:szCs w:val="24"/>
        </w:rPr>
      </w:pPr>
    </w:p>
    <w:p w:rsidR="005A19B5" w:rsidRDefault="00D046F1">
      <w:pPr>
        <w:pStyle w:val="Caption"/>
        <w:jc w:val="both"/>
        <w:rPr>
          <w:rFonts w:ascii="Times New Roman" w:eastAsia="Cambria Math" w:hAnsi="Times New Roman" w:cs="Times New Roman"/>
          <w:b/>
          <w:bCs/>
          <w:i w:val="0"/>
          <w:iCs w:val="0"/>
          <w:color w:val="auto"/>
          <w:sz w:val="24"/>
          <w:szCs w:val="24"/>
        </w:rPr>
      </w:pPr>
      <w:r>
        <w:rPr>
          <w:rFonts w:ascii="Times New Roman" w:eastAsia="Cambria Math" w:hAnsi="Times New Roman" w:cs="Times New Roman"/>
          <w:b/>
          <w:bCs/>
          <w:i w:val="0"/>
          <w:iCs w:val="0"/>
          <w:color w:val="auto"/>
          <w:sz w:val="24"/>
          <w:szCs w:val="24"/>
        </w:rPr>
        <w:t>Figure 4 -Diagrammatical Representation of Range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Reproducibility and Precision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Reproducibility and precision</w:t>
      </w:r>
      <w:r>
        <w:rPr>
          <w:rFonts w:ascii="Times New Roman" w:hAnsi="Times New Roman" w:cs="Times New Roman"/>
          <w:sz w:val="24"/>
          <w:szCs w:val="24"/>
        </w:rPr>
        <w:t xml:space="preserve"> are critical parameters evaluated during analytical method validation. They assess the method's ability to generate consistent and reliable test results.</w:t>
      </w:r>
    </w:p>
    <w:p w:rsidR="005A19B5" w:rsidRDefault="00D046F1">
      <w:pPr>
        <w:numPr>
          <w:ilvl w:val="0"/>
          <w:numId w:val="18"/>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Reproducibility:</w:t>
      </w:r>
      <w:r>
        <w:rPr>
          <w:rFonts w:ascii="Times New Roman" w:hAnsi="Times New Roman" w:cs="Times New Roman"/>
          <w:sz w:val="24"/>
          <w:szCs w:val="24"/>
        </w:rPr>
        <w:t xml:space="preserve"> This term refers to the m</w:t>
      </w:r>
      <w:r>
        <w:rPr>
          <w:rFonts w:ascii="Times New Roman" w:hAnsi="Times New Roman" w:cs="Times New Roman"/>
          <w:sz w:val="24"/>
          <w:szCs w:val="24"/>
        </w:rPr>
        <w:t xml:space="preserve">ethod's ability to produce similar results when the analysis is performed under </w:t>
      </w:r>
      <w:r>
        <w:rPr>
          <w:rFonts w:ascii="Times New Roman" w:hAnsi="Times New Roman" w:cs="Times New Roman"/>
          <w:b/>
          <w:bCs/>
          <w:sz w:val="24"/>
          <w:szCs w:val="24"/>
        </w:rPr>
        <w:t>varying conditions</w:t>
      </w:r>
      <w:r>
        <w:rPr>
          <w:rFonts w:ascii="Times New Roman" w:hAnsi="Times New Roman" w:cs="Times New Roman"/>
          <w:sz w:val="24"/>
          <w:szCs w:val="24"/>
        </w:rPr>
        <w:t>. These variations could include different laboratories, analysts, instruments, or even days. A method exhibiting good reproducibility is suitable for impleme</w:t>
      </w:r>
      <w:r>
        <w:rPr>
          <w:rFonts w:ascii="Times New Roman" w:hAnsi="Times New Roman" w:cs="Times New Roman"/>
          <w:sz w:val="24"/>
          <w:szCs w:val="24"/>
        </w:rPr>
        <w:t>ntation across different analytical settings.</w:t>
      </w:r>
    </w:p>
    <w:p w:rsidR="005A19B5" w:rsidRDefault="00D046F1">
      <w:pPr>
        <w:numPr>
          <w:ilvl w:val="0"/>
          <w:numId w:val="18"/>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Repeatability:</w:t>
      </w:r>
      <w:r>
        <w:rPr>
          <w:rFonts w:ascii="Times New Roman" w:hAnsi="Times New Roman" w:cs="Times New Roman"/>
          <w:sz w:val="24"/>
          <w:szCs w:val="24"/>
        </w:rPr>
        <w:t xml:space="preserve"> This concept focuses on the method's consistency when the analysis is conducted under </w:t>
      </w:r>
      <w:r>
        <w:rPr>
          <w:rFonts w:ascii="Times New Roman" w:hAnsi="Times New Roman" w:cs="Times New Roman"/>
          <w:b/>
          <w:bCs/>
          <w:sz w:val="24"/>
          <w:szCs w:val="24"/>
        </w:rPr>
        <w:t>identical conditions</w:t>
      </w:r>
      <w:r>
        <w:rPr>
          <w:rFonts w:ascii="Times New Roman" w:hAnsi="Times New Roman" w:cs="Times New Roman"/>
          <w:sz w:val="24"/>
          <w:szCs w:val="24"/>
        </w:rPr>
        <w:t>. Ideally, the same analyst uses the same instrument and reagents within a short time fra</w:t>
      </w:r>
      <w:r>
        <w:rPr>
          <w:rFonts w:ascii="Times New Roman" w:hAnsi="Times New Roman" w:cs="Times New Roman"/>
          <w:sz w:val="24"/>
          <w:szCs w:val="24"/>
        </w:rPr>
        <w:t>me to analyze replicate samples. High repeatability indicates that the method produces consistent results within a single laboratory.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Expressing Reproducibility and Precision:</w:t>
      </w:r>
      <w:r>
        <w:rPr>
          <w:rFonts w:ascii="Times New Roman" w:hAnsi="Times New Roman" w:cs="Times New Roman"/>
          <w:sz w:val="24"/>
          <w:szCs w:val="24"/>
        </w:rPr>
        <w:t xml:space="preserve"> Relative </w:t>
      </w:r>
      <w:r>
        <w:rPr>
          <w:rFonts w:ascii="Times New Roman" w:hAnsi="Times New Roman" w:cs="Times New Roman"/>
          <w:b/>
          <w:bCs/>
          <w:sz w:val="24"/>
          <w:szCs w:val="24"/>
        </w:rPr>
        <w:t>Validation Procedures for Reproducibility and Repeatability:</w:t>
      </w:r>
    </w:p>
    <w:p w:rsidR="005A19B5" w:rsidRDefault="00D046F1">
      <w:pPr>
        <w:numPr>
          <w:ilvl w:val="0"/>
          <w:numId w:val="19"/>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Repeatabil</w:t>
      </w:r>
      <w:r>
        <w:rPr>
          <w:rFonts w:ascii="Times New Roman" w:hAnsi="Times New Roman" w:cs="Times New Roman"/>
          <w:b/>
          <w:bCs/>
          <w:sz w:val="24"/>
          <w:szCs w:val="24"/>
        </w:rPr>
        <w:t>ity:</w:t>
      </w:r>
      <w:r>
        <w:rPr>
          <w:rFonts w:ascii="Times New Roman" w:hAnsi="Times New Roman" w:cs="Times New Roman"/>
          <w:sz w:val="24"/>
          <w:szCs w:val="24"/>
        </w:rPr>
        <w:t> At least three concentration levels within the analytical range are chosen. For each level, a minimum of six replicate analyses are performed. The RSD is calculated for each concentration level to assess repeatability.</w:t>
      </w:r>
    </w:p>
    <w:p w:rsidR="005A19B5" w:rsidRDefault="00D046F1">
      <w:pPr>
        <w:numPr>
          <w:ilvl w:val="0"/>
          <w:numId w:val="19"/>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Reproducibility:</w:t>
      </w:r>
      <w:r>
        <w:rPr>
          <w:rFonts w:ascii="Times New Roman" w:hAnsi="Times New Roman" w:cs="Times New Roman"/>
          <w:sz w:val="24"/>
          <w:szCs w:val="24"/>
        </w:rPr>
        <w:t> This evaluation</w:t>
      </w:r>
      <w:r>
        <w:rPr>
          <w:rFonts w:ascii="Times New Roman" w:hAnsi="Times New Roman" w:cs="Times New Roman"/>
          <w:sz w:val="24"/>
          <w:szCs w:val="24"/>
        </w:rPr>
        <w:t xml:space="preserve"> may involve inter-laboratory studies where the same sample is analyzed by different laboratories. Alternatively, studies can be designed within a single laboratory using different analysts, instruments, or days. The RSD is calculated to evaluate the metho</w:t>
      </w:r>
      <w:r>
        <w:rPr>
          <w:rFonts w:ascii="Times New Roman" w:hAnsi="Times New Roman" w:cs="Times New Roman"/>
          <w:sz w:val="24"/>
          <w:szCs w:val="24"/>
        </w:rPr>
        <w:t>d's reproducibility across varying conditions.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 and Recovery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Accuracy</w:t>
      </w:r>
      <w:r>
        <w:rPr>
          <w:rFonts w:ascii="Times New Roman" w:hAnsi="Times New Roman" w:cs="Times New Roman"/>
          <w:sz w:val="24"/>
          <w:szCs w:val="24"/>
        </w:rPr>
        <w:t xml:space="preserve"> refers to the closeness of the analytical results to the true value of the analyte in the sample. Ideally, the method should produce results that are statistically indistinguisha</w:t>
      </w:r>
      <w:r>
        <w:rPr>
          <w:rFonts w:ascii="Times New Roman" w:hAnsi="Times New Roman" w:cs="Times New Roman"/>
          <w:sz w:val="24"/>
          <w:szCs w:val="24"/>
        </w:rPr>
        <w:t>ble from the actual concentration present.</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Recovery Studies:</w:t>
      </w:r>
      <w:r>
        <w:rPr>
          <w:rFonts w:ascii="Times New Roman" w:hAnsi="Times New Roman" w:cs="Times New Roman"/>
          <w:sz w:val="24"/>
          <w:szCs w:val="24"/>
        </w:rPr>
        <w:t xml:space="preserve"> Recovery studies are performed to assess the accuracy of the analytical method. This typically involves spiking a known amount of the analyte (standard) into a sample matrix (e.g., placebo or bla</w:t>
      </w:r>
      <w:r>
        <w:rPr>
          <w:rFonts w:ascii="Times New Roman" w:hAnsi="Times New Roman" w:cs="Times New Roman"/>
          <w:sz w:val="24"/>
          <w:szCs w:val="24"/>
        </w:rPr>
        <w:t>nk sample). The spiked sample is then analyzed using the validated method. The percent recovery is calculated by comparing the measured concentration of the analyte in the spiked sample to the amount of standard added.</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Recovery studies are often performed </w:t>
      </w:r>
      <w:r>
        <w:rPr>
          <w:rFonts w:ascii="Times New Roman" w:hAnsi="Times New Roman" w:cs="Times New Roman"/>
          <w:sz w:val="24"/>
          <w:szCs w:val="24"/>
        </w:rPr>
        <w:t>at different concentration levels within the analytical range to ensure consistent accuracy across the entire working range of the method. Spiking can be done in two ways:</w:t>
      </w:r>
    </w:p>
    <w:p w:rsidR="005A19B5" w:rsidRDefault="00D046F1">
      <w:pPr>
        <w:numPr>
          <w:ilvl w:val="0"/>
          <w:numId w:val="20"/>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Spiking the Sample with Standard:</w:t>
      </w:r>
      <w:r>
        <w:rPr>
          <w:rFonts w:ascii="Times New Roman" w:hAnsi="Times New Roman" w:cs="Times New Roman"/>
          <w:sz w:val="24"/>
          <w:szCs w:val="24"/>
        </w:rPr>
        <w:t> This approach is used when a placebo matrix is not</w:t>
      </w:r>
      <w:r>
        <w:rPr>
          <w:rFonts w:ascii="Times New Roman" w:hAnsi="Times New Roman" w:cs="Times New Roman"/>
          <w:sz w:val="24"/>
          <w:szCs w:val="24"/>
        </w:rPr>
        <w:t xml:space="preserve"> readily available.</w:t>
      </w:r>
    </w:p>
    <w:p w:rsidR="005A19B5" w:rsidRDefault="00D046F1">
      <w:pPr>
        <w:numPr>
          <w:ilvl w:val="0"/>
          <w:numId w:val="20"/>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Spiking the Placebo with Standard:</w:t>
      </w:r>
      <w:r>
        <w:rPr>
          <w:rFonts w:ascii="Times New Roman" w:hAnsi="Times New Roman" w:cs="Times New Roman"/>
          <w:sz w:val="24"/>
          <w:szCs w:val="24"/>
        </w:rPr>
        <w:t xml:space="preserve"> This is the preferred method as it better reflects the performance of the </w:t>
      </w:r>
    </w:p>
    <w:p w:rsidR="005A19B5" w:rsidRDefault="005A19B5">
      <w:pPr>
        <w:numPr>
          <w:ilvl w:val="0"/>
          <w:numId w:val="20"/>
        </w:numPr>
        <w:spacing w:line="240" w:lineRule="auto"/>
        <w:jc w:val="both"/>
        <w:rPr>
          <w:rFonts w:ascii="Times New Roman" w:hAnsi="Times New Roman" w:cs="Times New Roman"/>
          <w:sz w:val="24"/>
          <w:szCs w:val="24"/>
        </w:rPr>
      </w:pPr>
    </w:p>
    <w:p w:rsidR="005A19B5" w:rsidRDefault="00D046F1">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analytical procedure in the actual sample matrix.</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Common spiking levels used in recovery studies include 50%, 100%, and 150% </w:t>
      </w:r>
      <w:r>
        <w:rPr>
          <w:rFonts w:ascii="Times New Roman" w:hAnsi="Times New Roman" w:cs="Times New Roman"/>
          <w:sz w:val="24"/>
          <w:szCs w:val="24"/>
        </w:rPr>
        <w:t>of the target concentration or 80%, 100%, and 120% of the target concentration.</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Limit of Detection (LOD) and Limit of Quantification (LOQ)</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LOD and LOQ</w:t>
      </w:r>
      <w:r>
        <w:rPr>
          <w:rFonts w:ascii="Times New Roman" w:hAnsi="Times New Roman" w:cs="Times New Roman"/>
          <w:sz w:val="24"/>
          <w:szCs w:val="24"/>
        </w:rPr>
        <w:t xml:space="preserve"> are crucial parameters that define the analytical method's sensitivity. They establish the lowest concent</w:t>
      </w:r>
      <w:r>
        <w:rPr>
          <w:rFonts w:ascii="Times New Roman" w:hAnsi="Times New Roman" w:cs="Times New Roman"/>
          <w:sz w:val="24"/>
          <w:szCs w:val="24"/>
        </w:rPr>
        <w:t>ration levels at which the analyte can be reliably detected and quantified, respectively.</w:t>
      </w:r>
    </w:p>
    <w:p w:rsidR="005A19B5" w:rsidRDefault="00D046F1">
      <w:pPr>
        <w:numPr>
          <w:ilvl w:val="0"/>
          <w:numId w:val="21"/>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Limit of Detection (LOD):</w:t>
      </w:r>
      <w:r>
        <w:rPr>
          <w:rFonts w:ascii="Times New Roman" w:hAnsi="Times New Roman" w:cs="Times New Roman"/>
          <w:sz w:val="24"/>
          <w:szCs w:val="24"/>
        </w:rPr>
        <w:t xml:space="preserve"> This is the lowest concentration of the analyte that can be </w:t>
      </w:r>
      <w:r>
        <w:rPr>
          <w:rFonts w:ascii="Times New Roman" w:hAnsi="Times New Roman" w:cs="Times New Roman"/>
          <w:b/>
          <w:bCs/>
          <w:sz w:val="24"/>
          <w:szCs w:val="24"/>
        </w:rPr>
        <w:t>identified</w:t>
      </w:r>
      <w:r>
        <w:rPr>
          <w:rFonts w:ascii="Times New Roman" w:hAnsi="Times New Roman" w:cs="Times New Roman"/>
          <w:sz w:val="24"/>
          <w:szCs w:val="24"/>
        </w:rPr>
        <w:t xml:space="preserve"> with a certain degree of confidence in the presence of background noi</w:t>
      </w:r>
      <w:r>
        <w:rPr>
          <w:rFonts w:ascii="Times New Roman" w:hAnsi="Times New Roman" w:cs="Times New Roman"/>
          <w:sz w:val="24"/>
          <w:szCs w:val="24"/>
        </w:rPr>
        <w:t>se. While the analyte may be detected at the LOD, quantification might not be reliable due to low signal-to-noise ratio.</w:t>
      </w:r>
    </w:p>
    <w:p w:rsidR="005A19B5" w:rsidRDefault="00D046F1">
      <w:pPr>
        <w:numPr>
          <w:ilvl w:val="0"/>
          <w:numId w:val="21"/>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Limit of Quantification (LOQ):</w:t>
      </w:r>
      <w:r>
        <w:rPr>
          <w:rFonts w:ascii="Times New Roman" w:hAnsi="Times New Roman" w:cs="Times New Roman"/>
          <w:sz w:val="24"/>
          <w:szCs w:val="24"/>
        </w:rPr>
        <w:t xml:space="preserve"> This is the lowest concentration of the analyte that can be </w:t>
      </w:r>
      <w:r>
        <w:rPr>
          <w:rFonts w:ascii="Times New Roman" w:hAnsi="Times New Roman" w:cs="Times New Roman"/>
          <w:b/>
          <w:bCs/>
          <w:sz w:val="24"/>
          <w:szCs w:val="24"/>
        </w:rPr>
        <w:t>quantified</w:t>
      </w:r>
      <w:r>
        <w:rPr>
          <w:rFonts w:ascii="Times New Roman" w:hAnsi="Times New Roman" w:cs="Times New Roman"/>
          <w:sz w:val="24"/>
          <w:szCs w:val="24"/>
        </w:rPr>
        <w:t xml:space="preserve"> with acceptable accuracy and prec</w:t>
      </w:r>
      <w:r>
        <w:rPr>
          <w:rFonts w:ascii="Times New Roman" w:hAnsi="Times New Roman" w:cs="Times New Roman"/>
          <w:sz w:val="24"/>
          <w:szCs w:val="24"/>
        </w:rPr>
        <w:t>ision. At the LOQ, the signal-to-noise ratio is sufficient to ensure reliable quantification of the analyte.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Sensitivity Distinction:</w:t>
      </w:r>
      <w:r>
        <w:rPr>
          <w:rFonts w:ascii="Times New Roman" w:hAnsi="Times New Roman" w:cs="Times New Roman"/>
          <w:sz w:val="24"/>
          <w:szCs w:val="24"/>
        </w:rPr>
        <w:t xml:space="preserve"> It's important to differentiate between LOD and sensitivity. Sensitivity refers to the method's ability to distinguish bet</w:t>
      </w:r>
      <w:r>
        <w:rPr>
          <w:rFonts w:ascii="Times New Roman" w:hAnsi="Times New Roman" w:cs="Times New Roman"/>
          <w:sz w:val="24"/>
          <w:szCs w:val="24"/>
        </w:rPr>
        <w:t>ween small differences in concentration. A steeper slope of the calibration curve generally indicates higher sensitivity. However, a highly sensitive method may not necessarily have a low LOD or LOQ.</w:t>
      </w:r>
    </w:p>
    <w:p w:rsidR="005A19B5" w:rsidRDefault="005A19B5">
      <w:pPr>
        <w:tabs>
          <w:tab w:val="left" w:pos="993"/>
        </w:tabs>
        <w:spacing w:before="130" w:line="240" w:lineRule="auto"/>
        <w:ind w:right="-51"/>
        <w:jc w:val="both"/>
        <w:rPr>
          <w:rFonts w:ascii="Times New Roman" w:eastAsia="Cambria Math"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6374130" cy="1824990"/>
            <wp:effectExtent l="0" t="0" r="7620" b="381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6374130" cy="1824990"/>
                    </a:xfrm>
                    <a:prstGeom prst="rect">
                      <a:avLst/>
                    </a:prstGeom>
                  </pic:spPr>
                </pic:pic>
              </a:graphicData>
            </a:graphic>
          </wp:inline>
        </w:drawing>
      </w:r>
    </w:p>
    <w:p w:rsidR="005A19B5" w:rsidRDefault="00D046F1">
      <w:pPr>
        <w:tabs>
          <w:tab w:val="left" w:pos="993"/>
        </w:tabs>
        <w:spacing w:before="130" w:line="240" w:lineRule="auto"/>
        <w:ind w:right="-51"/>
        <w:jc w:val="both"/>
        <w:rPr>
          <w:rFonts w:ascii="Times New Roman" w:eastAsia="Cambria Math" w:hAnsi="Times New Roman" w:cs="Times New Roman"/>
          <w:b/>
          <w:bCs/>
          <w:sz w:val="24"/>
          <w:szCs w:val="24"/>
        </w:rPr>
      </w:pPr>
      <w:r>
        <w:rPr>
          <w:rFonts w:ascii="Times New Roman" w:eastAsia="Cambria Math" w:hAnsi="Times New Roman" w:cs="Times New Roman"/>
          <w:b/>
          <w:bCs/>
          <w:sz w:val="24"/>
          <w:szCs w:val="24"/>
        </w:rPr>
        <w:t>Figure 5-General representation of LOD and LOQ</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Alternative Methods for Determining Limit of Detection (LOD) Besides Signal-to-Noise Ratio</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While signal-to-noise ratio (S/N) is a common method for estimating LOD, other approaches can be valuable in specific scenarios. Here's a breakdown of some alternati</w:t>
      </w:r>
      <w:r>
        <w:rPr>
          <w:rFonts w:ascii="Times New Roman" w:hAnsi="Times New Roman" w:cs="Times New Roman"/>
          <w:sz w:val="24"/>
          <w:szCs w:val="24"/>
        </w:rPr>
        <w:t>ve methods: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1. Visual Determination: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This method involves manually injecting progressively lower concentrations of the analyte until a peak can just be distinguished from the background noise. The lowest concentration visually detectable, but not quantifia</w:t>
      </w:r>
      <w:r>
        <w:rPr>
          <w:rFonts w:ascii="Times New Roman" w:hAnsi="Times New Roman" w:cs="Times New Roman"/>
          <w:sz w:val="24"/>
          <w:szCs w:val="24"/>
        </w:rPr>
        <w:t>ble, is considered the LOD. While subjective and potentially less precise than other methods, visual determination can be a useful starting point for LOD estimation.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2. Standard Deviation of the Blank (Sdb):</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This approach statistically defines the LOD. A s</w:t>
      </w:r>
      <w:r>
        <w:rPr>
          <w:rFonts w:ascii="Times New Roman" w:hAnsi="Times New Roman" w:cs="Times New Roman"/>
          <w:sz w:val="24"/>
          <w:szCs w:val="24"/>
        </w:rPr>
        <w:t>eries of blank samples (samples with no analyte) are analysed, and the standard deviation (Sdb) of the blank response is calculated. The LOD is then determined by multiplying a factor (typically 3 or 3.3) by Sdb. This factor accounts for the inherent varia</w:t>
      </w:r>
      <w:r>
        <w:rPr>
          <w:rFonts w:ascii="Times New Roman" w:hAnsi="Times New Roman" w:cs="Times New Roman"/>
          <w:sz w:val="24"/>
          <w:szCs w:val="24"/>
        </w:rPr>
        <w:t>bility in the blank response. This method provides an objective measure of LOD based on the method's inherent noise level.</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3. Calibration Curve-Based Methods: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Mathematical equations can be employed to estimate LOD using data from the calibration curve. The</w:t>
      </w:r>
      <w:r>
        <w:rPr>
          <w:rFonts w:ascii="Times New Roman" w:hAnsi="Times New Roman" w:cs="Times New Roman"/>
          <w:sz w:val="24"/>
          <w:szCs w:val="24"/>
        </w:rPr>
        <w:t xml:space="preserve">se equations often rely on the standard deviation of the response (Sy) and the slope (S) of the calibration curve. The specific formula used may vary </w:t>
      </w:r>
      <w:r>
        <w:rPr>
          <w:rFonts w:ascii="Times New Roman" w:hAnsi="Times New Roman" w:cs="Times New Roman"/>
          <w:sz w:val="24"/>
          <w:szCs w:val="24"/>
        </w:rPr>
        <w:lastRenderedPageBreak/>
        <w:t>depending on the chosen approach. This method offers a more statistically robust estimation of LOD compare</w:t>
      </w:r>
      <w:r>
        <w:rPr>
          <w:rFonts w:ascii="Times New Roman" w:hAnsi="Times New Roman" w:cs="Times New Roman"/>
          <w:sz w:val="24"/>
          <w:szCs w:val="24"/>
        </w:rPr>
        <w:t>d to visual determination.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6908800" cy="1590675"/>
            <wp:effectExtent l="0" t="0" r="6350" b="9525"/>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 cstate="print"/>
                    <a:stretch>
                      <a:fillRect/>
                    </a:stretch>
                  </pic:blipFill>
                  <pic:spPr>
                    <a:xfrm>
                      <a:off x="0" y="0"/>
                      <a:ext cx="6908800" cy="1590675"/>
                    </a:xfrm>
                    <a:prstGeom prst="rect">
                      <a:avLst/>
                    </a:prstGeom>
                  </pic:spPr>
                </pic:pic>
              </a:graphicData>
            </a:graphic>
          </wp:inline>
        </w:drawing>
      </w:r>
    </w:p>
    <w:p w:rsidR="005A19B5" w:rsidRDefault="00D046F1">
      <w:pPr>
        <w:tabs>
          <w:tab w:val="left" w:pos="993"/>
        </w:tabs>
        <w:spacing w:before="130" w:line="240" w:lineRule="auto"/>
        <w:ind w:right="-51"/>
        <w:jc w:val="both"/>
        <w:rPr>
          <w:rFonts w:ascii="Times New Roman" w:eastAsia="Cambria Math" w:hAnsi="Times New Roman" w:cs="Times New Roman"/>
          <w:b/>
          <w:bCs/>
          <w:sz w:val="24"/>
          <w:szCs w:val="24"/>
        </w:rPr>
      </w:pPr>
      <w:r>
        <w:rPr>
          <w:rFonts w:ascii="Times New Roman" w:eastAsia="Cambria Math" w:hAnsi="Times New Roman" w:cs="Times New Roman"/>
          <w:b/>
          <w:bCs/>
          <w:sz w:val="24"/>
          <w:szCs w:val="24"/>
        </w:rPr>
        <w:t>Figure 6-Regression line method for determination of LOD and LOQ</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Ruggedness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Ruggedness</w:t>
      </w:r>
      <w:r>
        <w:rPr>
          <w:rFonts w:ascii="Times New Roman" w:hAnsi="Times New Roman" w:cs="Times New Roman"/>
          <w:sz w:val="24"/>
          <w:szCs w:val="24"/>
        </w:rPr>
        <w:t xml:space="preserve">, although not explicitly defined in regulatory guidelines, is conceptually similar to reproducibility. It refers to the method's ability to produce consistent and reliable results under </w:t>
      </w:r>
      <w:r>
        <w:rPr>
          <w:rFonts w:ascii="Times New Roman" w:hAnsi="Times New Roman" w:cs="Times New Roman"/>
          <w:b/>
          <w:bCs/>
          <w:sz w:val="24"/>
          <w:szCs w:val="24"/>
        </w:rPr>
        <w:t>normal variations</w:t>
      </w:r>
      <w:r>
        <w:rPr>
          <w:rFonts w:ascii="Times New Roman" w:hAnsi="Times New Roman" w:cs="Times New Roman"/>
          <w:sz w:val="24"/>
          <w:szCs w:val="24"/>
        </w:rPr>
        <w:t xml:space="preserve"> in operating conditions. These variations might enc</w:t>
      </w:r>
      <w:r>
        <w:rPr>
          <w:rFonts w:ascii="Times New Roman" w:hAnsi="Times New Roman" w:cs="Times New Roman"/>
          <w:sz w:val="24"/>
          <w:szCs w:val="24"/>
        </w:rPr>
        <w:t>ompass different analysts, laboratories, instruments, or even environmental conditions. A rugged method demonstrates consistent performance within the expected range of operational variability encountered in routine analysis.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Evaluation of Ruggedness: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Rugg</w:t>
      </w:r>
      <w:r>
        <w:rPr>
          <w:rFonts w:ascii="Times New Roman" w:hAnsi="Times New Roman" w:cs="Times New Roman"/>
          <w:sz w:val="24"/>
          <w:szCs w:val="24"/>
        </w:rPr>
        <w:t>edness studies assess the method's reproducibility when used by different analysts within a single laboratory or across different laboratories. Homogeneous sample aliquots are analyzed under varying conditions, and the degree of response variation is stati</w:t>
      </w:r>
      <w:r>
        <w:rPr>
          <w:rFonts w:ascii="Times New Roman" w:hAnsi="Times New Roman" w:cs="Times New Roman"/>
          <w:sz w:val="24"/>
          <w:szCs w:val="24"/>
        </w:rPr>
        <w:t>stically evaluated using tests like t-tests.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Robustness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Robustness</w:t>
      </w:r>
      <w:r>
        <w:rPr>
          <w:rFonts w:ascii="Times New Roman" w:hAnsi="Times New Roman" w:cs="Times New Roman"/>
          <w:sz w:val="24"/>
          <w:szCs w:val="24"/>
        </w:rPr>
        <w:t xml:space="preserve"> reflects the method's ability to withstand minor, deliberate changes in the analytical procedure without significantly affecting the results. These changes should remain within a defined an</w:t>
      </w:r>
      <w:r>
        <w:rPr>
          <w:rFonts w:ascii="Times New Roman" w:hAnsi="Times New Roman" w:cs="Times New Roman"/>
          <w:sz w:val="24"/>
          <w:szCs w:val="24"/>
        </w:rPr>
        <w:t>d realistic range encountered during routine analysis. The impact of these variations on the analytical response is measured to assess robustness.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Performing Robustness Studies: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Robustness studies are conducted to determine if minor changes in operational </w:t>
      </w:r>
      <w:r>
        <w:rPr>
          <w:rFonts w:ascii="Times New Roman" w:hAnsi="Times New Roman" w:cs="Times New Roman"/>
          <w:sz w:val="24"/>
          <w:szCs w:val="24"/>
        </w:rPr>
        <w:t>parameters necessitate method revalidation. Examples of parameters that can be investigated include:</w:t>
      </w:r>
    </w:p>
    <w:p w:rsidR="005A19B5" w:rsidRDefault="00D046F1">
      <w:pPr>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Flow rate of the mobile phase</w:t>
      </w:r>
    </w:p>
    <w:p w:rsidR="005A19B5" w:rsidRDefault="00D046F1">
      <w:pPr>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Mobile phase composition</w:t>
      </w:r>
    </w:p>
    <w:p w:rsidR="005A19B5" w:rsidRDefault="00D046F1">
      <w:pPr>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pH of the mobile phase</w:t>
      </w:r>
    </w:p>
    <w:p w:rsidR="005A19B5" w:rsidRDefault="00D046F1">
      <w:pPr>
        <w:numPr>
          <w:ilvl w:val="0"/>
          <w:numId w:val="22"/>
        </w:numPr>
        <w:spacing w:line="240" w:lineRule="auto"/>
        <w:jc w:val="both"/>
        <w:rPr>
          <w:rFonts w:ascii="Times New Roman" w:hAnsi="Times New Roman" w:cs="Times New Roman"/>
          <w:sz w:val="24"/>
          <w:szCs w:val="24"/>
        </w:rPr>
      </w:pPr>
      <w:r>
        <w:rPr>
          <w:rFonts w:ascii="Times New Roman" w:hAnsi="Times New Roman" w:cs="Times New Roman"/>
          <w:sz w:val="24"/>
          <w:szCs w:val="24"/>
        </w:rPr>
        <w:t>Detection wavelength</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magnitude of these changes should be within a </w:t>
      </w:r>
      <w:r>
        <w:rPr>
          <w:rFonts w:ascii="Times New Roman" w:hAnsi="Times New Roman" w:cs="Times New Roman"/>
          <w:sz w:val="24"/>
          <w:szCs w:val="24"/>
        </w:rPr>
        <w:t>defined range, such as 2-5% of the original value.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Through robustness studies, critical method parameters that significantly influence the analytical response can be identified. These critical parameters should be documented and controlled to ensure consis</w:t>
      </w:r>
      <w:r>
        <w:rPr>
          <w:rFonts w:ascii="Times New Roman" w:hAnsi="Times New Roman" w:cs="Times New Roman"/>
          <w:sz w:val="24"/>
          <w:szCs w:val="24"/>
        </w:rPr>
        <w:t>tent performance. It's important to note that robustness studies are not mandatory for regulatory submissions, but they provide valuable information for optimizing and maintaining method performance.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Solvent Stability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Solvent stability</w:t>
      </w:r>
      <w:r>
        <w:rPr>
          <w:rFonts w:ascii="Times New Roman" w:hAnsi="Times New Roman" w:cs="Times New Roman"/>
          <w:sz w:val="24"/>
          <w:szCs w:val="24"/>
        </w:rPr>
        <w:t xml:space="preserve"> is crucial for ensur</w:t>
      </w:r>
      <w:r>
        <w:rPr>
          <w:rFonts w:ascii="Times New Roman" w:hAnsi="Times New Roman" w:cs="Times New Roman"/>
          <w:sz w:val="24"/>
          <w:szCs w:val="24"/>
        </w:rPr>
        <w:t>ing the integrity of analytes during sample preparation, storage, and analysis. Certain molecules are susceptible to degradation in solution, leading to inaccurate analytical results. It's essential to evaluate the stability of both the analyte standard an</w:t>
      </w:r>
      <w:r>
        <w:rPr>
          <w:rFonts w:ascii="Times New Roman" w:hAnsi="Times New Roman" w:cs="Times New Roman"/>
          <w:sz w:val="24"/>
          <w:szCs w:val="24"/>
        </w:rPr>
        <w:t>d the sample matrix under various conditions, such as:</w:t>
      </w:r>
    </w:p>
    <w:p w:rsidR="005A19B5" w:rsidRDefault="00D046F1">
      <w:pPr>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Sample preparation procedures</w:t>
      </w:r>
    </w:p>
    <w:p w:rsidR="005A19B5" w:rsidRDefault="00D046F1">
      <w:pPr>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Solvent extraction methods</w:t>
      </w:r>
    </w:p>
    <w:p w:rsidR="005A19B5" w:rsidRDefault="005A19B5">
      <w:pPr>
        <w:spacing w:line="240" w:lineRule="auto"/>
        <w:ind w:left="360"/>
        <w:jc w:val="both"/>
        <w:rPr>
          <w:rFonts w:ascii="Times New Roman" w:hAnsi="Times New Roman" w:cs="Times New Roman"/>
          <w:sz w:val="24"/>
          <w:szCs w:val="24"/>
        </w:rPr>
      </w:pPr>
    </w:p>
    <w:p w:rsidR="005A19B5" w:rsidRDefault="005A19B5">
      <w:pPr>
        <w:spacing w:line="240" w:lineRule="auto"/>
        <w:ind w:left="360"/>
        <w:jc w:val="both"/>
        <w:rPr>
          <w:rFonts w:ascii="Times New Roman" w:hAnsi="Times New Roman" w:cs="Times New Roman"/>
          <w:sz w:val="24"/>
          <w:szCs w:val="24"/>
        </w:rPr>
      </w:pPr>
    </w:p>
    <w:p w:rsidR="005A19B5" w:rsidRDefault="00D046F1">
      <w:pPr>
        <w:numPr>
          <w:ilvl w:val="0"/>
          <w:numId w:val="23"/>
        </w:numPr>
        <w:spacing w:line="240" w:lineRule="auto"/>
        <w:jc w:val="both"/>
        <w:rPr>
          <w:rFonts w:ascii="Times New Roman" w:hAnsi="Times New Roman" w:cs="Times New Roman"/>
          <w:sz w:val="24"/>
          <w:szCs w:val="24"/>
        </w:rPr>
      </w:pPr>
      <w:r>
        <w:rPr>
          <w:rFonts w:ascii="Times New Roman" w:hAnsi="Times New Roman" w:cs="Times New Roman"/>
          <w:sz w:val="24"/>
          <w:szCs w:val="24"/>
        </w:rPr>
        <w:t>Sample storage conditions (e.g., automatic samplers, refrigerators)</w:t>
      </w:r>
    </w:p>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Evaluating Solvent Stability: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Stability studies involve analyzing replica</w:t>
      </w:r>
      <w:r>
        <w:rPr>
          <w:rFonts w:ascii="Times New Roman" w:hAnsi="Times New Roman" w:cs="Times New Roman"/>
          <w:sz w:val="24"/>
          <w:szCs w:val="24"/>
        </w:rPr>
        <w:t>te aliquots of the standard and sample at defined time intervals, typically over 48 hours. The relative standard deviation (RSD) of the analytical response obtained at different time points is calculated. The RSD should not exceed a predefined threshold (e</w:t>
      </w:r>
      <w:r>
        <w:rPr>
          <w:rFonts w:ascii="Times New Roman" w:hAnsi="Times New Roman" w:cs="Times New Roman"/>
          <w:sz w:val="24"/>
          <w:szCs w:val="24"/>
        </w:rPr>
        <w:t>.g., 20%), indicating acceptable stability within the specified timeframe.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Data Elements for Analytical Method Validation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selection of validation parameters for an analytical method used in pharmaceutical analysis depends on the intended purpose of the</w:t>
      </w:r>
      <w:r>
        <w:rPr>
          <w:rFonts w:ascii="Times New Roman" w:hAnsi="Times New Roman" w:cs="Times New Roman"/>
          <w:sz w:val="24"/>
          <w:szCs w:val="24"/>
        </w:rPr>
        <w:t xml:space="preserve"> method. The following classification system can guide the selection of appropriate validation parameters: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Category 1:</w:t>
      </w:r>
    </w:p>
    <w:p w:rsidR="005A19B5" w:rsidRDefault="00D046F1">
      <w:pPr>
        <w:numPr>
          <w:ilvl w:val="0"/>
          <w:numId w:val="24"/>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Compendial Methods:</w:t>
      </w:r>
      <w:r>
        <w:rPr>
          <w:rFonts w:ascii="Times New Roman" w:hAnsi="Times New Roman" w:cs="Times New Roman"/>
          <w:sz w:val="24"/>
          <w:szCs w:val="24"/>
        </w:rPr>
        <w:t> These methods are typically included in official pharmacopoeias and are used for the quantitative determination of th</w:t>
      </w:r>
      <w:r>
        <w:rPr>
          <w:rFonts w:ascii="Times New Roman" w:hAnsi="Times New Roman" w:cs="Times New Roman"/>
          <w:sz w:val="24"/>
          <w:szCs w:val="24"/>
        </w:rPr>
        <w:t>e active pharmaceutical ingredient (API) in a finished dosage form, along with major excipients or preservatives.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Category 2:</w:t>
      </w:r>
    </w:p>
    <w:p w:rsidR="005A19B5" w:rsidRDefault="00D046F1">
      <w:pPr>
        <w:numPr>
          <w:ilvl w:val="0"/>
          <w:numId w:val="25"/>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Impurity Profiling and Degradation Products:</w:t>
      </w:r>
      <w:r>
        <w:rPr>
          <w:rFonts w:ascii="Times New Roman" w:hAnsi="Times New Roman" w:cs="Times New Roman"/>
          <w:sz w:val="24"/>
          <w:szCs w:val="24"/>
        </w:rPr>
        <w:t> Methods in this category quantify impurities present in the API or finished product m</w:t>
      </w:r>
      <w:r>
        <w:rPr>
          <w:rFonts w:ascii="Times New Roman" w:hAnsi="Times New Roman" w:cs="Times New Roman"/>
          <w:sz w:val="24"/>
          <w:szCs w:val="24"/>
        </w:rPr>
        <w:t>atrix, or they assess the formation of degradation products over time.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Category 3:</w:t>
      </w:r>
    </w:p>
    <w:p w:rsidR="005A19B5" w:rsidRDefault="00D046F1">
      <w:pPr>
        <w:numPr>
          <w:ilvl w:val="0"/>
          <w:numId w:val="2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Performance Testing Methods:</w:t>
      </w:r>
      <w:r>
        <w:rPr>
          <w:rFonts w:ascii="Times New Roman" w:hAnsi="Times New Roman" w:cs="Times New Roman"/>
          <w:sz w:val="24"/>
          <w:szCs w:val="24"/>
        </w:rPr>
        <w:t> These methods evaluate the performance of drug delivery systems, such as dissolution testing to assess drug release from a dosage form.</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Category</w:t>
      </w:r>
      <w:r>
        <w:rPr>
          <w:rFonts w:ascii="Times New Roman" w:hAnsi="Times New Roman" w:cs="Times New Roman"/>
          <w:b/>
          <w:bCs/>
          <w:sz w:val="24"/>
          <w:szCs w:val="24"/>
        </w:rPr>
        <w:t xml:space="preserve"> 4:</w:t>
      </w:r>
    </w:p>
    <w:p w:rsidR="005A19B5" w:rsidRDefault="00D046F1">
      <w:pPr>
        <w:numPr>
          <w:ilvl w:val="0"/>
          <w:numId w:val="27"/>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Identification Tests:</w:t>
      </w:r>
      <w:r>
        <w:rPr>
          <w:rFonts w:ascii="Times New Roman" w:hAnsi="Times New Roman" w:cs="Times New Roman"/>
          <w:sz w:val="24"/>
          <w:szCs w:val="24"/>
        </w:rPr>
        <w:t> These qualitative methods confirm the presence of the API and distinguish it from potential impurities or excipients.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selection of validation parameters for a specific method should be based on this classification system, ensu</w:t>
      </w:r>
      <w:r>
        <w:rPr>
          <w:rFonts w:ascii="Times New Roman" w:hAnsi="Times New Roman" w:cs="Times New Roman"/>
          <w:sz w:val="24"/>
          <w:szCs w:val="24"/>
        </w:rPr>
        <w:t>ring a targeted and efficient validaton process</w:t>
      </w:r>
      <w:r>
        <w:rPr>
          <w:rFonts w:ascii="Times New Roman" w:hAnsi="Times New Roman" w:cs="Times New Roman"/>
          <w:sz w:val="24"/>
          <w:szCs w:val="24"/>
        </w:rPr>
        <w:t>.</w:t>
      </w: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8"/>
          <w:szCs w:val="28"/>
        </w:rPr>
        <w:t>INTRODUCTION TO DRUG PROFILE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Drug Profile for Dapagliflozin Propanediol Monohydrate </w:t>
      </w:r>
      <w:r>
        <w:rPr>
          <w:rFonts w:ascii="Times New Roman" w:hAnsi="Times New Roman" w:cs="Times New Roman"/>
          <w:b/>
          <w:bCs/>
          <w:sz w:val="24"/>
          <w:szCs w:val="24"/>
          <w:vertAlign w:val="superscript"/>
        </w:rPr>
        <w:t>[11]</w:t>
      </w:r>
    </w:p>
    <w:p w:rsidR="005A19B5" w:rsidRDefault="00D046F1">
      <w:pPr>
        <w:spacing w:line="240" w:lineRule="auto"/>
        <w:jc w:val="both"/>
        <w:rPr>
          <w:rFonts w:ascii="Times New Roman" w:eastAsia="Cambria Math" w:hAnsi="Times New Roman" w:cs="Times New Roman"/>
          <w:b/>
          <w:bCs/>
          <w:sz w:val="24"/>
          <w:szCs w:val="24"/>
        </w:rPr>
      </w:pPr>
      <w:r>
        <w:rPr>
          <w:rFonts w:ascii="Times New Roman" w:hAnsi="Times New Roman" w:cs="Times New Roman"/>
          <w:b/>
          <w:bCs/>
          <w:sz w:val="24"/>
          <w:szCs w:val="24"/>
        </w:rPr>
        <w:t xml:space="preserve">Table 3- </w:t>
      </w:r>
      <w:r>
        <w:rPr>
          <w:rFonts w:ascii="Times New Roman" w:eastAsia="Cambria Math" w:hAnsi="Times New Roman" w:cs="Times New Roman"/>
          <w:b/>
          <w:bCs/>
          <w:sz w:val="24"/>
          <w:szCs w:val="24"/>
        </w:rPr>
        <w:t>Drug Profile of Dapagliflozin Propanediol Monohydrate</w:t>
      </w:r>
    </w:p>
    <w:tbl>
      <w:tblPr>
        <w:tblpPr w:leftFromText="180" w:rightFromText="180" w:vertAnchor="text" w:tblpY="1"/>
        <w:tblOverlap w:val="never"/>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89"/>
        <w:gridCol w:w="28"/>
        <w:gridCol w:w="8460"/>
      </w:tblGrid>
      <w:tr w:rsidR="005A19B5">
        <w:trPr>
          <w:trHeight w:val="412"/>
        </w:trPr>
        <w:tc>
          <w:tcPr>
            <w:tcW w:w="10877" w:type="dxa"/>
            <w:gridSpan w:val="3"/>
          </w:tcPr>
          <w:p w:rsidR="005A19B5" w:rsidRDefault="00D046F1">
            <w:pPr>
              <w:pStyle w:val="TableParagraph"/>
              <w:tabs>
                <w:tab w:val="left" w:pos="993"/>
              </w:tabs>
              <w:spacing w:line="240" w:lineRule="auto"/>
              <w:ind w:left="993" w:hanging="709"/>
              <w:rPr>
                <w:b/>
                <w:sz w:val="24"/>
                <w:szCs w:val="24"/>
              </w:rPr>
            </w:pPr>
            <w:r>
              <w:rPr>
                <w:b/>
                <w:sz w:val="24"/>
                <w:szCs w:val="24"/>
              </w:rPr>
              <w:t>Drug</w:t>
            </w:r>
            <w:r>
              <w:rPr>
                <w:b/>
                <w:spacing w:val="-2"/>
                <w:sz w:val="24"/>
                <w:szCs w:val="24"/>
              </w:rPr>
              <w:t xml:space="preserve"> Information</w:t>
            </w:r>
          </w:p>
        </w:tc>
      </w:tr>
      <w:tr w:rsidR="005A19B5">
        <w:trPr>
          <w:trHeight w:val="414"/>
        </w:trPr>
        <w:tc>
          <w:tcPr>
            <w:tcW w:w="2417" w:type="dxa"/>
            <w:gridSpan w:val="2"/>
          </w:tcPr>
          <w:p w:rsidR="005A19B5" w:rsidRDefault="00D046F1">
            <w:pPr>
              <w:pStyle w:val="TableParagraph"/>
              <w:tabs>
                <w:tab w:val="left" w:pos="567"/>
              </w:tabs>
              <w:spacing w:line="240" w:lineRule="auto"/>
              <w:ind w:left="284"/>
              <w:rPr>
                <w:b/>
                <w:sz w:val="24"/>
                <w:szCs w:val="24"/>
              </w:rPr>
            </w:pPr>
            <w:r>
              <w:rPr>
                <w:b/>
                <w:sz w:val="24"/>
                <w:szCs w:val="24"/>
              </w:rPr>
              <w:t>Therapeutic</w:t>
            </w:r>
            <w:r>
              <w:rPr>
                <w:b/>
                <w:spacing w:val="-5"/>
                <w:sz w:val="24"/>
                <w:szCs w:val="24"/>
              </w:rPr>
              <w:t xml:space="preserve"> </w:t>
            </w:r>
            <w:r>
              <w:rPr>
                <w:b/>
                <w:spacing w:val="-2"/>
                <w:sz w:val="24"/>
                <w:szCs w:val="24"/>
              </w:rPr>
              <w:t>category</w:t>
            </w:r>
          </w:p>
        </w:tc>
        <w:tc>
          <w:tcPr>
            <w:tcW w:w="8460" w:type="dxa"/>
          </w:tcPr>
          <w:p w:rsidR="005A19B5" w:rsidRDefault="00D046F1">
            <w:pPr>
              <w:pStyle w:val="TableParagraph"/>
              <w:tabs>
                <w:tab w:val="left" w:pos="993"/>
              </w:tabs>
              <w:spacing w:line="240" w:lineRule="auto"/>
              <w:ind w:left="993" w:right="170" w:hanging="709"/>
              <w:jc w:val="both"/>
              <w:rPr>
                <w:sz w:val="24"/>
                <w:szCs w:val="24"/>
              </w:rPr>
            </w:pPr>
            <w:r>
              <w:rPr>
                <w:sz w:val="24"/>
                <w:szCs w:val="24"/>
              </w:rPr>
              <w:t xml:space="preserve">Antidiabetic </w:t>
            </w:r>
            <w:r>
              <w:rPr>
                <w:sz w:val="24"/>
                <w:szCs w:val="24"/>
              </w:rPr>
              <w:t>(SGLT-2 inhibitors)</w:t>
            </w:r>
          </w:p>
        </w:tc>
      </w:tr>
      <w:tr w:rsidR="005A19B5">
        <w:trPr>
          <w:trHeight w:val="827"/>
        </w:trPr>
        <w:tc>
          <w:tcPr>
            <w:tcW w:w="2417" w:type="dxa"/>
            <w:gridSpan w:val="2"/>
          </w:tcPr>
          <w:p w:rsidR="005A19B5" w:rsidRDefault="00D046F1">
            <w:pPr>
              <w:pStyle w:val="TableParagraph"/>
              <w:tabs>
                <w:tab w:val="left" w:pos="993"/>
              </w:tabs>
              <w:spacing w:line="240" w:lineRule="auto"/>
              <w:ind w:left="993" w:hanging="709"/>
              <w:rPr>
                <w:b/>
                <w:sz w:val="24"/>
                <w:szCs w:val="24"/>
              </w:rPr>
            </w:pPr>
            <w:r>
              <w:rPr>
                <w:b/>
                <w:spacing w:val="-2"/>
                <w:sz w:val="24"/>
                <w:szCs w:val="24"/>
              </w:rPr>
              <w:t>Therapeutic</w:t>
            </w:r>
          </w:p>
          <w:p w:rsidR="005A19B5" w:rsidRDefault="00D046F1">
            <w:pPr>
              <w:pStyle w:val="TableParagraph"/>
              <w:tabs>
                <w:tab w:val="left" w:pos="993"/>
              </w:tabs>
              <w:spacing w:before="139" w:line="240" w:lineRule="auto"/>
              <w:ind w:left="993" w:hanging="709"/>
              <w:rPr>
                <w:b/>
                <w:sz w:val="24"/>
                <w:szCs w:val="24"/>
              </w:rPr>
            </w:pPr>
            <w:r>
              <w:rPr>
                <w:b/>
                <w:spacing w:val="-2"/>
                <w:sz w:val="24"/>
                <w:szCs w:val="24"/>
              </w:rPr>
              <w:t>Indication</w:t>
            </w:r>
          </w:p>
        </w:tc>
        <w:tc>
          <w:tcPr>
            <w:tcW w:w="8460" w:type="dxa"/>
          </w:tcPr>
          <w:p w:rsidR="005A19B5" w:rsidRDefault="00D046F1">
            <w:pPr>
              <w:tabs>
                <w:tab w:val="left" w:pos="704"/>
              </w:tabs>
              <w:spacing w:line="240" w:lineRule="auto"/>
              <w:ind w:left="279" w:firstLine="5"/>
              <w:jc w:val="both"/>
              <w:rPr>
                <w:rFonts w:ascii="Times New Roman" w:hAnsi="Times New Roman" w:cs="Times New Roman"/>
                <w:sz w:val="24"/>
                <w:szCs w:val="24"/>
              </w:rPr>
            </w:pPr>
            <w:r>
              <w:rPr>
                <w:rFonts w:ascii="Times New Roman" w:hAnsi="Times New Roman" w:cs="Times New Roman"/>
                <w:sz w:val="24"/>
                <w:szCs w:val="24"/>
              </w:rPr>
              <w:t xml:space="preserve">It helps to improve blood sugar (glucose) control in adults with type 2 diabetes, often used alongside diet and exercise. By working as a sodium-glucose cotransporter 2 (SGLT2) inhibitor, it increases the amount </w:t>
            </w:r>
            <w:r>
              <w:rPr>
                <w:rFonts w:ascii="Times New Roman" w:hAnsi="Times New Roman" w:cs="Times New Roman"/>
                <w:sz w:val="24"/>
                <w:szCs w:val="24"/>
              </w:rPr>
              <w:t>of glucose removed from the body when you urinate. This helps to lower blood sugar levels.</w:t>
            </w:r>
          </w:p>
        </w:tc>
      </w:tr>
      <w:tr w:rsidR="005A19B5">
        <w:trPr>
          <w:trHeight w:val="416"/>
        </w:trPr>
        <w:tc>
          <w:tcPr>
            <w:tcW w:w="2417" w:type="dxa"/>
            <w:gridSpan w:val="2"/>
          </w:tcPr>
          <w:p w:rsidR="005A19B5" w:rsidRDefault="00D046F1">
            <w:pPr>
              <w:pStyle w:val="TableParagraph"/>
              <w:tabs>
                <w:tab w:val="left" w:pos="709"/>
              </w:tabs>
              <w:spacing w:line="240" w:lineRule="auto"/>
              <w:ind w:left="284" w:right="147"/>
              <w:rPr>
                <w:b/>
                <w:sz w:val="24"/>
                <w:szCs w:val="24"/>
              </w:rPr>
            </w:pPr>
            <w:r>
              <w:rPr>
                <w:b/>
                <w:sz w:val="24"/>
                <w:szCs w:val="24"/>
              </w:rPr>
              <w:t>Mechanism</w:t>
            </w:r>
            <w:r>
              <w:rPr>
                <w:b/>
                <w:spacing w:val="-2"/>
                <w:sz w:val="24"/>
                <w:szCs w:val="24"/>
              </w:rPr>
              <w:t xml:space="preserve"> </w:t>
            </w:r>
            <w:r>
              <w:rPr>
                <w:b/>
                <w:sz w:val="24"/>
                <w:szCs w:val="24"/>
              </w:rPr>
              <w:t>of</w:t>
            </w:r>
            <w:r>
              <w:rPr>
                <w:b/>
                <w:spacing w:val="-1"/>
                <w:sz w:val="24"/>
                <w:szCs w:val="24"/>
              </w:rPr>
              <w:t xml:space="preserve"> </w:t>
            </w:r>
            <w:r>
              <w:rPr>
                <w:b/>
                <w:spacing w:val="-2"/>
                <w:sz w:val="24"/>
                <w:szCs w:val="24"/>
              </w:rPr>
              <w:t>action</w:t>
            </w:r>
          </w:p>
        </w:tc>
        <w:tc>
          <w:tcPr>
            <w:tcW w:w="8460" w:type="dxa"/>
          </w:tcPr>
          <w:p w:rsidR="005A19B5" w:rsidRDefault="00D046F1">
            <w:pPr>
              <w:pStyle w:val="TableParagraph"/>
              <w:tabs>
                <w:tab w:val="left" w:pos="562"/>
              </w:tabs>
              <w:spacing w:before="1" w:line="240" w:lineRule="auto"/>
              <w:ind w:left="279" w:right="170" w:firstLine="5"/>
              <w:jc w:val="both"/>
              <w:rPr>
                <w:sz w:val="24"/>
                <w:szCs w:val="24"/>
              </w:rPr>
            </w:pPr>
            <w:r>
              <w:rPr>
                <w:sz w:val="24"/>
                <w:szCs w:val="24"/>
              </w:rPr>
              <w:t xml:space="preserve">Dapagliflozin is a sodium-glucose cotransporter 2 inhibitor used to treat type 2 diabetes mellitus. Dapagliflozin, when used alongside diet and </w:t>
            </w:r>
            <w:r>
              <w:rPr>
                <w:sz w:val="24"/>
                <w:szCs w:val="24"/>
              </w:rPr>
              <w:t xml:space="preserve">exercise in adults, </w:t>
            </w:r>
            <w:r>
              <w:rPr>
                <w:sz w:val="24"/>
                <w:szCs w:val="24"/>
              </w:rPr>
              <w:lastRenderedPageBreak/>
              <w:t>enhances glycemic management by blocking glucose reabsorption in the proximal tubule of the nephron and inducing glycosuria.</w:t>
            </w:r>
          </w:p>
        </w:tc>
      </w:tr>
      <w:tr w:rsidR="005A19B5">
        <w:trPr>
          <w:trHeight w:val="1266"/>
        </w:trPr>
        <w:tc>
          <w:tcPr>
            <w:tcW w:w="2417" w:type="dxa"/>
            <w:gridSpan w:val="2"/>
          </w:tcPr>
          <w:p w:rsidR="005A19B5" w:rsidRDefault="00D046F1">
            <w:pPr>
              <w:pStyle w:val="TableParagraph"/>
              <w:tabs>
                <w:tab w:val="left" w:pos="993"/>
              </w:tabs>
              <w:spacing w:line="240" w:lineRule="auto"/>
              <w:ind w:left="993" w:hanging="709"/>
              <w:rPr>
                <w:b/>
                <w:sz w:val="24"/>
                <w:szCs w:val="24"/>
              </w:rPr>
            </w:pPr>
            <w:r>
              <w:rPr>
                <w:b/>
                <w:sz w:val="24"/>
                <w:szCs w:val="24"/>
              </w:rPr>
              <w:lastRenderedPageBreak/>
              <w:t xml:space="preserve">Chemical </w:t>
            </w:r>
            <w:r>
              <w:rPr>
                <w:b/>
                <w:spacing w:val="-2"/>
                <w:sz w:val="24"/>
                <w:szCs w:val="24"/>
              </w:rPr>
              <w:t>Structure</w:t>
            </w:r>
          </w:p>
        </w:tc>
        <w:tc>
          <w:tcPr>
            <w:tcW w:w="8460" w:type="dxa"/>
          </w:tcPr>
          <w:p w:rsidR="005A19B5" w:rsidRDefault="005A19B5">
            <w:pPr>
              <w:pStyle w:val="TableParagraph"/>
              <w:tabs>
                <w:tab w:val="left" w:pos="993"/>
              </w:tabs>
              <w:spacing w:before="10" w:after="1" w:line="240" w:lineRule="auto"/>
              <w:ind w:left="993" w:right="170" w:hanging="709"/>
              <w:rPr>
                <w:b/>
                <w:sz w:val="24"/>
                <w:szCs w:val="24"/>
              </w:rPr>
            </w:pPr>
          </w:p>
          <w:p w:rsidR="005A19B5" w:rsidRDefault="00D046F1">
            <w:pPr>
              <w:pStyle w:val="TableParagraph"/>
              <w:tabs>
                <w:tab w:val="left" w:pos="993"/>
              </w:tabs>
              <w:spacing w:line="240" w:lineRule="auto"/>
              <w:ind w:left="993" w:right="170" w:hanging="709"/>
              <w:rPr>
                <w:sz w:val="24"/>
                <w:szCs w:val="24"/>
              </w:rPr>
            </w:pPr>
            <w:r>
              <w:rPr>
                <w:noProof/>
                <w:sz w:val="24"/>
                <w:szCs w:val="24"/>
                <w:lang w:val="en-IN" w:eastAsia="en-IN"/>
              </w:rPr>
              <w:drawing>
                <wp:inline distT="0" distB="0" distL="0" distR="0">
                  <wp:extent cx="3362325" cy="2082165"/>
                  <wp:effectExtent l="0" t="0" r="952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a:extLst>
                              <a:ext uri="{BEBA8EAE-BF5A-486C-A8C5-ECC9F3942E4B}">
                                <a14:imgProps xmlns:a14="http://schemas.microsoft.com/office/drawing/2010/main">
                                  <a14:imgLayer r:embed="rId19">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361661" cy="2081754"/>
                          </a:xfrm>
                          <a:prstGeom prst="rect">
                            <a:avLst/>
                          </a:prstGeom>
                        </pic:spPr>
                      </pic:pic>
                    </a:graphicData>
                  </a:graphic>
                </wp:inline>
              </w:drawing>
            </w:r>
          </w:p>
        </w:tc>
      </w:tr>
      <w:tr w:rsidR="005A19B5">
        <w:trPr>
          <w:trHeight w:val="412"/>
        </w:trPr>
        <w:tc>
          <w:tcPr>
            <w:tcW w:w="10877" w:type="dxa"/>
            <w:gridSpan w:val="3"/>
          </w:tcPr>
          <w:p w:rsidR="005A19B5" w:rsidRDefault="00D046F1">
            <w:pPr>
              <w:pStyle w:val="TableParagraph"/>
              <w:tabs>
                <w:tab w:val="left" w:pos="993"/>
              </w:tabs>
              <w:spacing w:line="240" w:lineRule="auto"/>
              <w:ind w:left="993" w:right="170" w:hanging="709"/>
              <w:rPr>
                <w:b/>
                <w:sz w:val="24"/>
                <w:szCs w:val="24"/>
              </w:rPr>
            </w:pPr>
            <w:r>
              <w:rPr>
                <w:b/>
                <w:spacing w:val="-2"/>
                <w:sz w:val="24"/>
                <w:szCs w:val="24"/>
              </w:rPr>
              <w:t>Nomenclature</w:t>
            </w:r>
          </w:p>
        </w:tc>
      </w:tr>
      <w:tr w:rsidR="005A19B5">
        <w:trPr>
          <w:trHeight w:val="1655"/>
        </w:trPr>
        <w:tc>
          <w:tcPr>
            <w:tcW w:w="2417" w:type="dxa"/>
            <w:gridSpan w:val="2"/>
          </w:tcPr>
          <w:p w:rsidR="005A19B5" w:rsidRDefault="00D046F1">
            <w:pPr>
              <w:pStyle w:val="TableParagraph"/>
              <w:tabs>
                <w:tab w:val="left" w:pos="709"/>
              </w:tabs>
              <w:spacing w:line="240" w:lineRule="auto"/>
              <w:ind w:left="284" w:right="223"/>
              <w:jc w:val="both"/>
              <w:rPr>
                <w:b/>
                <w:sz w:val="24"/>
                <w:szCs w:val="24"/>
              </w:rPr>
            </w:pPr>
            <w:r>
              <w:rPr>
                <w:b/>
                <w:sz w:val="24"/>
                <w:szCs w:val="24"/>
              </w:rPr>
              <w:t>International</w:t>
            </w:r>
            <w:r>
              <w:rPr>
                <w:b/>
                <w:spacing w:val="-11"/>
                <w:sz w:val="24"/>
                <w:szCs w:val="24"/>
              </w:rPr>
              <w:t xml:space="preserve"> </w:t>
            </w:r>
            <w:r>
              <w:rPr>
                <w:b/>
                <w:sz w:val="24"/>
                <w:szCs w:val="24"/>
              </w:rPr>
              <w:t>Union of</w:t>
            </w:r>
            <w:r>
              <w:rPr>
                <w:b/>
                <w:spacing w:val="-13"/>
                <w:sz w:val="24"/>
                <w:szCs w:val="24"/>
              </w:rPr>
              <w:t xml:space="preserve"> </w:t>
            </w:r>
            <w:r>
              <w:rPr>
                <w:b/>
                <w:sz w:val="24"/>
                <w:szCs w:val="24"/>
              </w:rPr>
              <w:t>Pure</w:t>
            </w:r>
            <w:r>
              <w:rPr>
                <w:b/>
                <w:spacing w:val="-13"/>
                <w:sz w:val="24"/>
                <w:szCs w:val="24"/>
              </w:rPr>
              <w:t xml:space="preserve"> </w:t>
            </w:r>
            <w:r>
              <w:rPr>
                <w:b/>
                <w:sz w:val="24"/>
                <w:szCs w:val="24"/>
              </w:rPr>
              <w:t>and</w:t>
            </w:r>
            <w:r>
              <w:rPr>
                <w:b/>
                <w:spacing w:val="-13"/>
                <w:sz w:val="24"/>
                <w:szCs w:val="24"/>
              </w:rPr>
              <w:t xml:space="preserve"> </w:t>
            </w:r>
            <w:r>
              <w:rPr>
                <w:b/>
                <w:sz w:val="24"/>
                <w:szCs w:val="24"/>
              </w:rPr>
              <w:t>AppliedChemistry</w:t>
            </w:r>
            <w:r>
              <w:rPr>
                <w:b/>
                <w:spacing w:val="-1"/>
                <w:sz w:val="24"/>
                <w:szCs w:val="24"/>
              </w:rPr>
              <w:t xml:space="preserve"> </w:t>
            </w:r>
            <w:r>
              <w:rPr>
                <w:b/>
                <w:spacing w:val="-2"/>
                <w:sz w:val="24"/>
                <w:szCs w:val="24"/>
              </w:rPr>
              <w:t>(IUPAC)</w:t>
            </w:r>
            <w:r>
              <w:rPr>
                <w:b/>
                <w:sz w:val="24"/>
                <w:szCs w:val="24"/>
              </w:rPr>
              <w:t xml:space="preserve"> </w:t>
            </w:r>
            <w:r>
              <w:rPr>
                <w:b/>
                <w:spacing w:val="-4"/>
                <w:sz w:val="24"/>
                <w:szCs w:val="24"/>
              </w:rPr>
              <w:t>Name</w:t>
            </w:r>
          </w:p>
        </w:tc>
        <w:tc>
          <w:tcPr>
            <w:tcW w:w="8460" w:type="dxa"/>
          </w:tcPr>
          <w:p w:rsidR="005A19B5" w:rsidRDefault="00D046F1">
            <w:pPr>
              <w:pStyle w:val="TableParagraph"/>
              <w:tabs>
                <w:tab w:val="left" w:pos="704"/>
              </w:tabs>
              <w:spacing w:line="240" w:lineRule="auto"/>
              <w:ind w:left="279" w:right="170" w:firstLine="5"/>
              <w:jc w:val="both"/>
              <w:rPr>
                <w:sz w:val="24"/>
                <w:szCs w:val="24"/>
              </w:rPr>
            </w:pPr>
            <w:r>
              <w:rPr>
                <w:sz w:val="24"/>
                <w:szCs w:val="24"/>
              </w:rPr>
              <w:t>(2S)-propane-1,2 diol (2S, 3R, 4R, 5S, 6R)-2-{4-chloro-3-[(4-ethoxyphenyl) methyl] phenyl}-6-(hydroxymethyl) oxane-3,4,5- triol hydrate</w:t>
            </w:r>
          </w:p>
        </w:tc>
      </w:tr>
      <w:tr w:rsidR="005A19B5">
        <w:trPr>
          <w:trHeight w:val="414"/>
        </w:trPr>
        <w:tc>
          <w:tcPr>
            <w:tcW w:w="2417" w:type="dxa"/>
            <w:gridSpan w:val="2"/>
          </w:tcPr>
          <w:p w:rsidR="005A19B5" w:rsidRDefault="00D046F1">
            <w:pPr>
              <w:pStyle w:val="TableParagraph"/>
              <w:tabs>
                <w:tab w:val="left" w:pos="993"/>
              </w:tabs>
              <w:spacing w:line="240" w:lineRule="auto"/>
              <w:ind w:left="993" w:hanging="709"/>
              <w:rPr>
                <w:b/>
                <w:sz w:val="24"/>
                <w:szCs w:val="24"/>
              </w:rPr>
            </w:pPr>
            <w:r>
              <w:rPr>
                <w:b/>
                <w:sz w:val="24"/>
                <w:szCs w:val="24"/>
              </w:rPr>
              <w:t>Empirical</w:t>
            </w:r>
            <w:r>
              <w:rPr>
                <w:b/>
                <w:spacing w:val="-2"/>
                <w:sz w:val="24"/>
                <w:szCs w:val="24"/>
              </w:rPr>
              <w:t xml:space="preserve"> formula</w:t>
            </w:r>
          </w:p>
        </w:tc>
        <w:tc>
          <w:tcPr>
            <w:tcW w:w="8460" w:type="dxa"/>
          </w:tcPr>
          <w:p w:rsidR="005A19B5" w:rsidRDefault="00D046F1">
            <w:pPr>
              <w:pStyle w:val="TableParagraph"/>
              <w:tabs>
                <w:tab w:val="left" w:pos="993"/>
              </w:tabs>
              <w:spacing w:line="240" w:lineRule="auto"/>
              <w:ind w:left="993" w:right="170" w:hanging="709"/>
              <w:rPr>
                <w:sz w:val="24"/>
                <w:szCs w:val="24"/>
              </w:rPr>
            </w:pPr>
            <w:r>
              <w:rPr>
                <w:sz w:val="24"/>
                <w:szCs w:val="24"/>
                <w:lang w:val="en-IN"/>
              </w:rPr>
              <w:t>C</w:t>
            </w:r>
            <w:r>
              <w:rPr>
                <w:sz w:val="24"/>
                <w:szCs w:val="24"/>
                <w:vertAlign w:val="subscript"/>
                <w:lang w:val="en-IN"/>
              </w:rPr>
              <w:t>24</w:t>
            </w:r>
            <w:r>
              <w:rPr>
                <w:sz w:val="24"/>
                <w:szCs w:val="24"/>
                <w:lang w:val="en-IN"/>
              </w:rPr>
              <w:t>H</w:t>
            </w:r>
            <w:r>
              <w:rPr>
                <w:sz w:val="24"/>
                <w:szCs w:val="24"/>
                <w:vertAlign w:val="subscript"/>
                <w:lang w:val="en-IN"/>
              </w:rPr>
              <w:t>35</w:t>
            </w:r>
            <w:r>
              <w:rPr>
                <w:sz w:val="24"/>
                <w:szCs w:val="24"/>
                <w:lang w:val="en-IN"/>
              </w:rPr>
              <w:t>ClO</w:t>
            </w:r>
            <w:r>
              <w:rPr>
                <w:sz w:val="24"/>
                <w:szCs w:val="24"/>
                <w:vertAlign w:val="subscript"/>
                <w:lang w:val="en-IN"/>
              </w:rPr>
              <w:t>9</w:t>
            </w:r>
          </w:p>
        </w:tc>
      </w:tr>
      <w:tr w:rsidR="005A19B5">
        <w:trPr>
          <w:trHeight w:val="415"/>
        </w:trPr>
        <w:tc>
          <w:tcPr>
            <w:tcW w:w="2417" w:type="dxa"/>
            <w:gridSpan w:val="2"/>
          </w:tcPr>
          <w:p w:rsidR="005A19B5" w:rsidRDefault="00D046F1">
            <w:pPr>
              <w:pStyle w:val="TableParagraph"/>
              <w:tabs>
                <w:tab w:val="left" w:pos="993"/>
              </w:tabs>
              <w:spacing w:line="240" w:lineRule="auto"/>
              <w:ind w:left="993" w:hanging="709"/>
              <w:rPr>
                <w:b/>
                <w:sz w:val="24"/>
                <w:szCs w:val="24"/>
              </w:rPr>
            </w:pPr>
            <w:r>
              <w:rPr>
                <w:b/>
                <w:sz w:val="24"/>
                <w:szCs w:val="24"/>
              </w:rPr>
              <w:t>Molecular</w:t>
            </w:r>
            <w:r>
              <w:rPr>
                <w:b/>
                <w:spacing w:val="-3"/>
                <w:sz w:val="24"/>
                <w:szCs w:val="24"/>
              </w:rPr>
              <w:t xml:space="preserve"> </w:t>
            </w:r>
            <w:r>
              <w:rPr>
                <w:b/>
                <w:spacing w:val="-2"/>
                <w:sz w:val="24"/>
                <w:szCs w:val="24"/>
              </w:rPr>
              <w:t>weight</w:t>
            </w:r>
          </w:p>
        </w:tc>
        <w:tc>
          <w:tcPr>
            <w:tcW w:w="8460" w:type="dxa"/>
          </w:tcPr>
          <w:p w:rsidR="005A19B5" w:rsidRDefault="00D046F1">
            <w:pPr>
              <w:pStyle w:val="TableParagraph"/>
              <w:tabs>
                <w:tab w:val="left" w:pos="993"/>
              </w:tabs>
              <w:spacing w:line="240" w:lineRule="auto"/>
              <w:ind w:left="993" w:right="170" w:hanging="709"/>
              <w:rPr>
                <w:sz w:val="24"/>
                <w:szCs w:val="24"/>
              </w:rPr>
            </w:pPr>
            <w:r>
              <w:rPr>
                <w:sz w:val="24"/>
                <w:szCs w:val="24"/>
                <w:lang w:val="en-IN"/>
              </w:rPr>
              <w:t>502.99 g/mol</w:t>
            </w:r>
          </w:p>
        </w:tc>
      </w:tr>
      <w:tr w:rsidR="005A19B5">
        <w:trPr>
          <w:trHeight w:val="1240"/>
        </w:trPr>
        <w:tc>
          <w:tcPr>
            <w:tcW w:w="2417" w:type="dxa"/>
            <w:gridSpan w:val="2"/>
          </w:tcPr>
          <w:p w:rsidR="005A19B5" w:rsidRDefault="00D046F1">
            <w:pPr>
              <w:pStyle w:val="TableParagraph"/>
              <w:tabs>
                <w:tab w:val="left" w:pos="426"/>
              </w:tabs>
              <w:spacing w:line="240" w:lineRule="auto"/>
              <w:ind w:left="284" w:right="275"/>
              <w:rPr>
                <w:b/>
                <w:sz w:val="24"/>
                <w:szCs w:val="24"/>
              </w:rPr>
            </w:pPr>
            <w:r>
              <w:rPr>
                <w:b/>
                <w:sz w:val="24"/>
                <w:szCs w:val="24"/>
              </w:rPr>
              <w:t>Chemical</w:t>
            </w:r>
            <w:r>
              <w:rPr>
                <w:b/>
                <w:spacing w:val="-15"/>
                <w:sz w:val="24"/>
                <w:szCs w:val="24"/>
              </w:rPr>
              <w:t xml:space="preserve"> </w:t>
            </w:r>
            <w:r>
              <w:rPr>
                <w:b/>
                <w:sz w:val="24"/>
                <w:szCs w:val="24"/>
              </w:rPr>
              <w:t xml:space="preserve">Abstracts Service (CAS) </w:t>
            </w:r>
            <w:r>
              <w:rPr>
                <w:b/>
                <w:spacing w:val="-2"/>
                <w:sz w:val="24"/>
                <w:szCs w:val="24"/>
              </w:rPr>
              <w:t>Number</w:t>
            </w:r>
          </w:p>
        </w:tc>
        <w:tc>
          <w:tcPr>
            <w:tcW w:w="8460" w:type="dxa"/>
          </w:tcPr>
          <w:p w:rsidR="005A19B5" w:rsidRDefault="00D046F1">
            <w:pPr>
              <w:pStyle w:val="TableParagraph"/>
              <w:tabs>
                <w:tab w:val="left" w:pos="993"/>
              </w:tabs>
              <w:spacing w:line="240" w:lineRule="auto"/>
              <w:ind w:left="993" w:right="170" w:hanging="709"/>
              <w:rPr>
                <w:sz w:val="24"/>
                <w:szCs w:val="24"/>
              </w:rPr>
            </w:pPr>
            <w:r>
              <w:rPr>
                <w:sz w:val="24"/>
                <w:szCs w:val="24"/>
              </w:rPr>
              <w:tab/>
            </w:r>
          </w:p>
          <w:p w:rsidR="005A19B5" w:rsidRDefault="00D046F1">
            <w:pPr>
              <w:pStyle w:val="TableParagraph"/>
              <w:tabs>
                <w:tab w:val="left" w:pos="993"/>
              </w:tabs>
              <w:spacing w:line="240" w:lineRule="auto"/>
              <w:ind w:left="993" w:right="170" w:hanging="709"/>
              <w:rPr>
                <w:sz w:val="24"/>
                <w:szCs w:val="24"/>
              </w:rPr>
            </w:pPr>
            <w:r>
              <w:rPr>
                <w:sz w:val="24"/>
                <w:szCs w:val="24"/>
                <w:lang w:val="en-IN"/>
              </w:rPr>
              <w:t>960404-48-2</w:t>
            </w:r>
            <w:r>
              <w:rPr>
                <w:sz w:val="24"/>
                <w:szCs w:val="24"/>
              </w:rPr>
              <w:tab/>
            </w:r>
          </w:p>
          <w:p w:rsidR="005A19B5" w:rsidRDefault="005A19B5">
            <w:pPr>
              <w:pStyle w:val="TableParagraph"/>
              <w:tabs>
                <w:tab w:val="left" w:pos="993"/>
              </w:tabs>
              <w:spacing w:line="240" w:lineRule="auto"/>
              <w:ind w:left="993" w:right="170" w:hanging="709"/>
              <w:rPr>
                <w:sz w:val="24"/>
                <w:szCs w:val="24"/>
              </w:rPr>
            </w:pPr>
          </w:p>
        </w:tc>
      </w:tr>
      <w:tr w:rsidR="005A19B5">
        <w:trPr>
          <w:trHeight w:val="371"/>
        </w:trPr>
        <w:tc>
          <w:tcPr>
            <w:tcW w:w="2417" w:type="dxa"/>
            <w:gridSpan w:val="2"/>
          </w:tcPr>
          <w:p w:rsidR="005A19B5" w:rsidRDefault="00D046F1">
            <w:pPr>
              <w:pStyle w:val="TableParagraph"/>
              <w:tabs>
                <w:tab w:val="left" w:pos="993"/>
              </w:tabs>
              <w:spacing w:line="240" w:lineRule="auto"/>
              <w:ind w:left="993" w:hanging="709"/>
              <w:rPr>
                <w:b/>
                <w:sz w:val="24"/>
                <w:szCs w:val="24"/>
              </w:rPr>
            </w:pPr>
            <w:r>
              <w:rPr>
                <w:b/>
                <w:sz w:val="24"/>
                <w:szCs w:val="24"/>
              </w:rPr>
              <w:t xml:space="preserve">Approval </w:t>
            </w:r>
            <w:r>
              <w:rPr>
                <w:b/>
                <w:spacing w:val="-2"/>
                <w:sz w:val="24"/>
                <w:szCs w:val="24"/>
              </w:rPr>
              <w:t>Status</w:t>
            </w:r>
          </w:p>
        </w:tc>
        <w:tc>
          <w:tcPr>
            <w:tcW w:w="8460" w:type="dxa"/>
          </w:tcPr>
          <w:p w:rsidR="005A19B5" w:rsidRDefault="00D046F1">
            <w:pPr>
              <w:pStyle w:val="TableParagraph"/>
              <w:tabs>
                <w:tab w:val="left" w:pos="993"/>
              </w:tabs>
              <w:spacing w:line="240" w:lineRule="auto"/>
              <w:ind w:left="993" w:right="170" w:hanging="709"/>
              <w:rPr>
                <w:sz w:val="24"/>
                <w:szCs w:val="24"/>
              </w:rPr>
            </w:pPr>
            <w:r>
              <w:rPr>
                <w:sz w:val="24"/>
                <w:szCs w:val="24"/>
              </w:rPr>
              <w:t>Approved</w:t>
            </w:r>
            <w:r>
              <w:rPr>
                <w:spacing w:val="-11"/>
                <w:sz w:val="24"/>
                <w:szCs w:val="24"/>
              </w:rPr>
              <w:t xml:space="preserve"> </w:t>
            </w:r>
            <w:r>
              <w:rPr>
                <w:sz w:val="24"/>
                <w:szCs w:val="24"/>
              </w:rPr>
              <w:t>by</w:t>
            </w:r>
            <w:r>
              <w:rPr>
                <w:spacing w:val="-6"/>
                <w:sz w:val="24"/>
                <w:szCs w:val="24"/>
              </w:rPr>
              <w:t xml:space="preserve"> </w:t>
            </w:r>
            <w:r>
              <w:rPr>
                <w:sz w:val="24"/>
                <w:szCs w:val="24"/>
              </w:rPr>
              <w:t>FDA,</w:t>
            </w:r>
            <w:r>
              <w:rPr>
                <w:spacing w:val="-9"/>
                <w:sz w:val="24"/>
                <w:szCs w:val="24"/>
              </w:rPr>
              <w:t xml:space="preserve"> </w:t>
            </w:r>
            <w:r>
              <w:rPr>
                <w:sz w:val="24"/>
                <w:szCs w:val="24"/>
              </w:rPr>
              <w:t>CDSCO</w:t>
            </w:r>
            <w:r>
              <w:rPr>
                <w:spacing w:val="-8"/>
                <w:sz w:val="24"/>
                <w:szCs w:val="24"/>
              </w:rPr>
              <w:t xml:space="preserve"> </w:t>
            </w:r>
            <w:r>
              <w:rPr>
                <w:sz w:val="24"/>
                <w:szCs w:val="24"/>
              </w:rPr>
              <w:t>and</w:t>
            </w:r>
            <w:r>
              <w:rPr>
                <w:spacing w:val="-9"/>
                <w:sz w:val="24"/>
                <w:szCs w:val="24"/>
              </w:rPr>
              <w:t xml:space="preserve"> </w:t>
            </w:r>
            <w:r>
              <w:rPr>
                <w:sz w:val="24"/>
                <w:szCs w:val="24"/>
              </w:rPr>
              <w:t>European</w:t>
            </w:r>
            <w:r>
              <w:rPr>
                <w:spacing w:val="-8"/>
                <w:sz w:val="24"/>
                <w:szCs w:val="24"/>
              </w:rPr>
              <w:t xml:space="preserve"> </w:t>
            </w:r>
            <w:r>
              <w:rPr>
                <w:sz w:val="24"/>
                <w:szCs w:val="24"/>
              </w:rPr>
              <w:t>union.</w:t>
            </w:r>
          </w:p>
        </w:tc>
      </w:tr>
      <w:tr w:rsidR="005A19B5">
        <w:trPr>
          <w:trHeight w:val="414"/>
        </w:trPr>
        <w:tc>
          <w:tcPr>
            <w:tcW w:w="10877" w:type="dxa"/>
            <w:gridSpan w:val="3"/>
          </w:tcPr>
          <w:p w:rsidR="005A19B5" w:rsidRDefault="00D046F1">
            <w:pPr>
              <w:pStyle w:val="TableParagraph"/>
              <w:tabs>
                <w:tab w:val="left" w:pos="993"/>
              </w:tabs>
              <w:spacing w:before="1" w:line="240" w:lineRule="auto"/>
              <w:ind w:left="993" w:right="170" w:hanging="709"/>
              <w:rPr>
                <w:b/>
                <w:sz w:val="24"/>
                <w:szCs w:val="24"/>
              </w:rPr>
            </w:pPr>
            <w:r>
              <w:rPr>
                <w:b/>
                <w:sz w:val="24"/>
                <w:szCs w:val="24"/>
              </w:rPr>
              <w:t>Physicochemical</w:t>
            </w:r>
            <w:r>
              <w:rPr>
                <w:b/>
                <w:spacing w:val="-2"/>
                <w:sz w:val="24"/>
                <w:szCs w:val="24"/>
              </w:rPr>
              <w:t xml:space="preserve"> Properties</w:t>
            </w:r>
          </w:p>
        </w:tc>
      </w:tr>
      <w:tr w:rsidR="005A19B5">
        <w:trPr>
          <w:trHeight w:val="414"/>
        </w:trPr>
        <w:tc>
          <w:tcPr>
            <w:tcW w:w="2389" w:type="dxa"/>
          </w:tcPr>
          <w:p w:rsidR="005A19B5" w:rsidRDefault="00D046F1">
            <w:pPr>
              <w:pStyle w:val="TableParagraph"/>
              <w:tabs>
                <w:tab w:val="left" w:pos="993"/>
              </w:tabs>
              <w:spacing w:before="1" w:line="240" w:lineRule="auto"/>
              <w:ind w:left="993" w:hanging="709"/>
              <w:rPr>
                <w:b/>
                <w:sz w:val="24"/>
                <w:szCs w:val="24"/>
              </w:rPr>
            </w:pPr>
            <w:r>
              <w:rPr>
                <w:b/>
                <w:spacing w:val="-2"/>
                <w:sz w:val="24"/>
                <w:szCs w:val="24"/>
              </w:rPr>
              <w:t>Appearance</w:t>
            </w:r>
          </w:p>
        </w:tc>
        <w:tc>
          <w:tcPr>
            <w:tcW w:w="8488" w:type="dxa"/>
            <w:gridSpan w:val="2"/>
          </w:tcPr>
          <w:p w:rsidR="005A19B5" w:rsidRDefault="00D046F1">
            <w:pPr>
              <w:pStyle w:val="TableParagraph"/>
              <w:tabs>
                <w:tab w:val="left" w:pos="993"/>
              </w:tabs>
              <w:spacing w:before="1" w:line="240" w:lineRule="auto"/>
              <w:ind w:left="993" w:right="170" w:hanging="709"/>
              <w:rPr>
                <w:b/>
                <w:sz w:val="24"/>
                <w:szCs w:val="24"/>
              </w:rPr>
            </w:pPr>
            <w:r>
              <w:rPr>
                <w:sz w:val="24"/>
                <w:szCs w:val="24"/>
              </w:rPr>
              <w:t>White powder</w:t>
            </w:r>
          </w:p>
        </w:tc>
      </w:tr>
      <w:tr w:rsidR="005A19B5">
        <w:trPr>
          <w:trHeight w:val="414"/>
        </w:trPr>
        <w:tc>
          <w:tcPr>
            <w:tcW w:w="2389" w:type="dxa"/>
          </w:tcPr>
          <w:p w:rsidR="005A19B5" w:rsidRDefault="00D046F1">
            <w:pPr>
              <w:pStyle w:val="TableParagraph"/>
              <w:tabs>
                <w:tab w:val="left" w:pos="993"/>
              </w:tabs>
              <w:spacing w:before="1" w:line="240" w:lineRule="auto"/>
              <w:ind w:left="993" w:hanging="709"/>
              <w:rPr>
                <w:b/>
                <w:sz w:val="24"/>
                <w:szCs w:val="24"/>
              </w:rPr>
            </w:pPr>
            <w:r>
              <w:rPr>
                <w:b/>
                <w:spacing w:val="-2"/>
                <w:sz w:val="24"/>
                <w:szCs w:val="24"/>
              </w:rPr>
              <w:t>Solubility</w:t>
            </w:r>
          </w:p>
        </w:tc>
        <w:tc>
          <w:tcPr>
            <w:tcW w:w="8488" w:type="dxa"/>
            <w:gridSpan w:val="2"/>
          </w:tcPr>
          <w:p w:rsidR="005A19B5" w:rsidRDefault="00D046F1">
            <w:pPr>
              <w:pStyle w:val="TableParagraph"/>
              <w:tabs>
                <w:tab w:val="left" w:pos="578"/>
              </w:tabs>
              <w:spacing w:before="1" w:line="240" w:lineRule="auto"/>
              <w:ind w:left="295" w:right="170" w:hanging="11"/>
              <w:jc w:val="both"/>
              <w:rPr>
                <w:bCs/>
                <w:sz w:val="24"/>
                <w:szCs w:val="24"/>
              </w:rPr>
            </w:pPr>
            <w:r>
              <w:rPr>
                <w:bCs/>
                <w:sz w:val="24"/>
                <w:szCs w:val="24"/>
              </w:rPr>
              <w:t>Soluble in ethanol, DMSO, and dimethyl formamide. Sparingly soluble in aqueous buffers and water.</w:t>
            </w:r>
          </w:p>
        </w:tc>
      </w:tr>
      <w:tr w:rsidR="005A19B5">
        <w:trPr>
          <w:trHeight w:val="414"/>
        </w:trPr>
        <w:tc>
          <w:tcPr>
            <w:tcW w:w="2389" w:type="dxa"/>
            <w:shd w:val="clear" w:color="auto" w:fill="auto"/>
          </w:tcPr>
          <w:p w:rsidR="005A19B5" w:rsidRDefault="00D046F1">
            <w:pPr>
              <w:pStyle w:val="TableParagraph"/>
              <w:tabs>
                <w:tab w:val="left" w:pos="993"/>
              </w:tabs>
              <w:spacing w:before="1" w:line="240" w:lineRule="auto"/>
              <w:ind w:left="993" w:hanging="709"/>
              <w:rPr>
                <w:b/>
                <w:sz w:val="24"/>
                <w:szCs w:val="24"/>
              </w:rPr>
            </w:pPr>
            <w:r>
              <w:rPr>
                <w:b/>
                <w:sz w:val="24"/>
                <w:szCs w:val="24"/>
              </w:rPr>
              <w:t>Melting</w:t>
            </w:r>
            <w:r>
              <w:rPr>
                <w:b/>
                <w:spacing w:val="-2"/>
                <w:sz w:val="24"/>
                <w:szCs w:val="24"/>
              </w:rPr>
              <w:t xml:space="preserve"> point</w:t>
            </w:r>
          </w:p>
        </w:tc>
        <w:tc>
          <w:tcPr>
            <w:tcW w:w="8488" w:type="dxa"/>
            <w:gridSpan w:val="2"/>
            <w:shd w:val="clear" w:color="auto" w:fill="auto"/>
          </w:tcPr>
          <w:p w:rsidR="005A19B5" w:rsidRDefault="00D046F1">
            <w:pPr>
              <w:pStyle w:val="TableParagraph"/>
              <w:tabs>
                <w:tab w:val="left" w:pos="993"/>
              </w:tabs>
              <w:spacing w:before="1" w:line="240" w:lineRule="auto"/>
              <w:ind w:left="993" w:right="170" w:hanging="709"/>
              <w:rPr>
                <w:bCs/>
                <w:sz w:val="24"/>
                <w:szCs w:val="24"/>
              </w:rPr>
            </w:pPr>
            <w:r>
              <w:rPr>
                <w:bCs/>
                <w:sz w:val="24"/>
                <w:szCs w:val="24"/>
              </w:rPr>
              <w:t>65 °C</w:t>
            </w:r>
          </w:p>
        </w:tc>
      </w:tr>
      <w:tr w:rsidR="005A19B5">
        <w:trPr>
          <w:trHeight w:val="414"/>
        </w:trPr>
        <w:tc>
          <w:tcPr>
            <w:tcW w:w="2389" w:type="dxa"/>
            <w:shd w:val="clear" w:color="auto" w:fill="auto"/>
          </w:tcPr>
          <w:p w:rsidR="005A19B5" w:rsidRDefault="00D046F1">
            <w:pPr>
              <w:pStyle w:val="TableParagraph"/>
              <w:tabs>
                <w:tab w:val="left" w:pos="993"/>
              </w:tabs>
              <w:spacing w:before="1" w:line="240" w:lineRule="auto"/>
              <w:ind w:left="993" w:hanging="709"/>
              <w:rPr>
                <w:b/>
                <w:sz w:val="24"/>
                <w:szCs w:val="24"/>
              </w:rPr>
            </w:pPr>
            <w:r>
              <w:rPr>
                <w:b/>
                <w:sz w:val="24"/>
                <w:szCs w:val="24"/>
              </w:rPr>
              <w:t xml:space="preserve">Log </w:t>
            </w:r>
            <w:r>
              <w:rPr>
                <w:b/>
                <w:spacing w:val="-10"/>
                <w:sz w:val="24"/>
                <w:szCs w:val="24"/>
              </w:rPr>
              <w:t>p</w:t>
            </w:r>
          </w:p>
        </w:tc>
        <w:tc>
          <w:tcPr>
            <w:tcW w:w="8488" w:type="dxa"/>
            <w:gridSpan w:val="2"/>
            <w:shd w:val="clear" w:color="auto" w:fill="auto"/>
          </w:tcPr>
          <w:p w:rsidR="005A19B5" w:rsidRDefault="00D046F1">
            <w:pPr>
              <w:pStyle w:val="TableParagraph"/>
              <w:tabs>
                <w:tab w:val="left" w:pos="993"/>
              </w:tabs>
              <w:spacing w:before="1" w:line="240" w:lineRule="auto"/>
              <w:ind w:left="993" w:right="170" w:hanging="709"/>
              <w:rPr>
                <w:b/>
                <w:sz w:val="24"/>
                <w:szCs w:val="24"/>
              </w:rPr>
            </w:pPr>
            <w:r>
              <w:rPr>
                <w:spacing w:val="-4"/>
                <w:sz w:val="24"/>
                <w:szCs w:val="24"/>
              </w:rPr>
              <w:t>2.7</w:t>
            </w:r>
          </w:p>
        </w:tc>
      </w:tr>
      <w:tr w:rsidR="005A19B5">
        <w:trPr>
          <w:trHeight w:val="414"/>
        </w:trPr>
        <w:tc>
          <w:tcPr>
            <w:tcW w:w="2389" w:type="dxa"/>
            <w:shd w:val="clear" w:color="auto" w:fill="auto"/>
          </w:tcPr>
          <w:p w:rsidR="005A19B5" w:rsidRDefault="00D046F1">
            <w:pPr>
              <w:pStyle w:val="TableParagraph"/>
              <w:tabs>
                <w:tab w:val="left" w:pos="993"/>
              </w:tabs>
              <w:spacing w:before="1" w:line="240" w:lineRule="auto"/>
              <w:ind w:left="993" w:hanging="709"/>
              <w:rPr>
                <w:b/>
                <w:sz w:val="24"/>
                <w:szCs w:val="24"/>
              </w:rPr>
            </w:pPr>
            <w:r>
              <w:rPr>
                <w:b/>
                <w:sz w:val="24"/>
                <w:szCs w:val="24"/>
              </w:rPr>
              <w:t xml:space="preserve">pKa </w:t>
            </w:r>
            <w:r>
              <w:rPr>
                <w:b/>
                <w:spacing w:val="-2"/>
                <w:sz w:val="24"/>
                <w:szCs w:val="24"/>
              </w:rPr>
              <w:t>value</w:t>
            </w:r>
          </w:p>
        </w:tc>
        <w:tc>
          <w:tcPr>
            <w:tcW w:w="8488" w:type="dxa"/>
            <w:gridSpan w:val="2"/>
            <w:shd w:val="clear" w:color="auto" w:fill="auto"/>
          </w:tcPr>
          <w:p w:rsidR="005A19B5" w:rsidRDefault="00D046F1">
            <w:pPr>
              <w:pStyle w:val="TableParagraph"/>
              <w:tabs>
                <w:tab w:val="left" w:pos="993"/>
              </w:tabs>
              <w:spacing w:before="1" w:line="240" w:lineRule="auto"/>
              <w:ind w:left="993" w:right="170" w:hanging="709"/>
              <w:rPr>
                <w:b/>
                <w:sz w:val="24"/>
                <w:szCs w:val="24"/>
              </w:rPr>
            </w:pPr>
            <w:r>
              <w:rPr>
                <w:sz w:val="24"/>
                <w:szCs w:val="24"/>
              </w:rPr>
              <w:t>12.57</w:t>
            </w:r>
          </w:p>
        </w:tc>
      </w:tr>
    </w:tbl>
    <w:p w:rsidR="005A19B5" w:rsidRDefault="005A19B5">
      <w:pPr>
        <w:spacing w:line="240" w:lineRule="auto"/>
        <w:jc w:val="both"/>
        <w:rPr>
          <w:rFonts w:ascii="Times New Roman" w:hAnsi="Times New Roman" w:cs="Times New Roman"/>
          <w:sz w:val="24"/>
          <w:szCs w:val="24"/>
        </w:rPr>
        <w:sectPr w:rsidR="005A19B5">
          <w:type w:val="continuous"/>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tbl>
      <w:tblPr>
        <w:tblpPr w:leftFromText="180" w:rightFromText="180" w:vertAnchor="text" w:tblpY="1"/>
        <w:tblOverlap w:val="neve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89"/>
        <w:gridCol w:w="5970"/>
      </w:tblGrid>
      <w:tr w:rsidR="005A19B5">
        <w:trPr>
          <w:trHeight w:val="414"/>
        </w:trPr>
        <w:tc>
          <w:tcPr>
            <w:tcW w:w="2389" w:type="dxa"/>
          </w:tcPr>
          <w:p w:rsidR="005A19B5" w:rsidRDefault="005A19B5">
            <w:pPr>
              <w:pStyle w:val="TableParagraph"/>
              <w:tabs>
                <w:tab w:val="left" w:pos="993"/>
              </w:tabs>
              <w:spacing w:before="1" w:line="240" w:lineRule="auto"/>
              <w:ind w:left="993" w:hanging="709"/>
              <w:rPr>
                <w:b/>
                <w:sz w:val="24"/>
                <w:szCs w:val="24"/>
              </w:rPr>
            </w:pPr>
          </w:p>
        </w:tc>
        <w:tc>
          <w:tcPr>
            <w:tcW w:w="5970" w:type="dxa"/>
          </w:tcPr>
          <w:p w:rsidR="005A19B5" w:rsidRDefault="00D046F1" w:rsidP="005E2918">
            <w:pPr>
              <w:spacing w:line="240" w:lineRule="auto"/>
              <w:ind w:firstLineChars="450" w:firstLine="1084"/>
              <w:jc w:val="both"/>
              <w:rPr>
                <w:rFonts w:ascii="Times New Roman" w:hAnsi="Times New Roman" w:cs="Times New Roman"/>
                <w:b/>
                <w:bCs/>
                <w:sz w:val="24"/>
                <w:szCs w:val="24"/>
                <w:vertAlign w:val="superscript"/>
              </w:rPr>
            </w:pPr>
            <w:r>
              <w:rPr>
                <w:rFonts w:ascii="Times New Roman" w:hAnsi="Times New Roman" w:cs="Times New Roman"/>
                <w:b/>
                <w:bCs/>
                <w:sz w:val="24"/>
                <w:szCs w:val="24"/>
              </w:rPr>
              <w:t xml:space="preserve">Drug Profile of Eplerenone </w:t>
            </w:r>
            <w:r>
              <w:rPr>
                <w:rFonts w:ascii="Times New Roman" w:hAnsi="Times New Roman" w:cs="Times New Roman"/>
                <w:b/>
                <w:bCs/>
                <w:sz w:val="24"/>
                <w:szCs w:val="24"/>
                <w:vertAlign w:val="superscript"/>
              </w:rPr>
              <w:t>[12-13]</w:t>
            </w:r>
          </w:p>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Table 4- Drug Profile of Eplerenone</w:t>
            </w:r>
          </w:p>
        </w:tc>
      </w:tr>
    </w:tbl>
    <w:p w:rsidR="005A19B5" w:rsidRDefault="005A19B5">
      <w:pPr>
        <w:spacing w:line="240" w:lineRule="auto"/>
        <w:rPr>
          <w:rFonts w:ascii="Times New Roman" w:hAnsi="Times New Roman" w:cs="Times New Roman"/>
          <w:b/>
          <w:bCs/>
          <w:sz w:val="24"/>
          <w:szCs w:val="24"/>
        </w:rPr>
      </w:pPr>
    </w:p>
    <w:tbl>
      <w:tblPr>
        <w:tblpPr w:leftFromText="180" w:rightFromText="180" w:vertAnchor="text" w:tblpY="1"/>
        <w:tblOverlap w:val="never"/>
        <w:tblW w:w="1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89"/>
        <w:gridCol w:w="28"/>
        <w:gridCol w:w="8842"/>
      </w:tblGrid>
      <w:tr w:rsidR="005A19B5">
        <w:trPr>
          <w:trHeight w:val="412"/>
        </w:trPr>
        <w:tc>
          <w:tcPr>
            <w:tcW w:w="11259" w:type="dxa"/>
            <w:gridSpan w:val="3"/>
          </w:tcPr>
          <w:p w:rsidR="005A19B5" w:rsidRDefault="00D046F1">
            <w:pPr>
              <w:pStyle w:val="TableParagraph"/>
              <w:tabs>
                <w:tab w:val="left" w:pos="993"/>
              </w:tabs>
              <w:spacing w:line="240" w:lineRule="auto"/>
              <w:ind w:left="993" w:hanging="709"/>
              <w:rPr>
                <w:b/>
                <w:sz w:val="24"/>
                <w:szCs w:val="24"/>
              </w:rPr>
            </w:pPr>
            <w:r>
              <w:rPr>
                <w:b/>
                <w:sz w:val="24"/>
                <w:szCs w:val="24"/>
              </w:rPr>
              <w:t>Drug</w:t>
            </w:r>
            <w:r>
              <w:rPr>
                <w:b/>
                <w:spacing w:val="-2"/>
                <w:sz w:val="24"/>
                <w:szCs w:val="24"/>
              </w:rPr>
              <w:t xml:space="preserve"> Information</w:t>
            </w:r>
          </w:p>
        </w:tc>
      </w:tr>
      <w:tr w:rsidR="005A19B5">
        <w:trPr>
          <w:trHeight w:val="414"/>
        </w:trPr>
        <w:tc>
          <w:tcPr>
            <w:tcW w:w="2417" w:type="dxa"/>
            <w:gridSpan w:val="2"/>
          </w:tcPr>
          <w:p w:rsidR="005A19B5" w:rsidRDefault="00D046F1">
            <w:pPr>
              <w:pStyle w:val="TableParagraph"/>
              <w:tabs>
                <w:tab w:val="left" w:pos="567"/>
              </w:tabs>
              <w:spacing w:line="240" w:lineRule="auto"/>
              <w:ind w:left="284"/>
              <w:rPr>
                <w:b/>
                <w:sz w:val="24"/>
                <w:szCs w:val="24"/>
              </w:rPr>
            </w:pPr>
            <w:r>
              <w:rPr>
                <w:b/>
                <w:sz w:val="24"/>
                <w:szCs w:val="24"/>
              </w:rPr>
              <w:t>Therapeutic</w:t>
            </w:r>
            <w:r>
              <w:rPr>
                <w:b/>
                <w:spacing w:val="-5"/>
                <w:sz w:val="24"/>
                <w:szCs w:val="24"/>
              </w:rPr>
              <w:t xml:space="preserve"> </w:t>
            </w:r>
            <w:r>
              <w:rPr>
                <w:b/>
                <w:spacing w:val="-2"/>
                <w:sz w:val="24"/>
                <w:szCs w:val="24"/>
              </w:rPr>
              <w:t>category</w:t>
            </w:r>
          </w:p>
        </w:tc>
        <w:tc>
          <w:tcPr>
            <w:tcW w:w="8842" w:type="dxa"/>
          </w:tcPr>
          <w:p w:rsidR="005A19B5" w:rsidRDefault="00D046F1">
            <w:pPr>
              <w:pStyle w:val="TableParagraph"/>
              <w:tabs>
                <w:tab w:val="left" w:pos="993"/>
              </w:tabs>
              <w:spacing w:line="240" w:lineRule="auto"/>
              <w:ind w:left="993" w:right="170" w:hanging="709"/>
              <w:jc w:val="both"/>
              <w:rPr>
                <w:sz w:val="24"/>
                <w:szCs w:val="24"/>
                <w:lang w:val="en-IN"/>
              </w:rPr>
            </w:pPr>
            <w:r>
              <w:rPr>
                <w:sz w:val="24"/>
                <w:szCs w:val="24"/>
              </w:rPr>
              <w:t>Anti-hypertensive Agent</w:t>
            </w:r>
          </w:p>
          <w:p w:rsidR="005A19B5" w:rsidRDefault="005A19B5">
            <w:pPr>
              <w:pStyle w:val="TableParagraph"/>
              <w:tabs>
                <w:tab w:val="left" w:pos="993"/>
              </w:tabs>
              <w:spacing w:line="240" w:lineRule="auto"/>
              <w:ind w:left="993" w:right="170" w:hanging="709"/>
              <w:jc w:val="both"/>
              <w:rPr>
                <w:sz w:val="24"/>
                <w:szCs w:val="24"/>
              </w:rPr>
            </w:pPr>
          </w:p>
        </w:tc>
      </w:tr>
      <w:tr w:rsidR="005A19B5">
        <w:trPr>
          <w:trHeight w:val="827"/>
        </w:trPr>
        <w:tc>
          <w:tcPr>
            <w:tcW w:w="2417" w:type="dxa"/>
            <w:gridSpan w:val="2"/>
          </w:tcPr>
          <w:p w:rsidR="005A19B5" w:rsidRDefault="00D046F1">
            <w:pPr>
              <w:pStyle w:val="TableParagraph"/>
              <w:tabs>
                <w:tab w:val="left" w:pos="993"/>
              </w:tabs>
              <w:spacing w:line="240" w:lineRule="auto"/>
              <w:ind w:left="993" w:hanging="709"/>
              <w:rPr>
                <w:b/>
                <w:sz w:val="24"/>
                <w:szCs w:val="24"/>
              </w:rPr>
            </w:pPr>
            <w:r>
              <w:rPr>
                <w:b/>
                <w:spacing w:val="-2"/>
                <w:sz w:val="24"/>
                <w:szCs w:val="24"/>
              </w:rPr>
              <w:t>Therapeutic</w:t>
            </w:r>
          </w:p>
          <w:p w:rsidR="005A19B5" w:rsidRDefault="00D046F1">
            <w:pPr>
              <w:pStyle w:val="TableParagraph"/>
              <w:tabs>
                <w:tab w:val="left" w:pos="993"/>
              </w:tabs>
              <w:spacing w:before="139" w:line="240" w:lineRule="auto"/>
              <w:ind w:left="993" w:hanging="709"/>
              <w:rPr>
                <w:b/>
                <w:sz w:val="24"/>
                <w:szCs w:val="24"/>
              </w:rPr>
            </w:pPr>
            <w:r>
              <w:rPr>
                <w:b/>
                <w:spacing w:val="-2"/>
                <w:sz w:val="24"/>
                <w:szCs w:val="24"/>
              </w:rPr>
              <w:t>Indication</w:t>
            </w:r>
          </w:p>
        </w:tc>
        <w:tc>
          <w:tcPr>
            <w:tcW w:w="8842" w:type="dxa"/>
          </w:tcPr>
          <w:p w:rsidR="005A19B5" w:rsidRDefault="00D046F1">
            <w:pPr>
              <w:tabs>
                <w:tab w:val="left" w:pos="704"/>
              </w:tabs>
              <w:spacing w:line="240" w:lineRule="auto"/>
              <w:ind w:left="279" w:firstLine="5"/>
              <w:jc w:val="both"/>
              <w:rPr>
                <w:rFonts w:ascii="Times New Roman" w:hAnsi="Times New Roman" w:cs="Times New Roman"/>
                <w:sz w:val="24"/>
                <w:szCs w:val="24"/>
              </w:rPr>
            </w:pPr>
            <w:r>
              <w:rPr>
                <w:rFonts w:ascii="Times New Roman" w:hAnsi="Times New Roman" w:cs="Times New Roman"/>
                <w:sz w:val="24"/>
                <w:szCs w:val="24"/>
                <w:lang w:val="en-US"/>
              </w:rPr>
              <w:t xml:space="preserve">Used to treat high blood pressure </w:t>
            </w:r>
            <w:r>
              <w:rPr>
                <w:rFonts w:ascii="Times New Roman" w:hAnsi="Times New Roman" w:cs="Times New Roman"/>
                <w:sz w:val="24"/>
                <w:szCs w:val="24"/>
                <w:lang w:val="en-US"/>
              </w:rPr>
              <w:t>and to improve survival in patients with heart failure</w:t>
            </w:r>
          </w:p>
        </w:tc>
      </w:tr>
      <w:tr w:rsidR="005A19B5">
        <w:trPr>
          <w:trHeight w:val="416"/>
        </w:trPr>
        <w:tc>
          <w:tcPr>
            <w:tcW w:w="2417" w:type="dxa"/>
            <w:gridSpan w:val="2"/>
          </w:tcPr>
          <w:p w:rsidR="005A19B5" w:rsidRDefault="00D046F1">
            <w:pPr>
              <w:pStyle w:val="TableParagraph"/>
              <w:tabs>
                <w:tab w:val="left" w:pos="709"/>
              </w:tabs>
              <w:spacing w:line="240" w:lineRule="auto"/>
              <w:ind w:left="284" w:right="147"/>
              <w:rPr>
                <w:b/>
                <w:sz w:val="24"/>
                <w:szCs w:val="24"/>
              </w:rPr>
            </w:pPr>
            <w:r>
              <w:rPr>
                <w:b/>
                <w:sz w:val="24"/>
                <w:szCs w:val="24"/>
              </w:rPr>
              <w:t>Mechanism</w:t>
            </w:r>
            <w:r>
              <w:rPr>
                <w:b/>
                <w:spacing w:val="-2"/>
                <w:sz w:val="24"/>
                <w:szCs w:val="24"/>
              </w:rPr>
              <w:t xml:space="preserve"> </w:t>
            </w:r>
            <w:r>
              <w:rPr>
                <w:b/>
                <w:sz w:val="24"/>
                <w:szCs w:val="24"/>
              </w:rPr>
              <w:t>of</w:t>
            </w:r>
            <w:r>
              <w:rPr>
                <w:b/>
                <w:spacing w:val="-1"/>
                <w:sz w:val="24"/>
                <w:szCs w:val="24"/>
              </w:rPr>
              <w:t xml:space="preserve"> </w:t>
            </w:r>
            <w:r>
              <w:rPr>
                <w:b/>
                <w:spacing w:val="-2"/>
                <w:sz w:val="24"/>
                <w:szCs w:val="24"/>
              </w:rPr>
              <w:t>action</w:t>
            </w:r>
          </w:p>
        </w:tc>
        <w:tc>
          <w:tcPr>
            <w:tcW w:w="8842" w:type="dxa"/>
          </w:tcPr>
          <w:p w:rsidR="005A19B5" w:rsidRDefault="00D046F1">
            <w:pPr>
              <w:pStyle w:val="TableParagraph"/>
              <w:tabs>
                <w:tab w:val="left" w:pos="562"/>
              </w:tabs>
              <w:spacing w:before="1" w:line="240" w:lineRule="auto"/>
              <w:ind w:left="279" w:right="170" w:firstLine="5"/>
              <w:jc w:val="both"/>
              <w:rPr>
                <w:sz w:val="24"/>
                <w:szCs w:val="24"/>
              </w:rPr>
            </w:pPr>
            <w:r>
              <w:rPr>
                <w:sz w:val="24"/>
                <w:szCs w:val="24"/>
              </w:rPr>
              <w:t xml:space="preserve">Eplerenone is a mineralocorticoid receptor antagonist. It binds to the receptor and locks the binding of aldosterone, a component of the renin-angiotensin-aldosterone-system </w:t>
            </w:r>
            <w:r>
              <w:rPr>
                <w:sz w:val="24"/>
                <w:szCs w:val="24"/>
              </w:rPr>
              <w:t>(RAAS). Aldosterone binds to mineralocorticoid receptors in tissues, and increases blood pressure through induction of sodium reabsorption and possibly other mechanisms. Eplerenone works by blocking the actions of aldosterone, and resulting in decreasing b</w:t>
            </w:r>
            <w:r>
              <w:rPr>
                <w:sz w:val="24"/>
                <w:szCs w:val="24"/>
              </w:rPr>
              <w:t>lood pressure.</w:t>
            </w:r>
          </w:p>
        </w:tc>
      </w:tr>
      <w:tr w:rsidR="005A19B5">
        <w:trPr>
          <w:trHeight w:val="1266"/>
        </w:trPr>
        <w:tc>
          <w:tcPr>
            <w:tcW w:w="2417" w:type="dxa"/>
            <w:gridSpan w:val="2"/>
          </w:tcPr>
          <w:p w:rsidR="005A19B5" w:rsidRDefault="00D046F1">
            <w:pPr>
              <w:pStyle w:val="TableParagraph"/>
              <w:tabs>
                <w:tab w:val="left" w:pos="993"/>
              </w:tabs>
              <w:spacing w:line="240" w:lineRule="auto"/>
              <w:ind w:left="993" w:hanging="709"/>
              <w:rPr>
                <w:b/>
                <w:sz w:val="24"/>
                <w:szCs w:val="24"/>
              </w:rPr>
            </w:pPr>
            <w:r>
              <w:rPr>
                <w:b/>
                <w:sz w:val="24"/>
                <w:szCs w:val="24"/>
              </w:rPr>
              <w:t xml:space="preserve">Chemical </w:t>
            </w:r>
            <w:r>
              <w:rPr>
                <w:b/>
                <w:spacing w:val="-2"/>
                <w:sz w:val="24"/>
                <w:szCs w:val="24"/>
              </w:rPr>
              <w:t>Structure</w:t>
            </w:r>
          </w:p>
        </w:tc>
        <w:tc>
          <w:tcPr>
            <w:tcW w:w="8842" w:type="dxa"/>
          </w:tcPr>
          <w:p w:rsidR="005A19B5" w:rsidRDefault="005A19B5">
            <w:pPr>
              <w:pStyle w:val="TableParagraph"/>
              <w:tabs>
                <w:tab w:val="left" w:pos="993"/>
              </w:tabs>
              <w:spacing w:before="10" w:after="1" w:line="240" w:lineRule="auto"/>
              <w:ind w:left="993" w:right="170" w:hanging="709"/>
              <w:rPr>
                <w:b/>
                <w:sz w:val="24"/>
                <w:szCs w:val="24"/>
              </w:rPr>
            </w:pPr>
          </w:p>
          <w:p w:rsidR="005A19B5" w:rsidRDefault="00D046F1">
            <w:pPr>
              <w:pStyle w:val="TableParagraph"/>
              <w:tabs>
                <w:tab w:val="left" w:pos="993"/>
              </w:tabs>
              <w:spacing w:line="240" w:lineRule="auto"/>
              <w:ind w:left="993" w:right="170" w:hanging="709"/>
              <w:rPr>
                <w:sz w:val="24"/>
                <w:szCs w:val="24"/>
              </w:rPr>
            </w:pPr>
            <w:r>
              <w:rPr>
                <w:noProof/>
                <w:sz w:val="24"/>
                <w:szCs w:val="24"/>
                <w:lang w:val="en-IN" w:eastAsia="en-IN"/>
              </w:rPr>
              <w:drawing>
                <wp:inline distT="0" distB="0" distL="0" distR="0">
                  <wp:extent cx="3476625" cy="850265"/>
                  <wp:effectExtent l="0" t="0" r="9525"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3476625" cy="850265"/>
                          </a:xfrm>
                          <a:prstGeom prst="rect">
                            <a:avLst/>
                          </a:prstGeom>
                        </pic:spPr>
                      </pic:pic>
                    </a:graphicData>
                  </a:graphic>
                </wp:inline>
              </w:drawing>
            </w:r>
          </w:p>
        </w:tc>
      </w:tr>
      <w:tr w:rsidR="005A19B5">
        <w:trPr>
          <w:trHeight w:val="412"/>
        </w:trPr>
        <w:tc>
          <w:tcPr>
            <w:tcW w:w="11259" w:type="dxa"/>
            <w:gridSpan w:val="3"/>
          </w:tcPr>
          <w:p w:rsidR="005A19B5" w:rsidRDefault="00D046F1">
            <w:pPr>
              <w:pStyle w:val="TableParagraph"/>
              <w:tabs>
                <w:tab w:val="left" w:pos="993"/>
              </w:tabs>
              <w:spacing w:line="240" w:lineRule="auto"/>
              <w:ind w:left="993" w:right="170" w:hanging="709"/>
              <w:rPr>
                <w:b/>
                <w:sz w:val="24"/>
                <w:szCs w:val="24"/>
              </w:rPr>
            </w:pPr>
            <w:r>
              <w:rPr>
                <w:b/>
                <w:spacing w:val="-2"/>
                <w:sz w:val="24"/>
                <w:szCs w:val="24"/>
              </w:rPr>
              <w:t>Nomenclature</w:t>
            </w:r>
          </w:p>
        </w:tc>
      </w:tr>
      <w:tr w:rsidR="005A19B5">
        <w:trPr>
          <w:trHeight w:val="1655"/>
        </w:trPr>
        <w:tc>
          <w:tcPr>
            <w:tcW w:w="2417" w:type="dxa"/>
            <w:gridSpan w:val="2"/>
          </w:tcPr>
          <w:p w:rsidR="005A19B5" w:rsidRDefault="00D046F1">
            <w:pPr>
              <w:pStyle w:val="TableParagraph"/>
              <w:tabs>
                <w:tab w:val="left" w:pos="709"/>
              </w:tabs>
              <w:spacing w:line="240" w:lineRule="auto"/>
              <w:ind w:left="284" w:right="223"/>
              <w:jc w:val="both"/>
              <w:rPr>
                <w:b/>
                <w:sz w:val="24"/>
                <w:szCs w:val="24"/>
              </w:rPr>
            </w:pPr>
            <w:r>
              <w:rPr>
                <w:b/>
                <w:sz w:val="24"/>
                <w:szCs w:val="24"/>
              </w:rPr>
              <w:t>International</w:t>
            </w:r>
            <w:r>
              <w:rPr>
                <w:b/>
                <w:spacing w:val="-11"/>
                <w:sz w:val="24"/>
                <w:szCs w:val="24"/>
              </w:rPr>
              <w:t xml:space="preserve"> </w:t>
            </w:r>
            <w:r>
              <w:rPr>
                <w:b/>
                <w:sz w:val="24"/>
                <w:szCs w:val="24"/>
              </w:rPr>
              <w:t>Union of</w:t>
            </w:r>
            <w:r>
              <w:rPr>
                <w:b/>
                <w:spacing w:val="-13"/>
                <w:sz w:val="24"/>
                <w:szCs w:val="24"/>
              </w:rPr>
              <w:t xml:space="preserve"> </w:t>
            </w:r>
            <w:r>
              <w:rPr>
                <w:b/>
                <w:sz w:val="24"/>
                <w:szCs w:val="24"/>
              </w:rPr>
              <w:t>Pure</w:t>
            </w:r>
            <w:r>
              <w:rPr>
                <w:b/>
                <w:spacing w:val="-13"/>
                <w:sz w:val="24"/>
                <w:szCs w:val="24"/>
              </w:rPr>
              <w:t xml:space="preserve"> </w:t>
            </w:r>
            <w:r>
              <w:rPr>
                <w:b/>
                <w:sz w:val="24"/>
                <w:szCs w:val="24"/>
              </w:rPr>
              <w:t>and</w:t>
            </w:r>
            <w:r>
              <w:rPr>
                <w:b/>
                <w:spacing w:val="-13"/>
                <w:sz w:val="24"/>
                <w:szCs w:val="24"/>
              </w:rPr>
              <w:t xml:space="preserve"> </w:t>
            </w:r>
            <w:r>
              <w:rPr>
                <w:b/>
                <w:sz w:val="24"/>
                <w:szCs w:val="24"/>
              </w:rPr>
              <w:t>Applied Chemistry</w:t>
            </w:r>
            <w:r>
              <w:rPr>
                <w:b/>
                <w:spacing w:val="-1"/>
                <w:sz w:val="24"/>
                <w:szCs w:val="24"/>
              </w:rPr>
              <w:t xml:space="preserve"> </w:t>
            </w:r>
            <w:r>
              <w:rPr>
                <w:b/>
                <w:spacing w:val="-2"/>
                <w:sz w:val="24"/>
                <w:szCs w:val="24"/>
              </w:rPr>
              <w:t>(IUPAC)</w:t>
            </w:r>
            <w:r>
              <w:rPr>
                <w:b/>
                <w:sz w:val="24"/>
                <w:szCs w:val="24"/>
              </w:rPr>
              <w:t xml:space="preserve"> </w:t>
            </w:r>
            <w:r>
              <w:rPr>
                <w:b/>
                <w:spacing w:val="-4"/>
                <w:sz w:val="24"/>
                <w:szCs w:val="24"/>
              </w:rPr>
              <w:t>Name</w:t>
            </w:r>
          </w:p>
        </w:tc>
        <w:tc>
          <w:tcPr>
            <w:tcW w:w="8842" w:type="dxa"/>
          </w:tcPr>
          <w:p w:rsidR="005A19B5" w:rsidRDefault="00D046F1">
            <w:pPr>
              <w:pStyle w:val="TableParagraph"/>
              <w:tabs>
                <w:tab w:val="left" w:pos="704"/>
              </w:tabs>
              <w:spacing w:line="240" w:lineRule="auto"/>
              <w:ind w:left="279" w:right="170" w:firstLine="5"/>
              <w:jc w:val="both"/>
              <w:rPr>
                <w:sz w:val="24"/>
                <w:szCs w:val="24"/>
              </w:rPr>
            </w:pPr>
            <w:r>
              <w:rPr>
                <w:sz w:val="24"/>
                <w:szCs w:val="24"/>
              </w:rPr>
              <w:t xml:space="preserve">methyl </w:t>
            </w:r>
            <w:r>
              <w:rPr>
                <w:sz w:val="24"/>
                <w:szCs w:val="24"/>
              </w:rPr>
              <w:t>(1R,2S,9R,10R,11S,14R,15S,17R)-2,15-dimethyl-5,5'-dioxospiro[18-oxapentacyclo[8.8.0.01,17.02,7.011,15]octadec-6-ene-14,2'-oxolane]-9-carboxylate</w:t>
            </w:r>
          </w:p>
        </w:tc>
      </w:tr>
      <w:tr w:rsidR="005A19B5">
        <w:trPr>
          <w:trHeight w:val="414"/>
        </w:trPr>
        <w:tc>
          <w:tcPr>
            <w:tcW w:w="2417" w:type="dxa"/>
            <w:gridSpan w:val="2"/>
          </w:tcPr>
          <w:p w:rsidR="005A19B5" w:rsidRDefault="00D046F1">
            <w:pPr>
              <w:pStyle w:val="TableParagraph"/>
              <w:tabs>
                <w:tab w:val="left" w:pos="993"/>
              </w:tabs>
              <w:spacing w:line="240" w:lineRule="auto"/>
              <w:ind w:left="993" w:hanging="709"/>
              <w:rPr>
                <w:b/>
                <w:sz w:val="24"/>
                <w:szCs w:val="24"/>
              </w:rPr>
            </w:pPr>
            <w:r>
              <w:rPr>
                <w:b/>
                <w:sz w:val="24"/>
                <w:szCs w:val="24"/>
              </w:rPr>
              <w:t>Empirical</w:t>
            </w:r>
            <w:r>
              <w:rPr>
                <w:b/>
                <w:spacing w:val="-2"/>
                <w:sz w:val="24"/>
                <w:szCs w:val="24"/>
              </w:rPr>
              <w:t xml:space="preserve"> formula</w:t>
            </w:r>
          </w:p>
        </w:tc>
        <w:tc>
          <w:tcPr>
            <w:tcW w:w="8842" w:type="dxa"/>
          </w:tcPr>
          <w:p w:rsidR="005A19B5" w:rsidRDefault="00D046F1">
            <w:pPr>
              <w:pStyle w:val="TableParagraph"/>
              <w:tabs>
                <w:tab w:val="left" w:pos="993"/>
              </w:tabs>
              <w:spacing w:line="240" w:lineRule="auto"/>
              <w:ind w:left="993" w:right="170" w:hanging="709"/>
              <w:rPr>
                <w:sz w:val="24"/>
                <w:szCs w:val="24"/>
                <w:lang w:val="en-IN"/>
              </w:rPr>
            </w:pPr>
            <w:r>
              <w:rPr>
                <w:sz w:val="24"/>
                <w:szCs w:val="24"/>
                <w:lang w:val="en-IN"/>
              </w:rPr>
              <w:t>C</w:t>
            </w:r>
            <w:r>
              <w:rPr>
                <w:sz w:val="24"/>
                <w:szCs w:val="24"/>
                <w:vertAlign w:val="subscript"/>
                <w:lang w:val="en-IN"/>
              </w:rPr>
              <w:t>24</w:t>
            </w:r>
            <w:r>
              <w:rPr>
                <w:sz w:val="24"/>
                <w:szCs w:val="24"/>
                <w:lang w:val="en-IN"/>
              </w:rPr>
              <w:t>H</w:t>
            </w:r>
            <w:r>
              <w:rPr>
                <w:sz w:val="24"/>
                <w:szCs w:val="24"/>
                <w:vertAlign w:val="subscript"/>
                <w:lang w:val="en-IN"/>
              </w:rPr>
              <w:t>30</w:t>
            </w:r>
            <w:r>
              <w:rPr>
                <w:sz w:val="24"/>
                <w:szCs w:val="24"/>
                <w:lang w:val="en-IN"/>
              </w:rPr>
              <w:t>O</w:t>
            </w:r>
            <w:r>
              <w:rPr>
                <w:sz w:val="24"/>
                <w:szCs w:val="24"/>
                <w:vertAlign w:val="subscript"/>
                <w:lang w:val="en-IN"/>
              </w:rPr>
              <w:t>6</w:t>
            </w:r>
          </w:p>
        </w:tc>
      </w:tr>
      <w:tr w:rsidR="005A19B5">
        <w:trPr>
          <w:trHeight w:val="415"/>
        </w:trPr>
        <w:tc>
          <w:tcPr>
            <w:tcW w:w="2417" w:type="dxa"/>
            <w:gridSpan w:val="2"/>
          </w:tcPr>
          <w:p w:rsidR="005A19B5" w:rsidRDefault="00D046F1">
            <w:pPr>
              <w:pStyle w:val="TableParagraph"/>
              <w:tabs>
                <w:tab w:val="left" w:pos="993"/>
              </w:tabs>
              <w:spacing w:line="240" w:lineRule="auto"/>
              <w:ind w:left="993" w:hanging="709"/>
              <w:rPr>
                <w:b/>
                <w:sz w:val="24"/>
                <w:szCs w:val="24"/>
              </w:rPr>
            </w:pPr>
            <w:r>
              <w:rPr>
                <w:b/>
                <w:sz w:val="24"/>
                <w:szCs w:val="24"/>
              </w:rPr>
              <w:t>Molecular</w:t>
            </w:r>
            <w:r>
              <w:rPr>
                <w:b/>
                <w:spacing w:val="-3"/>
                <w:sz w:val="24"/>
                <w:szCs w:val="24"/>
              </w:rPr>
              <w:t xml:space="preserve"> </w:t>
            </w:r>
            <w:r>
              <w:rPr>
                <w:b/>
                <w:spacing w:val="-2"/>
                <w:sz w:val="24"/>
                <w:szCs w:val="24"/>
              </w:rPr>
              <w:t>weight</w:t>
            </w:r>
          </w:p>
        </w:tc>
        <w:tc>
          <w:tcPr>
            <w:tcW w:w="8842" w:type="dxa"/>
          </w:tcPr>
          <w:p w:rsidR="005A19B5" w:rsidRDefault="00D046F1">
            <w:pPr>
              <w:pStyle w:val="TableParagraph"/>
              <w:tabs>
                <w:tab w:val="left" w:pos="993"/>
              </w:tabs>
              <w:spacing w:line="240" w:lineRule="auto"/>
              <w:ind w:left="993" w:right="170" w:hanging="709"/>
              <w:rPr>
                <w:sz w:val="24"/>
                <w:szCs w:val="24"/>
                <w:lang w:val="en-IN"/>
              </w:rPr>
            </w:pPr>
            <w:r>
              <w:rPr>
                <w:sz w:val="24"/>
                <w:szCs w:val="24"/>
              </w:rPr>
              <w:t>1275.7g/mol</w:t>
            </w:r>
          </w:p>
        </w:tc>
      </w:tr>
      <w:tr w:rsidR="005A19B5">
        <w:trPr>
          <w:trHeight w:val="1240"/>
        </w:trPr>
        <w:tc>
          <w:tcPr>
            <w:tcW w:w="2417" w:type="dxa"/>
            <w:gridSpan w:val="2"/>
          </w:tcPr>
          <w:p w:rsidR="005A19B5" w:rsidRDefault="00D046F1">
            <w:pPr>
              <w:pStyle w:val="TableParagraph"/>
              <w:tabs>
                <w:tab w:val="left" w:pos="426"/>
              </w:tabs>
              <w:spacing w:line="240" w:lineRule="auto"/>
              <w:ind w:left="284" w:right="275"/>
              <w:rPr>
                <w:b/>
                <w:sz w:val="24"/>
                <w:szCs w:val="24"/>
              </w:rPr>
            </w:pPr>
            <w:r>
              <w:rPr>
                <w:b/>
                <w:sz w:val="24"/>
                <w:szCs w:val="24"/>
              </w:rPr>
              <w:t>Chemical</w:t>
            </w:r>
            <w:r>
              <w:rPr>
                <w:b/>
                <w:spacing w:val="-15"/>
                <w:sz w:val="24"/>
                <w:szCs w:val="24"/>
              </w:rPr>
              <w:t xml:space="preserve"> </w:t>
            </w:r>
            <w:r>
              <w:rPr>
                <w:b/>
                <w:sz w:val="24"/>
                <w:szCs w:val="24"/>
              </w:rPr>
              <w:t xml:space="preserve">Abstracts Service (CAS) </w:t>
            </w:r>
            <w:r>
              <w:rPr>
                <w:b/>
                <w:spacing w:val="-2"/>
                <w:sz w:val="24"/>
                <w:szCs w:val="24"/>
              </w:rPr>
              <w:t>Number</w:t>
            </w:r>
          </w:p>
        </w:tc>
        <w:tc>
          <w:tcPr>
            <w:tcW w:w="8842" w:type="dxa"/>
          </w:tcPr>
          <w:p w:rsidR="005A19B5" w:rsidRDefault="00D046F1">
            <w:pPr>
              <w:pStyle w:val="TableParagraph"/>
              <w:tabs>
                <w:tab w:val="left" w:pos="993"/>
              </w:tabs>
              <w:spacing w:line="240" w:lineRule="auto"/>
              <w:ind w:left="993" w:right="170" w:hanging="709"/>
              <w:rPr>
                <w:sz w:val="24"/>
                <w:szCs w:val="24"/>
              </w:rPr>
            </w:pPr>
            <w:r>
              <w:rPr>
                <w:sz w:val="24"/>
                <w:szCs w:val="24"/>
              </w:rPr>
              <w:tab/>
            </w:r>
          </w:p>
          <w:p w:rsidR="005A19B5" w:rsidRDefault="00D046F1">
            <w:pPr>
              <w:pStyle w:val="TableParagraph"/>
              <w:tabs>
                <w:tab w:val="left" w:pos="993"/>
              </w:tabs>
              <w:spacing w:line="240" w:lineRule="auto"/>
              <w:ind w:left="993" w:right="170" w:hanging="709"/>
              <w:rPr>
                <w:sz w:val="24"/>
                <w:szCs w:val="24"/>
                <w:lang w:val="en-IN"/>
              </w:rPr>
            </w:pPr>
            <w:r>
              <w:rPr>
                <w:sz w:val="24"/>
                <w:szCs w:val="24"/>
              </w:rPr>
              <w:t>107724-20-9</w:t>
            </w:r>
            <w:r>
              <w:rPr>
                <w:sz w:val="24"/>
                <w:szCs w:val="24"/>
              </w:rPr>
              <w:tab/>
            </w:r>
          </w:p>
          <w:p w:rsidR="005A19B5" w:rsidRDefault="005A19B5">
            <w:pPr>
              <w:pStyle w:val="TableParagraph"/>
              <w:tabs>
                <w:tab w:val="left" w:pos="993"/>
              </w:tabs>
              <w:spacing w:line="240" w:lineRule="auto"/>
              <w:ind w:left="993" w:right="170" w:hanging="709"/>
              <w:rPr>
                <w:sz w:val="24"/>
                <w:szCs w:val="24"/>
              </w:rPr>
            </w:pPr>
          </w:p>
        </w:tc>
      </w:tr>
      <w:tr w:rsidR="005A19B5">
        <w:trPr>
          <w:trHeight w:val="371"/>
        </w:trPr>
        <w:tc>
          <w:tcPr>
            <w:tcW w:w="2417" w:type="dxa"/>
            <w:gridSpan w:val="2"/>
          </w:tcPr>
          <w:p w:rsidR="005A19B5" w:rsidRDefault="00D046F1">
            <w:pPr>
              <w:pStyle w:val="TableParagraph"/>
              <w:tabs>
                <w:tab w:val="left" w:pos="993"/>
              </w:tabs>
              <w:spacing w:line="240" w:lineRule="auto"/>
              <w:ind w:left="993" w:hanging="709"/>
              <w:rPr>
                <w:b/>
                <w:sz w:val="24"/>
                <w:szCs w:val="24"/>
              </w:rPr>
            </w:pPr>
            <w:r>
              <w:rPr>
                <w:b/>
                <w:sz w:val="24"/>
                <w:szCs w:val="24"/>
              </w:rPr>
              <w:t xml:space="preserve">Approval </w:t>
            </w:r>
            <w:r>
              <w:rPr>
                <w:b/>
                <w:spacing w:val="-2"/>
                <w:sz w:val="24"/>
                <w:szCs w:val="24"/>
              </w:rPr>
              <w:t>Status</w:t>
            </w:r>
          </w:p>
        </w:tc>
        <w:tc>
          <w:tcPr>
            <w:tcW w:w="8842" w:type="dxa"/>
          </w:tcPr>
          <w:p w:rsidR="005A19B5" w:rsidRDefault="00D046F1">
            <w:pPr>
              <w:pStyle w:val="TableParagraph"/>
              <w:tabs>
                <w:tab w:val="left" w:pos="993"/>
              </w:tabs>
              <w:spacing w:line="240" w:lineRule="auto"/>
              <w:ind w:left="993" w:right="170" w:hanging="709"/>
              <w:rPr>
                <w:sz w:val="24"/>
                <w:szCs w:val="24"/>
                <w:lang w:val="en-IN"/>
              </w:rPr>
            </w:pPr>
            <w:r>
              <w:rPr>
                <w:sz w:val="24"/>
                <w:szCs w:val="24"/>
                <w:lang w:val="en-IN"/>
              </w:rPr>
              <w:t>Official in IP, BP</w:t>
            </w:r>
          </w:p>
        </w:tc>
      </w:tr>
      <w:tr w:rsidR="005A19B5">
        <w:trPr>
          <w:trHeight w:val="414"/>
        </w:trPr>
        <w:tc>
          <w:tcPr>
            <w:tcW w:w="11259" w:type="dxa"/>
            <w:gridSpan w:val="3"/>
          </w:tcPr>
          <w:p w:rsidR="005A19B5" w:rsidRDefault="00D046F1">
            <w:pPr>
              <w:pStyle w:val="TableParagraph"/>
              <w:tabs>
                <w:tab w:val="left" w:pos="993"/>
              </w:tabs>
              <w:spacing w:before="1" w:line="240" w:lineRule="auto"/>
              <w:ind w:left="993" w:right="170" w:hanging="709"/>
              <w:rPr>
                <w:b/>
                <w:sz w:val="24"/>
                <w:szCs w:val="24"/>
              </w:rPr>
            </w:pPr>
            <w:r>
              <w:rPr>
                <w:b/>
                <w:sz w:val="24"/>
                <w:szCs w:val="24"/>
              </w:rPr>
              <w:t>Physicochemical</w:t>
            </w:r>
            <w:r>
              <w:rPr>
                <w:b/>
                <w:spacing w:val="-2"/>
                <w:sz w:val="24"/>
                <w:szCs w:val="24"/>
              </w:rPr>
              <w:t xml:space="preserve"> Properties</w:t>
            </w:r>
          </w:p>
        </w:tc>
      </w:tr>
      <w:tr w:rsidR="005A19B5">
        <w:trPr>
          <w:trHeight w:val="414"/>
        </w:trPr>
        <w:tc>
          <w:tcPr>
            <w:tcW w:w="2389" w:type="dxa"/>
          </w:tcPr>
          <w:p w:rsidR="005A19B5" w:rsidRDefault="00D046F1">
            <w:pPr>
              <w:pStyle w:val="TableParagraph"/>
              <w:tabs>
                <w:tab w:val="left" w:pos="993"/>
              </w:tabs>
              <w:spacing w:before="1" w:line="240" w:lineRule="auto"/>
              <w:ind w:left="993" w:hanging="709"/>
              <w:rPr>
                <w:b/>
                <w:sz w:val="24"/>
                <w:szCs w:val="24"/>
              </w:rPr>
            </w:pPr>
            <w:r>
              <w:rPr>
                <w:b/>
                <w:spacing w:val="-2"/>
                <w:sz w:val="24"/>
                <w:szCs w:val="24"/>
              </w:rPr>
              <w:t>Appearance</w:t>
            </w:r>
          </w:p>
        </w:tc>
        <w:tc>
          <w:tcPr>
            <w:tcW w:w="8870" w:type="dxa"/>
            <w:gridSpan w:val="2"/>
          </w:tcPr>
          <w:p w:rsidR="005A19B5" w:rsidRDefault="00D046F1">
            <w:pPr>
              <w:pStyle w:val="TableParagraph"/>
              <w:tabs>
                <w:tab w:val="left" w:pos="993"/>
              </w:tabs>
              <w:spacing w:before="1" w:line="240" w:lineRule="auto"/>
              <w:ind w:left="993" w:right="170" w:hanging="709"/>
              <w:rPr>
                <w:sz w:val="24"/>
                <w:szCs w:val="24"/>
                <w:lang w:val="en-IN"/>
              </w:rPr>
            </w:pPr>
            <w:r>
              <w:rPr>
                <w:sz w:val="24"/>
                <w:szCs w:val="24"/>
              </w:rPr>
              <w:t>White colored powder</w:t>
            </w:r>
          </w:p>
        </w:tc>
      </w:tr>
      <w:tr w:rsidR="005A19B5">
        <w:trPr>
          <w:trHeight w:val="414"/>
        </w:trPr>
        <w:tc>
          <w:tcPr>
            <w:tcW w:w="2389" w:type="dxa"/>
          </w:tcPr>
          <w:p w:rsidR="005A19B5" w:rsidRDefault="00D046F1">
            <w:pPr>
              <w:pStyle w:val="TableParagraph"/>
              <w:tabs>
                <w:tab w:val="left" w:pos="993"/>
              </w:tabs>
              <w:spacing w:before="1" w:line="240" w:lineRule="auto"/>
              <w:ind w:left="993" w:hanging="709"/>
              <w:rPr>
                <w:b/>
                <w:sz w:val="24"/>
                <w:szCs w:val="24"/>
              </w:rPr>
            </w:pPr>
            <w:r>
              <w:rPr>
                <w:b/>
                <w:spacing w:val="-2"/>
                <w:sz w:val="24"/>
                <w:szCs w:val="24"/>
              </w:rPr>
              <w:t>Solubility</w:t>
            </w:r>
          </w:p>
        </w:tc>
        <w:tc>
          <w:tcPr>
            <w:tcW w:w="8870" w:type="dxa"/>
            <w:gridSpan w:val="2"/>
          </w:tcPr>
          <w:p w:rsidR="005A19B5" w:rsidRDefault="00D046F1">
            <w:pPr>
              <w:pStyle w:val="TableParagraph"/>
              <w:tabs>
                <w:tab w:val="left" w:pos="578"/>
              </w:tabs>
              <w:spacing w:before="1" w:line="240" w:lineRule="auto"/>
              <w:ind w:left="295" w:right="170" w:hanging="11"/>
              <w:jc w:val="both"/>
              <w:rPr>
                <w:bCs/>
                <w:sz w:val="24"/>
                <w:szCs w:val="24"/>
                <w:lang w:val="en-IN"/>
              </w:rPr>
            </w:pPr>
            <w:r>
              <w:rPr>
                <w:bCs/>
                <w:sz w:val="24"/>
                <w:szCs w:val="24"/>
              </w:rPr>
              <w:t>Soluble in organic solvent (Ethanol, Chloroform)</w:t>
            </w:r>
          </w:p>
        </w:tc>
      </w:tr>
      <w:tr w:rsidR="005A19B5">
        <w:trPr>
          <w:trHeight w:val="414"/>
        </w:trPr>
        <w:tc>
          <w:tcPr>
            <w:tcW w:w="2389" w:type="dxa"/>
          </w:tcPr>
          <w:p w:rsidR="005A19B5" w:rsidRDefault="00D046F1">
            <w:pPr>
              <w:pStyle w:val="TableParagraph"/>
              <w:tabs>
                <w:tab w:val="left" w:pos="993"/>
              </w:tabs>
              <w:spacing w:before="1" w:line="240" w:lineRule="auto"/>
              <w:ind w:left="993" w:hanging="709"/>
              <w:rPr>
                <w:b/>
                <w:sz w:val="24"/>
                <w:szCs w:val="24"/>
              </w:rPr>
            </w:pPr>
            <w:r>
              <w:rPr>
                <w:b/>
                <w:sz w:val="24"/>
                <w:szCs w:val="24"/>
              </w:rPr>
              <w:t>Melting</w:t>
            </w:r>
            <w:r>
              <w:rPr>
                <w:b/>
                <w:spacing w:val="-2"/>
                <w:sz w:val="24"/>
                <w:szCs w:val="24"/>
              </w:rPr>
              <w:t xml:space="preserve"> point</w:t>
            </w:r>
          </w:p>
        </w:tc>
        <w:tc>
          <w:tcPr>
            <w:tcW w:w="8870" w:type="dxa"/>
            <w:gridSpan w:val="2"/>
          </w:tcPr>
          <w:p w:rsidR="005A19B5" w:rsidRDefault="00D046F1">
            <w:pPr>
              <w:pStyle w:val="TableParagraph"/>
              <w:tabs>
                <w:tab w:val="left" w:pos="993"/>
              </w:tabs>
              <w:spacing w:before="1" w:line="240" w:lineRule="auto"/>
              <w:ind w:left="993" w:right="170" w:hanging="709"/>
              <w:rPr>
                <w:bCs/>
                <w:sz w:val="24"/>
                <w:szCs w:val="24"/>
              </w:rPr>
            </w:pPr>
            <w:r>
              <w:rPr>
                <w:bCs/>
                <w:sz w:val="24"/>
                <w:szCs w:val="24"/>
              </w:rPr>
              <w:t>242 ºC</w:t>
            </w:r>
          </w:p>
        </w:tc>
      </w:tr>
      <w:tr w:rsidR="005A19B5">
        <w:trPr>
          <w:trHeight w:val="414"/>
        </w:trPr>
        <w:tc>
          <w:tcPr>
            <w:tcW w:w="2389" w:type="dxa"/>
          </w:tcPr>
          <w:p w:rsidR="005A19B5" w:rsidRDefault="00D046F1">
            <w:pPr>
              <w:pStyle w:val="TableParagraph"/>
              <w:tabs>
                <w:tab w:val="left" w:pos="993"/>
              </w:tabs>
              <w:spacing w:before="1" w:line="240" w:lineRule="auto"/>
              <w:ind w:left="993" w:hanging="709"/>
              <w:rPr>
                <w:b/>
                <w:sz w:val="24"/>
                <w:szCs w:val="24"/>
              </w:rPr>
            </w:pPr>
            <w:r>
              <w:rPr>
                <w:b/>
                <w:sz w:val="24"/>
                <w:szCs w:val="24"/>
              </w:rPr>
              <w:t xml:space="preserve">Log </w:t>
            </w:r>
            <w:r>
              <w:rPr>
                <w:b/>
                <w:spacing w:val="-10"/>
                <w:sz w:val="24"/>
                <w:szCs w:val="24"/>
              </w:rPr>
              <w:t>p</w:t>
            </w:r>
          </w:p>
        </w:tc>
        <w:tc>
          <w:tcPr>
            <w:tcW w:w="8870" w:type="dxa"/>
            <w:gridSpan w:val="2"/>
          </w:tcPr>
          <w:p w:rsidR="005A19B5" w:rsidRDefault="00D046F1">
            <w:pPr>
              <w:pStyle w:val="TableParagraph"/>
              <w:tabs>
                <w:tab w:val="left" w:pos="993"/>
              </w:tabs>
              <w:spacing w:before="1" w:line="240" w:lineRule="auto"/>
              <w:ind w:left="993" w:right="170" w:hanging="709"/>
              <w:rPr>
                <w:spacing w:val="-4"/>
                <w:sz w:val="24"/>
                <w:szCs w:val="24"/>
                <w:lang w:val="en-IN"/>
              </w:rPr>
            </w:pPr>
            <w:r>
              <w:rPr>
                <w:spacing w:val="-4"/>
                <w:sz w:val="24"/>
                <w:szCs w:val="24"/>
              </w:rPr>
              <w:t>1.34</w:t>
            </w:r>
          </w:p>
        </w:tc>
      </w:tr>
      <w:tr w:rsidR="005A19B5">
        <w:trPr>
          <w:trHeight w:val="414"/>
        </w:trPr>
        <w:tc>
          <w:tcPr>
            <w:tcW w:w="2389" w:type="dxa"/>
          </w:tcPr>
          <w:p w:rsidR="005A19B5" w:rsidRDefault="00D046F1">
            <w:pPr>
              <w:pStyle w:val="TableParagraph"/>
              <w:tabs>
                <w:tab w:val="left" w:pos="993"/>
              </w:tabs>
              <w:spacing w:before="1" w:line="240" w:lineRule="auto"/>
              <w:ind w:left="993" w:hanging="709"/>
              <w:rPr>
                <w:b/>
                <w:sz w:val="24"/>
                <w:szCs w:val="24"/>
              </w:rPr>
            </w:pPr>
            <w:r>
              <w:rPr>
                <w:b/>
                <w:sz w:val="24"/>
                <w:szCs w:val="24"/>
              </w:rPr>
              <w:t xml:space="preserve">pKa </w:t>
            </w:r>
            <w:r>
              <w:rPr>
                <w:b/>
                <w:spacing w:val="-2"/>
                <w:sz w:val="24"/>
                <w:szCs w:val="24"/>
              </w:rPr>
              <w:t>value</w:t>
            </w:r>
          </w:p>
        </w:tc>
        <w:tc>
          <w:tcPr>
            <w:tcW w:w="8870" w:type="dxa"/>
            <w:gridSpan w:val="2"/>
          </w:tcPr>
          <w:p w:rsidR="005A19B5" w:rsidRDefault="00D046F1">
            <w:pPr>
              <w:pStyle w:val="TableParagraph"/>
              <w:tabs>
                <w:tab w:val="left" w:pos="993"/>
              </w:tabs>
              <w:spacing w:before="1" w:line="240" w:lineRule="auto"/>
              <w:ind w:left="993" w:right="170" w:hanging="709"/>
              <w:rPr>
                <w:sz w:val="24"/>
                <w:szCs w:val="24"/>
              </w:rPr>
            </w:pPr>
            <w:r>
              <w:rPr>
                <w:sz w:val="24"/>
                <w:szCs w:val="24"/>
              </w:rPr>
              <w:t>Strongest Acidic- 16.44</w:t>
            </w:r>
          </w:p>
          <w:p w:rsidR="005A19B5" w:rsidRDefault="00D046F1">
            <w:pPr>
              <w:pStyle w:val="TableParagraph"/>
              <w:tabs>
                <w:tab w:val="left" w:pos="993"/>
              </w:tabs>
              <w:spacing w:before="1" w:line="240" w:lineRule="auto"/>
              <w:ind w:left="993" w:right="170" w:hanging="709"/>
              <w:rPr>
                <w:sz w:val="24"/>
                <w:szCs w:val="24"/>
              </w:rPr>
            </w:pPr>
            <w:r>
              <w:rPr>
                <w:sz w:val="24"/>
                <w:szCs w:val="24"/>
              </w:rPr>
              <w:t xml:space="preserve"> Strongest Basic- -4.2</w:t>
            </w:r>
          </w:p>
        </w:tc>
      </w:tr>
    </w:tbl>
    <w:p w:rsidR="005A19B5" w:rsidRDefault="005A19B5">
      <w:pPr>
        <w:spacing w:line="240" w:lineRule="auto"/>
        <w:rPr>
          <w:rFonts w:ascii="Times New Roman" w:hAnsi="Times New Roman" w:cs="Times New Roman"/>
          <w:b/>
          <w:bCs/>
          <w:sz w:val="24"/>
          <w:szCs w:val="24"/>
        </w:rPr>
      </w:pPr>
    </w:p>
    <w:p w:rsidR="005A19B5" w:rsidRDefault="005A19B5">
      <w:pPr>
        <w:spacing w:line="240" w:lineRule="auto"/>
        <w:jc w:val="both"/>
        <w:rPr>
          <w:rFonts w:ascii="Times New Roman" w:hAnsi="Times New Roman" w:cs="Times New Roman"/>
          <w:sz w:val="24"/>
          <w:szCs w:val="24"/>
        </w:rPr>
        <w:sectPr w:rsidR="005A19B5">
          <w:headerReference w:type="default" r:id="rId21"/>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p>
    <w:p w:rsidR="005A19B5" w:rsidRDefault="00D046F1">
      <w:pPr>
        <w:spacing w:line="240" w:lineRule="auto"/>
        <w:ind w:left="567" w:hanging="567"/>
        <w:jc w:val="both"/>
        <w:rPr>
          <w:rFonts w:ascii="Times New Roman" w:hAnsi="Times New Roman" w:cs="Times New Roman"/>
          <w:b/>
          <w:bCs/>
          <w:sz w:val="28"/>
          <w:szCs w:val="28"/>
        </w:rPr>
      </w:pPr>
      <w:bookmarkStart w:id="1" w:name="_Toc153532721"/>
      <w:r>
        <w:rPr>
          <w:rFonts w:ascii="Times New Roman" w:hAnsi="Times New Roman" w:cs="Times New Roman"/>
          <w:b/>
          <w:bCs/>
          <w:sz w:val="28"/>
          <w:szCs w:val="28"/>
        </w:rPr>
        <w:lastRenderedPageBreak/>
        <w:t>REVIEW OF LITERATURE</w:t>
      </w:r>
      <w:bookmarkEnd w:id="1"/>
    </w:p>
    <w:p w:rsidR="005A19B5" w:rsidRDefault="00D046F1">
      <w:pPr>
        <w:spacing w:line="240" w:lineRule="auto"/>
        <w:jc w:val="both"/>
        <w:rPr>
          <w:rFonts w:ascii="Times New Roman" w:hAnsi="Times New Roman" w:cs="Times New Roman"/>
          <w:b/>
          <w:bCs/>
          <w:sz w:val="24"/>
          <w:szCs w:val="24"/>
          <w:vertAlign w:val="superscript"/>
        </w:rPr>
      </w:pPr>
      <w:r>
        <w:rPr>
          <w:rFonts w:ascii="Times New Roman" w:hAnsi="Times New Roman" w:cs="Times New Roman"/>
          <w:b/>
          <w:bCs/>
          <w:sz w:val="24"/>
          <w:szCs w:val="24"/>
        </w:rPr>
        <w:t xml:space="preserve">Review of Literature for Dapagliflozin Propanediol Monohydrate and Eplerenone </w:t>
      </w:r>
      <w:r>
        <w:rPr>
          <w:rFonts w:ascii="Times New Roman" w:hAnsi="Times New Roman" w:cs="Times New Roman"/>
          <w:b/>
          <w:bCs/>
          <w:sz w:val="24"/>
          <w:szCs w:val="24"/>
          <w:vertAlign w:val="superscript"/>
        </w:rPr>
        <w:t>[14-40]</w:t>
      </w: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5- Review of official and reported methods for Dapagliflozin </w:t>
      </w:r>
      <w:r>
        <w:rPr>
          <w:rFonts w:ascii="Times New Roman" w:hAnsi="Times New Roman" w:cs="Times New Roman"/>
          <w:b/>
          <w:bCs/>
          <w:sz w:val="24"/>
          <w:szCs w:val="24"/>
        </w:rPr>
        <w:t>Propanediol Monohydrate and Eplerenone (DAPA and EPLE)</w:t>
      </w:r>
    </w:p>
    <w:tbl>
      <w:tblPr>
        <w:tblStyle w:val="TableGrid"/>
        <w:tblW w:w="11026" w:type="dxa"/>
        <w:tblLayout w:type="fixed"/>
        <w:tblLook w:val="04A0" w:firstRow="1" w:lastRow="0" w:firstColumn="1" w:lastColumn="0" w:noHBand="0" w:noVBand="1"/>
      </w:tblPr>
      <w:tblGrid>
        <w:gridCol w:w="704"/>
        <w:gridCol w:w="1559"/>
        <w:gridCol w:w="1134"/>
        <w:gridCol w:w="1276"/>
        <w:gridCol w:w="3587"/>
        <w:gridCol w:w="2766"/>
      </w:tblGrid>
      <w:tr w:rsidR="005A19B5">
        <w:tc>
          <w:tcPr>
            <w:tcW w:w="11026" w:type="dxa"/>
            <w:gridSpan w:val="6"/>
          </w:tcPr>
          <w:p w:rsidR="005A19B5" w:rsidRDefault="00D046F1">
            <w:pPr>
              <w:tabs>
                <w:tab w:val="left" w:pos="993"/>
              </w:tabs>
              <w:spacing w:after="0" w:line="240" w:lineRule="auto"/>
              <w:ind w:left="993" w:hanging="709"/>
              <w:jc w:val="center"/>
              <w:rPr>
                <w:rFonts w:ascii="Times New Roman" w:hAnsi="Times New Roman" w:cs="Times New Roman"/>
                <w:b/>
                <w:sz w:val="24"/>
                <w:szCs w:val="24"/>
              </w:rPr>
            </w:pPr>
            <w:r>
              <w:rPr>
                <w:rFonts w:ascii="Times New Roman" w:hAnsi="Times New Roman" w:cs="Times New Roman"/>
                <w:b/>
                <w:bCs/>
                <w:sz w:val="24"/>
                <w:szCs w:val="24"/>
              </w:rPr>
              <w:t>Official methods for Dapagliflozin</w:t>
            </w:r>
          </w:p>
        </w:tc>
      </w:tr>
      <w:tr w:rsidR="005A19B5">
        <w:tc>
          <w:tcPr>
            <w:tcW w:w="704" w:type="dxa"/>
          </w:tcPr>
          <w:p w:rsidR="005A19B5" w:rsidRDefault="00D046F1">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Sr. no.</w:t>
            </w:r>
          </w:p>
        </w:tc>
        <w:tc>
          <w:tcPr>
            <w:tcW w:w="1559" w:type="dxa"/>
          </w:tcPr>
          <w:p w:rsidR="005A19B5" w:rsidRDefault="00D046F1">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Drugs</w:t>
            </w:r>
          </w:p>
        </w:tc>
        <w:tc>
          <w:tcPr>
            <w:tcW w:w="1134" w:type="dxa"/>
          </w:tcPr>
          <w:p w:rsidR="005A19B5" w:rsidRDefault="00D046F1">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Matrix</w:t>
            </w:r>
          </w:p>
        </w:tc>
        <w:tc>
          <w:tcPr>
            <w:tcW w:w="1276" w:type="dxa"/>
          </w:tcPr>
          <w:p w:rsidR="005A19B5" w:rsidRDefault="00D046F1">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Method</w:t>
            </w:r>
          </w:p>
        </w:tc>
        <w:tc>
          <w:tcPr>
            <w:tcW w:w="3587" w:type="dxa"/>
          </w:tcPr>
          <w:p w:rsidR="005A19B5" w:rsidRDefault="00D046F1">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Brief Introduction</w:t>
            </w:r>
          </w:p>
        </w:tc>
        <w:tc>
          <w:tcPr>
            <w:tcW w:w="2766" w:type="dxa"/>
          </w:tcPr>
          <w:p w:rsidR="005A19B5" w:rsidRDefault="00D046F1">
            <w:pPr>
              <w:tabs>
                <w:tab w:val="left" w:pos="993"/>
              </w:tabs>
              <w:spacing w:after="0" w:line="240" w:lineRule="auto"/>
              <w:rPr>
                <w:rFonts w:ascii="Times New Roman" w:hAnsi="Times New Roman" w:cs="Times New Roman"/>
                <w:b/>
                <w:sz w:val="24"/>
                <w:szCs w:val="24"/>
              </w:rPr>
            </w:pPr>
            <w:r>
              <w:rPr>
                <w:rFonts w:ascii="Times New Roman" w:hAnsi="Times New Roman" w:cs="Times New Roman"/>
                <w:b/>
                <w:bCs/>
                <w:sz w:val="24"/>
                <w:szCs w:val="24"/>
              </w:rPr>
              <w:t>Reference</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Bulk drug</w:t>
            </w:r>
          </w:p>
        </w:tc>
        <w:tc>
          <w:tcPr>
            <w:tcW w:w="127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RP-HPLC</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lang w:val="es-ES"/>
              </w:rPr>
            </w:pPr>
            <w:r>
              <w:rPr>
                <w:rFonts w:ascii="Times New Roman" w:hAnsi="Times New Roman" w:cs="Times New Roman"/>
                <w:sz w:val="24"/>
                <w:szCs w:val="24"/>
                <w:lang w:val="es-ES"/>
              </w:rPr>
              <w:t>Column:C18 (150mm×4.6mm,3.5µm)</w:t>
            </w:r>
          </w:p>
          <w:p w:rsidR="005A19B5" w:rsidRDefault="00D046F1">
            <w:pPr>
              <w:tabs>
                <w:tab w:val="left" w:pos="993"/>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lang w:val="en-US"/>
              </w:rPr>
              <w:t xml:space="preserve">Mobile Phase: Trifluoroacetic acid: ACN (85:15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220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14</w:t>
            </w:r>
          </w:p>
        </w:tc>
      </w:tr>
      <w:tr w:rsidR="005A19B5">
        <w:tc>
          <w:tcPr>
            <w:tcW w:w="11026" w:type="dxa"/>
            <w:gridSpan w:val="6"/>
          </w:tcPr>
          <w:p w:rsidR="005A19B5" w:rsidRDefault="00D046F1">
            <w:pPr>
              <w:tabs>
                <w:tab w:val="left" w:pos="993"/>
              </w:tabs>
              <w:spacing w:after="0" w:line="240" w:lineRule="auto"/>
              <w:ind w:left="993" w:hanging="709"/>
              <w:jc w:val="center"/>
              <w:rPr>
                <w:rFonts w:ascii="Times New Roman" w:hAnsi="Times New Roman" w:cs="Times New Roman"/>
                <w:sz w:val="24"/>
                <w:szCs w:val="24"/>
              </w:rPr>
            </w:pPr>
            <w:r>
              <w:rPr>
                <w:rFonts w:ascii="Times New Roman" w:hAnsi="Times New Roman" w:cs="Times New Roman"/>
                <w:b/>
                <w:bCs/>
                <w:sz w:val="24"/>
                <w:szCs w:val="24"/>
              </w:rPr>
              <w:t>Reported methods for Dapagliflozin</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5A19B5" w:rsidRDefault="00D046F1">
            <w:pPr>
              <w:tabs>
                <w:tab w:val="left" w:pos="601"/>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Dapagliflozin</w:t>
            </w: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p w:rsidR="005A19B5" w:rsidRDefault="005A19B5">
            <w:pPr>
              <w:tabs>
                <w:tab w:val="left" w:pos="748"/>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hanging="40"/>
              <w:rPr>
                <w:rFonts w:ascii="Times New Roman" w:hAnsi="Times New Roman" w:cs="Times New Roman"/>
                <w:sz w:val="24"/>
                <w:szCs w:val="24"/>
              </w:rPr>
            </w:pPr>
            <w:r>
              <w:rPr>
                <w:rFonts w:ascii="Times New Roman" w:hAnsi="Times New Roman" w:cs="Times New Roman"/>
                <w:sz w:val="24"/>
                <w:szCs w:val="24"/>
              </w:rPr>
              <w:t>UV</w:t>
            </w:r>
          </w:p>
        </w:tc>
        <w:tc>
          <w:tcPr>
            <w:tcW w:w="3587" w:type="dxa"/>
          </w:tcPr>
          <w:p w:rsidR="005A19B5" w:rsidRDefault="00D046F1">
            <w:pPr>
              <w:tabs>
                <w:tab w:val="left" w:pos="993"/>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rPr>
              <w:t xml:space="preserve">Solvent: Methanol, </w:t>
            </w:r>
            <w:r>
              <w:rPr>
                <w:rFonts w:ascii="Times New Roman" w:hAnsi="Times New Roman" w:cs="Times New Roman"/>
                <w:sz w:val="24"/>
                <w:szCs w:val="24"/>
                <w:lang w:val="el-GR"/>
              </w:rPr>
              <w:t>λ</w:t>
            </w:r>
            <w:r>
              <w:rPr>
                <w:rFonts w:ascii="Times New Roman" w:hAnsi="Times New Roman" w:cs="Times New Roman"/>
                <w:sz w:val="24"/>
                <w:szCs w:val="24"/>
                <w:lang w:val="en-US"/>
              </w:rPr>
              <w:t>max: 224 nm-UV</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15</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rsidR="005A19B5" w:rsidRDefault="00D046F1">
            <w:pPr>
              <w:tabs>
                <w:tab w:val="left" w:pos="748"/>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rsidR="005A19B5" w:rsidRDefault="00D046F1">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UV</w:t>
            </w:r>
          </w:p>
        </w:tc>
        <w:tc>
          <w:tcPr>
            <w:tcW w:w="3587" w:type="dxa"/>
          </w:tcPr>
          <w:p w:rsidR="005A19B5" w:rsidRDefault="00D046F1">
            <w:pPr>
              <w:tabs>
                <w:tab w:val="left" w:pos="325"/>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rPr>
              <w:t xml:space="preserve">Solvent: Methanol: water </w:t>
            </w:r>
            <w:r>
              <w:rPr>
                <w:rFonts w:ascii="Times New Roman" w:hAnsi="Times New Roman" w:cs="Times New Roman"/>
                <w:sz w:val="24"/>
                <w:szCs w:val="24"/>
                <w:lang w:val="en-US"/>
              </w:rPr>
              <w:t>(15:85 v/v)</w:t>
            </w:r>
            <w:r>
              <w:rPr>
                <w:rFonts w:ascii="Times New Roman" w:hAnsi="Times New Roman" w:cs="Times New Roman"/>
                <w:sz w:val="24"/>
                <w:szCs w:val="24"/>
              </w:rPr>
              <w:t xml:space="preserve">, </w:t>
            </w:r>
            <w:r>
              <w:rPr>
                <w:rFonts w:ascii="Times New Roman" w:hAnsi="Times New Roman" w:cs="Times New Roman"/>
                <w:sz w:val="24"/>
                <w:szCs w:val="24"/>
                <w:lang w:val="el-GR"/>
              </w:rPr>
              <w:t>λ</w:t>
            </w:r>
            <w:r>
              <w:rPr>
                <w:rFonts w:ascii="Times New Roman" w:hAnsi="Times New Roman" w:cs="Times New Roman"/>
                <w:sz w:val="24"/>
                <w:szCs w:val="24"/>
                <w:lang w:val="en-US"/>
              </w:rPr>
              <w:t>max: 220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16</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rsidR="005A19B5" w:rsidRDefault="00D046F1">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rsidR="005A19B5" w:rsidRDefault="00D046F1">
            <w:pPr>
              <w:tabs>
                <w:tab w:val="left" w:pos="993"/>
              </w:tabs>
              <w:spacing w:after="0" w:line="240" w:lineRule="auto"/>
              <w:ind w:left="993" w:hanging="953"/>
              <w:rPr>
                <w:rFonts w:ascii="Times New Roman" w:hAnsi="Times New Roman" w:cs="Times New Roman"/>
                <w:sz w:val="24"/>
                <w:szCs w:val="24"/>
              </w:rPr>
            </w:pPr>
            <w:r>
              <w:rPr>
                <w:rFonts w:ascii="Times New Roman" w:hAnsi="Times New Roman" w:cs="Times New Roman"/>
                <w:sz w:val="24"/>
                <w:szCs w:val="24"/>
              </w:rPr>
              <w:t>RP-HPLC</w:t>
            </w:r>
          </w:p>
        </w:tc>
        <w:tc>
          <w:tcPr>
            <w:tcW w:w="3587" w:type="dxa"/>
          </w:tcPr>
          <w:p w:rsidR="005A19B5" w:rsidRDefault="00D046F1">
            <w:pPr>
              <w:tabs>
                <w:tab w:val="left" w:pos="41"/>
              </w:tabs>
              <w:spacing w:after="0" w:line="240" w:lineRule="auto"/>
              <w:ind w:left="34" w:firstLine="7"/>
              <w:jc w:val="both"/>
              <w:rPr>
                <w:rFonts w:ascii="Times New Roman" w:hAnsi="Times New Roman" w:cs="Times New Roman"/>
                <w:sz w:val="24"/>
                <w:szCs w:val="24"/>
              </w:rPr>
            </w:pPr>
            <w:r>
              <w:rPr>
                <w:rFonts w:ascii="Times New Roman" w:hAnsi="Times New Roman" w:cs="Times New Roman"/>
                <w:sz w:val="24"/>
                <w:szCs w:val="24"/>
                <w:lang w:val="en-US"/>
              </w:rPr>
              <w:t>Column: Waters C18 (250mm×4.6mm, 5µm)</w:t>
            </w:r>
          </w:p>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Mobile Phase: Phosphate buffer : ACN (60:40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237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17</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w:t>
            </w:r>
          </w:p>
          <w:p w:rsidR="005A19B5" w:rsidRDefault="005A19B5">
            <w:pPr>
              <w:tabs>
                <w:tab w:val="left" w:pos="607"/>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993"/>
              </w:tabs>
              <w:spacing w:after="0" w:line="240" w:lineRule="auto"/>
              <w:ind w:left="993" w:hanging="953"/>
              <w:rPr>
                <w:rFonts w:ascii="Times New Roman" w:hAnsi="Times New Roman" w:cs="Times New Roman"/>
                <w:sz w:val="24"/>
                <w:szCs w:val="24"/>
              </w:rPr>
            </w:pPr>
            <w:r>
              <w:rPr>
                <w:rFonts w:ascii="Times New Roman" w:hAnsi="Times New Roman" w:cs="Times New Roman"/>
                <w:sz w:val="24"/>
                <w:szCs w:val="24"/>
              </w:rPr>
              <w:t>RP-HPLC</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4.6mm,10µm), Mobile Phase: 0.1% Triethylamine (pH-5.0): ACN (50:50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224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rsidR="005A19B5" w:rsidRDefault="00D046F1">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rsidR="005A19B5" w:rsidRDefault="005A19B5">
            <w:pPr>
              <w:tabs>
                <w:tab w:val="left" w:pos="993"/>
              </w:tabs>
              <w:spacing w:after="0" w:line="240" w:lineRule="auto"/>
              <w:ind w:left="993" w:hanging="953"/>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 5µm), Mobile Phase: Methanol: Water (75:25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230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Dapagliflozin </w:t>
            </w:r>
          </w:p>
        </w:tc>
        <w:tc>
          <w:tcPr>
            <w:tcW w:w="1134" w:type="dxa"/>
          </w:tcPr>
          <w:p w:rsidR="005A19B5" w:rsidRDefault="00D046F1">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rsidR="005A19B5" w:rsidRDefault="005A19B5">
            <w:pPr>
              <w:tabs>
                <w:tab w:val="left" w:pos="993"/>
              </w:tabs>
              <w:spacing w:after="0" w:line="240" w:lineRule="auto"/>
              <w:ind w:left="993" w:hanging="953"/>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lang w:val="fr-FR"/>
              </w:rPr>
            </w:pPr>
            <w:r>
              <w:rPr>
                <w:rFonts w:ascii="Times New Roman" w:hAnsi="Times New Roman" w:cs="Times New Roman"/>
                <w:sz w:val="24"/>
                <w:szCs w:val="24"/>
                <w:lang w:val="fr-FR"/>
              </w:rPr>
              <w:t>Column:  Agilent C18 (250mm × 4.6mm, 10µm), Mobile Phase: ACN: di-potassium</w:t>
            </w:r>
          </w:p>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hydrogen phosphate with pH-6.5 adjusted with OPA (40:60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222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20</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pacing w:val="-2"/>
                <w:sz w:val="24"/>
                <w:szCs w:val="24"/>
              </w:rPr>
              <w:t xml:space="preserve">Dapagliflozin and Saxagliptin </w:t>
            </w:r>
          </w:p>
        </w:tc>
        <w:tc>
          <w:tcPr>
            <w:tcW w:w="1134" w:type="dxa"/>
          </w:tcPr>
          <w:p w:rsidR="005A19B5" w:rsidRDefault="00D046F1">
            <w:pPr>
              <w:tabs>
                <w:tab w:val="left" w:pos="607"/>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RP-HPLC</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Phenomenex Luna C18  (250mm × 4.6mm,10µm), Mobile Phase:  10mM phosphate buffer (pH 6.8): ACN (40:60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260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21</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559"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pacing w:val="-2"/>
                <w:sz w:val="24"/>
                <w:szCs w:val="24"/>
              </w:rPr>
              <w:t xml:space="preserve">Dapagliflozin and Saxagliptin </w:t>
            </w: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Xterra RP18 (150mm × 4.6mm, 5µm), Mobile Phase: ACN: Water (60:40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248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22</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559" w:type="dxa"/>
          </w:tcPr>
          <w:p w:rsidR="005A19B5" w:rsidRDefault="00D046F1">
            <w:pPr>
              <w:tabs>
                <w:tab w:val="left" w:pos="993"/>
              </w:tabs>
              <w:spacing w:after="0" w:line="240" w:lineRule="auto"/>
              <w:ind w:left="34"/>
              <w:rPr>
                <w:rFonts w:ascii="Times New Roman" w:hAnsi="Times New Roman" w:cs="Times New Roman"/>
                <w:spacing w:val="-2"/>
                <w:sz w:val="24"/>
                <w:szCs w:val="24"/>
              </w:rPr>
            </w:pPr>
            <w:r>
              <w:rPr>
                <w:rFonts w:ascii="Times New Roman" w:hAnsi="Times New Roman" w:cs="Times New Roman"/>
                <w:spacing w:val="-2"/>
                <w:sz w:val="24"/>
                <w:szCs w:val="24"/>
              </w:rPr>
              <w:t>Dapagliflozin, Empagliflozin and Canagliflozin</w:t>
            </w:r>
          </w:p>
          <w:p w:rsidR="005A19B5" w:rsidRDefault="005A19B5">
            <w:pPr>
              <w:tabs>
                <w:tab w:val="left" w:pos="993"/>
              </w:tabs>
              <w:spacing w:after="0" w:line="240" w:lineRule="auto"/>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and Tablet</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Hypercil C18 (250mm × 4.6mm, 10µm), Mobile Phase: acetonitrile and 0.1% formic acid buffer, pH 3.7 (60:40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230, 290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23</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1559"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Dapagliflozin and Linagliptin</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tablets</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Eclipse Plus C18 (150mm × 4.6mm, 5µm), Mobile Phase:  0.1 % v/v Formic acid and ACN (40:60 v/v), Flow rate: 0.7 ml/min </w:t>
            </w:r>
            <w:r>
              <w:rPr>
                <w:rFonts w:ascii="Times New Roman" w:hAnsi="Times New Roman" w:cs="Times New Roman"/>
                <w:sz w:val="24"/>
                <w:szCs w:val="24"/>
                <w:lang w:val="el-GR"/>
              </w:rPr>
              <w:t>λ</w:t>
            </w:r>
            <w:r>
              <w:rPr>
                <w:rFonts w:ascii="Times New Roman" w:hAnsi="Times New Roman" w:cs="Times New Roman"/>
                <w:sz w:val="24"/>
                <w:szCs w:val="24"/>
                <w:lang w:val="en-US"/>
              </w:rPr>
              <w:t>max: 260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24</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lang w:val="en-US"/>
              </w:rPr>
              <w:t xml:space="preserve">Dapagliflozin and Saxagliptin </w:t>
            </w: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tablets</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lang w:val="en-US"/>
              </w:rPr>
              <w:t>RP-HPLC</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 5µm), Mobile Phase: ACN: Water (30:70 v/v), Flow rate: 1.2 ml/min </w:t>
            </w:r>
            <w:r>
              <w:rPr>
                <w:rFonts w:ascii="Times New Roman" w:hAnsi="Times New Roman" w:cs="Times New Roman"/>
                <w:sz w:val="24"/>
                <w:szCs w:val="24"/>
                <w:lang w:val="el-GR"/>
              </w:rPr>
              <w:t>λ</w:t>
            </w:r>
            <w:r>
              <w:rPr>
                <w:rFonts w:ascii="Times New Roman" w:hAnsi="Times New Roman" w:cs="Times New Roman"/>
                <w:sz w:val="24"/>
                <w:szCs w:val="24"/>
                <w:lang w:val="en-US"/>
              </w:rPr>
              <w:t>max: 230, 250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25</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lang w:val="en-US"/>
              </w:rPr>
              <w:t>Metformin and Dapagliflozin</w:t>
            </w: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tablets</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QbD based 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Hypercil C18 (250mm × 4.6mm, 10µm), Mobile Phase: </w:t>
            </w:r>
            <w:r>
              <w:rPr>
                <w:rFonts w:ascii="Times New Roman" w:hAnsi="Times New Roman" w:cs="Times New Roman"/>
                <w:sz w:val="24"/>
                <w:szCs w:val="24"/>
                <w:lang w:val="en-US"/>
              </w:rPr>
              <w:t>Ethanol: Water (70:30 v/v) Flow rate: 1 ml/min λmax: 250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26</w:t>
            </w:r>
          </w:p>
        </w:tc>
      </w:tr>
      <w:tr w:rsidR="005A19B5">
        <w:tc>
          <w:tcPr>
            <w:tcW w:w="11026" w:type="dxa"/>
            <w:gridSpan w:val="6"/>
          </w:tcPr>
          <w:p w:rsidR="005A19B5" w:rsidRDefault="00D046F1">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Official methods for Eplerenone</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b/>
                <w:bCs/>
                <w:sz w:val="24"/>
                <w:szCs w:val="24"/>
              </w:rPr>
              <w:t>Sr. no.</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b/>
                <w:bCs/>
                <w:sz w:val="24"/>
                <w:szCs w:val="24"/>
              </w:rPr>
              <w:t>Drugs</w:t>
            </w: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b/>
                <w:bCs/>
                <w:sz w:val="24"/>
                <w:szCs w:val="24"/>
              </w:rPr>
              <w:t>Matrix</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b/>
                <w:bCs/>
                <w:sz w:val="24"/>
                <w:szCs w:val="24"/>
              </w:rPr>
              <w:t>Method</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lang w:val="en-US"/>
              </w:rPr>
            </w:pPr>
            <w:r>
              <w:rPr>
                <w:rFonts w:ascii="Times New Roman" w:hAnsi="Times New Roman" w:cs="Times New Roman"/>
                <w:b/>
                <w:bCs/>
                <w:sz w:val="24"/>
                <w:szCs w:val="24"/>
              </w:rPr>
              <w:t>Brief Introduction</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b/>
                <w:bCs/>
                <w:sz w:val="24"/>
                <w:szCs w:val="24"/>
              </w:rPr>
              <w:t>Reference</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Column: Inertsil Ph-3 (250mm×4.6mm,10µm)</w:t>
            </w:r>
          </w:p>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Mobile Phase: Phosphate </w:t>
            </w:r>
            <w:r>
              <w:rPr>
                <w:rFonts w:ascii="Times New Roman" w:hAnsi="Times New Roman" w:cs="Times New Roman"/>
                <w:sz w:val="24"/>
                <w:szCs w:val="24"/>
                <w:lang w:val="en-US"/>
              </w:rPr>
              <w:t>buffer pH 3 with OPA : ACN (60:40 v/v)</w:t>
            </w:r>
          </w:p>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Flow rate: 1.5 ml/min </w:t>
            </w:r>
            <w:r>
              <w:rPr>
                <w:rFonts w:ascii="Times New Roman" w:hAnsi="Times New Roman" w:cs="Times New Roman"/>
                <w:sz w:val="24"/>
                <w:szCs w:val="24"/>
                <w:lang w:val="el-GR"/>
              </w:rPr>
              <w:t>λ</w:t>
            </w:r>
            <w:r>
              <w:rPr>
                <w:rFonts w:ascii="Times New Roman" w:hAnsi="Times New Roman" w:cs="Times New Roman"/>
                <w:sz w:val="24"/>
                <w:szCs w:val="24"/>
                <w:lang w:val="en-US"/>
              </w:rPr>
              <w:t>max: 215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27</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ODS (150mm × 4.6mm, 5 µm), Mobile Phase: 0.1 % Phosphoric acid-A and Phosphoric acid : ACN : Methanol-B (0.1: 40:60 v/v) (A:B 54 : 46 %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28</w:t>
            </w:r>
          </w:p>
        </w:tc>
      </w:tr>
      <w:tr w:rsidR="005A19B5">
        <w:tc>
          <w:tcPr>
            <w:tcW w:w="11026" w:type="dxa"/>
            <w:gridSpan w:val="6"/>
          </w:tcPr>
          <w:p w:rsidR="005A19B5" w:rsidRDefault="00D046F1">
            <w:pPr>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Reported methods for Eplerenone</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b/>
                <w:bCs/>
                <w:sz w:val="24"/>
                <w:szCs w:val="24"/>
              </w:rPr>
              <w:t>Sr. no.</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b/>
                <w:bCs/>
                <w:sz w:val="24"/>
                <w:szCs w:val="24"/>
              </w:rPr>
              <w:t>Drugs</w:t>
            </w: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b/>
                <w:bCs/>
                <w:sz w:val="24"/>
                <w:szCs w:val="24"/>
              </w:rPr>
              <w:t>Matrix</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b/>
                <w:bCs/>
                <w:sz w:val="24"/>
                <w:szCs w:val="24"/>
              </w:rPr>
              <w:t>Method</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b/>
                <w:bCs/>
                <w:sz w:val="24"/>
                <w:szCs w:val="24"/>
              </w:rPr>
              <w:t xml:space="preserve">Brief </w:t>
            </w:r>
            <w:r>
              <w:rPr>
                <w:rFonts w:ascii="Times New Roman" w:hAnsi="Times New Roman" w:cs="Times New Roman"/>
                <w:b/>
                <w:bCs/>
                <w:sz w:val="24"/>
                <w:szCs w:val="24"/>
              </w:rPr>
              <w:t>Introduction</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b/>
                <w:bCs/>
                <w:sz w:val="24"/>
                <w:szCs w:val="24"/>
              </w:rPr>
              <w:t>Reference</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UV</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rPr>
              <w:t xml:space="preserve">Solvent: 0.05 N HCl, </w:t>
            </w:r>
            <w:r>
              <w:rPr>
                <w:rFonts w:ascii="Times New Roman" w:hAnsi="Times New Roman" w:cs="Times New Roman"/>
                <w:sz w:val="24"/>
                <w:szCs w:val="24"/>
                <w:lang w:val="el-GR"/>
              </w:rPr>
              <w:t>λ</w:t>
            </w:r>
            <w:r>
              <w:rPr>
                <w:rFonts w:ascii="Times New Roman" w:hAnsi="Times New Roman" w:cs="Times New Roman"/>
                <w:sz w:val="24"/>
                <w:szCs w:val="24"/>
                <w:lang w:val="en-US"/>
              </w:rPr>
              <w:t>max: 245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29</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UV</w:t>
            </w: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Solvent: Potassium dihydrogen orthophosphate, pH 2.0, </w:t>
            </w:r>
            <w:r>
              <w:rPr>
                <w:rFonts w:ascii="Times New Roman" w:hAnsi="Times New Roman" w:cs="Times New Roman"/>
                <w:sz w:val="24"/>
                <w:szCs w:val="24"/>
                <w:lang w:val="el-GR"/>
              </w:rPr>
              <w:t>λ</w:t>
            </w:r>
            <w:r>
              <w:rPr>
                <w:rFonts w:ascii="Times New Roman" w:hAnsi="Times New Roman" w:cs="Times New Roman"/>
                <w:sz w:val="24"/>
                <w:szCs w:val="24"/>
                <w:lang w:val="en-US"/>
              </w:rPr>
              <w:t>max: 245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30</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 and Tablet</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Column:  C</w:t>
            </w:r>
            <w:r>
              <w:rPr>
                <w:rFonts w:ascii="Times New Roman" w:hAnsi="Times New Roman" w:cs="Times New Roman"/>
                <w:sz w:val="24"/>
                <w:szCs w:val="24"/>
                <w:vertAlign w:val="subscript"/>
                <w:lang w:val="en-US"/>
              </w:rPr>
              <w:t>18</w:t>
            </w:r>
            <w:r>
              <w:rPr>
                <w:rFonts w:ascii="Times New Roman" w:hAnsi="Times New Roman" w:cs="Times New Roman"/>
                <w:sz w:val="24"/>
                <w:szCs w:val="24"/>
                <w:lang w:val="en-US"/>
              </w:rPr>
              <w:t xml:space="preserve"> (250mm × 4.6mm, 5 µm), Mobile Phase:  50 mM ammonium acetate buffer (pH 7) and ACN (55:45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31</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Spiked human plasma</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HiQSil C-18HS (250mm × 4.6mm, 5 µm), Mobile Phase: ACN and Water (50:50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241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32</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Human Plasma</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LC-MS</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Zorbax XDB-C8 (250mm × 4.6mm,10µm), Mobile Phase: ACN: Water 10 mM ammonium acetate (pH 7.4) (40:60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246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33</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Bulk drug</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UPLC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Waters UPLC BEH C18 (50mm ×2.1 mm, 1.7 µm), Mobile Phase:  10 mmol/L ammonium acetate adjusted to pH 4.5: methanol: ACN , Flow rate: 0.3 ml/min </w:t>
            </w:r>
            <w:r>
              <w:rPr>
                <w:rFonts w:ascii="Times New Roman" w:hAnsi="Times New Roman" w:cs="Times New Roman"/>
                <w:sz w:val="24"/>
                <w:szCs w:val="24"/>
                <w:lang w:val="el-GR"/>
              </w:rPr>
              <w:t>λ</w:t>
            </w:r>
            <w:r>
              <w:rPr>
                <w:rFonts w:ascii="Times New Roman" w:hAnsi="Times New Roman" w:cs="Times New Roman"/>
                <w:sz w:val="24"/>
                <w:szCs w:val="24"/>
                <w:lang w:val="en-US"/>
              </w:rPr>
              <w:t>max: 245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34</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Human Urine</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LC-MS/MS</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Zorbax XDB-C8 (50mm × 2.1mm, 5µm), Mobile Phase: ACN: Water (40:60, v/v) containing 10 mM ammonium acetate (pH 7.4).Flow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245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35</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Waters Symmetry C18 (250mm × 4.6mm,5µm), Mobile Phase: Triethyl ammonium phosphate buffer (pH 2.3) : ACN (40:60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36</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 5µm), Mobile Phase:   50 mM ammonium acetate buffer (pH 7): ACN (55:45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240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37</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w:t>
            </w: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Stability indicating 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HiQ sil C-18HS (250mm × 4.6mm, 5 µm), Mobile Phase: Methanol and water (70:30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241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38</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 and Torsemide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Tablets</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Sheisedo C18 (250mm × 4.6mm, 5µm), Mobile Phase: ACN: Methanol: water (30:50:20 v/v), Flow rate: 1 ml/min </w:t>
            </w:r>
            <w:r>
              <w:rPr>
                <w:rFonts w:ascii="Times New Roman" w:hAnsi="Times New Roman" w:cs="Times New Roman"/>
                <w:sz w:val="24"/>
                <w:szCs w:val="24"/>
                <w:lang w:val="el-GR"/>
              </w:rPr>
              <w:t>λ</w:t>
            </w:r>
            <w:r>
              <w:rPr>
                <w:rFonts w:ascii="Times New Roman" w:hAnsi="Times New Roman" w:cs="Times New Roman"/>
                <w:sz w:val="24"/>
                <w:szCs w:val="24"/>
                <w:lang w:val="en-US"/>
              </w:rPr>
              <w:t>max: 268 nm</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39</w:t>
            </w:r>
          </w:p>
        </w:tc>
      </w:tr>
      <w:tr w:rsidR="005A19B5">
        <w:tc>
          <w:tcPr>
            <w:tcW w:w="704"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559" w:type="dxa"/>
          </w:tcPr>
          <w:p w:rsidR="005A19B5" w:rsidRDefault="00D046F1">
            <w:pPr>
              <w:tabs>
                <w:tab w:val="left" w:pos="993"/>
              </w:tabs>
              <w:spacing w:after="0" w:line="240" w:lineRule="auto"/>
              <w:ind w:left="34"/>
              <w:rPr>
                <w:rFonts w:ascii="Times New Roman" w:hAnsi="Times New Roman" w:cs="Times New Roman"/>
                <w:sz w:val="24"/>
                <w:szCs w:val="24"/>
              </w:rPr>
            </w:pPr>
            <w:r>
              <w:rPr>
                <w:rFonts w:ascii="Times New Roman" w:hAnsi="Times New Roman" w:cs="Times New Roman"/>
                <w:sz w:val="24"/>
                <w:szCs w:val="24"/>
              </w:rPr>
              <w:t>Eplerenone and Torsemide</w:t>
            </w:r>
          </w:p>
          <w:p w:rsidR="005A19B5" w:rsidRDefault="005A19B5">
            <w:pPr>
              <w:tabs>
                <w:tab w:val="left" w:pos="993"/>
              </w:tabs>
              <w:spacing w:after="0" w:line="240" w:lineRule="auto"/>
              <w:ind w:left="34"/>
              <w:rPr>
                <w:rFonts w:ascii="Times New Roman" w:hAnsi="Times New Roman" w:cs="Times New Roman"/>
                <w:sz w:val="24"/>
                <w:szCs w:val="24"/>
              </w:rPr>
            </w:pPr>
          </w:p>
        </w:tc>
        <w:tc>
          <w:tcPr>
            <w:tcW w:w="1134" w:type="dxa"/>
          </w:tcPr>
          <w:p w:rsidR="005A19B5" w:rsidRDefault="00D046F1">
            <w:pPr>
              <w:tabs>
                <w:tab w:val="left" w:pos="465"/>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Tablets</w:t>
            </w:r>
          </w:p>
          <w:p w:rsidR="005A19B5" w:rsidRDefault="005A19B5">
            <w:pPr>
              <w:tabs>
                <w:tab w:val="left" w:pos="465"/>
              </w:tabs>
              <w:spacing w:after="0" w:line="240" w:lineRule="auto"/>
              <w:ind w:left="40"/>
              <w:rPr>
                <w:rFonts w:ascii="Times New Roman" w:hAnsi="Times New Roman" w:cs="Times New Roman"/>
                <w:sz w:val="24"/>
                <w:szCs w:val="24"/>
              </w:rPr>
            </w:pPr>
          </w:p>
        </w:tc>
        <w:tc>
          <w:tcPr>
            <w:tcW w:w="1276" w:type="dxa"/>
          </w:tcPr>
          <w:p w:rsidR="005A19B5" w:rsidRDefault="00D046F1">
            <w:pPr>
              <w:tabs>
                <w:tab w:val="left" w:pos="466"/>
              </w:tabs>
              <w:spacing w:after="0" w:line="240" w:lineRule="auto"/>
              <w:ind w:left="40"/>
              <w:rPr>
                <w:rFonts w:ascii="Times New Roman" w:hAnsi="Times New Roman" w:cs="Times New Roman"/>
                <w:sz w:val="24"/>
                <w:szCs w:val="24"/>
              </w:rPr>
            </w:pPr>
            <w:r>
              <w:rPr>
                <w:rFonts w:ascii="Times New Roman" w:hAnsi="Times New Roman" w:cs="Times New Roman"/>
                <w:sz w:val="24"/>
                <w:szCs w:val="24"/>
              </w:rPr>
              <w:t>QbD based RP-HPLC</w:t>
            </w:r>
          </w:p>
          <w:p w:rsidR="005A19B5" w:rsidRDefault="005A19B5">
            <w:pPr>
              <w:tabs>
                <w:tab w:val="left" w:pos="466"/>
              </w:tabs>
              <w:spacing w:after="0" w:line="240" w:lineRule="auto"/>
              <w:ind w:left="40"/>
              <w:rPr>
                <w:rFonts w:ascii="Times New Roman" w:hAnsi="Times New Roman" w:cs="Times New Roman"/>
                <w:sz w:val="24"/>
                <w:szCs w:val="24"/>
              </w:rPr>
            </w:pPr>
          </w:p>
        </w:tc>
        <w:tc>
          <w:tcPr>
            <w:tcW w:w="3587" w:type="dxa"/>
          </w:tcPr>
          <w:p w:rsidR="005A19B5" w:rsidRDefault="00D046F1">
            <w:pPr>
              <w:tabs>
                <w:tab w:val="left" w:pos="750"/>
              </w:tabs>
              <w:spacing w:after="0" w:line="240" w:lineRule="auto"/>
              <w:ind w:left="41"/>
              <w:jc w:val="both"/>
              <w:rPr>
                <w:rFonts w:ascii="Times New Roman" w:hAnsi="Times New Roman" w:cs="Times New Roman"/>
                <w:sz w:val="24"/>
                <w:szCs w:val="24"/>
              </w:rPr>
            </w:pPr>
            <w:r>
              <w:rPr>
                <w:rFonts w:ascii="Times New Roman" w:hAnsi="Times New Roman" w:cs="Times New Roman"/>
                <w:sz w:val="24"/>
                <w:szCs w:val="24"/>
                <w:lang w:val="en-US"/>
              </w:rPr>
              <w:t xml:space="preserve">Column: C18 (250mm × 4.6mm, 5µm), Mobile Phase:   ACN : water: </w:t>
            </w:r>
            <w:r>
              <w:rPr>
                <w:rFonts w:ascii="Times New Roman" w:hAnsi="Times New Roman" w:cs="Times New Roman"/>
                <w:sz w:val="24"/>
                <w:szCs w:val="24"/>
                <w:lang w:val="en-US"/>
              </w:rPr>
              <w:t>methanol (50:30:20 v/v), Flow rate: 1 ml/min</w:t>
            </w:r>
          </w:p>
        </w:tc>
        <w:tc>
          <w:tcPr>
            <w:tcW w:w="2766" w:type="dxa"/>
          </w:tcPr>
          <w:p w:rsidR="005A19B5" w:rsidRDefault="00D046F1">
            <w:pPr>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40</w:t>
            </w:r>
          </w:p>
        </w:tc>
      </w:tr>
    </w:tbl>
    <w:p w:rsidR="005A19B5" w:rsidRDefault="005A19B5">
      <w:pPr>
        <w:spacing w:line="240" w:lineRule="auto"/>
        <w:jc w:val="both"/>
        <w:rPr>
          <w:rFonts w:ascii="Times New Roman" w:hAnsi="Times New Roman" w:cs="Times New Roman"/>
          <w:sz w:val="24"/>
          <w:szCs w:val="24"/>
        </w:rPr>
        <w:sectPr w:rsidR="005A19B5">
          <w:headerReference w:type="default" r:id="rId22"/>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Summary of PSAR </w:t>
      </w:r>
      <w:r>
        <w:rPr>
          <w:rFonts w:ascii="Times New Roman" w:hAnsi="Times New Roman" w:cs="Times New Roman"/>
          <w:b/>
          <w:bCs/>
          <w:sz w:val="24"/>
          <w:szCs w:val="24"/>
          <w:vertAlign w:val="superscript"/>
        </w:rPr>
        <w:t>[41-45]</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6-Summary of PSAR</w:t>
      </w:r>
    </w:p>
    <w:tbl>
      <w:tblPr>
        <w:tblStyle w:val="TableGrid"/>
        <w:tblW w:w="8301" w:type="dxa"/>
        <w:tblLook w:val="04A0" w:firstRow="1" w:lastRow="0" w:firstColumn="1" w:lastColumn="0" w:noHBand="0" w:noVBand="1"/>
      </w:tblPr>
      <w:tblGrid>
        <w:gridCol w:w="570"/>
        <w:gridCol w:w="2300"/>
        <w:gridCol w:w="1441"/>
        <w:gridCol w:w="2752"/>
        <w:gridCol w:w="1238"/>
      </w:tblGrid>
      <w:tr w:rsidR="005A19B5">
        <w:trPr>
          <w:trHeight w:val="847"/>
        </w:trPr>
        <w:tc>
          <w:tcPr>
            <w:tcW w:w="57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b/>
                <w:bCs/>
                <w:sz w:val="24"/>
                <w:szCs w:val="24"/>
              </w:rPr>
              <w:t>Sr. No.</w:t>
            </w:r>
          </w:p>
        </w:tc>
        <w:tc>
          <w:tcPr>
            <w:tcW w:w="230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b/>
                <w:bCs/>
                <w:sz w:val="24"/>
                <w:szCs w:val="24"/>
              </w:rPr>
              <w:t>Patent Application Number</w:t>
            </w:r>
          </w:p>
        </w:tc>
        <w:tc>
          <w:tcPr>
            <w:tcW w:w="1441" w:type="dxa"/>
          </w:tcPr>
          <w:p w:rsidR="005A19B5" w:rsidRDefault="00D046F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Publish Date</w:t>
            </w:r>
          </w:p>
        </w:tc>
        <w:tc>
          <w:tcPr>
            <w:tcW w:w="2752"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b/>
                <w:bCs/>
                <w:sz w:val="24"/>
                <w:szCs w:val="24"/>
              </w:rPr>
              <w:t>Title of patent</w:t>
            </w:r>
          </w:p>
        </w:tc>
        <w:tc>
          <w:tcPr>
            <w:tcW w:w="1238" w:type="dxa"/>
          </w:tcPr>
          <w:p w:rsidR="005A19B5" w:rsidRDefault="00D046F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 No.</w:t>
            </w:r>
          </w:p>
        </w:tc>
      </w:tr>
      <w:tr w:rsidR="005A19B5">
        <w:trPr>
          <w:trHeight w:val="387"/>
        </w:trPr>
        <w:tc>
          <w:tcPr>
            <w:tcW w:w="57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b/>
                <w:bCs/>
                <w:sz w:val="24"/>
                <w:szCs w:val="24"/>
              </w:rPr>
              <w:t>1</w:t>
            </w:r>
          </w:p>
        </w:tc>
        <w:tc>
          <w:tcPr>
            <w:tcW w:w="230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US6558707B1</w:t>
            </w:r>
          </w:p>
          <w:p w:rsidR="005A19B5" w:rsidRDefault="005A19B5">
            <w:pPr>
              <w:spacing w:after="0" w:line="240" w:lineRule="auto"/>
              <w:rPr>
                <w:rFonts w:ascii="Times New Roman" w:hAnsi="Times New Roman" w:cs="Times New Roman"/>
                <w:sz w:val="24"/>
                <w:szCs w:val="24"/>
              </w:rPr>
            </w:pPr>
          </w:p>
        </w:tc>
        <w:tc>
          <w:tcPr>
            <w:tcW w:w="1441"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2003-05-06</w:t>
            </w:r>
          </w:p>
          <w:p w:rsidR="005A19B5" w:rsidRDefault="005A19B5">
            <w:pPr>
              <w:spacing w:after="0" w:line="240" w:lineRule="auto"/>
              <w:jc w:val="both"/>
              <w:rPr>
                <w:rFonts w:ascii="Times New Roman" w:hAnsi="Times New Roman" w:cs="Times New Roman"/>
                <w:sz w:val="24"/>
                <w:szCs w:val="24"/>
              </w:rPr>
            </w:pPr>
          </w:p>
        </w:tc>
        <w:tc>
          <w:tcPr>
            <w:tcW w:w="2752"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Immediate release eplerenone compositions</w:t>
            </w:r>
          </w:p>
        </w:tc>
        <w:tc>
          <w:tcPr>
            <w:tcW w:w="1238" w:type="dxa"/>
          </w:tcPr>
          <w:p w:rsidR="005A19B5" w:rsidRDefault="00D046F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41</w:t>
            </w:r>
          </w:p>
        </w:tc>
      </w:tr>
      <w:tr w:rsidR="005A19B5">
        <w:trPr>
          <w:trHeight w:val="820"/>
        </w:trPr>
        <w:tc>
          <w:tcPr>
            <w:tcW w:w="57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b/>
                <w:bCs/>
                <w:sz w:val="24"/>
                <w:szCs w:val="24"/>
              </w:rPr>
              <w:t>2</w:t>
            </w:r>
          </w:p>
        </w:tc>
        <w:tc>
          <w:tcPr>
            <w:tcW w:w="230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CN101152187A</w:t>
            </w:r>
          </w:p>
          <w:p w:rsidR="005A19B5" w:rsidRDefault="005A19B5">
            <w:pPr>
              <w:spacing w:after="0" w:line="240" w:lineRule="auto"/>
              <w:rPr>
                <w:rFonts w:ascii="Times New Roman" w:hAnsi="Times New Roman" w:cs="Times New Roman"/>
                <w:sz w:val="24"/>
                <w:szCs w:val="24"/>
              </w:rPr>
            </w:pPr>
          </w:p>
        </w:tc>
        <w:tc>
          <w:tcPr>
            <w:tcW w:w="1441"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2008-04-02</w:t>
            </w:r>
          </w:p>
          <w:p w:rsidR="005A19B5" w:rsidRDefault="005A19B5">
            <w:pPr>
              <w:spacing w:after="0" w:line="240" w:lineRule="auto"/>
              <w:jc w:val="both"/>
              <w:rPr>
                <w:rFonts w:ascii="Times New Roman" w:hAnsi="Times New Roman" w:cs="Times New Roman"/>
                <w:sz w:val="24"/>
                <w:szCs w:val="24"/>
                <w:lang w:val="en-US"/>
              </w:rPr>
            </w:pPr>
          </w:p>
        </w:tc>
        <w:tc>
          <w:tcPr>
            <w:tcW w:w="2752"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Eplerenone pharmaceutical composition</w:t>
            </w:r>
          </w:p>
        </w:tc>
        <w:tc>
          <w:tcPr>
            <w:tcW w:w="1238" w:type="dxa"/>
          </w:tcPr>
          <w:p w:rsidR="005A19B5" w:rsidRDefault="00D046F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42</w:t>
            </w:r>
          </w:p>
        </w:tc>
      </w:tr>
      <w:tr w:rsidR="005A19B5">
        <w:trPr>
          <w:trHeight w:val="412"/>
        </w:trPr>
        <w:tc>
          <w:tcPr>
            <w:tcW w:w="57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b/>
                <w:bCs/>
                <w:sz w:val="24"/>
                <w:szCs w:val="24"/>
              </w:rPr>
              <w:t>3</w:t>
            </w:r>
          </w:p>
        </w:tc>
        <w:tc>
          <w:tcPr>
            <w:tcW w:w="230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US11660308B2</w:t>
            </w:r>
          </w:p>
          <w:p w:rsidR="005A19B5" w:rsidRDefault="005A19B5">
            <w:pPr>
              <w:spacing w:after="0" w:line="240" w:lineRule="auto"/>
              <w:rPr>
                <w:rFonts w:ascii="Times New Roman" w:hAnsi="Times New Roman" w:cs="Times New Roman"/>
                <w:sz w:val="24"/>
                <w:szCs w:val="24"/>
              </w:rPr>
            </w:pPr>
          </w:p>
        </w:tc>
        <w:tc>
          <w:tcPr>
            <w:tcW w:w="1441"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2023-05-30</w:t>
            </w:r>
          </w:p>
          <w:p w:rsidR="005A19B5" w:rsidRDefault="005A19B5">
            <w:pPr>
              <w:spacing w:after="0" w:line="240" w:lineRule="auto"/>
              <w:jc w:val="both"/>
              <w:rPr>
                <w:rFonts w:ascii="Times New Roman" w:hAnsi="Times New Roman" w:cs="Times New Roman"/>
                <w:sz w:val="24"/>
                <w:szCs w:val="24"/>
                <w:lang w:val="en-US"/>
              </w:rPr>
            </w:pPr>
          </w:p>
        </w:tc>
        <w:tc>
          <w:tcPr>
            <w:tcW w:w="2752"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Pharmaceutical composition comprising dapagliflozin</w:t>
            </w:r>
          </w:p>
        </w:tc>
        <w:tc>
          <w:tcPr>
            <w:tcW w:w="1238" w:type="dxa"/>
          </w:tcPr>
          <w:p w:rsidR="005A19B5" w:rsidRDefault="00D046F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43</w:t>
            </w:r>
          </w:p>
        </w:tc>
      </w:tr>
      <w:tr w:rsidR="005A19B5">
        <w:trPr>
          <w:trHeight w:val="835"/>
        </w:trPr>
        <w:tc>
          <w:tcPr>
            <w:tcW w:w="57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b/>
                <w:bCs/>
                <w:sz w:val="24"/>
                <w:szCs w:val="24"/>
              </w:rPr>
              <w:t>4</w:t>
            </w:r>
          </w:p>
        </w:tc>
        <w:tc>
          <w:tcPr>
            <w:tcW w:w="230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US20190175543A1</w:t>
            </w:r>
          </w:p>
          <w:p w:rsidR="005A19B5" w:rsidRDefault="005A19B5">
            <w:pPr>
              <w:spacing w:after="0" w:line="240" w:lineRule="auto"/>
              <w:rPr>
                <w:rFonts w:ascii="Times New Roman" w:hAnsi="Times New Roman" w:cs="Times New Roman"/>
                <w:sz w:val="24"/>
                <w:szCs w:val="24"/>
              </w:rPr>
            </w:pPr>
          </w:p>
        </w:tc>
        <w:tc>
          <w:tcPr>
            <w:tcW w:w="1441"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2019-06-13</w:t>
            </w:r>
          </w:p>
          <w:p w:rsidR="005A19B5" w:rsidRDefault="005A19B5">
            <w:pPr>
              <w:spacing w:after="0" w:line="240" w:lineRule="auto"/>
              <w:jc w:val="both"/>
              <w:rPr>
                <w:rFonts w:ascii="Times New Roman" w:hAnsi="Times New Roman" w:cs="Times New Roman"/>
                <w:sz w:val="24"/>
                <w:szCs w:val="24"/>
                <w:lang w:val="en-US"/>
              </w:rPr>
            </w:pPr>
          </w:p>
        </w:tc>
        <w:tc>
          <w:tcPr>
            <w:tcW w:w="2752"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Formulations Containing </w:t>
            </w:r>
            <w:r>
              <w:rPr>
                <w:rFonts w:ascii="Times New Roman" w:hAnsi="Times New Roman" w:cs="Times New Roman"/>
                <w:sz w:val="24"/>
                <w:szCs w:val="24"/>
                <w:lang w:val="en-US"/>
              </w:rPr>
              <w:t>Amorphous Dapagliflozin</w:t>
            </w:r>
          </w:p>
        </w:tc>
        <w:tc>
          <w:tcPr>
            <w:tcW w:w="1238" w:type="dxa"/>
          </w:tcPr>
          <w:p w:rsidR="005A19B5" w:rsidRDefault="00D046F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44</w:t>
            </w:r>
          </w:p>
        </w:tc>
      </w:tr>
      <w:tr w:rsidR="005A19B5">
        <w:trPr>
          <w:trHeight w:val="835"/>
        </w:trPr>
        <w:tc>
          <w:tcPr>
            <w:tcW w:w="570" w:type="dxa"/>
          </w:tcPr>
          <w:p w:rsidR="005A19B5" w:rsidRDefault="00D046F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2300" w:type="dxa"/>
          </w:tcPr>
          <w:p w:rsidR="005A19B5" w:rsidRDefault="00D046F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US10738038B2</w:t>
            </w:r>
          </w:p>
          <w:p w:rsidR="005A19B5" w:rsidRDefault="005A19B5">
            <w:pPr>
              <w:spacing w:after="0" w:line="240" w:lineRule="auto"/>
              <w:rPr>
                <w:rFonts w:ascii="Times New Roman" w:hAnsi="Times New Roman" w:cs="Times New Roman"/>
                <w:sz w:val="24"/>
                <w:szCs w:val="24"/>
                <w:lang w:val="en-US"/>
              </w:rPr>
            </w:pPr>
          </w:p>
        </w:tc>
        <w:tc>
          <w:tcPr>
            <w:tcW w:w="1441"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2020-08-11</w:t>
            </w:r>
          </w:p>
          <w:p w:rsidR="005A19B5" w:rsidRDefault="005A19B5">
            <w:pPr>
              <w:spacing w:after="0" w:line="240" w:lineRule="auto"/>
              <w:jc w:val="both"/>
              <w:rPr>
                <w:rFonts w:ascii="Times New Roman" w:hAnsi="Times New Roman" w:cs="Times New Roman"/>
                <w:sz w:val="24"/>
                <w:szCs w:val="24"/>
                <w:lang w:val="en-US"/>
              </w:rPr>
            </w:pPr>
          </w:p>
        </w:tc>
        <w:tc>
          <w:tcPr>
            <w:tcW w:w="2752"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Co-crystals of SGLT2 inhibitors, process for their preparation and pharmaceutical compositions thereof</w:t>
            </w:r>
          </w:p>
        </w:tc>
        <w:tc>
          <w:tcPr>
            <w:tcW w:w="1238" w:type="dxa"/>
          </w:tcPr>
          <w:p w:rsidR="005A19B5" w:rsidRDefault="00D046F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45</w:t>
            </w:r>
          </w:p>
        </w:tc>
      </w:tr>
    </w:tbl>
    <w:p w:rsidR="005A19B5" w:rsidRDefault="005A19B5">
      <w:pPr>
        <w:spacing w:line="240" w:lineRule="auto"/>
        <w:rPr>
          <w:rFonts w:ascii="Times New Roman" w:hAnsi="Times New Roman" w:cs="Times New Roman"/>
          <w:sz w:val="24"/>
          <w:szCs w:val="24"/>
        </w:rPr>
      </w:pPr>
    </w:p>
    <w:p w:rsidR="005A19B5" w:rsidRDefault="00D046F1">
      <w:pPr>
        <w:spacing w:line="240" w:lineRule="auto"/>
        <w:rPr>
          <w:rFonts w:ascii="Times New Roman" w:hAnsi="Times New Roman" w:cs="Times New Roman"/>
          <w:sz w:val="24"/>
          <w:szCs w:val="24"/>
        </w:rPr>
      </w:pPr>
      <w:r>
        <w:rPr>
          <w:rFonts w:ascii="Times New Roman" w:hAnsi="Times New Roman" w:cs="Times New Roman"/>
          <w:b/>
          <w:bCs/>
          <w:sz w:val="24"/>
          <w:szCs w:val="24"/>
          <w:lang w:val="en-US"/>
        </w:rPr>
        <w:t>Novelty grade to your selected Dissertation project</w:t>
      </w:r>
    </w:p>
    <w:p w:rsidR="005A19B5" w:rsidRDefault="00D046F1">
      <w:pPr>
        <w:spacing w:line="240" w:lineRule="auto"/>
        <w:rPr>
          <w:rFonts w:ascii="Times New Roman" w:hAnsi="Times New Roman" w:cs="Times New Roman"/>
          <w:sz w:val="24"/>
          <w:szCs w:val="24"/>
        </w:rPr>
      </w:pPr>
      <w:r>
        <w:rPr>
          <w:rFonts w:ascii="Times New Roman" w:hAnsi="Times New Roman" w:cs="Times New Roman"/>
          <w:sz w:val="24"/>
          <w:szCs w:val="24"/>
        </w:rPr>
        <w:t>&gt;90%</w:t>
      </w:r>
    </w:p>
    <w:p w:rsidR="005A19B5" w:rsidRDefault="005A19B5">
      <w:pPr>
        <w:numPr>
          <w:ilvl w:val="0"/>
          <w:numId w:val="28"/>
        </w:numPr>
        <w:tabs>
          <w:tab w:val="clear" w:pos="720"/>
          <w:tab w:val="left" w:pos="284"/>
        </w:tabs>
        <w:spacing w:line="240" w:lineRule="auto"/>
        <w:ind w:left="0" w:firstLine="0"/>
        <w:jc w:val="both"/>
        <w:rPr>
          <w:rFonts w:ascii="Times New Roman" w:hAnsi="Times New Roman" w:cs="Times New Roman"/>
          <w:sz w:val="24"/>
          <w:szCs w:val="24"/>
        </w:rPr>
        <w:sectPr w:rsidR="005A19B5">
          <w:headerReference w:type="default" r:id="rId23"/>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p>
    <w:p w:rsidR="005A19B5" w:rsidRDefault="00D046F1">
      <w:pPr>
        <w:numPr>
          <w:ilvl w:val="0"/>
          <w:numId w:val="28"/>
        </w:numPr>
        <w:tabs>
          <w:tab w:val="clear" w:pos="720"/>
          <w:tab w:val="left" w:pos="284"/>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lang w:val="en-US"/>
        </w:rPr>
        <w:lastRenderedPageBreak/>
        <w:t>US11660308B2 - The present invention relates to solid oral pharmaceutical compositions comprising amorphous dapagliflozin. The invention further relates to a process for the preparation of the said pharmaceutical com</w:t>
      </w:r>
      <w:r>
        <w:rPr>
          <w:rFonts w:ascii="Times New Roman" w:hAnsi="Times New Roman" w:cs="Times New Roman"/>
          <w:sz w:val="24"/>
          <w:szCs w:val="24"/>
          <w:lang w:val="en-US"/>
        </w:rPr>
        <w:t>positions. The said compositions are administered orally for the treatment of diabetes mellitus. The said compositions provide the desired immediate release of dapagliflozin and were found to be stable under accelerated conditions.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4. US20190175543A1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The </w:t>
      </w:r>
      <w:r>
        <w:rPr>
          <w:rFonts w:ascii="Times New Roman" w:hAnsi="Times New Roman" w:cs="Times New Roman"/>
          <w:sz w:val="24"/>
          <w:szCs w:val="24"/>
          <w:lang w:val="en-US"/>
        </w:rPr>
        <w:t>present invention belongs to the field of pharmaceutical industry and relates to an amorphous solid dispersion comprising at least one polymer and dapagliflozin, to a pharmaceutical composition comprising said solid dispersion, to a process for the prepara</w:t>
      </w:r>
      <w:r>
        <w:rPr>
          <w:rFonts w:ascii="Times New Roman" w:hAnsi="Times New Roman" w:cs="Times New Roman"/>
          <w:sz w:val="24"/>
          <w:szCs w:val="24"/>
          <w:lang w:val="en-US"/>
        </w:rPr>
        <w:t>tion thereof, and to the solid dispersion and pharmaceutical composition respectively obtainable by said process.</w:t>
      </w:r>
    </w:p>
    <w:p w:rsidR="005A19B5" w:rsidRDefault="005A19B5">
      <w:pPr>
        <w:spacing w:line="240" w:lineRule="auto"/>
        <w:jc w:val="both"/>
        <w:rPr>
          <w:rFonts w:ascii="Times New Roman" w:hAnsi="Times New Roman" w:cs="Times New Roman"/>
          <w:sz w:val="24"/>
          <w:szCs w:val="24"/>
        </w:rPr>
        <w:sectPr w:rsidR="005A19B5">
          <w:type w:val="continuous"/>
          <w:pgSz w:w="11906" w:h="16838"/>
          <w:pgMar w:top="431" w:right="238" w:bottom="238" w:left="238" w:header="1134" w:footer="1134" w:gutter="0"/>
          <w:pgBorders>
            <w:top w:val="thinThickSmallGap" w:sz="24" w:space="1" w:color="C00000"/>
            <w:bottom w:val="thickThinSmallGap" w:sz="24" w:space="1" w:color="C00000"/>
          </w:pgBorders>
          <w:cols w:space="425"/>
          <w:docGrid w:linePitch="360"/>
        </w:sectPr>
      </w:pPr>
    </w:p>
    <w:p w:rsidR="005A19B5" w:rsidRDefault="00D046F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5. US10738038B2- </w:t>
      </w:r>
      <w:r>
        <w:rPr>
          <w:rFonts w:ascii="Times New Roman" w:hAnsi="Times New Roman" w:cs="Times New Roman"/>
          <w:sz w:val="24"/>
          <w:szCs w:val="24"/>
          <w:lang w:val="en-US"/>
        </w:rPr>
        <w:t>The present invention provides solid forms of SGLT2 inhibitors, to processes for the</w:t>
      </w:r>
      <w:r>
        <w:rPr>
          <w:rFonts w:ascii="Times New Roman" w:hAnsi="Times New Roman" w:cs="Times New Roman"/>
          <w:sz w:val="24"/>
          <w:szCs w:val="24"/>
          <w:lang w:val="en-US"/>
        </w:rPr>
        <w:t>ir preparation and their use in the purification of SGLT2 inhibitors and also provided pharmaceutical compositions comprising them and their use in therapy.</w:t>
      </w:r>
    </w:p>
    <w:p w:rsidR="005A19B5" w:rsidRDefault="00D046F1">
      <w:pPr>
        <w:numPr>
          <w:ilvl w:val="0"/>
          <w:numId w:val="29"/>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lang w:val="en-US"/>
        </w:rPr>
        <w:t>Novelty grade to your selected Dissertation project</w:t>
      </w:r>
      <w:r>
        <w:rPr>
          <w:rFonts w:ascii="Times New Roman" w:hAnsi="Times New Roman" w:cs="Times New Roman"/>
          <w:sz w:val="24"/>
          <w:szCs w:val="24"/>
          <w:lang w:val="en-US"/>
        </w:rPr>
        <w:t xml:space="preserve">-      </w:t>
      </w:r>
      <w:r>
        <w:rPr>
          <w:rFonts w:ascii="Times New Roman" w:hAnsi="Times New Roman" w:cs="Times New Roman"/>
          <w:b/>
          <w:bCs/>
          <w:sz w:val="24"/>
          <w:szCs w:val="24"/>
        </w:rPr>
        <w:t>&gt;90%</w:t>
      </w:r>
    </w:p>
    <w:p w:rsidR="005A19B5" w:rsidRDefault="00D046F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From all the patents, not a single p</w:t>
      </w:r>
      <w:r>
        <w:rPr>
          <w:rFonts w:ascii="Times New Roman" w:hAnsi="Times New Roman" w:cs="Times New Roman"/>
          <w:sz w:val="24"/>
          <w:szCs w:val="24"/>
          <w:lang w:val="en-US"/>
        </w:rPr>
        <w:t>atent described the analytical method to determine Eplerenone and Dapagliflozin in the synthetic mixture or tablet dosage form.</w:t>
      </w:r>
    </w:p>
    <w:p w:rsidR="005A19B5" w:rsidRDefault="00D046F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RATIONALE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Pharmacological Rationale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combination of Eplerenone and Dapagliflozin Propanediol Monohydrate is pharmacologically</w:t>
      </w:r>
      <w:r>
        <w:rPr>
          <w:rFonts w:ascii="Times New Roman" w:hAnsi="Times New Roman" w:cs="Times New Roman"/>
          <w:sz w:val="24"/>
          <w:szCs w:val="24"/>
        </w:rPr>
        <w:t xml:space="preserve"> justified for managing heart failure with reduced ejection fraction (HFrEF) or chronic kidney disease (CKD), with or without type 2 diabetes mellitus.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Eplerenone, a selective mineralocorticoid receptor antagonist, blocks the effects of aldosterone, reduci</w:t>
      </w:r>
      <w:r>
        <w:rPr>
          <w:rFonts w:ascii="Times New Roman" w:hAnsi="Times New Roman" w:cs="Times New Roman"/>
          <w:sz w:val="24"/>
          <w:szCs w:val="24"/>
        </w:rPr>
        <w:t xml:space="preserve">ng sodium and water retention, myocardial fibrosis, and adverse cardiac remodelling. </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Dapagliflozin, a sodium-glucose co-transporter 2 (SGLT2) inhibitor, induces glucosuria and natriuresis, leading to osmotic diuresis, reduced </w:t>
      </w:r>
      <w:r>
        <w:rPr>
          <w:rFonts w:ascii="Times New Roman" w:hAnsi="Times New Roman" w:cs="Times New Roman"/>
          <w:sz w:val="24"/>
          <w:szCs w:val="24"/>
        </w:rPr>
        <w:lastRenderedPageBreak/>
        <w:t>plasma volume, and improved c</w:t>
      </w:r>
      <w:r>
        <w:rPr>
          <w:rFonts w:ascii="Times New Roman" w:hAnsi="Times New Roman" w:cs="Times New Roman"/>
          <w:sz w:val="24"/>
          <w:szCs w:val="24"/>
        </w:rPr>
        <w:t>ardiac preload and afterload. It also provides cardio renal protection by lowering intraglomerular pressure and oxidative stress.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Together, these agents act through complementary mechanisms to reduce fluid overload, enhance cardiac and renal function, and </w:t>
      </w:r>
      <w:r>
        <w:rPr>
          <w:rFonts w:ascii="Times New Roman" w:hAnsi="Times New Roman" w:cs="Times New Roman"/>
          <w:sz w:val="24"/>
          <w:szCs w:val="24"/>
        </w:rPr>
        <w:t>improve clinical outcomes in patients with heart failure or CKD.</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Analytical Rationale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A review of the available literature indicates that a few analytical methods have been reported for the estimation of Eplerenone and Dapagliflozin Propanediol Monohydrate</w:t>
      </w:r>
      <w:r>
        <w:rPr>
          <w:rFonts w:ascii="Times New Roman" w:hAnsi="Times New Roman" w:cs="Times New Roman"/>
          <w:sz w:val="24"/>
          <w:szCs w:val="24"/>
        </w:rPr>
        <w:t xml:space="preserve"> individually; however, no work has been carried out for their simultaneous estimation in synthetic mixture as the combination is still in Phase-III clinical trial. Moreover, no specific RP-HPLC method has been reported for their concurrent quantification </w:t>
      </w:r>
      <w:r>
        <w:rPr>
          <w:rFonts w:ascii="Times New Roman" w:hAnsi="Times New Roman" w:cs="Times New Roman"/>
          <w:sz w:val="24"/>
          <w:szCs w:val="24"/>
        </w:rPr>
        <w:t>in a single formulation.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Considering the increasing therapeutic use of this combination in the management of cardiovascular and renal disorders, the development of a suitable analytical method is warranted. Hence, it is necessary to develop and validate a </w:t>
      </w:r>
      <w:r>
        <w:rPr>
          <w:rFonts w:ascii="Times New Roman" w:hAnsi="Times New Roman" w:cs="Times New Roman"/>
          <w:sz w:val="24"/>
          <w:szCs w:val="24"/>
        </w:rPr>
        <w:t>simple, rapid, precise, accurate, and reproducible RP-HPLC method for the simultaneous estimation of Eplerenone and Dapagliflozin in its synthetic mixture. Such a method will facilitate reliable quantification during formulation development and routine qua</w:t>
      </w:r>
      <w:r>
        <w:rPr>
          <w:rFonts w:ascii="Times New Roman" w:hAnsi="Times New Roman" w:cs="Times New Roman"/>
          <w:sz w:val="24"/>
          <w:szCs w:val="24"/>
        </w:rPr>
        <w:t>lity control analysis.</w:t>
      </w:r>
    </w:p>
    <w:p w:rsidR="005A19B5" w:rsidRDefault="00D046F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AIM and OBJECTIVES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AIM</w:t>
      </w:r>
    </w:p>
    <w:p w:rsidR="005A19B5" w:rsidRDefault="00D046F1">
      <w:pPr>
        <w:numPr>
          <w:ilvl w:val="0"/>
          <w:numId w:val="30"/>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From the detailed review of literature and patent, it’s been found that no </w:t>
      </w:r>
      <w:r>
        <w:rPr>
          <w:rFonts w:ascii="Times New Roman" w:hAnsi="Times New Roman" w:cs="Times New Roman"/>
          <w:b/>
          <w:bCs/>
          <w:sz w:val="24"/>
          <w:szCs w:val="24"/>
          <w:lang w:val="en-US"/>
        </w:rPr>
        <w:t xml:space="preserve">RP-HPLC method is available for this combination, </w:t>
      </w:r>
      <w:r>
        <w:rPr>
          <w:rFonts w:ascii="Times New Roman" w:hAnsi="Times New Roman" w:cs="Times New Roman"/>
          <w:sz w:val="24"/>
          <w:szCs w:val="24"/>
          <w:lang w:val="en-US"/>
        </w:rPr>
        <w:t xml:space="preserve">Therefore, it is worthwhile to develop and validate an RP-HPLC method for determination of </w:t>
      </w:r>
      <w:r>
        <w:rPr>
          <w:rFonts w:ascii="Times New Roman" w:hAnsi="Times New Roman" w:cs="Times New Roman"/>
          <w:sz w:val="24"/>
          <w:szCs w:val="24"/>
        </w:rPr>
        <w:t xml:space="preserve">Eplerenone and Dapagliflozin Propanediol Monohydrate in </w:t>
      </w:r>
      <w:r>
        <w:rPr>
          <w:rFonts w:ascii="Times New Roman" w:hAnsi="Times New Roman" w:cs="Times New Roman"/>
          <w:sz w:val="24"/>
          <w:szCs w:val="24"/>
          <w:lang w:val="en-US"/>
        </w:rPr>
        <w:t>synthetic mixture.</w:t>
      </w:r>
      <w:r>
        <w:rPr>
          <w:rFonts w:ascii="Times New Roman" w:hAnsi="Times New Roman" w:cs="Times New Roman"/>
          <w:sz w:val="24"/>
          <w:szCs w:val="24"/>
        </w:rPr>
        <w:t xml:space="preserve"> The aim of the present work is to develop and validate a RP-HPLC method for estimation of </w:t>
      </w:r>
      <w:r>
        <w:rPr>
          <w:rFonts w:ascii="Times New Roman" w:hAnsi="Times New Roman" w:cs="Times New Roman"/>
          <w:sz w:val="24"/>
          <w:szCs w:val="24"/>
        </w:rPr>
        <w:t>Eplerenone and Dapagliflozin Propanediol Monohydrate in its synthetic mixture.</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OBJECTIVES</w:t>
      </w:r>
    </w:p>
    <w:p w:rsidR="005A19B5" w:rsidRDefault="00D046F1">
      <w:pPr>
        <w:numPr>
          <w:ilvl w:val="0"/>
          <w:numId w:val="3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To optimize separation conditions for </w:t>
      </w:r>
      <w:r>
        <w:rPr>
          <w:rFonts w:ascii="Times New Roman" w:hAnsi="Times New Roman" w:cs="Times New Roman"/>
          <w:sz w:val="24"/>
          <w:szCs w:val="24"/>
        </w:rPr>
        <w:t>Eplerenone and Dapagliflozin Propanediol Monohydrate.</w:t>
      </w:r>
    </w:p>
    <w:p w:rsidR="005A19B5" w:rsidRDefault="00D046F1">
      <w:pPr>
        <w:numPr>
          <w:ilvl w:val="0"/>
          <w:numId w:val="3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To validate the developed and optimized RP-HPLC method according to ICH Q2</w:t>
      </w:r>
      <w:r>
        <w:rPr>
          <w:rFonts w:ascii="Times New Roman" w:hAnsi="Times New Roman" w:cs="Times New Roman"/>
          <w:sz w:val="24"/>
          <w:szCs w:val="24"/>
          <w:lang w:val="en-US"/>
        </w:rPr>
        <w:t xml:space="preserve"> R2 guidelines.</w:t>
      </w:r>
    </w:p>
    <w:p w:rsidR="005A19B5" w:rsidRDefault="00D046F1">
      <w:pPr>
        <w:numPr>
          <w:ilvl w:val="0"/>
          <w:numId w:val="31"/>
        </w:numPr>
        <w:tabs>
          <w:tab w:val="clear" w:pos="720"/>
          <w:tab w:val="left" w:pos="56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To apply the validated method for estimation of Eplerenone </w:t>
      </w:r>
      <w:r>
        <w:rPr>
          <w:rFonts w:ascii="Times New Roman" w:hAnsi="Times New Roman" w:cs="Times New Roman"/>
          <w:sz w:val="24"/>
          <w:szCs w:val="24"/>
        </w:rPr>
        <w:t xml:space="preserve">and Dapagliflozin Propanediol Monohydrate </w:t>
      </w:r>
      <w:r>
        <w:rPr>
          <w:rFonts w:ascii="Times New Roman" w:hAnsi="Times New Roman" w:cs="Times New Roman"/>
          <w:sz w:val="24"/>
          <w:szCs w:val="24"/>
          <w:lang w:val="en-US"/>
        </w:rPr>
        <w:t>from its synthetic mixture.</w:t>
      </w:r>
    </w:p>
    <w:p w:rsidR="005A19B5" w:rsidRDefault="005A19B5">
      <w:pPr>
        <w:tabs>
          <w:tab w:val="left" w:pos="567"/>
        </w:tabs>
        <w:spacing w:line="240" w:lineRule="auto"/>
        <w:jc w:val="both"/>
        <w:rPr>
          <w:rFonts w:ascii="Times New Roman" w:hAnsi="Times New Roman" w:cs="Times New Roman"/>
          <w:sz w:val="24"/>
          <w:szCs w:val="24"/>
          <w:lang w:val="en-US"/>
        </w:rPr>
      </w:pPr>
    </w:p>
    <w:p w:rsidR="005A19B5" w:rsidRDefault="00D046F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CHEMICALS</w:t>
      </w:r>
      <w:r>
        <w:rPr>
          <w:rFonts w:ascii="Times New Roman" w:hAnsi="Times New Roman" w:cs="Times New Roman"/>
          <w:b/>
          <w:bCs/>
          <w:sz w:val="28"/>
          <w:szCs w:val="28"/>
        </w:rPr>
        <w:t xml:space="preserve"> AND </w:t>
      </w:r>
      <w:r>
        <w:rPr>
          <w:rFonts w:ascii="Times New Roman" w:hAnsi="Times New Roman" w:cs="Times New Roman"/>
          <w:b/>
          <w:bCs/>
          <w:sz w:val="28"/>
          <w:szCs w:val="28"/>
        </w:rPr>
        <w:t>INSTRUMENTAL SPECIFICATIONS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Chemicals and Reagents</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Drugs used in Research Work</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7-Drug used</w:t>
      </w:r>
      <w:r>
        <w:rPr>
          <w:rFonts w:ascii="Times New Roman" w:hAnsi="Times New Roman" w:cs="Times New Roman"/>
          <w:b/>
          <w:bCs/>
          <w:sz w:val="24"/>
          <w:szCs w:val="24"/>
        </w:rPr>
        <w:t xml:space="preserve"> in Research Work</w:t>
      </w:r>
    </w:p>
    <w:tbl>
      <w:tblPr>
        <w:tblStyle w:val="TableGrid"/>
        <w:tblW w:w="10985" w:type="dxa"/>
        <w:tblLayout w:type="fixed"/>
        <w:tblLook w:val="04A0" w:firstRow="1" w:lastRow="0" w:firstColumn="1" w:lastColumn="0" w:noHBand="0" w:noVBand="1"/>
      </w:tblPr>
      <w:tblGrid>
        <w:gridCol w:w="5342"/>
        <w:gridCol w:w="5643"/>
      </w:tblGrid>
      <w:tr w:rsidR="005A19B5">
        <w:trPr>
          <w:trHeight w:val="903"/>
        </w:trPr>
        <w:tc>
          <w:tcPr>
            <w:tcW w:w="5342" w:type="dxa"/>
          </w:tcPr>
          <w:p w:rsidR="005A19B5" w:rsidRDefault="00D046F1">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Drug </w:t>
            </w:r>
          </w:p>
        </w:tc>
        <w:tc>
          <w:tcPr>
            <w:tcW w:w="5643" w:type="dxa"/>
          </w:tcPr>
          <w:p w:rsidR="005A19B5" w:rsidRDefault="00D046F1">
            <w:pPr>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Company</w:t>
            </w:r>
          </w:p>
        </w:tc>
      </w:tr>
      <w:tr w:rsidR="005A19B5">
        <w:trPr>
          <w:trHeight w:val="1768"/>
        </w:trPr>
        <w:tc>
          <w:tcPr>
            <w:tcW w:w="5342" w:type="dxa"/>
          </w:tcPr>
          <w:p w:rsidR="005A19B5" w:rsidRDefault="00D046F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Dapagliflozin Propanediol Monohydrate</w:t>
            </w:r>
          </w:p>
        </w:tc>
        <w:tc>
          <w:tcPr>
            <w:tcW w:w="5643" w:type="dxa"/>
          </w:tcPr>
          <w:p w:rsidR="005A19B5" w:rsidRDefault="00D046F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Sunij Pharma Pvt. Ltd.</w:t>
            </w:r>
          </w:p>
        </w:tc>
      </w:tr>
      <w:tr w:rsidR="005A19B5">
        <w:trPr>
          <w:trHeight w:val="90"/>
        </w:trPr>
        <w:tc>
          <w:tcPr>
            <w:tcW w:w="5342" w:type="dxa"/>
          </w:tcPr>
          <w:p w:rsidR="005A19B5" w:rsidRDefault="00D046F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Eplerenone</w:t>
            </w:r>
          </w:p>
        </w:tc>
        <w:tc>
          <w:tcPr>
            <w:tcW w:w="5643" w:type="dxa"/>
          </w:tcPr>
          <w:p w:rsidR="005A19B5" w:rsidRDefault="00D046F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Gratis sample from MSN laboratories</w:t>
            </w:r>
          </w:p>
        </w:tc>
      </w:tr>
    </w:tbl>
    <w:p w:rsidR="005A19B5" w:rsidRDefault="005A19B5">
      <w:pPr>
        <w:tabs>
          <w:tab w:val="left" w:pos="567"/>
        </w:tabs>
        <w:spacing w:line="240" w:lineRule="auto"/>
        <w:jc w:val="both"/>
        <w:rPr>
          <w:rFonts w:ascii="Times New Roman" w:hAnsi="Times New Roman" w:cs="Times New Roman"/>
          <w:sz w:val="24"/>
          <w:szCs w:val="24"/>
          <w:lang w:val="en-US"/>
        </w:rPr>
        <w:sectPr w:rsidR="005A19B5">
          <w:headerReference w:type="default" r:id="rId24"/>
          <w:type w:val="continuous"/>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Chemicals used in Research work</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8- Chemicals used in </w:t>
      </w:r>
      <w:r>
        <w:rPr>
          <w:rFonts w:ascii="Times New Roman" w:hAnsi="Times New Roman" w:cs="Times New Roman"/>
          <w:b/>
          <w:bCs/>
          <w:sz w:val="24"/>
          <w:szCs w:val="24"/>
        </w:rPr>
        <w:t>Research work</w:t>
      </w:r>
    </w:p>
    <w:tbl>
      <w:tblPr>
        <w:tblStyle w:val="TableGrid"/>
        <w:tblW w:w="11053" w:type="dxa"/>
        <w:tblLayout w:type="fixed"/>
        <w:tblLook w:val="04A0" w:firstRow="1" w:lastRow="0" w:firstColumn="1" w:lastColumn="0" w:noHBand="0" w:noVBand="1"/>
      </w:tblPr>
      <w:tblGrid>
        <w:gridCol w:w="2104"/>
        <w:gridCol w:w="8949"/>
      </w:tblGrid>
      <w:tr w:rsidR="005A19B5">
        <w:trPr>
          <w:trHeight w:val="465"/>
        </w:trPr>
        <w:tc>
          <w:tcPr>
            <w:tcW w:w="2104" w:type="dxa"/>
          </w:tcPr>
          <w:p w:rsidR="005A19B5" w:rsidRDefault="00D046F1">
            <w:pPr>
              <w:spacing w:after="0"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 xml:space="preserve">Reagent </w:t>
            </w:r>
          </w:p>
        </w:tc>
        <w:tc>
          <w:tcPr>
            <w:tcW w:w="8949" w:type="dxa"/>
          </w:tcPr>
          <w:p w:rsidR="005A19B5" w:rsidRDefault="00D046F1">
            <w:pPr>
              <w:spacing w:after="0"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Supplier</w:t>
            </w:r>
          </w:p>
        </w:tc>
      </w:tr>
      <w:tr w:rsidR="005A19B5">
        <w:trPr>
          <w:trHeight w:val="465"/>
        </w:trPr>
        <w:tc>
          <w:tcPr>
            <w:tcW w:w="2104"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Methyl Alcohol (AR Grade) </w:t>
            </w:r>
          </w:p>
        </w:tc>
        <w:tc>
          <w:tcPr>
            <w:tcW w:w="8949"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r w:rsidR="005A19B5">
        <w:trPr>
          <w:trHeight w:val="465"/>
        </w:trPr>
        <w:tc>
          <w:tcPr>
            <w:tcW w:w="2104"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Acetonitrile (HPLC Grade) </w:t>
            </w:r>
          </w:p>
        </w:tc>
        <w:tc>
          <w:tcPr>
            <w:tcW w:w="8949"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Astron Chemicals</w:t>
            </w:r>
          </w:p>
        </w:tc>
      </w:tr>
      <w:tr w:rsidR="005A19B5">
        <w:trPr>
          <w:trHeight w:val="465"/>
        </w:trPr>
        <w:tc>
          <w:tcPr>
            <w:tcW w:w="2104"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Water (HPLC Grade) </w:t>
            </w:r>
          </w:p>
        </w:tc>
        <w:tc>
          <w:tcPr>
            <w:tcW w:w="8949"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Astron Chemicals</w:t>
            </w:r>
          </w:p>
        </w:tc>
      </w:tr>
      <w:tr w:rsidR="005A19B5">
        <w:trPr>
          <w:trHeight w:val="465"/>
        </w:trPr>
        <w:tc>
          <w:tcPr>
            <w:tcW w:w="2104"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Ortho Phosphoric Acid </w:t>
            </w:r>
          </w:p>
        </w:tc>
        <w:tc>
          <w:tcPr>
            <w:tcW w:w="8949"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r w:rsidR="005A19B5">
        <w:trPr>
          <w:trHeight w:val="847"/>
        </w:trPr>
        <w:tc>
          <w:tcPr>
            <w:tcW w:w="2104"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Hydrogen Peroxide (AR Grade) </w:t>
            </w:r>
          </w:p>
        </w:tc>
        <w:tc>
          <w:tcPr>
            <w:tcW w:w="8949"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r w:rsidR="005A19B5">
        <w:trPr>
          <w:trHeight w:val="847"/>
        </w:trPr>
        <w:tc>
          <w:tcPr>
            <w:tcW w:w="2104"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Hydrochloric Acid (AR Grade) </w:t>
            </w:r>
          </w:p>
        </w:tc>
        <w:tc>
          <w:tcPr>
            <w:tcW w:w="8949"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r w:rsidR="005A19B5">
        <w:trPr>
          <w:trHeight w:val="857"/>
        </w:trPr>
        <w:tc>
          <w:tcPr>
            <w:tcW w:w="2104"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Sodium Hydroxide (AR Grade) </w:t>
            </w:r>
          </w:p>
        </w:tc>
        <w:tc>
          <w:tcPr>
            <w:tcW w:w="8949" w:type="dxa"/>
          </w:tcPr>
          <w:p w:rsidR="005A19B5" w:rsidRDefault="00D046F1">
            <w:pPr>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Anachem</w:t>
            </w:r>
          </w:p>
        </w:tc>
      </w:tr>
    </w:tbl>
    <w:p w:rsidR="005A19B5" w:rsidRDefault="005A19B5">
      <w:pPr>
        <w:spacing w:line="240" w:lineRule="auto"/>
        <w:ind w:left="567" w:hanging="567"/>
        <w:jc w:val="both"/>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Instrumental Specification</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9- Instrument Specification for HPLC</w:t>
      </w:r>
    </w:p>
    <w:tbl>
      <w:tblPr>
        <w:tblW w:w="10673" w:type="dxa"/>
        <w:tblInd w:w="416" w:type="dxa"/>
        <w:tblCellMar>
          <w:left w:w="0" w:type="dxa"/>
          <w:right w:w="0" w:type="dxa"/>
        </w:tblCellMar>
        <w:tblLook w:val="04A0" w:firstRow="1" w:lastRow="0" w:firstColumn="1" w:lastColumn="0" w:noHBand="0" w:noVBand="1"/>
      </w:tblPr>
      <w:tblGrid>
        <w:gridCol w:w="1187"/>
        <w:gridCol w:w="9486"/>
      </w:tblGrid>
      <w:tr w:rsidR="005A19B5">
        <w:trPr>
          <w:trHeight w:val="944"/>
        </w:trPr>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Make</w:t>
            </w:r>
          </w:p>
        </w:tc>
        <w:tc>
          <w:tcPr>
            <w:tcW w:w="94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Shimadzu</w:t>
            </w:r>
          </w:p>
        </w:tc>
      </w:tr>
      <w:tr w:rsidR="005A19B5">
        <w:trPr>
          <w:trHeight w:val="944"/>
        </w:trPr>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Model</w:t>
            </w:r>
          </w:p>
        </w:tc>
        <w:tc>
          <w:tcPr>
            <w:tcW w:w="948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LC 2010 CHT</w:t>
            </w:r>
          </w:p>
        </w:tc>
      </w:tr>
      <w:tr w:rsidR="005A19B5">
        <w:trPr>
          <w:trHeight w:val="944"/>
        </w:trPr>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Type</w:t>
            </w:r>
          </w:p>
        </w:tc>
        <w:tc>
          <w:tcPr>
            <w:tcW w:w="94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Binary Gradient</w:t>
            </w:r>
          </w:p>
        </w:tc>
      </w:tr>
      <w:tr w:rsidR="005A19B5">
        <w:trPr>
          <w:trHeight w:val="944"/>
        </w:trPr>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Detector</w:t>
            </w:r>
          </w:p>
        </w:tc>
        <w:tc>
          <w:tcPr>
            <w:tcW w:w="948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UV Detector</w:t>
            </w:r>
          </w:p>
        </w:tc>
      </w:tr>
      <w:tr w:rsidR="005A19B5">
        <w:trPr>
          <w:trHeight w:val="944"/>
        </w:trPr>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Software</w:t>
            </w:r>
          </w:p>
        </w:tc>
        <w:tc>
          <w:tcPr>
            <w:tcW w:w="94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LC Solution</w:t>
            </w:r>
          </w:p>
        </w:tc>
      </w:tr>
      <w:tr w:rsidR="005A19B5">
        <w:trPr>
          <w:trHeight w:val="1158"/>
        </w:trPr>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Column</w:t>
            </w:r>
          </w:p>
        </w:tc>
        <w:tc>
          <w:tcPr>
            <w:tcW w:w="948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s-ES"/>
              </w:rPr>
            </w:pPr>
            <w:r>
              <w:rPr>
                <w:rFonts w:ascii="Times New Roman" w:hAnsi="Times New Roman" w:cs="Times New Roman"/>
                <w:sz w:val="24"/>
                <w:szCs w:val="24"/>
                <w:lang w:val="es-ES"/>
              </w:rPr>
              <w:t>Cosmosil C18 (250 mm x 4.6 mm x</w:t>
            </w:r>
            <w:r>
              <w:rPr>
                <w:rFonts w:ascii="Times New Roman" w:hAnsi="Times New Roman" w:cs="Times New Roman"/>
                <w:sz w:val="24"/>
                <w:szCs w:val="24"/>
                <w:lang w:val="es-ES"/>
              </w:rPr>
              <w:t xml:space="preserve"> 5 µ)</w:t>
            </w:r>
          </w:p>
        </w:tc>
      </w:tr>
      <w:tr w:rsidR="005A19B5">
        <w:trPr>
          <w:trHeight w:val="1178"/>
        </w:trPr>
        <w:tc>
          <w:tcPr>
            <w:tcW w:w="11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lastRenderedPageBreak/>
              <w:t>Pump</w:t>
            </w:r>
          </w:p>
        </w:tc>
        <w:tc>
          <w:tcPr>
            <w:tcW w:w="948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High Pressure Gradient (Reciprocating pump)</w:t>
            </w:r>
          </w:p>
        </w:tc>
      </w:tr>
    </w:tbl>
    <w:p w:rsidR="005A19B5" w:rsidRDefault="005A19B5">
      <w:pPr>
        <w:spacing w:line="240" w:lineRule="auto"/>
        <w:ind w:left="567" w:hanging="567"/>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10- Instrument Specification for UV Spectroscopy</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7"/>
        <w:gridCol w:w="9204"/>
      </w:tblGrid>
      <w:tr w:rsidR="005A19B5">
        <w:trPr>
          <w:trHeight w:val="658"/>
        </w:trPr>
        <w:tc>
          <w:tcPr>
            <w:tcW w:w="1347" w:type="dxa"/>
          </w:tcPr>
          <w:p w:rsidR="005A19B5" w:rsidRDefault="00D046F1">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 xml:space="preserve"> Make</w:t>
            </w:r>
          </w:p>
        </w:tc>
        <w:tc>
          <w:tcPr>
            <w:tcW w:w="9204" w:type="dxa"/>
          </w:tcPr>
          <w:p w:rsidR="005A19B5" w:rsidRDefault="00D046F1">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 xml:space="preserve"> Shimadzu</w:t>
            </w:r>
          </w:p>
        </w:tc>
      </w:tr>
      <w:tr w:rsidR="005A19B5">
        <w:trPr>
          <w:trHeight w:val="658"/>
        </w:trPr>
        <w:tc>
          <w:tcPr>
            <w:tcW w:w="1347"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Model</w:t>
            </w:r>
          </w:p>
        </w:tc>
        <w:tc>
          <w:tcPr>
            <w:tcW w:w="9204"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UV1800</w:t>
            </w:r>
          </w:p>
        </w:tc>
      </w:tr>
      <w:tr w:rsidR="005A19B5">
        <w:trPr>
          <w:trHeight w:val="658"/>
        </w:trPr>
        <w:tc>
          <w:tcPr>
            <w:tcW w:w="1347"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Type</w:t>
            </w:r>
          </w:p>
        </w:tc>
        <w:tc>
          <w:tcPr>
            <w:tcW w:w="9204"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Double beam spectrophotometer</w:t>
            </w:r>
          </w:p>
        </w:tc>
      </w:tr>
      <w:tr w:rsidR="005A19B5">
        <w:trPr>
          <w:trHeight w:val="658"/>
        </w:trPr>
        <w:tc>
          <w:tcPr>
            <w:tcW w:w="1347"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Detector</w:t>
            </w:r>
          </w:p>
        </w:tc>
        <w:tc>
          <w:tcPr>
            <w:tcW w:w="9204"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Photodiode</w:t>
            </w:r>
          </w:p>
        </w:tc>
      </w:tr>
      <w:tr w:rsidR="005A19B5">
        <w:trPr>
          <w:trHeight w:val="658"/>
        </w:trPr>
        <w:tc>
          <w:tcPr>
            <w:tcW w:w="1347"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Scanning Range</w:t>
            </w:r>
          </w:p>
        </w:tc>
        <w:tc>
          <w:tcPr>
            <w:tcW w:w="9204"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190-1100</w:t>
            </w:r>
          </w:p>
        </w:tc>
      </w:tr>
      <w:tr w:rsidR="005A19B5">
        <w:trPr>
          <w:trHeight w:val="658"/>
        </w:trPr>
        <w:tc>
          <w:tcPr>
            <w:tcW w:w="1347"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Output</w:t>
            </w:r>
          </w:p>
        </w:tc>
        <w:tc>
          <w:tcPr>
            <w:tcW w:w="9204"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%T &amp;</w:t>
            </w:r>
            <w:r>
              <w:rPr>
                <w:rFonts w:ascii="Times New Roman" w:hAnsi="Times New Roman" w:cs="Times New Roman"/>
                <w:sz w:val="24"/>
                <w:szCs w:val="24"/>
              </w:rPr>
              <w:t xml:space="preserve"> Absorbance</w:t>
            </w:r>
          </w:p>
        </w:tc>
      </w:tr>
      <w:tr w:rsidR="005A19B5">
        <w:trPr>
          <w:trHeight w:val="679"/>
        </w:trPr>
        <w:tc>
          <w:tcPr>
            <w:tcW w:w="1347"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Software</w:t>
            </w:r>
          </w:p>
        </w:tc>
        <w:tc>
          <w:tcPr>
            <w:tcW w:w="9204"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 U.V Probe 2.42</w:t>
            </w:r>
          </w:p>
        </w:tc>
      </w:tr>
    </w:tbl>
    <w:p w:rsidR="005A19B5" w:rsidRDefault="005A19B5">
      <w:pPr>
        <w:spacing w:line="240" w:lineRule="auto"/>
        <w:ind w:left="567" w:hanging="567"/>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11- Instrument Specification for Weighing Balance</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84"/>
        <w:gridCol w:w="8340"/>
      </w:tblGrid>
      <w:tr w:rsidR="005A19B5">
        <w:trPr>
          <w:trHeight w:val="593"/>
        </w:trPr>
        <w:tc>
          <w:tcPr>
            <w:tcW w:w="2184" w:type="dxa"/>
          </w:tcPr>
          <w:p w:rsidR="005A19B5" w:rsidRDefault="00D046F1">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Make</w:t>
            </w:r>
          </w:p>
        </w:tc>
        <w:tc>
          <w:tcPr>
            <w:tcW w:w="8340" w:type="dxa"/>
          </w:tcPr>
          <w:p w:rsidR="005A19B5" w:rsidRDefault="00D046F1">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Mettler Toledo</w:t>
            </w:r>
          </w:p>
        </w:tc>
      </w:tr>
      <w:tr w:rsidR="005A19B5">
        <w:trPr>
          <w:trHeight w:val="593"/>
        </w:trPr>
        <w:tc>
          <w:tcPr>
            <w:tcW w:w="2184" w:type="dxa"/>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Minimum Weighing Capacity</w:t>
            </w:r>
          </w:p>
        </w:tc>
        <w:tc>
          <w:tcPr>
            <w:tcW w:w="8340" w:type="dxa"/>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0.1 mg</w:t>
            </w:r>
          </w:p>
        </w:tc>
      </w:tr>
      <w:tr w:rsidR="005A19B5">
        <w:trPr>
          <w:trHeight w:val="613"/>
        </w:trPr>
        <w:tc>
          <w:tcPr>
            <w:tcW w:w="2184" w:type="dxa"/>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Sensitivity</w:t>
            </w:r>
          </w:p>
        </w:tc>
        <w:tc>
          <w:tcPr>
            <w:tcW w:w="8340" w:type="dxa"/>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1 mg</w:t>
            </w:r>
          </w:p>
        </w:tc>
      </w:tr>
    </w:tbl>
    <w:p w:rsidR="005A19B5" w:rsidRDefault="005A19B5">
      <w:pPr>
        <w:spacing w:line="240" w:lineRule="auto"/>
        <w:ind w:left="567" w:hanging="567"/>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12-Instrument specification for Melting Point Apparatus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16"/>
        <w:gridCol w:w="9022"/>
      </w:tblGrid>
      <w:tr w:rsidR="005A19B5">
        <w:trPr>
          <w:trHeight w:val="694"/>
        </w:trPr>
        <w:tc>
          <w:tcPr>
            <w:tcW w:w="1516" w:type="dxa"/>
          </w:tcPr>
          <w:p w:rsidR="005A19B5" w:rsidRDefault="00D046F1">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Make</w:t>
            </w:r>
          </w:p>
        </w:tc>
        <w:tc>
          <w:tcPr>
            <w:tcW w:w="9022" w:type="dxa"/>
          </w:tcPr>
          <w:p w:rsidR="005A19B5" w:rsidRDefault="00D046F1">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Sunbim</w:t>
            </w:r>
          </w:p>
        </w:tc>
      </w:tr>
      <w:tr w:rsidR="005A19B5">
        <w:trPr>
          <w:trHeight w:val="706"/>
        </w:trPr>
        <w:tc>
          <w:tcPr>
            <w:tcW w:w="1516" w:type="dxa"/>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Design no.</w:t>
            </w:r>
          </w:p>
        </w:tc>
        <w:tc>
          <w:tcPr>
            <w:tcW w:w="9022" w:type="dxa"/>
          </w:tcPr>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889339</w:t>
            </w:r>
          </w:p>
        </w:tc>
      </w:tr>
    </w:tbl>
    <w:p w:rsidR="005A19B5" w:rsidRDefault="005A19B5">
      <w:pPr>
        <w:spacing w:line="240" w:lineRule="auto"/>
        <w:ind w:left="567" w:hanging="567"/>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13-Instrument specification for FT-IR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8"/>
        <w:gridCol w:w="9046"/>
      </w:tblGrid>
      <w:tr w:rsidR="005A19B5">
        <w:trPr>
          <w:trHeight w:val="1048"/>
        </w:trPr>
        <w:tc>
          <w:tcPr>
            <w:tcW w:w="1478" w:type="dxa"/>
          </w:tcPr>
          <w:p w:rsidR="005A19B5" w:rsidRDefault="00D046F1">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Make</w:t>
            </w:r>
          </w:p>
        </w:tc>
        <w:tc>
          <w:tcPr>
            <w:tcW w:w="9046" w:type="dxa"/>
          </w:tcPr>
          <w:p w:rsidR="005A19B5" w:rsidRDefault="00D046F1">
            <w:pPr>
              <w:spacing w:line="240" w:lineRule="auto"/>
              <w:ind w:left="567" w:hanging="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IR Spirit Shimadzu IR Instrument</w:t>
            </w:r>
          </w:p>
        </w:tc>
      </w:tr>
      <w:tr w:rsidR="005A19B5">
        <w:trPr>
          <w:trHeight w:val="787"/>
        </w:trPr>
        <w:tc>
          <w:tcPr>
            <w:tcW w:w="1478" w:type="dxa"/>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 Software</w:t>
            </w:r>
          </w:p>
        </w:tc>
        <w:tc>
          <w:tcPr>
            <w:tcW w:w="9046" w:type="dxa"/>
          </w:tcPr>
          <w:p w:rsidR="005A19B5" w:rsidRDefault="00D046F1">
            <w:pPr>
              <w:spacing w:line="240" w:lineRule="auto"/>
              <w:ind w:left="567"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LabSolutions IR </w:t>
            </w:r>
          </w:p>
        </w:tc>
      </w:tr>
    </w:tbl>
    <w:p w:rsidR="005A19B5" w:rsidRDefault="005A19B5">
      <w:pPr>
        <w:spacing w:line="240" w:lineRule="auto"/>
        <w:jc w:val="both"/>
        <w:rPr>
          <w:rFonts w:ascii="Times New Roman" w:hAnsi="Times New Roman" w:cs="Times New Roman"/>
          <w:b/>
          <w:bCs/>
          <w:sz w:val="24"/>
          <w:szCs w:val="24"/>
        </w:rPr>
      </w:pPr>
    </w:p>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PRELIMINARY STUDIES OF DAPAGLIFLOZIN PROPANEDIOL MONOHYDRATE AND EPLERENONE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Melting Point Study</w:t>
      </w:r>
    </w:p>
    <w:p w:rsidR="005A19B5" w:rsidRDefault="00D046F1">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The melting point of Dapagliflozin and Eplerenone was determined using a digital melting point apparatus. </w:t>
      </w:r>
    </w:p>
    <w:p w:rsidR="005A19B5" w:rsidRDefault="00D046F1">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To perform this measurement, two one-sided closed capillary was filled with DAPA and EPLE.</w:t>
      </w:r>
    </w:p>
    <w:p w:rsidR="005A19B5" w:rsidRDefault="00D046F1">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The capillary was then placed into the melting point appar</w:t>
      </w:r>
      <w:r>
        <w:rPr>
          <w:rFonts w:ascii="Times New Roman" w:hAnsi="Times New Roman" w:cs="Times New Roman"/>
          <w:sz w:val="24"/>
          <w:szCs w:val="24"/>
        </w:rPr>
        <w:t xml:space="preserve">atus, and the melting point of DAPA and EPLE was observed. </w:t>
      </w:r>
    </w:p>
    <w:p w:rsidR="005A19B5" w:rsidRDefault="00D046F1">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The measurement was taken from the start of melting until complete melting occurred.</w:t>
      </w:r>
    </w:p>
    <w:p w:rsidR="005A19B5" w:rsidRDefault="00D046F1">
      <w:pPr>
        <w:pStyle w:val="ListParagraph"/>
        <w:numPr>
          <w:ilvl w:val="0"/>
          <w:numId w:val="32"/>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Finally, the observed melting points was compared against the reported standard melting points.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14- Melti</w:t>
      </w:r>
      <w:r>
        <w:rPr>
          <w:rFonts w:ascii="Times New Roman" w:hAnsi="Times New Roman" w:cs="Times New Roman"/>
          <w:b/>
          <w:bCs/>
          <w:sz w:val="24"/>
          <w:szCs w:val="24"/>
        </w:rPr>
        <w:t>ng points of DAPA and EPLE</w:t>
      </w:r>
    </w:p>
    <w:tbl>
      <w:tblPr>
        <w:tblStyle w:val="TableGrid"/>
        <w:tblW w:w="11085" w:type="dxa"/>
        <w:tblInd w:w="-5" w:type="dxa"/>
        <w:tblLook w:val="04A0" w:firstRow="1" w:lastRow="0" w:firstColumn="1" w:lastColumn="0" w:noHBand="0" w:noVBand="1"/>
      </w:tblPr>
      <w:tblGrid>
        <w:gridCol w:w="726"/>
        <w:gridCol w:w="1797"/>
        <w:gridCol w:w="1321"/>
        <w:gridCol w:w="7241"/>
      </w:tblGrid>
      <w:tr w:rsidR="005A19B5">
        <w:trPr>
          <w:trHeight w:val="1026"/>
        </w:trPr>
        <w:tc>
          <w:tcPr>
            <w:tcW w:w="727" w:type="dxa"/>
          </w:tcPr>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785" w:type="dxa"/>
          </w:tcPr>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Drug</w:t>
            </w:r>
          </w:p>
        </w:tc>
        <w:tc>
          <w:tcPr>
            <w:tcW w:w="1321" w:type="dxa"/>
          </w:tcPr>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Reported Melting point</w:t>
            </w:r>
          </w:p>
        </w:tc>
        <w:tc>
          <w:tcPr>
            <w:tcW w:w="7252" w:type="dxa"/>
          </w:tcPr>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Observed Melting Point</w:t>
            </w:r>
          </w:p>
        </w:tc>
      </w:tr>
      <w:tr w:rsidR="005A19B5">
        <w:trPr>
          <w:trHeight w:val="600"/>
        </w:trPr>
        <w:tc>
          <w:tcPr>
            <w:tcW w:w="727"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85"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Dapagliflozin</w:t>
            </w:r>
            <w:r>
              <w:rPr>
                <w:rFonts w:ascii="Times New Roman" w:hAnsi="Times New Roman" w:cs="Times New Roman"/>
                <w:sz w:val="24"/>
                <w:szCs w:val="24"/>
                <w:vertAlign w:val="superscript"/>
              </w:rPr>
              <w:t>[11]</w:t>
            </w:r>
          </w:p>
        </w:tc>
        <w:tc>
          <w:tcPr>
            <w:tcW w:w="132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65-70 °C</w:t>
            </w:r>
          </w:p>
        </w:tc>
        <w:tc>
          <w:tcPr>
            <w:tcW w:w="7252"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68-70 °C</w:t>
            </w:r>
          </w:p>
        </w:tc>
      </w:tr>
      <w:tr w:rsidR="005A19B5">
        <w:trPr>
          <w:trHeight w:val="445"/>
        </w:trPr>
        <w:tc>
          <w:tcPr>
            <w:tcW w:w="72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8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lang w:val="en-US"/>
              </w:rPr>
              <w:t xml:space="preserve">Eplerenone </w:t>
            </w:r>
            <w:r>
              <w:rPr>
                <w:rFonts w:ascii="Times New Roman" w:eastAsia="Calibri" w:hAnsi="Times New Roman" w:cs="Times New Roman"/>
                <w:sz w:val="24"/>
                <w:szCs w:val="24"/>
                <w:vertAlign w:val="superscript"/>
                <w:lang w:val="en-US"/>
              </w:rPr>
              <w:t>[47]</w:t>
            </w:r>
          </w:p>
        </w:tc>
        <w:tc>
          <w:tcPr>
            <w:tcW w:w="1321"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lang w:val="en-US"/>
              </w:rPr>
              <w:t xml:space="preserve">242 </w:t>
            </w:r>
            <w:r>
              <w:rPr>
                <w:rFonts w:ascii="Times New Roman" w:hAnsi="Times New Roman" w:cs="Times New Roman"/>
                <w:sz w:val="24"/>
                <w:szCs w:val="24"/>
              </w:rPr>
              <w:t>°C</w:t>
            </w:r>
          </w:p>
        </w:tc>
        <w:tc>
          <w:tcPr>
            <w:tcW w:w="7252"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eastAsia="Calibri" w:hAnsi="Times New Roman" w:cs="Times New Roman"/>
                <w:sz w:val="24"/>
                <w:szCs w:val="24"/>
                <w:lang w:val="en-US"/>
              </w:rPr>
              <w:t xml:space="preserve">241-244 </w:t>
            </w:r>
            <w:r>
              <w:rPr>
                <w:rFonts w:ascii="Times New Roman" w:hAnsi="Times New Roman" w:cs="Times New Roman"/>
                <w:sz w:val="24"/>
                <w:szCs w:val="24"/>
              </w:rPr>
              <w:t>°C</w:t>
            </w:r>
          </w:p>
        </w:tc>
      </w:tr>
    </w:tbl>
    <w:p w:rsidR="005A19B5" w:rsidRDefault="005A19B5">
      <w:pPr>
        <w:spacing w:line="240" w:lineRule="auto"/>
        <w:jc w:val="center"/>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Solubility Studies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solubility of the sample was determined following the guidelines </w:t>
      </w:r>
      <w:r>
        <w:rPr>
          <w:rFonts w:ascii="Times New Roman" w:hAnsi="Times New Roman" w:cs="Times New Roman"/>
          <w:sz w:val="24"/>
          <w:szCs w:val="24"/>
        </w:rPr>
        <w:t>outlined in the Indian Pharmacopoeia (IP).</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15- Standard values for Solubility study</w:t>
      </w:r>
    </w:p>
    <w:tbl>
      <w:tblPr>
        <w:tblStyle w:val="TableGrid"/>
        <w:tblW w:w="0" w:type="auto"/>
        <w:tblLook w:val="04A0" w:firstRow="1" w:lastRow="0" w:firstColumn="1" w:lastColumn="0" w:noHBand="0" w:noVBand="1"/>
      </w:tblPr>
      <w:tblGrid>
        <w:gridCol w:w="3539"/>
        <w:gridCol w:w="7568"/>
      </w:tblGrid>
      <w:tr w:rsidR="005A19B5">
        <w:tc>
          <w:tcPr>
            <w:tcW w:w="3539" w:type="dxa"/>
          </w:tcPr>
          <w:p w:rsidR="005A19B5" w:rsidRDefault="00D046F1">
            <w:pPr>
              <w:spacing w:line="240" w:lineRule="auto"/>
              <w:ind w:left="567" w:hanging="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Descriptive term </w:t>
            </w:r>
          </w:p>
        </w:tc>
        <w:tc>
          <w:tcPr>
            <w:tcW w:w="7568" w:type="dxa"/>
          </w:tcPr>
          <w:p w:rsidR="005A19B5" w:rsidRDefault="00D046F1">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Parts of solvents required for part of solute</w:t>
            </w:r>
          </w:p>
        </w:tc>
      </w:tr>
      <w:tr w:rsidR="005A19B5">
        <w:tc>
          <w:tcPr>
            <w:tcW w:w="3539"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Very soluble </w:t>
            </w:r>
          </w:p>
        </w:tc>
        <w:tc>
          <w:tcPr>
            <w:tcW w:w="7568"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Less than 1</w:t>
            </w:r>
          </w:p>
        </w:tc>
      </w:tr>
      <w:tr w:rsidR="005A19B5">
        <w:tc>
          <w:tcPr>
            <w:tcW w:w="3539"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Freely soluble </w:t>
            </w:r>
          </w:p>
        </w:tc>
        <w:tc>
          <w:tcPr>
            <w:tcW w:w="7568"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From1 to10</w:t>
            </w:r>
          </w:p>
        </w:tc>
      </w:tr>
      <w:tr w:rsidR="005A19B5">
        <w:tc>
          <w:tcPr>
            <w:tcW w:w="3539"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Soluble </w:t>
            </w:r>
          </w:p>
        </w:tc>
        <w:tc>
          <w:tcPr>
            <w:tcW w:w="7568"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 10 to 30</w:t>
            </w:r>
          </w:p>
        </w:tc>
      </w:tr>
      <w:tr w:rsidR="005A19B5">
        <w:tc>
          <w:tcPr>
            <w:tcW w:w="3539"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Sparingly soluble </w:t>
            </w:r>
          </w:p>
        </w:tc>
        <w:tc>
          <w:tcPr>
            <w:tcW w:w="7568"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From30 to100</w:t>
            </w:r>
          </w:p>
        </w:tc>
      </w:tr>
      <w:tr w:rsidR="005A19B5">
        <w:tc>
          <w:tcPr>
            <w:tcW w:w="3539"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Slightly soluble </w:t>
            </w:r>
          </w:p>
        </w:tc>
        <w:tc>
          <w:tcPr>
            <w:tcW w:w="7568"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From100 to1000</w:t>
            </w:r>
          </w:p>
        </w:tc>
      </w:tr>
      <w:tr w:rsidR="005A19B5">
        <w:tc>
          <w:tcPr>
            <w:tcW w:w="3539"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Very slightly soluble </w:t>
            </w:r>
          </w:p>
        </w:tc>
        <w:tc>
          <w:tcPr>
            <w:tcW w:w="7568"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From1000 to10000</w:t>
            </w:r>
          </w:p>
        </w:tc>
      </w:tr>
      <w:tr w:rsidR="005A19B5">
        <w:tc>
          <w:tcPr>
            <w:tcW w:w="3539"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Partially insoluble or insoluble </w:t>
            </w:r>
          </w:p>
        </w:tc>
        <w:tc>
          <w:tcPr>
            <w:tcW w:w="7568" w:type="dxa"/>
          </w:tcPr>
          <w:p w:rsidR="005A19B5" w:rsidRDefault="00D046F1">
            <w:pPr>
              <w:spacing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10000 or more</w:t>
            </w:r>
          </w:p>
        </w:tc>
      </w:tr>
    </w:tbl>
    <w:p w:rsidR="005A19B5" w:rsidRDefault="005A19B5">
      <w:pPr>
        <w:spacing w:line="240" w:lineRule="auto"/>
        <w:ind w:left="567" w:hanging="567"/>
        <w:jc w:val="both"/>
        <w:rPr>
          <w:rFonts w:ascii="Times New Roman" w:hAnsi="Times New Roman" w:cs="Times New Roman"/>
          <w:sz w:val="24"/>
          <w:szCs w:val="24"/>
        </w:rPr>
      </w:pPr>
    </w:p>
    <w:p w:rsidR="005A19B5" w:rsidRDefault="00D046F1">
      <w:pPr>
        <w:spacing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Table 16- Solubility studies for Dapagliflozin and Eplerenone</w:t>
      </w:r>
    </w:p>
    <w:tbl>
      <w:tblPr>
        <w:tblStyle w:val="TableGrid"/>
        <w:tblW w:w="0" w:type="auto"/>
        <w:tblInd w:w="567" w:type="dxa"/>
        <w:tblLook w:val="04A0" w:firstRow="1" w:lastRow="0" w:firstColumn="1" w:lastColumn="0" w:noHBand="0" w:noVBand="1"/>
      </w:tblPr>
      <w:tblGrid>
        <w:gridCol w:w="4457"/>
        <w:gridCol w:w="6111"/>
      </w:tblGrid>
      <w:tr w:rsidR="005A19B5">
        <w:tc>
          <w:tcPr>
            <w:tcW w:w="4457" w:type="dxa"/>
          </w:tcPr>
          <w:p w:rsidR="005A19B5" w:rsidRDefault="00D046F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DAPAGLIFLOZIN</w:t>
            </w:r>
          </w:p>
        </w:tc>
        <w:tc>
          <w:tcPr>
            <w:tcW w:w="6111" w:type="dxa"/>
          </w:tcPr>
          <w:p w:rsidR="005A19B5" w:rsidRDefault="00D046F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EPLERENONE</w:t>
            </w:r>
          </w:p>
        </w:tc>
      </w:tr>
      <w:tr w:rsidR="005A19B5">
        <w:tc>
          <w:tcPr>
            <w:tcW w:w="4457"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Soluble: Ethanol, Methanol </w:t>
            </w:r>
            <w:r>
              <w:rPr>
                <w:rFonts w:ascii="Times New Roman" w:hAnsi="Times New Roman" w:cs="Times New Roman"/>
                <w:sz w:val="24"/>
                <w:szCs w:val="24"/>
              </w:rPr>
              <w:t>and Acetonitrile</w:t>
            </w:r>
          </w:p>
        </w:tc>
        <w:tc>
          <w:tcPr>
            <w:tcW w:w="6111"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Soluble in: Chloroform, Dichloromethane, Acetonitrile, Methanol</w:t>
            </w:r>
          </w:p>
        </w:tc>
      </w:tr>
      <w:tr w:rsidR="005A19B5">
        <w:tc>
          <w:tcPr>
            <w:tcW w:w="4457"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Slightly Soluble: Water</w:t>
            </w:r>
          </w:p>
        </w:tc>
        <w:tc>
          <w:tcPr>
            <w:tcW w:w="6111" w:type="dxa"/>
          </w:tcPr>
          <w:p w:rsidR="005A19B5" w:rsidRDefault="00D046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Slightly Soluble: Water</w:t>
            </w:r>
          </w:p>
        </w:tc>
      </w:tr>
    </w:tbl>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Identification of Dapagliflozin and Eplerenone by UV-Spectroscopy</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rPr>
        <w:tab/>
        <w:t xml:space="preserve">Creating a Concentrated DAPA and EPLE Solution (100 </w:t>
      </w:r>
      <w:r>
        <w:rPr>
          <w:rFonts w:ascii="Times New Roman" w:hAnsi="Times New Roman" w:cs="Times New Roman"/>
          <w:b/>
          <w:bCs/>
          <w:sz w:val="24"/>
          <w:szCs w:val="24"/>
        </w:rPr>
        <w:t>µg/mL):</w:t>
      </w:r>
    </w:p>
    <w:p w:rsidR="005A19B5" w:rsidRDefault="005A19B5">
      <w:pPr>
        <w:pStyle w:val="ListParagraph"/>
        <w:spacing w:line="240" w:lineRule="auto"/>
        <w:ind w:left="0"/>
        <w:contextualSpacing w:val="0"/>
        <w:jc w:val="both"/>
        <w:rPr>
          <w:rFonts w:ascii="Times New Roman" w:hAnsi="Times New Roman" w:cs="Times New Roman"/>
          <w:sz w:val="24"/>
          <w:szCs w:val="24"/>
        </w:rPr>
      </w:pPr>
    </w:p>
    <w:p w:rsidR="005A19B5" w:rsidRDefault="005A19B5">
      <w:pPr>
        <w:pStyle w:val="ListParagraph"/>
        <w:spacing w:line="240" w:lineRule="auto"/>
        <w:ind w:left="0"/>
        <w:contextualSpacing w:val="0"/>
        <w:jc w:val="both"/>
        <w:rPr>
          <w:rFonts w:ascii="Times New Roman" w:hAnsi="Times New Roman" w:cs="Times New Roman"/>
          <w:sz w:val="24"/>
          <w:szCs w:val="24"/>
        </w:rPr>
      </w:pPr>
    </w:p>
    <w:p w:rsidR="005A19B5" w:rsidRDefault="005A19B5">
      <w:pPr>
        <w:pStyle w:val="ListParagraph"/>
        <w:spacing w:line="240" w:lineRule="auto"/>
        <w:ind w:left="0"/>
        <w:contextualSpacing w:val="0"/>
        <w:jc w:val="both"/>
        <w:rPr>
          <w:rFonts w:ascii="Times New Roman" w:hAnsi="Times New Roman" w:cs="Times New Roman"/>
          <w:sz w:val="24"/>
          <w:szCs w:val="24"/>
        </w:rPr>
      </w:pPr>
    </w:p>
    <w:p w:rsidR="005A19B5" w:rsidRDefault="00D046F1">
      <w:pPr>
        <w:pStyle w:val="ListParagraph"/>
        <w:numPr>
          <w:ilvl w:val="0"/>
          <w:numId w:val="33"/>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Begin by carefully weighing out about 10 mg of DAPA and EPLE using a precise balance.</w:t>
      </w:r>
    </w:p>
    <w:p w:rsidR="005A19B5" w:rsidRDefault="00D046F1">
      <w:pPr>
        <w:pStyle w:val="ListParagraph"/>
        <w:spacing w:line="240" w:lineRule="auto"/>
        <w:ind w:left="0" w:firstLineChars="250" w:firstLine="600"/>
        <w:contextualSpacing w:val="0"/>
        <w:jc w:val="both"/>
        <w:rPr>
          <w:rFonts w:ascii="Times New Roman" w:hAnsi="Times New Roman" w:cs="Times New Roman"/>
          <w:sz w:val="24"/>
          <w:szCs w:val="24"/>
        </w:rPr>
      </w:pPr>
      <w:r>
        <w:rPr>
          <w:rFonts w:ascii="Times New Roman" w:hAnsi="Times New Roman" w:cs="Times New Roman"/>
          <w:sz w:val="24"/>
          <w:szCs w:val="24"/>
        </w:rPr>
        <w:t>Place the measured DAPA and EPLE into a 100 mL volumetric flask.</w:t>
      </w:r>
    </w:p>
    <w:p w:rsidR="005A19B5" w:rsidRDefault="00D046F1">
      <w:pPr>
        <w:pStyle w:val="ListParagraph"/>
        <w:numPr>
          <w:ilvl w:val="0"/>
          <w:numId w:val="33"/>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Add 50 mL of methanol to the flask containing the DAPA and EPLE.</w:t>
      </w:r>
    </w:p>
    <w:p w:rsidR="005A19B5" w:rsidRDefault="00D046F1">
      <w:pPr>
        <w:pStyle w:val="ListParagraph"/>
        <w:numPr>
          <w:ilvl w:val="0"/>
          <w:numId w:val="33"/>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To ensure the DAPA and EPLE f</w:t>
      </w:r>
      <w:r>
        <w:rPr>
          <w:rFonts w:ascii="Times New Roman" w:hAnsi="Times New Roman" w:cs="Times New Roman"/>
          <w:sz w:val="24"/>
          <w:szCs w:val="24"/>
        </w:rPr>
        <w:t>ully dissolves, use a sonicator for 10 minutes.</w:t>
      </w:r>
      <w:r>
        <w:rPr>
          <w:rFonts w:ascii="Times New Roman" w:hAnsi="Times New Roman" w:cs="Times New Roman"/>
          <w:noProof/>
          <w:sz w:val="24"/>
          <w:szCs w:val="24"/>
          <w:lang w:eastAsia="en-IN"/>
        </w:rPr>
        <w:drawing>
          <wp:anchor distT="0" distB="0" distL="114300" distR="114300" simplePos="0" relativeHeight="251657216" behindDoc="0" locked="0" layoutInCell="1" allowOverlap="1">
            <wp:simplePos x="0" y="0"/>
            <wp:positionH relativeFrom="margin">
              <wp:posOffset>-185420</wp:posOffset>
            </wp:positionH>
            <wp:positionV relativeFrom="margin">
              <wp:posOffset>2194560</wp:posOffset>
            </wp:positionV>
            <wp:extent cx="7658100" cy="2609850"/>
            <wp:effectExtent l="0" t="0" r="0" b="0"/>
            <wp:wrapSquare wrapText="bothSides"/>
            <wp:docPr id="2031673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7369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658100" cy="2609850"/>
                    </a:xfrm>
                    <a:prstGeom prst="rect">
                      <a:avLst/>
                    </a:prstGeom>
                    <a:noFill/>
                    <a:ln>
                      <a:noFill/>
                    </a:ln>
                  </pic:spPr>
                </pic:pic>
              </a:graphicData>
            </a:graphic>
          </wp:anchor>
        </w:drawing>
      </w:r>
      <w:r>
        <w:rPr>
          <w:rFonts w:ascii="Times New Roman" w:hAnsi="Times New Roman" w:cs="Times New Roman"/>
          <w:sz w:val="24"/>
          <w:szCs w:val="24"/>
        </w:rPr>
        <w:t>Fill the flask with methanol up to the 100 mL mark to achieve the desired concentration. This creates a concentrated solution with a target concentration of 100 µg/mL.</w:t>
      </w:r>
    </w:p>
    <w:p w:rsidR="005A19B5" w:rsidRDefault="005A19B5">
      <w:pPr>
        <w:pStyle w:val="ListParagraph"/>
        <w:spacing w:line="240" w:lineRule="auto"/>
        <w:ind w:left="0"/>
        <w:contextualSpacing w:val="0"/>
        <w:jc w:val="both"/>
        <w:rPr>
          <w:rFonts w:ascii="Times New Roman" w:hAnsi="Times New Roman" w:cs="Times New Roman"/>
          <w:sz w:val="24"/>
          <w:szCs w:val="24"/>
        </w:rPr>
      </w:pPr>
    </w:p>
    <w:p w:rsidR="005A19B5" w:rsidRDefault="00D046F1">
      <w:pPr>
        <w:pStyle w:val="ListParagraph"/>
        <w:spacing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Briefly sonicate the final solution to </w:t>
      </w:r>
      <w:r>
        <w:rPr>
          <w:rFonts w:ascii="Times New Roman" w:hAnsi="Times New Roman" w:cs="Times New Roman"/>
          <w:sz w:val="24"/>
          <w:szCs w:val="24"/>
        </w:rPr>
        <w:t>guarantee uniformity.</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Figure 7- Recorded UV Spectra of Dapagliflozin Propanediol Monohydrate using Methanol</w:t>
      </w:r>
    </w:p>
    <w:p w:rsidR="005A19B5" w:rsidRDefault="005A19B5">
      <w:pPr>
        <w:spacing w:line="240" w:lineRule="auto"/>
        <w:ind w:left="567" w:hanging="567"/>
        <w:jc w:val="both"/>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2.</w:t>
      </w:r>
      <w:r>
        <w:rPr>
          <w:rFonts w:ascii="Times New Roman" w:hAnsi="Times New Roman" w:cs="Times New Roman"/>
          <w:b/>
          <w:bCs/>
          <w:sz w:val="24"/>
          <w:szCs w:val="24"/>
        </w:rPr>
        <w:tab/>
        <w:t>Preparing a Diluted Working Solution (10 µg/mL):</w:t>
      </w:r>
    </w:p>
    <w:p w:rsidR="005A19B5" w:rsidRDefault="00D046F1">
      <w:pPr>
        <w:pStyle w:val="ListParagraph"/>
        <w:numPr>
          <w:ilvl w:val="0"/>
          <w:numId w:val="34"/>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 xml:space="preserve">Take 1 mL of the concentrated DAPA and EPLE solution (100 µg/mL) and transfer it into a 10 mL </w:t>
      </w:r>
      <w:r>
        <w:rPr>
          <w:rFonts w:ascii="Times New Roman" w:hAnsi="Times New Roman" w:cs="Times New Roman"/>
          <w:sz w:val="24"/>
          <w:szCs w:val="24"/>
        </w:rPr>
        <w:t>volumetric flask.</w:t>
      </w:r>
    </w:p>
    <w:p w:rsidR="005A19B5" w:rsidRDefault="00D046F1">
      <w:pPr>
        <w:pStyle w:val="ListParagraph"/>
        <w:numPr>
          <w:ilvl w:val="0"/>
          <w:numId w:val="34"/>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Similar to before, fill the flask to the 10 mL mark with methanol. This will result in a working solution with a target concentration of 10 µg/mL.</w:t>
      </w:r>
    </w:p>
    <w:p w:rsidR="005A19B5" w:rsidRDefault="00D046F1">
      <w:pPr>
        <w:spacing w:line="240" w:lineRule="auto"/>
        <w:ind w:left="567" w:hanging="720"/>
        <w:jc w:val="both"/>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b/>
          <w:bCs/>
          <w:sz w:val="24"/>
          <w:szCs w:val="24"/>
        </w:rPr>
        <w:tab/>
        <w:t>Examining the Light Absorption Properties:</w:t>
      </w:r>
    </w:p>
    <w:p w:rsidR="005A19B5" w:rsidRDefault="00D046F1">
      <w:pPr>
        <w:pStyle w:val="ListParagraph"/>
        <w:numPr>
          <w:ilvl w:val="0"/>
          <w:numId w:val="35"/>
        </w:numPr>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A UV spectrophotometer was used to analyze th</w:t>
      </w:r>
      <w:r>
        <w:rPr>
          <w:rFonts w:ascii="Times New Roman" w:hAnsi="Times New Roman" w:cs="Times New Roman"/>
          <w:sz w:val="24"/>
          <w:szCs w:val="24"/>
        </w:rPr>
        <w:t>e prepared working solution (10 µg/mL) across the UV light spectrum ranging from 200 nm to 400 nm.</w:t>
      </w:r>
    </w:p>
    <w:p w:rsidR="005A19B5" w:rsidRDefault="00D046F1">
      <w:pPr>
        <w:pStyle w:val="ListParagraph"/>
        <w:numPr>
          <w:ilvl w:val="0"/>
          <w:numId w:val="35"/>
        </w:numPr>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sz w:val="24"/>
          <w:szCs w:val="24"/>
        </w:rPr>
        <w:t>The resulting spectrum was documented for further study and interpretation</w:t>
      </w:r>
      <w:r>
        <w:rPr>
          <w:rFonts w:ascii="Times New Roman" w:hAnsi="Times New Roman" w:cs="Times New Roman"/>
          <w:sz w:val="24"/>
          <w:szCs w:val="24"/>
        </w:rPr>
        <w:t>.</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lastRenderedPageBreak/>
        <w:drawing>
          <wp:inline distT="0" distB="0" distL="0" distR="0">
            <wp:extent cx="4853305" cy="2049780"/>
            <wp:effectExtent l="0" t="0" r="4445" b="7620"/>
            <wp:docPr id="1877985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85157"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853305" cy="2049780"/>
                    </a:xfrm>
                    <a:prstGeom prst="rect">
                      <a:avLst/>
                    </a:prstGeom>
                  </pic:spPr>
                </pic:pic>
              </a:graphicData>
            </a:graphic>
          </wp:inline>
        </w:drawing>
      </w:r>
    </w:p>
    <w:p w:rsidR="005A19B5" w:rsidRDefault="005A19B5">
      <w:pPr>
        <w:spacing w:line="240" w:lineRule="auto"/>
        <w:ind w:left="567" w:hanging="567"/>
        <w:jc w:val="center"/>
        <w:rPr>
          <w:rFonts w:ascii="Times New Roman" w:hAnsi="Times New Roman" w:cs="Times New Roman"/>
          <w:b/>
          <w:bCs/>
          <w:sz w:val="24"/>
          <w:szCs w:val="24"/>
        </w:rPr>
      </w:pPr>
    </w:p>
    <w:p w:rsidR="005A19B5" w:rsidRDefault="00D046F1">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 xml:space="preserve">Figure 8- Reference UV Spectra of Dapagliflozin Propanediol Monohydrate using </w:t>
      </w:r>
      <w:r>
        <w:rPr>
          <w:rFonts w:ascii="Times New Roman" w:hAnsi="Times New Roman" w:cs="Times New Roman"/>
          <w:b/>
          <w:bCs/>
          <w:sz w:val="24"/>
          <w:szCs w:val="24"/>
        </w:rPr>
        <w:t xml:space="preserve">Methanol </w:t>
      </w:r>
      <w:r>
        <w:rPr>
          <w:rFonts w:ascii="Times New Roman" w:hAnsi="Times New Roman" w:cs="Times New Roman"/>
          <w:b/>
          <w:bCs/>
          <w:sz w:val="24"/>
          <w:szCs w:val="24"/>
          <w:vertAlign w:val="superscript"/>
        </w:rPr>
        <w:t>[25]</w:t>
      </w:r>
    </w:p>
    <w:tbl>
      <w:tblPr>
        <w:tblStyle w:val="TableGrid"/>
        <w:tblW w:w="10616" w:type="dxa"/>
        <w:tblInd w:w="137" w:type="dxa"/>
        <w:tblLook w:val="04A0" w:firstRow="1" w:lastRow="0" w:firstColumn="1" w:lastColumn="0" w:noHBand="0" w:noVBand="1"/>
      </w:tblPr>
      <w:tblGrid>
        <w:gridCol w:w="1702"/>
        <w:gridCol w:w="1267"/>
        <w:gridCol w:w="1495"/>
        <w:gridCol w:w="6152"/>
      </w:tblGrid>
      <w:tr w:rsidR="005A19B5">
        <w:trPr>
          <w:trHeight w:val="2495"/>
        </w:trPr>
        <w:tc>
          <w:tcPr>
            <w:tcW w:w="1702" w:type="dxa"/>
            <w:vMerge w:val="restart"/>
          </w:tcPr>
          <w:p w:rsidR="005A19B5" w:rsidRDefault="00D046F1">
            <w:pPr>
              <w:tabs>
                <w:tab w:val="left" w:pos="2595"/>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Dapagliflozin Propanediol Monohydrate</w:t>
            </w:r>
          </w:p>
        </w:tc>
        <w:tc>
          <w:tcPr>
            <w:tcW w:w="1267" w:type="dxa"/>
            <w:vMerge w:val="restart"/>
          </w:tcPr>
          <w:p w:rsidR="005A19B5" w:rsidRDefault="00D046F1">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Methanol</w:t>
            </w:r>
          </w:p>
        </w:tc>
        <w:tc>
          <w:tcPr>
            <w:tcW w:w="1495" w:type="dxa"/>
          </w:tcPr>
          <w:p w:rsidR="005A19B5" w:rsidRDefault="00D046F1">
            <w:pPr>
              <w:tabs>
                <w:tab w:val="left" w:pos="2595"/>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Recorded </w:t>
            </w:r>
            <w:r>
              <w:rPr>
                <w:rFonts w:ascii="Times New Roman" w:hAnsi="Times New Roman" w:cs="Times New Roman"/>
                <w:b/>
                <w:bCs/>
                <w:sz w:val="24"/>
                <w:szCs w:val="24"/>
                <w:lang w:val="el-GR"/>
              </w:rPr>
              <w:t>λ</w:t>
            </w:r>
            <w:r>
              <w:rPr>
                <w:rFonts w:ascii="Times New Roman" w:hAnsi="Times New Roman" w:cs="Times New Roman"/>
                <w:b/>
                <w:bCs/>
                <w:sz w:val="24"/>
                <w:szCs w:val="24"/>
              </w:rPr>
              <w:t>max</w:t>
            </w:r>
          </w:p>
        </w:tc>
        <w:tc>
          <w:tcPr>
            <w:tcW w:w="6152" w:type="dxa"/>
          </w:tcPr>
          <w:p w:rsidR="005A19B5" w:rsidRDefault="00D046F1">
            <w:pPr>
              <w:tabs>
                <w:tab w:val="left" w:pos="2595"/>
              </w:tabs>
              <w:spacing w:line="240" w:lineRule="auto"/>
              <w:rPr>
                <w:rFonts w:ascii="Times New Roman" w:hAnsi="Times New Roman" w:cs="Times New Roman"/>
                <w:sz w:val="24"/>
                <w:szCs w:val="24"/>
              </w:rPr>
            </w:pPr>
            <w:r>
              <w:rPr>
                <w:rFonts w:ascii="Times New Roman" w:hAnsi="Times New Roman" w:cs="Times New Roman"/>
                <w:sz w:val="24"/>
                <w:szCs w:val="24"/>
              </w:rPr>
              <w:t>223 nm</w:t>
            </w:r>
          </w:p>
        </w:tc>
      </w:tr>
      <w:tr w:rsidR="005A19B5">
        <w:trPr>
          <w:trHeight w:val="577"/>
        </w:trPr>
        <w:tc>
          <w:tcPr>
            <w:tcW w:w="1702" w:type="dxa"/>
            <w:vMerge/>
          </w:tcPr>
          <w:p w:rsidR="005A19B5" w:rsidRDefault="005A19B5">
            <w:pPr>
              <w:tabs>
                <w:tab w:val="left" w:pos="2595"/>
              </w:tabs>
              <w:spacing w:after="0" w:line="240" w:lineRule="auto"/>
              <w:rPr>
                <w:rFonts w:ascii="Times New Roman" w:hAnsi="Times New Roman" w:cs="Times New Roman"/>
                <w:b/>
                <w:bCs/>
                <w:sz w:val="24"/>
                <w:szCs w:val="24"/>
              </w:rPr>
            </w:pPr>
          </w:p>
        </w:tc>
        <w:tc>
          <w:tcPr>
            <w:tcW w:w="1267" w:type="dxa"/>
            <w:vMerge/>
          </w:tcPr>
          <w:p w:rsidR="005A19B5" w:rsidRDefault="005A19B5">
            <w:pPr>
              <w:tabs>
                <w:tab w:val="left" w:pos="2595"/>
              </w:tabs>
              <w:spacing w:after="0" w:line="240" w:lineRule="auto"/>
              <w:rPr>
                <w:rFonts w:ascii="Times New Roman" w:hAnsi="Times New Roman" w:cs="Times New Roman"/>
                <w:b/>
                <w:bCs/>
                <w:sz w:val="24"/>
                <w:szCs w:val="24"/>
              </w:rPr>
            </w:pPr>
          </w:p>
        </w:tc>
        <w:tc>
          <w:tcPr>
            <w:tcW w:w="1495" w:type="dxa"/>
          </w:tcPr>
          <w:p w:rsidR="005A19B5" w:rsidRDefault="00D046F1">
            <w:pPr>
              <w:tabs>
                <w:tab w:val="left" w:pos="2595"/>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Reference </w:t>
            </w:r>
            <w:r>
              <w:rPr>
                <w:rFonts w:ascii="Times New Roman" w:hAnsi="Times New Roman" w:cs="Times New Roman"/>
                <w:b/>
                <w:bCs/>
                <w:sz w:val="24"/>
                <w:szCs w:val="24"/>
                <w:lang w:val="el-GR"/>
              </w:rPr>
              <w:t>λ</w:t>
            </w:r>
            <w:r>
              <w:rPr>
                <w:rFonts w:ascii="Times New Roman" w:hAnsi="Times New Roman" w:cs="Times New Roman"/>
                <w:b/>
                <w:bCs/>
                <w:sz w:val="24"/>
                <w:szCs w:val="24"/>
              </w:rPr>
              <w:t>max</w:t>
            </w:r>
          </w:p>
        </w:tc>
        <w:tc>
          <w:tcPr>
            <w:tcW w:w="6152" w:type="dxa"/>
          </w:tcPr>
          <w:p w:rsidR="005A19B5" w:rsidRDefault="00D046F1">
            <w:pPr>
              <w:tabs>
                <w:tab w:val="left" w:pos="2595"/>
              </w:tabs>
              <w:spacing w:line="240" w:lineRule="auto"/>
              <w:rPr>
                <w:rFonts w:ascii="Times New Roman" w:hAnsi="Times New Roman" w:cs="Times New Roman"/>
                <w:sz w:val="24"/>
                <w:szCs w:val="24"/>
              </w:rPr>
            </w:pPr>
            <w:r>
              <w:rPr>
                <w:rFonts w:ascii="Times New Roman" w:hAnsi="Times New Roman" w:cs="Times New Roman"/>
                <w:sz w:val="24"/>
                <w:szCs w:val="24"/>
              </w:rPr>
              <w:t>224 nm</w:t>
            </w:r>
          </w:p>
        </w:tc>
      </w:tr>
    </w:tbl>
    <w:p w:rsidR="005A19B5" w:rsidRDefault="005A19B5">
      <w:pPr>
        <w:spacing w:line="240" w:lineRule="auto"/>
        <w:ind w:left="567" w:hanging="567"/>
        <w:rPr>
          <w:rFonts w:ascii="Times New Roman" w:hAnsi="Times New Roman" w:cs="Times New Roman"/>
          <w:b/>
          <w:bCs/>
          <w:sz w:val="24"/>
          <w:szCs w:val="24"/>
        </w:rPr>
      </w:pPr>
    </w:p>
    <w:p w:rsidR="005A19B5" w:rsidRDefault="00D046F1">
      <w:pPr>
        <w:spacing w:line="240" w:lineRule="auto"/>
        <w:ind w:left="567" w:hanging="567"/>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517005" cy="1621155"/>
            <wp:effectExtent l="9525" t="9525" r="26670" b="266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517005" cy="1621155"/>
                    </a:xfrm>
                    <a:prstGeom prst="rect">
                      <a:avLst/>
                    </a:prstGeom>
                    <a:ln>
                      <a:solidFill>
                        <a:schemeClr val="tx1"/>
                      </a:solidFill>
                    </a:ln>
                  </pic:spPr>
                </pic:pic>
              </a:graphicData>
            </a:graphic>
          </wp:inline>
        </w:drawing>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Figure 9- Recorded UV Spectra of Eplerenone using Methanol</w:t>
      </w: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D046F1">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lastRenderedPageBreak/>
        <w:drawing>
          <wp:inline distT="0" distB="0" distL="0" distR="0">
            <wp:extent cx="4713605" cy="2701290"/>
            <wp:effectExtent l="9525" t="9525" r="20320" b="13335"/>
            <wp:docPr id="301246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46779"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713605" cy="2701527"/>
                    </a:xfrm>
                    <a:prstGeom prst="rect">
                      <a:avLst/>
                    </a:prstGeom>
                    <a:ln>
                      <a:solidFill>
                        <a:schemeClr val="tx1"/>
                      </a:solidFill>
                    </a:ln>
                  </pic:spPr>
                </pic:pic>
              </a:graphicData>
            </a:graphic>
          </wp:inline>
        </w:drawing>
      </w:r>
    </w:p>
    <w:p w:rsidR="005A19B5" w:rsidRDefault="00D046F1">
      <w:pPr>
        <w:spacing w:line="240" w:lineRule="auto"/>
        <w:ind w:left="567" w:hanging="567"/>
        <w:jc w:val="center"/>
        <w:rPr>
          <w:rFonts w:ascii="Times New Roman" w:hAnsi="Times New Roman" w:cs="Times New Roman"/>
          <w:b/>
          <w:bCs/>
          <w:sz w:val="24"/>
          <w:szCs w:val="24"/>
          <w:vertAlign w:val="superscript"/>
        </w:rPr>
      </w:pPr>
      <w:r>
        <w:rPr>
          <w:rFonts w:ascii="Times New Roman" w:hAnsi="Times New Roman" w:cs="Times New Roman"/>
          <w:b/>
          <w:bCs/>
          <w:sz w:val="24"/>
          <w:szCs w:val="24"/>
        </w:rPr>
        <w:t xml:space="preserve">Figure 10- Reference UV Spectra of Eplerenone using Methanol </w:t>
      </w:r>
      <w:r>
        <w:rPr>
          <w:rFonts w:ascii="Times New Roman" w:hAnsi="Times New Roman" w:cs="Times New Roman"/>
          <w:b/>
          <w:bCs/>
          <w:sz w:val="24"/>
          <w:szCs w:val="24"/>
          <w:vertAlign w:val="superscript"/>
        </w:rPr>
        <w:t>[48]</w:t>
      </w:r>
    </w:p>
    <w:tbl>
      <w:tblPr>
        <w:tblStyle w:val="TableGrid"/>
        <w:tblW w:w="9989" w:type="dxa"/>
        <w:tblInd w:w="137" w:type="dxa"/>
        <w:tblLook w:val="04A0" w:firstRow="1" w:lastRow="0" w:firstColumn="1" w:lastColumn="0" w:noHBand="0" w:noVBand="1"/>
      </w:tblPr>
      <w:tblGrid>
        <w:gridCol w:w="1385"/>
        <w:gridCol w:w="1203"/>
        <w:gridCol w:w="1241"/>
        <w:gridCol w:w="6160"/>
      </w:tblGrid>
      <w:tr w:rsidR="005A19B5">
        <w:trPr>
          <w:trHeight w:val="768"/>
        </w:trPr>
        <w:tc>
          <w:tcPr>
            <w:tcW w:w="1385" w:type="dxa"/>
            <w:vMerge w:val="restart"/>
          </w:tcPr>
          <w:p w:rsidR="005A19B5" w:rsidRDefault="00D046F1">
            <w:pPr>
              <w:tabs>
                <w:tab w:val="left" w:pos="2595"/>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Eplerenone</w:t>
            </w:r>
          </w:p>
        </w:tc>
        <w:tc>
          <w:tcPr>
            <w:tcW w:w="1203" w:type="dxa"/>
            <w:vMerge w:val="restart"/>
          </w:tcPr>
          <w:p w:rsidR="005A19B5" w:rsidRDefault="00D046F1">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Methanol</w:t>
            </w:r>
          </w:p>
        </w:tc>
        <w:tc>
          <w:tcPr>
            <w:tcW w:w="1241" w:type="dxa"/>
          </w:tcPr>
          <w:p w:rsidR="005A19B5" w:rsidRDefault="00D046F1">
            <w:pPr>
              <w:tabs>
                <w:tab w:val="left" w:pos="2595"/>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Recorded </w:t>
            </w:r>
            <w:r>
              <w:rPr>
                <w:rFonts w:ascii="Times New Roman" w:hAnsi="Times New Roman" w:cs="Times New Roman"/>
                <w:b/>
                <w:bCs/>
                <w:sz w:val="24"/>
                <w:szCs w:val="24"/>
                <w:lang w:val="el-GR"/>
              </w:rPr>
              <w:t>λ</w:t>
            </w:r>
            <w:r>
              <w:rPr>
                <w:rFonts w:ascii="Times New Roman" w:hAnsi="Times New Roman" w:cs="Times New Roman"/>
                <w:b/>
                <w:bCs/>
                <w:sz w:val="24"/>
                <w:szCs w:val="24"/>
              </w:rPr>
              <w:t>max</w:t>
            </w:r>
          </w:p>
        </w:tc>
        <w:tc>
          <w:tcPr>
            <w:tcW w:w="6160" w:type="dxa"/>
          </w:tcPr>
          <w:p w:rsidR="005A19B5" w:rsidRDefault="00D046F1">
            <w:pPr>
              <w:tabs>
                <w:tab w:val="left" w:pos="2595"/>
              </w:tabs>
              <w:spacing w:line="240" w:lineRule="auto"/>
              <w:rPr>
                <w:rFonts w:ascii="Times New Roman" w:hAnsi="Times New Roman" w:cs="Times New Roman"/>
                <w:sz w:val="24"/>
                <w:szCs w:val="24"/>
              </w:rPr>
            </w:pPr>
            <w:r>
              <w:rPr>
                <w:rFonts w:ascii="Times New Roman" w:hAnsi="Times New Roman" w:cs="Times New Roman"/>
                <w:sz w:val="24"/>
                <w:szCs w:val="24"/>
              </w:rPr>
              <w:t>245 nm</w:t>
            </w:r>
          </w:p>
        </w:tc>
      </w:tr>
      <w:tr w:rsidR="005A19B5">
        <w:trPr>
          <w:trHeight w:val="688"/>
        </w:trPr>
        <w:tc>
          <w:tcPr>
            <w:tcW w:w="1385" w:type="dxa"/>
            <w:vMerge/>
          </w:tcPr>
          <w:p w:rsidR="005A19B5" w:rsidRDefault="005A19B5">
            <w:pPr>
              <w:tabs>
                <w:tab w:val="left" w:pos="2595"/>
              </w:tabs>
              <w:spacing w:after="0" w:line="240" w:lineRule="auto"/>
              <w:rPr>
                <w:rFonts w:ascii="Times New Roman" w:hAnsi="Times New Roman" w:cs="Times New Roman"/>
                <w:b/>
                <w:bCs/>
                <w:sz w:val="24"/>
                <w:szCs w:val="24"/>
              </w:rPr>
            </w:pPr>
          </w:p>
        </w:tc>
        <w:tc>
          <w:tcPr>
            <w:tcW w:w="1203" w:type="dxa"/>
            <w:vMerge/>
          </w:tcPr>
          <w:p w:rsidR="005A19B5" w:rsidRDefault="005A19B5">
            <w:pPr>
              <w:tabs>
                <w:tab w:val="left" w:pos="2595"/>
              </w:tabs>
              <w:spacing w:after="0" w:line="240" w:lineRule="auto"/>
              <w:rPr>
                <w:rFonts w:ascii="Times New Roman" w:hAnsi="Times New Roman" w:cs="Times New Roman"/>
                <w:b/>
                <w:bCs/>
                <w:sz w:val="24"/>
                <w:szCs w:val="24"/>
              </w:rPr>
            </w:pPr>
          </w:p>
        </w:tc>
        <w:tc>
          <w:tcPr>
            <w:tcW w:w="1241" w:type="dxa"/>
          </w:tcPr>
          <w:p w:rsidR="005A19B5" w:rsidRDefault="00D046F1">
            <w:pPr>
              <w:tabs>
                <w:tab w:val="left" w:pos="2595"/>
              </w:tabs>
              <w:spacing w:line="240" w:lineRule="auto"/>
              <w:rPr>
                <w:rFonts w:ascii="Times New Roman" w:hAnsi="Times New Roman" w:cs="Times New Roman"/>
                <w:sz w:val="24"/>
                <w:szCs w:val="24"/>
              </w:rPr>
            </w:pPr>
            <w:r>
              <w:rPr>
                <w:rFonts w:ascii="Times New Roman" w:hAnsi="Times New Roman" w:cs="Times New Roman"/>
                <w:b/>
                <w:bCs/>
                <w:sz w:val="24"/>
                <w:szCs w:val="24"/>
              </w:rPr>
              <w:t xml:space="preserve">Reference </w:t>
            </w:r>
            <w:r>
              <w:rPr>
                <w:rFonts w:ascii="Times New Roman" w:hAnsi="Times New Roman" w:cs="Times New Roman"/>
                <w:b/>
                <w:bCs/>
                <w:sz w:val="24"/>
                <w:szCs w:val="24"/>
                <w:lang w:val="el-GR"/>
              </w:rPr>
              <w:t>λ</w:t>
            </w:r>
            <w:r>
              <w:rPr>
                <w:rFonts w:ascii="Times New Roman" w:hAnsi="Times New Roman" w:cs="Times New Roman"/>
                <w:b/>
                <w:bCs/>
                <w:sz w:val="24"/>
                <w:szCs w:val="24"/>
              </w:rPr>
              <w:t>max</w:t>
            </w:r>
          </w:p>
        </w:tc>
        <w:tc>
          <w:tcPr>
            <w:tcW w:w="6160" w:type="dxa"/>
          </w:tcPr>
          <w:p w:rsidR="005A19B5" w:rsidRDefault="00D046F1">
            <w:pPr>
              <w:tabs>
                <w:tab w:val="left" w:pos="2595"/>
              </w:tabs>
              <w:spacing w:line="240" w:lineRule="auto"/>
              <w:rPr>
                <w:rFonts w:ascii="Times New Roman" w:hAnsi="Times New Roman" w:cs="Times New Roman"/>
                <w:sz w:val="24"/>
                <w:szCs w:val="24"/>
              </w:rPr>
            </w:pPr>
            <w:r>
              <w:rPr>
                <w:rFonts w:ascii="Times New Roman" w:hAnsi="Times New Roman" w:cs="Times New Roman"/>
                <w:sz w:val="24"/>
                <w:szCs w:val="24"/>
              </w:rPr>
              <w:t>245 nm</w:t>
            </w:r>
          </w:p>
        </w:tc>
      </w:tr>
    </w:tbl>
    <w:p w:rsidR="005A19B5" w:rsidRDefault="005A19B5">
      <w:pPr>
        <w:spacing w:line="240" w:lineRule="auto"/>
        <w:rPr>
          <w:rFonts w:ascii="Times New Roman" w:hAnsi="Times New Roman" w:cs="Times New Roman"/>
          <w:b/>
          <w:bCs/>
          <w:sz w:val="24"/>
          <w:szCs w:val="24"/>
        </w:rPr>
      </w:pPr>
    </w:p>
    <w:p w:rsidR="005A19B5" w:rsidRDefault="00D046F1">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Identification by IR Spectra</w:t>
      </w:r>
    </w:p>
    <w:p w:rsidR="005A19B5" w:rsidRDefault="005A19B5">
      <w:pPr>
        <w:spacing w:line="240" w:lineRule="auto"/>
        <w:ind w:left="567" w:hanging="567"/>
        <w:rPr>
          <w:rFonts w:ascii="Times New Roman" w:hAnsi="Times New Roman" w:cs="Times New Roman"/>
          <w:b/>
          <w:bCs/>
          <w:sz w:val="24"/>
          <w:szCs w:val="24"/>
        </w:rPr>
      </w:pPr>
    </w:p>
    <w:p w:rsidR="005A19B5" w:rsidRDefault="005A19B5">
      <w:pPr>
        <w:spacing w:line="240" w:lineRule="auto"/>
        <w:ind w:left="567" w:hanging="567"/>
        <w:rPr>
          <w:rFonts w:ascii="Times New Roman" w:hAnsi="Times New Roman" w:cs="Times New Roman"/>
          <w:b/>
          <w:bCs/>
          <w:sz w:val="24"/>
          <w:szCs w:val="24"/>
        </w:rPr>
      </w:pPr>
    </w:p>
    <w:p w:rsidR="005A19B5" w:rsidRDefault="00D046F1">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For Dapagliflozin Propanediol Monohydrate</w:t>
      </w:r>
    </w:p>
    <w:p w:rsidR="005A19B5" w:rsidRDefault="00D046F1">
      <w:pPr>
        <w:spacing w:line="240" w:lineRule="auto"/>
        <w:ind w:left="567" w:hanging="567"/>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679440" cy="3400425"/>
            <wp:effectExtent l="0" t="0" r="16510" b="9525"/>
            <wp:docPr id="2077264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4471"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679440" cy="3400425"/>
                    </a:xfrm>
                    <a:prstGeom prst="rect">
                      <a:avLst/>
                    </a:prstGeom>
                    <a:noFill/>
                    <a:ln>
                      <a:noFill/>
                    </a:ln>
                  </pic:spPr>
                </pic:pic>
              </a:graphicData>
            </a:graphic>
          </wp:inline>
        </w:drawing>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Figure-11- Reference IR of Dapagliflozin Propanediol Monohydrate </w:t>
      </w:r>
      <w:r>
        <w:rPr>
          <w:rFonts w:ascii="Times New Roman" w:hAnsi="Times New Roman" w:cs="Times New Roman"/>
          <w:b/>
          <w:bCs/>
          <w:sz w:val="24"/>
          <w:szCs w:val="24"/>
          <w:vertAlign w:val="superscript"/>
        </w:rPr>
        <w:t>[46]</w:t>
      </w:r>
    </w:p>
    <w:p w:rsidR="005A19B5" w:rsidRDefault="005A19B5">
      <w:pPr>
        <w:spacing w:line="240" w:lineRule="auto"/>
        <w:ind w:left="567" w:hanging="567"/>
        <w:jc w:val="center"/>
        <w:rPr>
          <w:rFonts w:ascii="Times New Roman" w:hAnsi="Times New Roman" w:cs="Times New Roman"/>
          <w:sz w:val="24"/>
          <w:szCs w:val="24"/>
          <w:lang w:eastAsia="en-IN"/>
        </w:rPr>
      </w:pPr>
    </w:p>
    <w:p w:rsidR="005A19B5" w:rsidRDefault="005A19B5">
      <w:pPr>
        <w:spacing w:line="240" w:lineRule="auto"/>
        <w:ind w:left="567" w:hanging="567"/>
        <w:jc w:val="center"/>
        <w:rPr>
          <w:rFonts w:ascii="Times New Roman" w:hAnsi="Times New Roman" w:cs="Times New Roman"/>
          <w:sz w:val="24"/>
          <w:szCs w:val="24"/>
          <w:lang w:eastAsia="en-IN"/>
        </w:rPr>
      </w:pPr>
    </w:p>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5040630" cy="3574415"/>
            <wp:effectExtent l="0" t="0" r="7620" b="6985"/>
            <wp:docPr id="5326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81"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40630" cy="3574415"/>
                    </a:xfrm>
                    <a:prstGeom prst="rect">
                      <a:avLst/>
                    </a:prstGeom>
                    <a:noFill/>
                    <a:ln>
                      <a:noFill/>
                    </a:ln>
                  </pic:spPr>
                </pic:pic>
              </a:graphicData>
            </a:graphic>
          </wp:inline>
        </w:drawing>
      </w:r>
    </w:p>
    <w:p w:rsidR="005A19B5" w:rsidRDefault="00D046F1">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Figure 12- Recorded IR of Dapagliflozin</w:t>
      </w:r>
      <w:r>
        <w:rPr>
          <w:rFonts w:ascii="Times New Roman" w:hAnsi="Times New Roman" w:cs="Times New Roman"/>
          <w:b/>
          <w:bCs/>
          <w:sz w:val="24"/>
          <w:szCs w:val="24"/>
        </w:rPr>
        <w:t xml:space="preserve"> Propanediol Monohydrate</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Table 17- Interpretation of Dapagliflozin Propanediol Monohydrate IR </w:t>
      </w:r>
    </w:p>
    <w:tbl>
      <w:tblPr>
        <w:tblStyle w:val="TableGrid"/>
        <w:tblW w:w="10398" w:type="dxa"/>
        <w:tblLook w:val="04A0" w:firstRow="1" w:lastRow="0" w:firstColumn="1" w:lastColumn="0" w:noHBand="0" w:noVBand="1"/>
      </w:tblPr>
      <w:tblGrid>
        <w:gridCol w:w="1137"/>
        <w:gridCol w:w="1775"/>
        <w:gridCol w:w="1872"/>
        <w:gridCol w:w="5614"/>
      </w:tblGrid>
      <w:tr w:rsidR="005A19B5">
        <w:trPr>
          <w:trHeight w:val="1003"/>
        </w:trPr>
        <w:tc>
          <w:tcPr>
            <w:tcW w:w="1137" w:type="dxa"/>
          </w:tcPr>
          <w:p w:rsidR="005A19B5" w:rsidRDefault="00D046F1">
            <w:pPr>
              <w:spacing w:after="0"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775" w:type="dxa"/>
          </w:tcPr>
          <w:p w:rsidR="005A19B5" w:rsidRDefault="00D046F1">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Types of Vibration</w:t>
            </w:r>
          </w:p>
        </w:tc>
        <w:tc>
          <w:tcPr>
            <w:tcW w:w="1872" w:type="dxa"/>
          </w:tcPr>
          <w:p w:rsidR="005A19B5" w:rsidRDefault="00D046F1">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Standard Frequency (cm</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c>
          <w:tcPr>
            <w:tcW w:w="5614" w:type="dxa"/>
          </w:tcPr>
          <w:p w:rsidR="005A19B5" w:rsidRDefault="00D046F1">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Observed Frequency (cm</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r>
      <w:tr w:rsidR="005A19B5">
        <w:trPr>
          <w:trHeight w:val="586"/>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1</w:t>
            </w:r>
          </w:p>
        </w:tc>
        <w:tc>
          <w:tcPr>
            <w:tcW w:w="1775"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C=C </w:t>
            </w:r>
          </w:p>
        </w:tc>
        <w:tc>
          <w:tcPr>
            <w:tcW w:w="187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1630-1585 </w:t>
            </w:r>
          </w:p>
        </w:tc>
        <w:tc>
          <w:tcPr>
            <w:tcW w:w="5614" w:type="dxa"/>
          </w:tcPr>
          <w:p w:rsidR="005A19B5" w:rsidRDefault="00D046F1">
            <w:pPr>
              <w:pStyle w:val="TableParagraph"/>
              <w:spacing w:line="240" w:lineRule="auto"/>
              <w:ind w:left="42" w:right="3"/>
              <w:jc w:val="center"/>
              <w:rPr>
                <w:sz w:val="24"/>
                <w:szCs w:val="24"/>
              </w:rPr>
            </w:pPr>
            <w:r>
              <w:rPr>
                <w:spacing w:val="-8"/>
                <w:sz w:val="24"/>
                <w:szCs w:val="24"/>
              </w:rPr>
              <w:t>1581.71-</w:t>
            </w:r>
            <w:r>
              <w:rPr>
                <w:spacing w:val="-2"/>
                <w:sz w:val="24"/>
                <w:szCs w:val="24"/>
              </w:rPr>
              <w:t>1585.71</w:t>
            </w:r>
          </w:p>
        </w:tc>
      </w:tr>
      <w:tr w:rsidR="005A19B5">
        <w:trPr>
          <w:trHeight w:val="664"/>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2</w:t>
            </w:r>
          </w:p>
        </w:tc>
        <w:tc>
          <w:tcPr>
            <w:tcW w:w="1775"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C-Cl  </w:t>
            </w:r>
          </w:p>
        </w:tc>
        <w:tc>
          <w:tcPr>
            <w:tcW w:w="187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800-600 </w:t>
            </w:r>
          </w:p>
        </w:tc>
        <w:tc>
          <w:tcPr>
            <w:tcW w:w="5614" w:type="dxa"/>
          </w:tcPr>
          <w:p w:rsidR="005A19B5" w:rsidRDefault="00D046F1">
            <w:pPr>
              <w:pStyle w:val="TableParagraph"/>
              <w:spacing w:line="240" w:lineRule="auto"/>
              <w:ind w:left="42"/>
              <w:jc w:val="center"/>
              <w:rPr>
                <w:sz w:val="24"/>
                <w:szCs w:val="24"/>
              </w:rPr>
            </w:pPr>
            <w:r>
              <w:rPr>
                <w:spacing w:val="-2"/>
                <w:sz w:val="24"/>
                <w:szCs w:val="24"/>
              </w:rPr>
              <w:t>580.27-584.27</w:t>
            </w:r>
          </w:p>
        </w:tc>
      </w:tr>
      <w:tr w:rsidR="005A19B5">
        <w:trPr>
          <w:trHeight w:val="586"/>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3</w:t>
            </w:r>
          </w:p>
        </w:tc>
        <w:tc>
          <w:tcPr>
            <w:tcW w:w="1775"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O-H  </w:t>
            </w:r>
          </w:p>
        </w:tc>
        <w:tc>
          <w:tcPr>
            <w:tcW w:w="187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3500-3200 </w:t>
            </w:r>
          </w:p>
        </w:tc>
        <w:tc>
          <w:tcPr>
            <w:tcW w:w="5614" w:type="dxa"/>
          </w:tcPr>
          <w:p w:rsidR="005A19B5" w:rsidRDefault="00D046F1">
            <w:pPr>
              <w:pStyle w:val="TableParagraph"/>
              <w:spacing w:line="240" w:lineRule="auto"/>
              <w:ind w:left="42" w:right="3"/>
              <w:jc w:val="center"/>
              <w:rPr>
                <w:sz w:val="24"/>
                <w:szCs w:val="24"/>
              </w:rPr>
            </w:pPr>
            <w:r>
              <w:rPr>
                <w:spacing w:val="-8"/>
                <w:sz w:val="24"/>
                <w:szCs w:val="24"/>
              </w:rPr>
              <w:t>3280.00-</w:t>
            </w:r>
            <w:r>
              <w:rPr>
                <w:spacing w:val="-2"/>
                <w:sz w:val="24"/>
                <w:szCs w:val="24"/>
              </w:rPr>
              <w:t>3284.00</w:t>
            </w:r>
          </w:p>
        </w:tc>
      </w:tr>
      <w:tr w:rsidR="005A19B5">
        <w:trPr>
          <w:trHeight w:val="586"/>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4</w:t>
            </w:r>
          </w:p>
        </w:tc>
        <w:tc>
          <w:tcPr>
            <w:tcW w:w="1775"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 Ar-C-O </w:t>
            </w:r>
          </w:p>
        </w:tc>
        <w:tc>
          <w:tcPr>
            <w:tcW w:w="187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1120 – 1070 </w:t>
            </w:r>
          </w:p>
        </w:tc>
        <w:tc>
          <w:tcPr>
            <w:tcW w:w="5614" w:type="dxa"/>
          </w:tcPr>
          <w:p w:rsidR="005A19B5" w:rsidRDefault="00D046F1">
            <w:pPr>
              <w:pStyle w:val="TableParagraph"/>
              <w:spacing w:line="240" w:lineRule="auto"/>
              <w:ind w:left="42" w:right="3"/>
              <w:jc w:val="center"/>
              <w:rPr>
                <w:sz w:val="24"/>
                <w:szCs w:val="24"/>
              </w:rPr>
            </w:pPr>
            <w:r>
              <w:rPr>
                <w:spacing w:val="-8"/>
                <w:sz w:val="24"/>
                <w:szCs w:val="24"/>
              </w:rPr>
              <w:t>1178.27-</w:t>
            </w:r>
            <w:r>
              <w:rPr>
                <w:spacing w:val="-2"/>
                <w:sz w:val="24"/>
                <w:szCs w:val="24"/>
              </w:rPr>
              <w:t>1182.27</w:t>
            </w:r>
          </w:p>
        </w:tc>
      </w:tr>
      <w:tr w:rsidR="005A19B5">
        <w:trPr>
          <w:trHeight w:val="586"/>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5</w:t>
            </w:r>
          </w:p>
        </w:tc>
        <w:tc>
          <w:tcPr>
            <w:tcW w:w="1775"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C-O </w:t>
            </w:r>
          </w:p>
        </w:tc>
        <w:tc>
          <w:tcPr>
            <w:tcW w:w="187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1320-1210 </w:t>
            </w:r>
          </w:p>
        </w:tc>
        <w:tc>
          <w:tcPr>
            <w:tcW w:w="5614" w:type="dxa"/>
          </w:tcPr>
          <w:p w:rsidR="005A19B5" w:rsidRDefault="00D046F1">
            <w:pPr>
              <w:pStyle w:val="TableParagraph"/>
              <w:spacing w:line="240" w:lineRule="auto"/>
              <w:ind w:left="42" w:right="3"/>
              <w:jc w:val="center"/>
              <w:rPr>
                <w:sz w:val="24"/>
                <w:szCs w:val="24"/>
              </w:rPr>
            </w:pPr>
            <w:r>
              <w:rPr>
                <w:spacing w:val="-8"/>
                <w:sz w:val="24"/>
                <w:szCs w:val="24"/>
              </w:rPr>
              <w:t>1268.40-</w:t>
            </w:r>
            <w:r>
              <w:rPr>
                <w:spacing w:val="-2"/>
                <w:sz w:val="24"/>
                <w:szCs w:val="24"/>
              </w:rPr>
              <w:t>1272.40</w:t>
            </w:r>
          </w:p>
        </w:tc>
      </w:tr>
      <w:tr w:rsidR="005A19B5">
        <w:trPr>
          <w:trHeight w:val="596"/>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6</w:t>
            </w:r>
          </w:p>
        </w:tc>
        <w:tc>
          <w:tcPr>
            <w:tcW w:w="1775"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 C=O </w:t>
            </w:r>
          </w:p>
        </w:tc>
        <w:tc>
          <w:tcPr>
            <w:tcW w:w="187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1745-1635 </w:t>
            </w:r>
          </w:p>
        </w:tc>
        <w:tc>
          <w:tcPr>
            <w:tcW w:w="5614" w:type="dxa"/>
          </w:tcPr>
          <w:p w:rsidR="005A19B5" w:rsidRDefault="00D046F1">
            <w:pPr>
              <w:pStyle w:val="TableParagraph"/>
              <w:spacing w:line="240" w:lineRule="auto"/>
              <w:ind w:left="42" w:right="3"/>
              <w:jc w:val="center"/>
              <w:rPr>
                <w:sz w:val="24"/>
                <w:szCs w:val="24"/>
              </w:rPr>
            </w:pPr>
            <w:r>
              <w:rPr>
                <w:spacing w:val="-8"/>
                <w:sz w:val="24"/>
                <w:szCs w:val="24"/>
              </w:rPr>
              <w:t>1611.75-</w:t>
            </w:r>
            <w:r>
              <w:rPr>
                <w:spacing w:val="-2"/>
                <w:sz w:val="24"/>
                <w:szCs w:val="24"/>
              </w:rPr>
              <w:t>1615.75</w:t>
            </w:r>
          </w:p>
        </w:tc>
      </w:tr>
    </w:tbl>
    <w:p w:rsidR="005A19B5" w:rsidRDefault="005A19B5">
      <w:pPr>
        <w:spacing w:line="240" w:lineRule="auto"/>
        <w:rPr>
          <w:rFonts w:ascii="Times New Roman" w:hAnsi="Times New Roman" w:cs="Times New Roman"/>
          <w:b/>
          <w:bCs/>
          <w:sz w:val="24"/>
          <w:szCs w:val="24"/>
        </w:rPr>
      </w:pPr>
    </w:p>
    <w:p w:rsidR="005A19B5" w:rsidRDefault="00D046F1">
      <w:pPr>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For Eplerenone</w:t>
      </w:r>
    </w:p>
    <w:p w:rsidR="005A19B5" w:rsidRDefault="005A19B5">
      <w:pPr>
        <w:spacing w:line="240" w:lineRule="auto"/>
        <w:ind w:left="567" w:hanging="567"/>
        <w:rPr>
          <w:rFonts w:ascii="Times New Roman" w:hAnsi="Times New Roman" w:cs="Times New Roman"/>
          <w:b/>
          <w:bCs/>
          <w:sz w:val="24"/>
          <w:szCs w:val="24"/>
        </w:rPr>
      </w:pPr>
    </w:p>
    <w:p w:rsidR="005A19B5" w:rsidRDefault="005A19B5">
      <w:pPr>
        <w:spacing w:line="240" w:lineRule="auto"/>
        <w:ind w:left="567" w:hanging="567"/>
        <w:rPr>
          <w:rFonts w:ascii="Times New Roman" w:hAnsi="Times New Roman" w:cs="Times New Roman"/>
          <w:b/>
          <w:bCs/>
          <w:sz w:val="24"/>
          <w:szCs w:val="24"/>
        </w:rPr>
      </w:pPr>
    </w:p>
    <w:p w:rsidR="005A19B5" w:rsidRDefault="005A19B5">
      <w:pPr>
        <w:spacing w:line="240" w:lineRule="auto"/>
        <w:ind w:left="567" w:hanging="567"/>
        <w:rPr>
          <w:rFonts w:ascii="Times New Roman" w:hAnsi="Times New Roman" w:cs="Times New Roman"/>
          <w:b/>
          <w:bCs/>
          <w:sz w:val="24"/>
          <w:szCs w:val="24"/>
        </w:rPr>
      </w:pPr>
    </w:p>
    <w:p w:rsidR="005A19B5" w:rsidRDefault="005A19B5">
      <w:pPr>
        <w:spacing w:line="240" w:lineRule="auto"/>
        <w:ind w:left="567" w:hanging="567"/>
        <w:rPr>
          <w:rFonts w:ascii="Times New Roman" w:hAnsi="Times New Roman" w:cs="Times New Roman"/>
          <w:b/>
          <w:bCs/>
          <w:sz w:val="24"/>
          <w:szCs w:val="24"/>
        </w:rPr>
      </w:pPr>
    </w:p>
    <w:p w:rsidR="005A19B5" w:rsidRDefault="005A19B5">
      <w:pPr>
        <w:spacing w:line="240" w:lineRule="auto"/>
        <w:ind w:left="567" w:hanging="567"/>
        <w:rPr>
          <w:rFonts w:ascii="Times New Roman" w:hAnsi="Times New Roman" w:cs="Times New Roman"/>
          <w:b/>
          <w:bCs/>
          <w:sz w:val="24"/>
          <w:szCs w:val="24"/>
        </w:rPr>
      </w:pPr>
    </w:p>
    <w:p w:rsidR="005A19B5" w:rsidRDefault="005A19B5">
      <w:pPr>
        <w:spacing w:line="240" w:lineRule="auto"/>
        <w:ind w:left="567" w:hanging="567"/>
        <w:rPr>
          <w:rFonts w:ascii="Times New Roman" w:hAnsi="Times New Roman" w:cs="Times New Roman"/>
          <w:b/>
          <w:bCs/>
          <w:sz w:val="24"/>
          <w:szCs w:val="24"/>
        </w:rPr>
      </w:pPr>
    </w:p>
    <w:p w:rsidR="005A19B5" w:rsidRDefault="005A19B5">
      <w:pPr>
        <w:spacing w:line="240" w:lineRule="auto"/>
        <w:ind w:left="567" w:hanging="567"/>
        <w:rPr>
          <w:rFonts w:ascii="Times New Roman" w:hAnsi="Times New Roman" w:cs="Times New Roman"/>
          <w:b/>
          <w:bCs/>
          <w:sz w:val="24"/>
          <w:szCs w:val="24"/>
        </w:rPr>
      </w:pPr>
    </w:p>
    <w:p w:rsidR="005A19B5" w:rsidRDefault="00D046F1">
      <w:pPr>
        <w:spacing w:line="240" w:lineRule="auto"/>
        <w:ind w:left="567" w:hanging="567"/>
        <w:rPr>
          <w:rFonts w:ascii="Times New Roman" w:hAnsi="Times New Roman" w:cs="Times New Roman"/>
          <w:b/>
          <w:bCs/>
          <w:sz w:val="24"/>
          <w:szCs w:val="24"/>
        </w:rPr>
      </w:pPr>
      <w:r>
        <w:rPr>
          <w:rFonts w:ascii="Times New Roman" w:hAnsi="Times New Roman" w:cs="Times New Roman"/>
          <w:b/>
          <w:bCs/>
          <w:noProof/>
          <w:sz w:val="24"/>
          <w:szCs w:val="24"/>
          <w:lang w:eastAsia="en-IN"/>
        </w:rPr>
        <w:lastRenderedPageBreak/>
        <w:drawing>
          <wp:inline distT="0" distB="0" distL="0" distR="0">
            <wp:extent cx="6584315" cy="1968500"/>
            <wp:effectExtent l="9525" t="9525" r="16510" b="22225"/>
            <wp:docPr id="21263829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2925" name="Picture 1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584315" cy="1968500"/>
                    </a:xfrm>
                    <a:prstGeom prst="rect">
                      <a:avLst/>
                    </a:prstGeom>
                    <a:ln>
                      <a:solidFill>
                        <a:schemeClr val="tx1"/>
                      </a:solidFill>
                    </a:ln>
                  </pic:spPr>
                </pic:pic>
              </a:graphicData>
            </a:graphic>
          </wp:inline>
        </w:drawing>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Figure-13- Reference IR of Eplerenone </w:t>
      </w:r>
      <w:r>
        <w:rPr>
          <w:rFonts w:ascii="Times New Roman" w:hAnsi="Times New Roman" w:cs="Times New Roman"/>
          <w:b/>
          <w:bCs/>
          <w:sz w:val="24"/>
          <w:szCs w:val="24"/>
          <w:vertAlign w:val="superscript"/>
        </w:rPr>
        <w:t>[49]</w:t>
      </w:r>
    </w:p>
    <w:p w:rsidR="005A19B5" w:rsidRDefault="005A19B5">
      <w:pPr>
        <w:spacing w:line="240" w:lineRule="auto"/>
        <w:rPr>
          <w:rFonts w:ascii="Times New Roman" w:hAnsi="Times New Roman" w:cs="Times New Roman"/>
          <w:b/>
          <w:bCs/>
          <w:sz w:val="24"/>
          <w:szCs w:val="24"/>
        </w:rPr>
      </w:pPr>
    </w:p>
    <w:p w:rsidR="005A19B5" w:rsidRDefault="005A19B5">
      <w:pPr>
        <w:spacing w:line="240" w:lineRule="auto"/>
        <w:rPr>
          <w:rFonts w:ascii="Times New Roman" w:hAnsi="Times New Roman" w:cs="Times New Roman"/>
          <w:b/>
          <w:bCs/>
          <w:sz w:val="24"/>
          <w:szCs w:val="24"/>
        </w:rPr>
      </w:pPr>
    </w:p>
    <w:p w:rsidR="005A19B5" w:rsidRDefault="005A19B5">
      <w:pPr>
        <w:spacing w:line="240" w:lineRule="auto"/>
        <w:rPr>
          <w:rFonts w:ascii="Times New Roman" w:hAnsi="Times New Roman" w:cs="Times New Roman"/>
          <w:b/>
          <w:bCs/>
          <w:sz w:val="24"/>
          <w:szCs w:val="24"/>
        </w:rPr>
      </w:pPr>
    </w:p>
    <w:p w:rsidR="005A19B5" w:rsidRDefault="00D046F1">
      <w:pPr>
        <w:spacing w:line="240" w:lineRule="auto"/>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823075" cy="2776855"/>
            <wp:effectExtent l="9525" t="9525" r="25400" b="13970"/>
            <wp:docPr id="1795073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73303" name="Picture 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823075" cy="2776855"/>
                    </a:xfrm>
                    <a:prstGeom prst="rect">
                      <a:avLst/>
                    </a:prstGeom>
                    <a:ln>
                      <a:solidFill>
                        <a:schemeClr val="tx1"/>
                      </a:solidFill>
                    </a:ln>
                  </pic:spPr>
                </pic:pic>
              </a:graphicData>
            </a:graphic>
          </wp:inline>
        </w:drawing>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Figure 14- Recorded IR of Eplerenone</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Table 18- Interpretation of Eplerenone IR </w:t>
      </w:r>
    </w:p>
    <w:tbl>
      <w:tblPr>
        <w:tblStyle w:val="TableGrid"/>
        <w:tblW w:w="10780" w:type="dxa"/>
        <w:tblLook w:val="04A0" w:firstRow="1" w:lastRow="0" w:firstColumn="1" w:lastColumn="0" w:noHBand="0" w:noVBand="1"/>
      </w:tblPr>
      <w:tblGrid>
        <w:gridCol w:w="1137"/>
        <w:gridCol w:w="1252"/>
        <w:gridCol w:w="1624"/>
        <w:gridCol w:w="6767"/>
      </w:tblGrid>
      <w:tr w:rsidR="005A19B5">
        <w:trPr>
          <w:trHeight w:val="1436"/>
        </w:trPr>
        <w:tc>
          <w:tcPr>
            <w:tcW w:w="1137" w:type="dxa"/>
          </w:tcPr>
          <w:p w:rsidR="005A19B5" w:rsidRDefault="00D046F1">
            <w:pPr>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252" w:type="dxa"/>
          </w:tcPr>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Types of Vibration</w:t>
            </w:r>
          </w:p>
        </w:tc>
        <w:tc>
          <w:tcPr>
            <w:tcW w:w="1624" w:type="dxa"/>
          </w:tcPr>
          <w:p w:rsidR="005A19B5" w:rsidRDefault="00D046F1">
            <w:pPr>
              <w:spacing w:line="240" w:lineRule="auto"/>
              <w:ind w:left="95"/>
              <w:jc w:val="center"/>
              <w:rPr>
                <w:rFonts w:ascii="Times New Roman" w:hAnsi="Times New Roman" w:cs="Times New Roman"/>
                <w:b/>
                <w:bCs/>
                <w:sz w:val="24"/>
                <w:szCs w:val="24"/>
              </w:rPr>
            </w:pPr>
            <w:r>
              <w:rPr>
                <w:rFonts w:ascii="Times New Roman" w:hAnsi="Times New Roman" w:cs="Times New Roman"/>
                <w:b/>
                <w:bCs/>
                <w:sz w:val="24"/>
                <w:szCs w:val="24"/>
              </w:rPr>
              <w:t>Standard Frequency (cm</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c>
          <w:tcPr>
            <w:tcW w:w="6767" w:type="dxa"/>
          </w:tcPr>
          <w:p w:rsidR="005A19B5" w:rsidRDefault="00D046F1">
            <w:pPr>
              <w:spacing w:line="240" w:lineRule="auto"/>
              <w:ind w:left="30" w:hanging="30"/>
              <w:jc w:val="center"/>
              <w:rPr>
                <w:rFonts w:ascii="Times New Roman" w:hAnsi="Times New Roman" w:cs="Times New Roman"/>
                <w:b/>
                <w:bCs/>
                <w:sz w:val="24"/>
                <w:szCs w:val="24"/>
              </w:rPr>
            </w:pPr>
            <w:r>
              <w:rPr>
                <w:rFonts w:ascii="Times New Roman" w:hAnsi="Times New Roman" w:cs="Times New Roman"/>
                <w:b/>
                <w:bCs/>
                <w:sz w:val="24"/>
                <w:szCs w:val="24"/>
              </w:rPr>
              <w:t>Observed Frequency (cm</w:t>
            </w:r>
            <w:r>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r>
      <w:tr w:rsidR="005A19B5">
        <w:trPr>
          <w:trHeight w:val="840"/>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1</w:t>
            </w:r>
          </w:p>
        </w:tc>
        <w:tc>
          <w:tcPr>
            <w:tcW w:w="125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C=C  </w:t>
            </w:r>
          </w:p>
        </w:tc>
        <w:tc>
          <w:tcPr>
            <w:tcW w:w="1624"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1630-1585 </w:t>
            </w:r>
          </w:p>
        </w:tc>
        <w:tc>
          <w:tcPr>
            <w:tcW w:w="6767" w:type="dxa"/>
          </w:tcPr>
          <w:p w:rsidR="005A19B5" w:rsidRDefault="00D046F1">
            <w:pPr>
              <w:pStyle w:val="TableParagraph"/>
              <w:spacing w:line="240" w:lineRule="auto"/>
              <w:ind w:left="48"/>
              <w:jc w:val="center"/>
              <w:rPr>
                <w:sz w:val="24"/>
                <w:szCs w:val="24"/>
              </w:rPr>
            </w:pPr>
            <w:r>
              <w:rPr>
                <w:spacing w:val="-8"/>
                <w:sz w:val="24"/>
                <w:szCs w:val="24"/>
              </w:rPr>
              <w:t>1618.27-</w:t>
            </w:r>
            <w:r>
              <w:rPr>
                <w:spacing w:val="-2"/>
                <w:sz w:val="24"/>
                <w:szCs w:val="24"/>
              </w:rPr>
              <w:t>1622.27</w:t>
            </w:r>
          </w:p>
        </w:tc>
      </w:tr>
      <w:tr w:rsidR="005A19B5">
        <w:trPr>
          <w:trHeight w:val="840"/>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2</w:t>
            </w:r>
          </w:p>
        </w:tc>
        <w:tc>
          <w:tcPr>
            <w:tcW w:w="125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C-H </w:t>
            </w:r>
          </w:p>
        </w:tc>
        <w:tc>
          <w:tcPr>
            <w:tcW w:w="1624"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2850-2960</w:t>
            </w:r>
          </w:p>
        </w:tc>
        <w:tc>
          <w:tcPr>
            <w:tcW w:w="6767" w:type="dxa"/>
          </w:tcPr>
          <w:p w:rsidR="005A19B5" w:rsidRDefault="00D046F1">
            <w:pPr>
              <w:pStyle w:val="TableParagraph"/>
              <w:spacing w:line="240" w:lineRule="auto"/>
              <w:ind w:left="48"/>
              <w:jc w:val="center"/>
              <w:rPr>
                <w:sz w:val="24"/>
                <w:szCs w:val="24"/>
              </w:rPr>
            </w:pPr>
            <w:r>
              <w:rPr>
                <w:spacing w:val="-8"/>
                <w:sz w:val="24"/>
                <w:szCs w:val="24"/>
              </w:rPr>
              <w:t>2876.25-</w:t>
            </w:r>
            <w:r>
              <w:rPr>
                <w:spacing w:val="-2"/>
                <w:sz w:val="24"/>
                <w:szCs w:val="24"/>
              </w:rPr>
              <w:t>2880.25</w:t>
            </w:r>
          </w:p>
        </w:tc>
      </w:tr>
      <w:tr w:rsidR="005A19B5">
        <w:trPr>
          <w:trHeight w:val="840"/>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5</w:t>
            </w:r>
          </w:p>
        </w:tc>
        <w:tc>
          <w:tcPr>
            <w:tcW w:w="125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C-O  </w:t>
            </w:r>
          </w:p>
        </w:tc>
        <w:tc>
          <w:tcPr>
            <w:tcW w:w="1624"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1300-1050 </w:t>
            </w:r>
          </w:p>
        </w:tc>
        <w:tc>
          <w:tcPr>
            <w:tcW w:w="6767" w:type="dxa"/>
          </w:tcPr>
          <w:p w:rsidR="005A19B5" w:rsidRDefault="00D046F1">
            <w:pPr>
              <w:pStyle w:val="TableParagraph"/>
              <w:spacing w:line="240" w:lineRule="auto"/>
              <w:ind w:left="48"/>
              <w:jc w:val="center"/>
              <w:rPr>
                <w:sz w:val="24"/>
                <w:szCs w:val="24"/>
              </w:rPr>
            </w:pPr>
            <w:r>
              <w:rPr>
                <w:spacing w:val="-8"/>
                <w:sz w:val="24"/>
                <w:szCs w:val="24"/>
              </w:rPr>
              <w:t>1230.31-</w:t>
            </w:r>
            <w:r>
              <w:rPr>
                <w:spacing w:val="-2"/>
                <w:sz w:val="24"/>
                <w:szCs w:val="24"/>
              </w:rPr>
              <w:t>1234.31</w:t>
            </w:r>
          </w:p>
        </w:tc>
      </w:tr>
      <w:tr w:rsidR="005A19B5">
        <w:trPr>
          <w:trHeight w:val="854"/>
        </w:trPr>
        <w:tc>
          <w:tcPr>
            <w:tcW w:w="1137"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6</w:t>
            </w:r>
          </w:p>
        </w:tc>
        <w:tc>
          <w:tcPr>
            <w:tcW w:w="1252"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 C=O  </w:t>
            </w:r>
          </w:p>
        </w:tc>
        <w:tc>
          <w:tcPr>
            <w:tcW w:w="1624" w:type="dxa"/>
          </w:tcPr>
          <w:p w:rsidR="005A19B5" w:rsidRDefault="00D046F1">
            <w:pPr>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1745-1635 </w:t>
            </w:r>
          </w:p>
        </w:tc>
        <w:tc>
          <w:tcPr>
            <w:tcW w:w="6767" w:type="dxa"/>
          </w:tcPr>
          <w:p w:rsidR="005A19B5" w:rsidRDefault="00D046F1">
            <w:pPr>
              <w:pStyle w:val="TableParagraph"/>
              <w:spacing w:line="240" w:lineRule="auto"/>
              <w:ind w:left="48"/>
              <w:jc w:val="center"/>
              <w:rPr>
                <w:sz w:val="24"/>
                <w:szCs w:val="24"/>
              </w:rPr>
            </w:pPr>
            <w:r>
              <w:rPr>
                <w:spacing w:val="-8"/>
                <w:sz w:val="24"/>
                <w:szCs w:val="24"/>
              </w:rPr>
              <w:t>1723.81-</w:t>
            </w:r>
            <w:r>
              <w:rPr>
                <w:spacing w:val="-2"/>
                <w:sz w:val="24"/>
                <w:szCs w:val="24"/>
              </w:rPr>
              <w:t>1727.81</w:t>
            </w:r>
          </w:p>
        </w:tc>
      </w:tr>
    </w:tbl>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rPr>
          <w:rFonts w:ascii="Times New Roman" w:hAnsi="Times New Roman" w:cs="Times New Roman"/>
          <w:b/>
          <w:bCs/>
          <w:sz w:val="28"/>
          <w:szCs w:val="28"/>
        </w:rPr>
      </w:pPr>
      <w:r>
        <w:rPr>
          <w:rFonts w:ascii="Times New Roman" w:hAnsi="Times New Roman" w:cs="Times New Roman"/>
          <w:b/>
          <w:bCs/>
          <w:sz w:val="28"/>
          <w:szCs w:val="28"/>
        </w:rPr>
        <w:t>MATERIALS AND METHODS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Method development and validation by High Performance Liquid chromatography</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Ratio of drug concentration in synthetic mixture </w:t>
      </w:r>
      <w:r>
        <w:rPr>
          <w:rFonts w:ascii="Times New Roman" w:hAnsi="Times New Roman" w:cs="Times New Roman"/>
          <w:b/>
          <w:bCs/>
          <w:sz w:val="24"/>
          <w:szCs w:val="24"/>
          <w:vertAlign w:val="superscript"/>
        </w:rPr>
        <w:t>[41,50]</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Dapagliflozin- 10 mg</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Eplerenone- 25 mg</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Microcrystalline Cellulose- 50 mg</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 xml:space="preserve">Mannitol- </w:t>
      </w:r>
      <w:r>
        <w:rPr>
          <w:rFonts w:ascii="Times New Roman" w:hAnsi="Times New Roman" w:cs="Times New Roman"/>
          <w:b/>
          <w:bCs/>
          <w:sz w:val="24"/>
          <w:szCs w:val="24"/>
          <w:lang w:val="it-IT"/>
        </w:rPr>
        <w:t>30 mg</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HPMC- 3 mg</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Magnesium stearate- 3 mg</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it-IT"/>
        </w:rPr>
        <w:t>Total- 121 mg</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Stock: Synthetic mixture powder eq. to one tablet (Dapagliflozin 10 mg, Eplerenone 25 mg) was taken into 50 mL volumetric flask. 30 mL methanol was added. Kept in sonicator for 20 minutes. Then volume</w:t>
      </w:r>
      <w:r>
        <w:rPr>
          <w:rFonts w:ascii="Times New Roman" w:hAnsi="Times New Roman" w:cs="Times New Roman"/>
          <w:sz w:val="24"/>
          <w:szCs w:val="24"/>
          <w:lang w:val="en-US"/>
        </w:rPr>
        <w:t xml:space="preserve"> was made up with methanol. Solution was filtered through Whatman 0.45 PVDF syringe filter. </w:t>
      </w:r>
    </w:p>
    <w:p w:rsidR="005A19B5" w:rsidRDefault="00D046F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Sample solution: Further 1 mL of clear filtrate was diluted to 10 mL with methanol.</w:t>
      </w:r>
    </w:p>
    <w:p w:rsidR="005A19B5" w:rsidRDefault="00D046F1">
      <w:pPr>
        <w:spacing w:line="240" w:lineRule="auto"/>
        <w:ind w:left="567" w:hanging="567"/>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Preparation of stock and working solution</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Preparation of Dapagliflozin Stock So</w:t>
      </w:r>
      <w:r>
        <w:rPr>
          <w:rFonts w:ascii="Times New Roman" w:hAnsi="Times New Roman" w:cs="Times New Roman"/>
          <w:b/>
          <w:bCs/>
          <w:sz w:val="24"/>
          <w:szCs w:val="24"/>
        </w:rPr>
        <w:t>lution (200 µg/mL)</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 accurately weighed quantity of 20 mg of dapagliflozin propanediol monohydrate was transferred into a 100 mL volumetric flask. Approximately 70 mL of methanol was added to the flask, and the contents were sonicated for sufficient time </w:t>
      </w:r>
      <w:r>
        <w:rPr>
          <w:rFonts w:ascii="Times New Roman" w:hAnsi="Times New Roman" w:cs="Times New Roman"/>
          <w:sz w:val="24"/>
          <w:szCs w:val="24"/>
        </w:rPr>
        <w:t>to ensure complete dissolution of the drug substance. After achieving complete solubilization, the solution was allowed to attain room temperature and the volume was made up to the mark with methanol. The resulting solution had a final concentration of 200</w:t>
      </w:r>
      <w:r>
        <w:rPr>
          <w:rFonts w:ascii="Times New Roman" w:hAnsi="Times New Roman" w:cs="Times New Roman"/>
          <w:sz w:val="24"/>
          <w:szCs w:val="24"/>
        </w:rPr>
        <w:t xml:space="preserve"> µg/mL and was used as the primary stock solution for further dilutions.</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Preparation of Eplerenone Stock Solution (500 µg/mL)</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Accurately weighed 50 mg of eplerenone was transferred into a 100 mL volumetric flask. About 70 mL of methanol was added, and the </w:t>
      </w:r>
      <w:r>
        <w:rPr>
          <w:rFonts w:ascii="Times New Roman" w:hAnsi="Times New Roman" w:cs="Times New Roman"/>
          <w:sz w:val="24"/>
          <w:szCs w:val="24"/>
        </w:rPr>
        <w:t xml:space="preserve">mixture was sonicated to facilitate complete dissolution of the drug. After confirming that the drug was completely dissolved, the solution was diluted up to the mark with methanol and mixed thoroughly to obtain a homogeneous solution. The </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final concentra</w:t>
      </w:r>
      <w:r>
        <w:rPr>
          <w:rFonts w:ascii="Times New Roman" w:hAnsi="Times New Roman" w:cs="Times New Roman"/>
          <w:sz w:val="24"/>
          <w:szCs w:val="24"/>
        </w:rPr>
        <w:t>tion of this stock solution was 500 µg/mL.</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Mixed Standard Solution (20 µg/mL Dapagliflozin and 50 µg/mL Eplerenone)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To prepare the working mixed standard solution, 1 mL of dapagliflozin stock solution (200 µg/mL) and 1 mL of eplerenone stock</w:t>
      </w:r>
      <w:r>
        <w:rPr>
          <w:rFonts w:ascii="Times New Roman" w:hAnsi="Times New Roman" w:cs="Times New Roman"/>
          <w:sz w:val="24"/>
          <w:szCs w:val="24"/>
        </w:rPr>
        <w:t xml:space="preserve"> solution (500 µg/mL) were accurately pipetted into a 10 mL volumetric flask. The volume was then adjusted to the mark with the selected diluent and mixed well to obtain a final concentration of 20 µg/mL of dapagliflozin and 50 µg/mL of eplerenone. This mi</w:t>
      </w:r>
      <w:r>
        <w:rPr>
          <w:rFonts w:ascii="Times New Roman" w:hAnsi="Times New Roman" w:cs="Times New Roman"/>
          <w:sz w:val="24"/>
          <w:szCs w:val="24"/>
        </w:rPr>
        <w:t>xed standard solution was used for method development and validation studies.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Selection of Detection Wavelength</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Standard Solutions for UV Analysis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Standard solutions of dapagliflozin and eplerenone were prepared separately in methanol for </w:t>
      </w:r>
      <w:r>
        <w:rPr>
          <w:rFonts w:ascii="Times New Roman" w:hAnsi="Times New Roman" w:cs="Times New Roman"/>
          <w:sz w:val="24"/>
          <w:szCs w:val="24"/>
        </w:rPr>
        <w:t>wavelength selection studies. A solution containing 10 ppm of dapagliflozin and another containing 25 ppm of eplerenone were accurately prepared by appropriate dilution of their respective stock solutions with methanol. The prepared solutions were mixed th</w:t>
      </w:r>
      <w:r>
        <w:rPr>
          <w:rFonts w:ascii="Times New Roman" w:hAnsi="Times New Roman" w:cs="Times New Roman"/>
          <w:sz w:val="24"/>
          <w:szCs w:val="24"/>
        </w:rPr>
        <w:t>oroughly to ensure uniform concentration.</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UV Spectral Analysis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individual standard solutions were scanned using a UV–Visible spectrophotometer over the wavelength range of 200–400 nm against methanol as a blank. The absorption spectra of both drugs wer</w:t>
      </w:r>
      <w:r>
        <w:rPr>
          <w:rFonts w:ascii="Times New Roman" w:hAnsi="Times New Roman" w:cs="Times New Roman"/>
          <w:sz w:val="24"/>
          <w:szCs w:val="24"/>
        </w:rPr>
        <w:t xml:space="preserve">e recorded to identify their respective maximum absorbance (λmax) and to determine a suitable wavelength for simultaneous analysis. Upon overlaying the spectra of dapagliflozin and eplerenone, a common intersection point was observed at 228 nm, indicating </w:t>
      </w:r>
      <w:r>
        <w:rPr>
          <w:rFonts w:ascii="Times New Roman" w:hAnsi="Times New Roman" w:cs="Times New Roman"/>
          <w:sz w:val="24"/>
          <w:szCs w:val="24"/>
        </w:rPr>
        <w:t>an isosbestic point. At this wavelength, both drugs exhibited equal absorptivity, making it suitable for simultaneous estimation without interference from each other. Therefore, 228 nm was selected as the analytical detection wavelength for further chromat</w:t>
      </w:r>
      <w:r>
        <w:rPr>
          <w:rFonts w:ascii="Times New Roman" w:hAnsi="Times New Roman" w:cs="Times New Roman"/>
          <w:sz w:val="24"/>
          <w:szCs w:val="24"/>
        </w:rPr>
        <w:t>ographic analysis.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Selection of Diluent Medium</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selection of an appropriate diluent was based on the solubility properties of both DAPA and EPLE. To identify a suitable solvent system, accurately weighed standard quantities of DAPA and EPLE were separat</w:t>
      </w:r>
      <w:r>
        <w:rPr>
          <w:rFonts w:ascii="Times New Roman" w:hAnsi="Times New Roman" w:cs="Times New Roman"/>
          <w:sz w:val="24"/>
          <w:szCs w:val="24"/>
        </w:rPr>
        <w:t>ely transferred into individual volumetric flasks. Each drug was dissolved in different solvents to evaluate their solubility behaviour and compatibility. The solutions were prepared by adding the selected solvent and mixing thoroughly to ensure complete d</w:t>
      </w:r>
      <w:r>
        <w:rPr>
          <w:rFonts w:ascii="Times New Roman" w:hAnsi="Times New Roman" w:cs="Times New Roman"/>
          <w:sz w:val="24"/>
          <w:szCs w:val="24"/>
        </w:rPr>
        <w:t>issolution. The clarity of the solutions, absence of precipitation, and overall stability were carefully observed to determine the most appropriate diluent for further analytical studies.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Mobile phase selection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After various trials, Phosphate Buffer: Metha</w:t>
      </w:r>
      <w:r>
        <w:rPr>
          <w:rFonts w:ascii="Times New Roman" w:hAnsi="Times New Roman" w:cs="Times New Roman"/>
          <w:sz w:val="24"/>
          <w:szCs w:val="24"/>
        </w:rPr>
        <w:t>nol (30:70%v/v) was selected as optimized mobile phase because it gave complete separation of drugs.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Trials for RP-HPLC method development</w:t>
      </w:r>
    </w:p>
    <w:p w:rsidR="005A19B5" w:rsidRDefault="00D046F1">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Initial Trial:</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A mixture of 20 µg/ml dapagliflozin + 50 µg/ml eplerenone was analysed.</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w:t>
      </w:r>
      <w:r>
        <w:rPr>
          <w:rFonts w:ascii="Times New Roman" w:hAnsi="Times New Roman" w:cs="Times New Roman"/>
          <w:sz w:val="24"/>
          <w:szCs w:val="24"/>
          <w:lang w:val="es-ES"/>
        </w:rPr>
        <w:t>.6 mm, 5µm)</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Mobile phase: Water: Methanol (50:50 %v/v)</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Flow rate: 1 mL/min</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Detection wavelength: 228 nm</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Result: Both compounds eluted but peak shape is irregular.</w:t>
      </w:r>
    </w:p>
    <w:p w:rsidR="005A19B5" w:rsidRDefault="00D046F1">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sz w:val="24"/>
          <w:szCs w:val="24"/>
        </w:rPr>
      </w:pPr>
      <w:r>
        <w:rPr>
          <w:rFonts w:ascii="Times New Roman" w:hAnsi="Times New Roman" w:cs="Times New Roman"/>
          <w:b/>
          <w:bCs/>
          <w:sz w:val="24"/>
          <w:szCs w:val="24"/>
        </w:rPr>
        <w:t>Second Trial:</w:t>
      </w:r>
    </w:p>
    <w:p w:rsidR="005A19B5" w:rsidRDefault="00D046F1">
      <w:pPr>
        <w:tabs>
          <w:tab w:val="left" w:pos="2595"/>
        </w:tabs>
        <w:spacing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Mobile phase: Water: Methanol (40:60 </w:t>
      </w:r>
      <w:r>
        <w:rPr>
          <w:rFonts w:ascii="Times New Roman" w:hAnsi="Times New Roman" w:cs="Times New Roman"/>
          <w:sz w:val="24"/>
          <w:szCs w:val="24"/>
        </w:rPr>
        <w:t>%v/v)</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Flow rate: 1 mL/min</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Detection wavelength: 228 nm</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Result: Ratio modified. Retention times of both compounds decreased but peak shape of last compound did not improve.</w:t>
      </w:r>
    </w:p>
    <w:p w:rsidR="005A19B5" w:rsidRDefault="00D046F1">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Third Trial:</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 xml:space="preserve">Mobile phase: Acetonitrile: </w:t>
      </w:r>
      <w:r>
        <w:rPr>
          <w:rFonts w:ascii="Times New Roman" w:hAnsi="Times New Roman" w:cs="Times New Roman"/>
          <w:sz w:val="24"/>
          <w:szCs w:val="24"/>
        </w:rPr>
        <w:t>Water (50:50 v/v)</w:t>
      </w:r>
    </w:p>
    <w:p w:rsidR="005A19B5" w:rsidRDefault="005A19B5">
      <w:pPr>
        <w:pStyle w:val="ListParagraph"/>
        <w:tabs>
          <w:tab w:val="left" w:pos="2595"/>
        </w:tabs>
        <w:spacing w:line="240" w:lineRule="auto"/>
        <w:ind w:left="567"/>
        <w:contextualSpacing w:val="0"/>
        <w:jc w:val="both"/>
        <w:rPr>
          <w:rFonts w:ascii="Times New Roman" w:hAnsi="Times New Roman" w:cs="Times New Roman"/>
          <w:sz w:val="24"/>
          <w:szCs w:val="24"/>
        </w:rPr>
      </w:pP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Flow rate: 1 mL/min</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Detection wavelength: 228 nm</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Result: ACN used instead of methanol. Merged peaks seen.</w:t>
      </w:r>
    </w:p>
    <w:p w:rsidR="005A19B5" w:rsidRDefault="00D046F1">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Fourth Trial:</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Mobile phase: Acetonitrile: Water (40:60 v/v)</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Flow rate: 1 mL/min</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Detection</w:t>
      </w:r>
      <w:r>
        <w:rPr>
          <w:rFonts w:ascii="Times New Roman" w:hAnsi="Times New Roman" w:cs="Times New Roman"/>
          <w:sz w:val="24"/>
          <w:szCs w:val="24"/>
        </w:rPr>
        <w:t xml:space="preserve"> wavelength: 228 nm</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Result: Ratio modified. Both analytes separated but Last peak broad.</w:t>
      </w:r>
    </w:p>
    <w:p w:rsidR="005A19B5" w:rsidRDefault="00D046F1">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Fifth Trial:</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Mobile phase: Phosphate buffer: Methanol (50:50 v/v)</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Flow rate: 1 mL/min</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Detection wavelength: 228 nm</w:t>
      </w:r>
    </w:p>
    <w:p w:rsidR="005A19B5" w:rsidRDefault="00D046F1">
      <w:pPr>
        <w:pStyle w:val="ListParagraph"/>
        <w:tabs>
          <w:tab w:val="left" w:pos="2595"/>
        </w:tabs>
        <w:spacing w:line="240" w:lineRule="auto"/>
        <w:ind w:left="567"/>
        <w:contextualSpacing w:val="0"/>
        <w:jc w:val="both"/>
        <w:rPr>
          <w:rFonts w:ascii="Times New Roman" w:hAnsi="Times New Roman" w:cs="Times New Roman"/>
          <w:sz w:val="24"/>
          <w:szCs w:val="24"/>
        </w:rPr>
      </w:pPr>
      <w:r>
        <w:rPr>
          <w:rFonts w:ascii="Times New Roman" w:hAnsi="Times New Roman" w:cs="Times New Roman"/>
          <w:sz w:val="24"/>
          <w:szCs w:val="24"/>
        </w:rPr>
        <w:t>Result: Ph</w:t>
      </w:r>
      <w:r>
        <w:rPr>
          <w:rFonts w:ascii="Times New Roman" w:hAnsi="Times New Roman" w:cs="Times New Roman"/>
          <w:sz w:val="24"/>
          <w:szCs w:val="24"/>
        </w:rPr>
        <w:t>osphate buffer used. pH kept at 3.5. Only one analyte eluted.</w:t>
      </w:r>
    </w:p>
    <w:p w:rsidR="005A19B5" w:rsidRDefault="00D046F1">
      <w:pPr>
        <w:pStyle w:val="ListParagraph"/>
        <w:numPr>
          <w:ilvl w:val="0"/>
          <w:numId w:val="36"/>
        </w:numPr>
        <w:tabs>
          <w:tab w:val="left" w:pos="2595"/>
        </w:tabs>
        <w:spacing w:line="240" w:lineRule="auto"/>
        <w:ind w:left="567" w:hanging="567"/>
        <w:contextualSpacing w:val="0"/>
        <w:jc w:val="both"/>
        <w:rPr>
          <w:rFonts w:ascii="Times New Roman" w:hAnsi="Times New Roman" w:cs="Times New Roman"/>
          <w:b/>
          <w:bCs/>
          <w:sz w:val="24"/>
          <w:szCs w:val="24"/>
        </w:rPr>
      </w:pPr>
      <w:r>
        <w:rPr>
          <w:rFonts w:ascii="Times New Roman" w:hAnsi="Times New Roman" w:cs="Times New Roman"/>
          <w:b/>
          <w:bCs/>
          <w:sz w:val="24"/>
          <w:szCs w:val="24"/>
        </w:rPr>
        <w:t>Final Trial (Optimized):</w:t>
      </w:r>
    </w:p>
    <w:p w:rsidR="005A19B5" w:rsidRDefault="00D046F1">
      <w:pPr>
        <w:tabs>
          <w:tab w:val="left" w:pos="2595"/>
        </w:tabs>
        <w:spacing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Column: Cosmosil C18 (250 cm×4.6 mm, 5µm)</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Mobile phase: Phosphate buffer: Methanol (30:70 v/v)</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Flow rate: 1 mL/min</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Detection wavelength: 228 nm</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Result: Organic modifier </w:t>
      </w:r>
      <w:r>
        <w:rPr>
          <w:rFonts w:ascii="Times New Roman" w:hAnsi="Times New Roman" w:cs="Times New Roman"/>
          <w:sz w:val="24"/>
          <w:szCs w:val="24"/>
        </w:rPr>
        <w:t>volume adjusted. Two sharp peaks seen. Theoretical plates more than 2000, tailing factor less than 2, resolution more than 2. Retention time were found to be 2.6 and 6.2 for Eplerenone and dapagliflozin respectively.</w:t>
      </w:r>
    </w:p>
    <w:p w:rsidR="005A19B5" w:rsidRDefault="00D046F1">
      <w:pPr>
        <w:tabs>
          <w:tab w:val="left" w:pos="2595"/>
        </w:tabs>
        <w:spacing w:line="240" w:lineRule="auto"/>
        <w:ind w:left="567"/>
        <w:jc w:val="both"/>
        <w:rPr>
          <w:rFonts w:ascii="Times New Roman" w:hAnsi="Times New Roman" w:cs="Times New Roman"/>
          <w:b/>
          <w:bCs/>
          <w:sz w:val="24"/>
          <w:szCs w:val="24"/>
        </w:rPr>
      </w:pPr>
      <w:r>
        <w:rPr>
          <w:rFonts w:ascii="Times New Roman" w:hAnsi="Times New Roman" w:cs="Times New Roman"/>
          <w:b/>
          <w:bCs/>
          <w:sz w:val="24"/>
          <w:szCs w:val="24"/>
        </w:rPr>
        <w:t>SST parameters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 combined solution of D</w:t>
      </w:r>
      <w:r>
        <w:rPr>
          <w:rFonts w:ascii="Times New Roman" w:hAnsi="Times New Roman" w:cs="Times New Roman"/>
          <w:sz w:val="24"/>
          <w:szCs w:val="24"/>
        </w:rPr>
        <w:t>APA and EPLE at concentrations of 20 and 50 µg/mL was injected five times to evaluate system suitability test (SST) parameters, including retention time (Rt), asymmetry factor, resolution (Rs), theoretical plate count, and relative standard deviation (RSD)</w:t>
      </w:r>
      <w:r>
        <w:rPr>
          <w:rFonts w:ascii="Times New Roman" w:hAnsi="Times New Roman" w:cs="Times New Roman"/>
          <w:sz w:val="24"/>
          <w:szCs w:val="24"/>
        </w:rPr>
        <w:t>.</w:t>
      </w:r>
    </w:p>
    <w:p w:rsidR="005A19B5" w:rsidRDefault="00D046F1">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b/>
      </w:r>
    </w:p>
    <w:p w:rsidR="005A19B5" w:rsidRDefault="00D046F1">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Forced Degradation</w:t>
      </w:r>
    </w:p>
    <w:p w:rsidR="005A19B5" w:rsidRDefault="00D046F1">
      <w:pPr>
        <w:tabs>
          <w:tab w:val="left" w:pos="2595"/>
        </w:tabs>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Acid Degradation</w:t>
      </w:r>
    </w:p>
    <w:p w:rsidR="005A19B5" w:rsidRDefault="00D046F1">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lang w:val="en-US"/>
        </w:rPr>
        <w:t>Blank sample</w:t>
      </w:r>
    </w:p>
    <w:p w:rsidR="005A19B5" w:rsidRDefault="00D046F1">
      <w:pPr>
        <w:numPr>
          <w:ilvl w:val="0"/>
          <w:numId w:val="37"/>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1 ml methanol + 1 mL 0.1 N HCL was added in 10 ml volumetric flask. </w:t>
      </w:r>
    </w:p>
    <w:p w:rsidR="005A19B5" w:rsidRDefault="00D046F1">
      <w:pPr>
        <w:numPr>
          <w:ilvl w:val="0"/>
          <w:numId w:val="37"/>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1 hour at room temperature. </w:t>
      </w:r>
    </w:p>
    <w:p w:rsidR="005A19B5" w:rsidRDefault="00D046F1">
      <w:pPr>
        <w:numPr>
          <w:ilvl w:val="0"/>
          <w:numId w:val="37"/>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The solution was further neutralized with 1 mL 0.1 N NaOH, volume was made with </w:t>
      </w:r>
      <w:r>
        <w:rPr>
          <w:rFonts w:ascii="Times New Roman" w:hAnsi="Times New Roman" w:cs="Times New Roman"/>
          <w:sz w:val="24"/>
          <w:szCs w:val="24"/>
          <w:lang w:val="en-US"/>
        </w:rPr>
        <w:t>methanol and injected into HPLC.</w:t>
      </w:r>
    </w:p>
    <w:p w:rsidR="005A19B5" w:rsidRDefault="00D046F1">
      <w:pPr>
        <w:tabs>
          <w:tab w:val="left" w:pos="567"/>
          <w:tab w:val="left" w:pos="2595"/>
        </w:tabs>
        <w:spacing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en-US"/>
        </w:rPr>
        <w:t>Treated Sample</w:t>
      </w:r>
    </w:p>
    <w:p w:rsidR="005A19B5" w:rsidRDefault="005A19B5">
      <w:pPr>
        <w:tabs>
          <w:tab w:val="left" w:pos="567"/>
          <w:tab w:val="left" w:pos="2595"/>
        </w:tabs>
        <w:spacing w:line="240" w:lineRule="auto"/>
        <w:jc w:val="both"/>
        <w:rPr>
          <w:rFonts w:ascii="Times New Roman" w:hAnsi="Times New Roman" w:cs="Times New Roman"/>
          <w:sz w:val="24"/>
          <w:szCs w:val="24"/>
        </w:rPr>
      </w:pPr>
    </w:p>
    <w:p w:rsidR="005A19B5" w:rsidRDefault="005A19B5">
      <w:pPr>
        <w:tabs>
          <w:tab w:val="left" w:pos="567"/>
          <w:tab w:val="left" w:pos="2595"/>
        </w:tabs>
        <w:spacing w:line="240" w:lineRule="auto"/>
        <w:jc w:val="both"/>
        <w:rPr>
          <w:rFonts w:ascii="Times New Roman" w:hAnsi="Times New Roman" w:cs="Times New Roman"/>
          <w:sz w:val="24"/>
          <w:szCs w:val="24"/>
        </w:rPr>
      </w:pPr>
    </w:p>
    <w:p w:rsidR="005A19B5" w:rsidRDefault="00D046F1">
      <w:pPr>
        <w:numPr>
          <w:ilvl w:val="0"/>
          <w:numId w:val="38"/>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Sample stock solution 1 ml + 1 mL 0.1 N HCL was added in 10 ml volumetric flask. </w:t>
      </w:r>
    </w:p>
    <w:p w:rsidR="005A19B5" w:rsidRDefault="00D046F1">
      <w:pPr>
        <w:numPr>
          <w:ilvl w:val="0"/>
          <w:numId w:val="38"/>
        </w:numPr>
        <w:tabs>
          <w:tab w:val="clear" w:pos="720"/>
          <w:tab w:val="left" w:pos="567"/>
          <w:tab w:val="left" w:pos="2595"/>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1 hour at room temperature. </w:t>
      </w:r>
    </w:p>
    <w:p w:rsidR="005A19B5" w:rsidRDefault="00D046F1">
      <w:pPr>
        <w:numPr>
          <w:ilvl w:val="0"/>
          <w:numId w:val="38"/>
        </w:numPr>
        <w:tabs>
          <w:tab w:val="clear" w:pos="720"/>
          <w:tab w:val="left" w:pos="567"/>
          <w:tab w:val="left" w:pos="2595"/>
        </w:tabs>
        <w:spacing w:line="240" w:lineRule="auto"/>
        <w:ind w:left="426" w:hanging="426"/>
        <w:jc w:val="both"/>
        <w:rPr>
          <w:rFonts w:ascii="Times New Roman" w:hAnsi="Times New Roman" w:cs="Times New Roman"/>
          <w:b/>
          <w:bCs/>
          <w:sz w:val="24"/>
          <w:szCs w:val="24"/>
        </w:rPr>
      </w:pPr>
      <w:r>
        <w:rPr>
          <w:rFonts w:ascii="Times New Roman" w:hAnsi="Times New Roman" w:cs="Times New Roman"/>
          <w:sz w:val="24"/>
          <w:szCs w:val="24"/>
          <w:lang w:val="en-US"/>
        </w:rPr>
        <w:t xml:space="preserve">The solution was further neutralized with 1 mL 0.1 N NaOH, volume was </w:t>
      </w:r>
      <w:r>
        <w:rPr>
          <w:rFonts w:ascii="Times New Roman" w:hAnsi="Times New Roman" w:cs="Times New Roman"/>
          <w:sz w:val="24"/>
          <w:szCs w:val="24"/>
          <w:lang w:val="en-US"/>
        </w:rPr>
        <w:t>made with methanol and injected into HPLC.</w:t>
      </w:r>
    </w:p>
    <w:p w:rsidR="005A19B5" w:rsidRDefault="00D046F1">
      <w:pPr>
        <w:tabs>
          <w:tab w:val="left" w:pos="567"/>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Base degradation </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Blank sample</w:t>
      </w:r>
    </w:p>
    <w:p w:rsidR="005A19B5" w:rsidRDefault="00D046F1">
      <w:pPr>
        <w:numPr>
          <w:ilvl w:val="0"/>
          <w:numId w:val="39"/>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1 ml methanol + 1 mL 1 N NaOH was added in 10 ml volumetric flask. </w:t>
      </w:r>
    </w:p>
    <w:p w:rsidR="005A19B5" w:rsidRDefault="00D046F1">
      <w:pPr>
        <w:numPr>
          <w:ilvl w:val="0"/>
          <w:numId w:val="39"/>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1 hour at room temperature. </w:t>
      </w:r>
    </w:p>
    <w:p w:rsidR="005A19B5" w:rsidRDefault="00D046F1">
      <w:pPr>
        <w:numPr>
          <w:ilvl w:val="0"/>
          <w:numId w:val="39"/>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The solution was further neutralized with 1 mL 1 N HCl, volume</w:t>
      </w:r>
      <w:r>
        <w:rPr>
          <w:rFonts w:ascii="Times New Roman" w:hAnsi="Times New Roman" w:cs="Times New Roman"/>
          <w:sz w:val="24"/>
          <w:szCs w:val="24"/>
          <w:lang w:val="en-US"/>
        </w:rPr>
        <w:t xml:space="preserve"> was made with methanol and injected into HPLC.</w:t>
      </w:r>
    </w:p>
    <w:p w:rsidR="005A19B5" w:rsidRDefault="00D046F1">
      <w:pPr>
        <w:tabs>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lang w:val="en-US"/>
        </w:rPr>
        <w:t>Treated Sample</w:t>
      </w:r>
    </w:p>
    <w:p w:rsidR="005A19B5" w:rsidRDefault="00D046F1">
      <w:pPr>
        <w:numPr>
          <w:ilvl w:val="0"/>
          <w:numId w:val="40"/>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Sample stock solution 1 ml + 1 mL 1 N NaOH was added in 10 ml volumetric flask. </w:t>
      </w:r>
    </w:p>
    <w:p w:rsidR="005A19B5" w:rsidRDefault="00D046F1">
      <w:pPr>
        <w:numPr>
          <w:ilvl w:val="0"/>
          <w:numId w:val="40"/>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1 hour at room temperature. </w:t>
      </w:r>
    </w:p>
    <w:p w:rsidR="005A19B5" w:rsidRDefault="00D046F1">
      <w:pPr>
        <w:numPr>
          <w:ilvl w:val="0"/>
          <w:numId w:val="40"/>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solution was further neutralized with 1 mL 1 N HCl, </w:t>
      </w:r>
      <w:r>
        <w:rPr>
          <w:rFonts w:ascii="Times New Roman" w:hAnsi="Times New Roman" w:cs="Times New Roman"/>
          <w:sz w:val="24"/>
          <w:szCs w:val="24"/>
          <w:lang w:val="en-US"/>
        </w:rPr>
        <w:t>volume was made with methanol and injected into HPLC.</w:t>
      </w:r>
    </w:p>
    <w:p w:rsidR="005A19B5" w:rsidRDefault="00D046F1">
      <w:pPr>
        <w:tabs>
          <w:tab w:val="left" w:pos="2595"/>
        </w:tabs>
        <w:spacing w:line="240" w:lineRule="auto"/>
        <w:rPr>
          <w:rFonts w:ascii="Times New Roman" w:hAnsi="Times New Roman" w:cs="Times New Roman"/>
          <w:b/>
          <w:bCs/>
          <w:sz w:val="24"/>
          <w:szCs w:val="24"/>
        </w:rPr>
      </w:pPr>
      <w:r>
        <w:rPr>
          <w:rFonts w:ascii="Times New Roman" w:hAnsi="Times New Roman" w:cs="Times New Roman"/>
          <w:b/>
          <w:bCs/>
          <w:sz w:val="24"/>
          <w:szCs w:val="24"/>
          <w:lang w:val="en-US"/>
        </w:rPr>
        <w:t>Peroxide degradation</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Blank sample</w:t>
      </w:r>
    </w:p>
    <w:p w:rsidR="005A19B5" w:rsidRDefault="00D046F1">
      <w:pPr>
        <w:numPr>
          <w:ilvl w:val="0"/>
          <w:numId w:val="41"/>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1 ml methanol + 1 mL 3%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was added in 10 ml volumetric flask. </w:t>
      </w:r>
    </w:p>
    <w:p w:rsidR="005A19B5" w:rsidRDefault="00D046F1">
      <w:pPr>
        <w:numPr>
          <w:ilvl w:val="0"/>
          <w:numId w:val="41"/>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3 hours at room temperature. </w:t>
      </w:r>
    </w:p>
    <w:p w:rsidR="005A19B5" w:rsidRDefault="00D046F1">
      <w:pPr>
        <w:numPr>
          <w:ilvl w:val="0"/>
          <w:numId w:val="41"/>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Volume was made with methanol and injected into </w:t>
      </w:r>
      <w:r>
        <w:rPr>
          <w:rFonts w:ascii="Times New Roman" w:hAnsi="Times New Roman" w:cs="Times New Roman"/>
          <w:sz w:val="24"/>
          <w:szCs w:val="24"/>
          <w:lang w:val="en-US"/>
        </w:rPr>
        <w:t>HPLC.</w:t>
      </w:r>
    </w:p>
    <w:p w:rsidR="005A19B5" w:rsidRDefault="00D046F1">
      <w:pPr>
        <w:tabs>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b/>
          <w:bCs/>
          <w:sz w:val="24"/>
          <w:szCs w:val="24"/>
          <w:lang w:val="en-US"/>
        </w:rPr>
        <w:t>Treated Sample</w:t>
      </w:r>
    </w:p>
    <w:p w:rsidR="005A19B5" w:rsidRDefault="00D046F1">
      <w:pPr>
        <w:numPr>
          <w:ilvl w:val="0"/>
          <w:numId w:val="42"/>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Sample stock solution 1 ml + 1 mL 3%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was added in 10 ml volumetric flask. </w:t>
      </w:r>
    </w:p>
    <w:p w:rsidR="005A19B5" w:rsidRDefault="00D046F1">
      <w:pPr>
        <w:numPr>
          <w:ilvl w:val="0"/>
          <w:numId w:val="42"/>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The flask was kept for 3 hours at room temperature. </w:t>
      </w:r>
    </w:p>
    <w:p w:rsidR="005A19B5" w:rsidRDefault="00D046F1">
      <w:pPr>
        <w:numPr>
          <w:ilvl w:val="0"/>
          <w:numId w:val="42"/>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Volume was made with methanol and injected into HPLC</w:t>
      </w:r>
    </w:p>
    <w:p w:rsidR="005A19B5" w:rsidRDefault="00D046F1">
      <w:pPr>
        <w:tabs>
          <w:tab w:val="left" w:pos="567"/>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lang w:val="en-US"/>
        </w:rPr>
        <w:t>Thermal degradation</w:t>
      </w:r>
    </w:p>
    <w:p w:rsidR="005A19B5" w:rsidRDefault="00D046F1">
      <w:pPr>
        <w:numPr>
          <w:ilvl w:val="0"/>
          <w:numId w:val="42"/>
        </w:numPr>
        <w:tabs>
          <w:tab w:val="clear" w:pos="720"/>
          <w:tab w:val="left" w:pos="567"/>
          <w:tab w:val="left" w:pos="2595"/>
        </w:tabs>
        <w:spacing w:line="240" w:lineRule="auto"/>
        <w:ind w:left="567" w:hanging="567"/>
        <w:rPr>
          <w:rFonts w:ascii="Times New Roman" w:hAnsi="Times New Roman" w:cs="Times New Roman"/>
          <w:sz w:val="24"/>
          <w:szCs w:val="24"/>
        </w:rPr>
      </w:pPr>
      <w:r>
        <w:rPr>
          <w:rFonts w:ascii="Times New Roman" w:hAnsi="Times New Roman" w:cs="Times New Roman"/>
          <w:sz w:val="24"/>
          <w:szCs w:val="24"/>
          <w:lang w:val="en-US"/>
        </w:rPr>
        <w:t xml:space="preserve">The sample was transferred to a conical flask and was kept in preheated oven at 60 </w:t>
      </w:r>
      <w:r>
        <w:rPr>
          <w:rFonts w:ascii="Times New Roman" w:hAnsi="Times New Roman" w:cs="Times New Roman"/>
          <w:sz w:val="24"/>
          <w:szCs w:val="24"/>
        </w:rPr>
        <w:sym w:font="Symbol" w:char="F0B0"/>
      </w:r>
      <w:r>
        <w:rPr>
          <w:rFonts w:ascii="Times New Roman" w:hAnsi="Times New Roman" w:cs="Times New Roman"/>
          <w:sz w:val="24"/>
          <w:szCs w:val="24"/>
          <w:lang w:val="en-US"/>
        </w:rPr>
        <w:t>C for 3 hours.</w:t>
      </w:r>
    </w:p>
    <w:p w:rsidR="005A19B5" w:rsidRDefault="00D046F1">
      <w:pPr>
        <w:numPr>
          <w:ilvl w:val="0"/>
          <w:numId w:val="42"/>
        </w:numPr>
        <w:tabs>
          <w:tab w:val="clear" w:pos="720"/>
          <w:tab w:val="left" w:pos="567"/>
          <w:tab w:val="left" w:pos="2595"/>
        </w:tabs>
        <w:spacing w:line="240" w:lineRule="auto"/>
        <w:ind w:left="567" w:hanging="567"/>
        <w:rPr>
          <w:rFonts w:ascii="Times New Roman" w:hAnsi="Times New Roman" w:cs="Times New Roman"/>
          <w:sz w:val="24"/>
          <w:szCs w:val="24"/>
        </w:rPr>
      </w:pPr>
      <w:r>
        <w:rPr>
          <w:rFonts w:ascii="Times New Roman" w:hAnsi="Times New Roman" w:cs="Times New Roman"/>
          <w:sz w:val="24"/>
          <w:szCs w:val="24"/>
        </w:rPr>
        <w:t>The dried residue was dissolved in Methanol and then transferred to a 10 mL volumetric flask and the volume was made up with Methanol and was injected into H</w:t>
      </w:r>
      <w:r>
        <w:rPr>
          <w:rFonts w:ascii="Times New Roman" w:hAnsi="Times New Roman" w:cs="Times New Roman"/>
          <w:sz w:val="24"/>
          <w:szCs w:val="24"/>
        </w:rPr>
        <w:t>PLC.</w:t>
      </w:r>
    </w:p>
    <w:p w:rsidR="005A19B5" w:rsidRDefault="005A19B5">
      <w:pPr>
        <w:pStyle w:val="ListParagraph"/>
        <w:tabs>
          <w:tab w:val="left" w:pos="2595"/>
        </w:tabs>
        <w:spacing w:line="240" w:lineRule="auto"/>
        <w:ind w:left="0"/>
        <w:rPr>
          <w:rFonts w:ascii="Times New Roman" w:hAnsi="Times New Roman" w:cs="Times New Roman"/>
          <w:b/>
          <w:bCs/>
          <w:sz w:val="24"/>
          <w:szCs w:val="24"/>
        </w:rPr>
      </w:pPr>
    </w:p>
    <w:p w:rsidR="005A19B5" w:rsidRDefault="00D046F1">
      <w:pPr>
        <w:pStyle w:val="ListParagraph"/>
        <w:tabs>
          <w:tab w:val="left" w:pos="2595"/>
        </w:tabs>
        <w:spacing w:line="240" w:lineRule="auto"/>
        <w:ind w:left="0"/>
        <w:rPr>
          <w:rFonts w:ascii="Times New Roman" w:hAnsi="Times New Roman" w:cs="Times New Roman"/>
          <w:b/>
          <w:bCs/>
          <w:sz w:val="24"/>
          <w:szCs w:val="24"/>
        </w:rPr>
      </w:pPr>
      <w:r>
        <w:rPr>
          <w:rFonts w:ascii="Times New Roman" w:hAnsi="Times New Roman" w:cs="Times New Roman"/>
          <w:b/>
          <w:bCs/>
          <w:sz w:val="24"/>
          <w:szCs w:val="24"/>
        </w:rPr>
        <w:t>Validation of RP-HPLC method</w:t>
      </w:r>
    </w:p>
    <w:p w:rsidR="005A19B5" w:rsidRDefault="00D046F1">
      <w:pPr>
        <w:pStyle w:val="ListParagraph"/>
        <w:tabs>
          <w:tab w:val="left" w:pos="2595"/>
        </w:tabs>
        <w:spacing w:line="240" w:lineRule="auto"/>
        <w:ind w:left="0"/>
        <w:rPr>
          <w:rFonts w:ascii="Times New Roman" w:hAnsi="Times New Roman" w:cs="Times New Roman"/>
          <w:b/>
          <w:bCs/>
          <w:sz w:val="24"/>
          <w:szCs w:val="24"/>
        </w:rPr>
      </w:pPr>
      <w:r>
        <w:rPr>
          <w:rFonts w:ascii="Times New Roman" w:hAnsi="Times New Roman" w:cs="Times New Roman"/>
          <w:b/>
          <w:bCs/>
          <w:sz w:val="24"/>
          <w:szCs w:val="24"/>
        </w:rPr>
        <w:t>Specificity</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specificity of the developed HPLC method was assessed to ensure the reliable identification of Dapagliflozin and Eplerenone in the presence of other components.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Individual standard solutions of </w:t>
      </w:r>
      <w:r>
        <w:rPr>
          <w:rFonts w:ascii="Times New Roman" w:hAnsi="Times New Roman" w:cs="Times New Roman"/>
          <w:sz w:val="24"/>
          <w:szCs w:val="24"/>
        </w:rPr>
        <w:t>Dapagliflozin and Eplerenone were prepared separately and injected into the chromatographic system under optimized conditions to establish their respective retention times. A mixed standard solution containing both analytes was then analyzed to confirm pro</w:t>
      </w:r>
      <w:r>
        <w:rPr>
          <w:rFonts w:ascii="Times New Roman" w:hAnsi="Times New Roman" w:cs="Times New Roman"/>
          <w:sz w:val="24"/>
          <w:szCs w:val="24"/>
        </w:rPr>
        <w:t>per separation and peak resolution.</w:t>
      </w:r>
    </w:p>
    <w:p w:rsidR="005A19B5" w:rsidRDefault="005A19B5">
      <w:pPr>
        <w:tabs>
          <w:tab w:val="left" w:pos="2595"/>
        </w:tabs>
        <w:spacing w:line="240" w:lineRule="auto"/>
        <w:jc w:val="both"/>
        <w:rPr>
          <w:rFonts w:ascii="Times New Roman" w:hAnsi="Times New Roman" w:cs="Times New Roman"/>
          <w:sz w:val="24"/>
          <w:szCs w:val="24"/>
        </w:rPr>
      </w:pPr>
    </w:p>
    <w:p w:rsidR="005A19B5" w:rsidRDefault="005A19B5">
      <w:pPr>
        <w:tabs>
          <w:tab w:val="left" w:pos="2595"/>
        </w:tabs>
        <w:spacing w:line="240" w:lineRule="auto"/>
        <w:jc w:val="both"/>
        <w:rPr>
          <w:rFonts w:ascii="Times New Roman" w:hAnsi="Times New Roman" w:cs="Times New Roman"/>
          <w:sz w:val="24"/>
          <w:szCs w:val="24"/>
        </w:rPr>
      </w:pPr>
    </w:p>
    <w:p w:rsidR="005A19B5" w:rsidRDefault="005A19B5">
      <w:pPr>
        <w:tabs>
          <w:tab w:val="left" w:pos="2595"/>
        </w:tabs>
        <w:spacing w:line="240" w:lineRule="auto"/>
        <w:jc w:val="both"/>
        <w:rPr>
          <w:rFonts w:ascii="Times New Roman" w:hAnsi="Times New Roman" w:cs="Times New Roman"/>
          <w:sz w:val="24"/>
          <w:szCs w:val="24"/>
        </w:rPr>
      </w:pP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Subsequently, the sample solution was injected, and the resulting chromatogram was examined. The peaks </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corresponding to Dapagliflozin and Eplerenone were identified by matching their retention times with those obtain</w:t>
      </w:r>
      <w:r>
        <w:rPr>
          <w:rFonts w:ascii="Times New Roman" w:hAnsi="Times New Roman" w:cs="Times New Roman"/>
          <w:sz w:val="24"/>
          <w:szCs w:val="24"/>
        </w:rPr>
        <w:t>ed from the standard solutions.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absence of overlapping peaks and the consistency in retention behavior were used as criteria to confirm the specificity of the method for accurate peak identification.</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Range and Linearity</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linearity of the proposed HP</w:t>
      </w:r>
      <w:r>
        <w:rPr>
          <w:rFonts w:ascii="Times New Roman" w:hAnsi="Times New Roman" w:cs="Times New Roman"/>
          <w:sz w:val="24"/>
          <w:szCs w:val="24"/>
        </w:rPr>
        <w:t>LC method was established by analyzing a series of standard solutions of Dapagliflozin and Eplerenone at different concentration levels.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Standard stock solutions of both analytes were appropriately diluted to obtain five concentration levels, namely 10+25 </w:t>
      </w:r>
      <w:r>
        <w:rPr>
          <w:rFonts w:ascii="Times New Roman" w:hAnsi="Times New Roman" w:cs="Times New Roman"/>
          <w:sz w:val="24"/>
          <w:szCs w:val="24"/>
        </w:rPr>
        <w:t>µg/mL, 15+37.5 µg/mL, 20+50 µg/mL, 25+62.5 µg/mL, and 30+75 µg/mL for Dapagliflozin and Eplerenone, respectively.</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Each prepared solution was injected into the chromatographic system in triplicate under optimized conditions, and the corresponding peak areas</w:t>
      </w:r>
      <w:r>
        <w:rPr>
          <w:rFonts w:ascii="Times New Roman" w:hAnsi="Times New Roman" w:cs="Times New Roman"/>
          <w:sz w:val="24"/>
          <w:szCs w:val="24"/>
        </w:rPr>
        <w:t xml:space="preserve"> were recorded. Calibration plots were generated by plotting peak area against concentration for both analytes.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linear relationship between concentration and detector response was evaluated across the selected range, which was chosen to encompass the e</w:t>
      </w:r>
      <w:r>
        <w:rPr>
          <w:rFonts w:ascii="Times New Roman" w:hAnsi="Times New Roman" w:cs="Times New Roman"/>
          <w:sz w:val="24"/>
          <w:szCs w:val="24"/>
        </w:rPr>
        <w:t>xpected working concentrations for routine analysis.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Dapagliflozin Stock Solution (200 µg/mL)</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Accurately weigh 20 mg of dapagliflozin propanediol monohydrate and transfer it into a 100 mL volumetric flask. Add approximately 70 mL of methanol and sonicate t</w:t>
      </w:r>
      <w:r>
        <w:rPr>
          <w:rFonts w:ascii="Times New Roman" w:hAnsi="Times New Roman" w:cs="Times New Roman"/>
          <w:sz w:val="24"/>
          <w:szCs w:val="24"/>
        </w:rPr>
        <w:t>he solution to ensure complete dissolution of the drug. After complete dissolution, allow the solution to cool if necessary and make up the volume to the mark with methanol. Mix well to obtain a stock solution containing 200 µg/mL of Dapagliflozin.</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b/>
          <w:bCs/>
          <w:sz w:val="24"/>
          <w:szCs w:val="24"/>
        </w:rPr>
        <w:t>Epleren</w:t>
      </w:r>
      <w:r>
        <w:rPr>
          <w:rFonts w:ascii="Times New Roman" w:hAnsi="Times New Roman" w:cs="Times New Roman"/>
          <w:b/>
          <w:bCs/>
          <w:sz w:val="24"/>
          <w:szCs w:val="24"/>
        </w:rPr>
        <w:t>one Stock Solution (500 µg/mL)</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Accurately weigh 50 mg of eplerenone and transfer it into a 100 mL volumetric flask. Add about 70 mL of methanol and sonicate until the drug is completely dissolved. The solution is then diluted to volume with methanol and mi</w:t>
      </w:r>
      <w:r>
        <w:rPr>
          <w:rFonts w:ascii="Times New Roman" w:hAnsi="Times New Roman" w:cs="Times New Roman"/>
          <w:sz w:val="24"/>
          <w:szCs w:val="24"/>
        </w:rPr>
        <w:t>xed thoroughly to obtain a stock solution containing 500 µg/mL of Eplerenone.</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19 Preparation of solution for linearity</w:t>
      </w:r>
    </w:p>
    <w:tbl>
      <w:tblPr>
        <w:tblStyle w:val="TableGrid"/>
        <w:tblW w:w="10753" w:type="dxa"/>
        <w:tblLook w:val="04A0" w:firstRow="1" w:lastRow="0" w:firstColumn="1" w:lastColumn="0" w:noHBand="0" w:noVBand="1"/>
      </w:tblPr>
      <w:tblGrid>
        <w:gridCol w:w="1696"/>
        <w:gridCol w:w="990"/>
        <w:gridCol w:w="1256"/>
        <w:gridCol w:w="6811"/>
      </w:tblGrid>
      <w:tr w:rsidR="005A19B5">
        <w:trPr>
          <w:trHeight w:val="1348"/>
        </w:trPr>
        <w:tc>
          <w:tcPr>
            <w:tcW w:w="1696"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Concentration of stock solution (μg/mL)</w:t>
            </w:r>
          </w:p>
        </w:tc>
        <w:tc>
          <w:tcPr>
            <w:tcW w:w="9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Volume of stock solution (mL)</w:t>
            </w:r>
          </w:p>
        </w:tc>
        <w:tc>
          <w:tcPr>
            <w:tcW w:w="125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Final dilution</w:t>
            </w:r>
          </w:p>
        </w:tc>
        <w:tc>
          <w:tcPr>
            <w:tcW w:w="681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Concentration of mixtures for linearity </w:t>
            </w:r>
            <w:r>
              <w:rPr>
                <w:rFonts w:ascii="Times New Roman" w:hAnsi="Times New Roman" w:cs="Times New Roman"/>
                <w:sz w:val="24"/>
                <w:szCs w:val="24"/>
              </w:rPr>
              <w:t>(μg/mL) (DAPA+EPLE)</w:t>
            </w:r>
          </w:p>
        </w:tc>
      </w:tr>
      <w:tr w:rsidR="005A19B5">
        <w:trPr>
          <w:trHeight w:val="516"/>
        </w:trPr>
        <w:tc>
          <w:tcPr>
            <w:tcW w:w="1696" w:type="dxa"/>
            <w:vMerge w:val="restart"/>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DAPA+ EPLE  200+ 500 μg/mL)</w:t>
            </w:r>
          </w:p>
        </w:tc>
        <w:tc>
          <w:tcPr>
            <w:tcW w:w="9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1256"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Dilution in 10 mL volumetric flask with the diluent.</w:t>
            </w:r>
          </w:p>
        </w:tc>
        <w:tc>
          <w:tcPr>
            <w:tcW w:w="681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10+25</w:t>
            </w:r>
          </w:p>
        </w:tc>
      </w:tr>
      <w:tr w:rsidR="005A19B5">
        <w:trPr>
          <w:trHeight w:val="516"/>
        </w:trPr>
        <w:tc>
          <w:tcPr>
            <w:tcW w:w="1696" w:type="dxa"/>
            <w:vMerge/>
          </w:tcPr>
          <w:p w:rsidR="005A19B5" w:rsidRDefault="005A19B5">
            <w:pPr>
              <w:spacing w:line="240" w:lineRule="auto"/>
              <w:jc w:val="center"/>
              <w:rPr>
                <w:rFonts w:ascii="Times New Roman" w:hAnsi="Times New Roman" w:cs="Times New Roman"/>
                <w:b/>
                <w:bCs/>
                <w:sz w:val="24"/>
                <w:szCs w:val="24"/>
              </w:rPr>
            </w:pPr>
          </w:p>
        </w:tc>
        <w:tc>
          <w:tcPr>
            <w:tcW w:w="9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256" w:type="dxa"/>
            <w:vMerge/>
          </w:tcPr>
          <w:p w:rsidR="005A19B5" w:rsidRDefault="005A19B5">
            <w:pPr>
              <w:spacing w:line="240" w:lineRule="auto"/>
              <w:jc w:val="center"/>
              <w:rPr>
                <w:rFonts w:ascii="Times New Roman" w:hAnsi="Times New Roman" w:cs="Times New Roman"/>
                <w:sz w:val="24"/>
                <w:szCs w:val="24"/>
              </w:rPr>
            </w:pPr>
          </w:p>
        </w:tc>
        <w:tc>
          <w:tcPr>
            <w:tcW w:w="681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15+37.5</w:t>
            </w:r>
          </w:p>
        </w:tc>
      </w:tr>
      <w:tr w:rsidR="005A19B5">
        <w:trPr>
          <w:trHeight w:val="516"/>
        </w:trPr>
        <w:tc>
          <w:tcPr>
            <w:tcW w:w="1696" w:type="dxa"/>
            <w:vMerge/>
          </w:tcPr>
          <w:p w:rsidR="005A19B5" w:rsidRDefault="005A19B5">
            <w:pPr>
              <w:spacing w:line="240" w:lineRule="auto"/>
              <w:jc w:val="center"/>
              <w:rPr>
                <w:rFonts w:ascii="Times New Roman" w:hAnsi="Times New Roman" w:cs="Times New Roman"/>
                <w:b/>
                <w:bCs/>
                <w:sz w:val="24"/>
                <w:szCs w:val="24"/>
              </w:rPr>
            </w:pPr>
          </w:p>
        </w:tc>
        <w:tc>
          <w:tcPr>
            <w:tcW w:w="9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56" w:type="dxa"/>
            <w:vMerge/>
          </w:tcPr>
          <w:p w:rsidR="005A19B5" w:rsidRDefault="005A19B5">
            <w:pPr>
              <w:spacing w:line="240" w:lineRule="auto"/>
              <w:jc w:val="center"/>
              <w:rPr>
                <w:rFonts w:ascii="Times New Roman" w:hAnsi="Times New Roman" w:cs="Times New Roman"/>
                <w:sz w:val="24"/>
                <w:szCs w:val="24"/>
              </w:rPr>
            </w:pPr>
          </w:p>
        </w:tc>
        <w:tc>
          <w:tcPr>
            <w:tcW w:w="681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20+50</w:t>
            </w:r>
          </w:p>
        </w:tc>
      </w:tr>
      <w:tr w:rsidR="005A19B5">
        <w:trPr>
          <w:trHeight w:val="516"/>
        </w:trPr>
        <w:tc>
          <w:tcPr>
            <w:tcW w:w="1696" w:type="dxa"/>
            <w:vMerge/>
          </w:tcPr>
          <w:p w:rsidR="005A19B5" w:rsidRDefault="005A19B5">
            <w:pPr>
              <w:spacing w:line="240" w:lineRule="auto"/>
              <w:jc w:val="center"/>
              <w:rPr>
                <w:rFonts w:ascii="Times New Roman" w:hAnsi="Times New Roman" w:cs="Times New Roman"/>
                <w:b/>
                <w:bCs/>
                <w:sz w:val="24"/>
                <w:szCs w:val="24"/>
              </w:rPr>
            </w:pPr>
          </w:p>
        </w:tc>
        <w:tc>
          <w:tcPr>
            <w:tcW w:w="9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56" w:type="dxa"/>
            <w:vMerge/>
          </w:tcPr>
          <w:p w:rsidR="005A19B5" w:rsidRDefault="005A19B5">
            <w:pPr>
              <w:spacing w:line="240" w:lineRule="auto"/>
              <w:jc w:val="center"/>
              <w:rPr>
                <w:rFonts w:ascii="Times New Roman" w:hAnsi="Times New Roman" w:cs="Times New Roman"/>
                <w:sz w:val="24"/>
                <w:szCs w:val="24"/>
              </w:rPr>
            </w:pPr>
          </w:p>
        </w:tc>
        <w:tc>
          <w:tcPr>
            <w:tcW w:w="681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25+62.5</w:t>
            </w:r>
          </w:p>
        </w:tc>
      </w:tr>
      <w:tr w:rsidR="005A19B5">
        <w:trPr>
          <w:trHeight w:val="527"/>
        </w:trPr>
        <w:tc>
          <w:tcPr>
            <w:tcW w:w="1696" w:type="dxa"/>
            <w:vMerge/>
          </w:tcPr>
          <w:p w:rsidR="005A19B5" w:rsidRDefault="005A19B5">
            <w:pPr>
              <w:spacing w:line="240" w:lineRule="auto"/>
              <w:jc w:val="center"/>
              <w:rPr>
                <w:rFonts w:ascii="Times New Roman" w:hAnsi="Times New Roman" w:cs="Times New Roman"/>
                <w:b/>
                <w:bCs/>
                <w:sz w:val="24"/>
                <w:szCs w:val="24"/>
              </w:rPr>
            </w:pPr>
          </w:p>
        </w:tc>
        <w:tc>
          <w:tcPr>
            <w:tcW w:w="9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56" w:type="dxa"/>
            <w:vMerge/>
          </w:tcPr>
          <w:p w:rsidR="005A19B5" w:rsidRDefault="005A19B5">
            <w:pPr>
              <w:spacing w:line="240" w:lineRule="auto"/>
              <w:jc w:val="center"/>
              <w:rPr>
                <w:rFonts w:ascii="Times New Roman" w:hAnsi="Times New Roman" w:cs="Times New Roman"/>
                <w:sz w:val="24"/>
                <w:szCs w:val="24"/>
              </w:rPr>
            </w:pPr>
          </w:p>
        </w:tc>
        <w:tc>
          <w:tcPr>
            <w:tcW w:w="681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30+75</w:t>
            </w:r>
          </w:p>
        </w:tc>
      </w:tr>
    </w:tbl>
    <w:p w:rsidR="005A19B5" w:rsidRDefault="005A19B5">
      <w:pPr>
        <w:tabs>
          <w:tab w:val="left" w:pos="2595"/>
        </w:tabs>
        <w:spacing w:line="240" w:lineRule="auto"/>
        <w:jc w:val="both"/>
        <w:rPr>
          <w:rFonts w:ascii="Times New Roman" w:hAnsi="Times New Roman" w:cs="Times New Roman"/>
          <w:b/>
          <w:bCs/>
          <w:sz w:val="24"/>
          <w:szCs w:val="24"/>
        </w:rPr>
      </w:pP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Repeatability</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repeatability of the developed HPLC method was assessed to evaluate the consistency of the system under </w:t>
      </w:r>
    </w:p>
    <w:p w:rsidR="005A19B5" w:rsidRDefault="005A19B5">
      <w:pPr>
        <w:tabs>
          <w:tab w:val="left" w:pos="2595"/>
        </w:tabs>
        <w:spacing w:line="240" w:lineRule="auto"/>
        <w:jc w:val="both"/>
        <w:rPr>
          <w:rFonts w:ascii="Times New Roman" w:hAnsi="Times New Roman" w:cs="Times New Roman"/>
          <w:sz w:val="24"/>
          <w:szCs w:val="24"/>
        </w:rPr>
      </w:pPr>
    </w:p>
    <w:p w:rsidR="005A19B5" w:rsidRDefault="005A19B5">
      <w:pPr>
        <w:tabs>
          <w:tab w:val="left" w:pos="2595"/>
        </w:tabs>
        <w:spacing w:line="240" w:lineRule="auto"/>
        <w:jc w:val="both"/>
        <w:rPr>
          <w:rFonts w:ascii="Times New Roman" w:hAnsi="Times New Roman" w:cs="Times New Roman"/>
          <w:sz w:val="24"/>
          <w:szCs w:val="24"/>
        </w:rPr>
      </w:pP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identical operating conditions over a short time interval.</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 standard mixture solution containing Dapagliflozin and Eplerenone at a concentration</w:t>
      </w:r>
      <w:r>
        <w:rPr>
          <w:rFonts w:ascii="Times New Roman" w:hAnsi="Times New Roman" w:cs="Times New Roman"/>
          <w:sz w:val="24"/>
          <w:szCs w:val="24"/>
        </w:rPr>
        <w:t xml:space="preserve"> of 20 µg/mL and 50 µg/mL, respectively, was prepared as per the developed method. This solution was injected into the HPLC system six consecutive times.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chromatographic responses for each injection were recorded in terms of peak areas for both analyte</w:t>
      </w:r>
      <w:r>
        <w:rPr>
          <w:rFonts w:ascii="Times New Roman" w:hAnsi="Times New Roman" w:cs="Times New Roman"/>
          <w:sz w:val="24"/>
          <w:szCs w:val="24"/>
        </w:rPr>
        <w:t>s. The repeatability of the method was determined by calculating the mean, standard deviation (SD), and percentage relative standard deviation (%RSD) of the obtained responses.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uniformity of the peak areas across replicate injections reflects the preci</w:t>
      </w:r>
      <w:r>
        <w:rPr>
          <w:rFonts w:ascii="Times New Roman" w:hAnsi="Times New Roman" w:cs="Times New Roman"/>
          <w:sz w:val="24"/>
          <w:szCs w:val="24"/>
        </w:rPr>
        <w:t>sion of the method under the same analytical conditions</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Intraday Precision</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sz w:val="24"/>
          <w:szCs w:val="24"/>
        </w:rPr>
        <w:t>The intra-day precision of the developed HPLC method was evaluated to determine the consistency of the analytical results within a single day.</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Standard mixture solutions of Dapaglif</w:t>
      </w:r>
      <w:r>
        <w:rPr>
          <w:rFonts w:ascii="Times New Roman" w:hAnsi="Times New Roman" w:cs="Times New Roman"/>
          <w:sz w:val="24"/>
          <w:szCs w:val="24"/>
        </w:rPr>
        <w:t>lozin and Eplerenone were prepared at three different concentration levels, namely 10 µg/mL and 25 µg/mL, 20 µg/mL and 50 µg/mL, and 30 µg/mL and 75 µg/mL, respectively. Each concentration level was analyzed in triplicate (n = 3) at different time interval</w:t>
      </w:r>
      <w:r>
        <w:rPr>
          <w:rFonts w:ascii="Times New Roman" w:hAnsi="Times New Roman" w:cs="Times New Roman"/>
          <w:sz w:val="24"/>
          <w:szCs w:val="24"/>
        </w:rPr>
        <w:t>s on the same day under identical chromatographic conditions.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peak areas obtained for each injection were recorded, and the precision was assessed by calculating the mean, standard deviation (SD), and percentage relative standard deviation (%RSD) for b</w:t>
      </w:r>
      <w:r>
        <w:rPr>
          <w:rFonts w:ascii="Times New Roman" w:hAnsi="Times New Roman" w:cs="Times New Roman"/>
          <w:sz w:val="24"/>
          <w:szCs w:val="24"/>
        </w:rPr>
        <w:t>oth analytes.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variation in responses at different time intervals was used to evaluate the intra-day precision of the method.</w:t>
      </w:r>
    </w:p>
    <w:p w:rsidR="005A19B5" w:rsidRDefault="00D046F1">
      <w:pPr>
        <w:pStyle w:val="ListParagraph"/>
        <w:tabs>
          <w:tab w:val="left" w:pos="2595"/>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Inter-day precision</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inter-day precision of the developed HPLC method was carried out to assess the reproducibility of the a</w:t>
      </w:r>
      <w:r>
        <w:rPr>
          <w:rFonts w:ascii="Times New Roman" w:hAnsi="Times New Roman" w:cs="Times New Roman"/>
          <w:sz w:val="24"/>
          <w:szCs w:val="24"/>
        </w:rPr>
        <w:t>nalytical results over multiple days.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Standard mixture solutions of Dapagliflozin and Eplerenone were prepared at three concentration levels, namely 10 µg/mL and 25 µg/mL, 20 µg/mL and 50 µg/mL, and 30 µg/mL and 75 µg/mL, respectively. Each concentration l</w:t>
      </w:r>
      <w:r>
        <w:rPr>
          <w:rFonts w:ascii="Times New Roman" w:hAnsi="Times New Roman" w:cs="Times New Roman"/>
          <w:sz w:val="24"/>
          <w:szCs w:val="24"/>
        </w:rPr>
        <w:t>evel was analyzed in triplicate (n = 3) on different days under the same chromatographic conditions.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peak areas obtained for each run were recorded, and the results were statistically evaluated by calculating the mean, standard deviation (SD), and perc</w:t>
      </w:r>
      <w:r>
        <w:rPr>
          <w:rFonts w:ascii="Times New Roman" w:hAnsi="Times New Roman" w:cs="Times New Roman"/>
          <w:sz w:val="24"/>
          <w:szCs w:val="24"/>
        </w:rPr>
        <w:t>entage relative standard deviation (%RSD) for both analytes.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consistency of the analytical responses across different days was used to establish the inter-day precision of the method.</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accuracy of the developed analytical method was </w:t>
      </w:r>
      <w:r>
        <w:rPr>
          <w:rFonts w:ascii="Times New Roman" w:hAnsi="Times New Roman" w:cs="Times New Roman"/>
          <w:sz w:val="24"/>
          <w:szCs w:val="24"/>
        </w:rPr>
        <w:t>assessed using the standard addition approach. This technique involves the addition of known quantities of the analytes to a placebo matrix to evaluate the method’s ability to recover the true amount of drug in the presence of formulation excipients.</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Targe</w:t>
      </w:r>
      <w:r>
        <w:rPr>
          <w:rFonts w:ascii="Times New Roman" w:hAnsi="Times New Roman" w:cs="Times New Roman"/>
          <w:b/>
          <w:bCs/>
          <w:sz w:val="24"/>
          <w:szCs w:val="24"/>
        </w:rPr>
        <w:t>t Concentration:</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target concentration for the spiked samples was fixed at Dapagliflozin + Eplerenone = 20 + 50 µg/mL. This concentration lies within the established working range of the method and serves as a suitable midpoint for accuracy evaluation.</w:t>
      </w:r>
    </w:p>
    <w:p w:rsidR="005A19B5" w:rsidRDefault="005A19B5">
      <w:pPr>
        <w:tabs>
          <w:tab w:val="left" w:pos="2595"/>
        </w:tabs>
        <w:spacing w:line="240" w:lineRule="auto"/>
        <w:jc w:val="both"/>
        <w:rPr>
          <w:rFonts w:ascii="Times New Roman" w:hAnsi="Times New Roman" w:cs="Times New Roman"/>
          <w:b/>
          <w:bCs/>
          <w:sz w:val="24"/>
          <w:szCs w:val="24"/>
        </w:rPr>
      </w:pP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 Levels: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Accuracy was evaluated at three levels, corresponding to 50%, 100%, and 150% of the target concentration. </w:t>
      </w:r>
    </w:p>
    <w:p w:rsidR="005A19B5" w:rsidRDefault="005A19B5">
      <w:pPr>
        <w:tabs>
          <w:tab w:val="left" w:pos="2595"/>
        </w:tabs>
        <w:spacing w:line="240" w:lineRule="auto"/>
        <w:jc w:val="both"/>
        <w:rPr>
          <w:rFonts w:ascii="Times New Roman" w:hAnsi="Times New Roman" w:cs="Times New Roman"/>
          <w:sz w:val="24"/>
          <w:szCs w:val="24"/>
        </w:rPr>
      </w:pPr>
    </w:p>
    <w:p w:rsidR="005A19B5" w:rsidRDefault="005A19B5">
      <w:pPr>
        <w:tabs>
          <w:tab w:val="left" w:pos="2595"/>
        </w:tabs>
        <w:spacing w:line="240" w:lineRule="auto"/>
        <w:jc w:val="both"/>
        <w:rPr>
          <w:rFonts w:ascii="Times New Roman" w:hAnsi="Times New Roman" w:cs="Times New Roman"/>
          <w:sz w:val="24"/>
          <w:szCs w:val="24"/>
        </w:rPr>
      </w:pPr>
    </w:p>
    <w:p w:rsidR="005A19B5" w:rsidRDefault="005A19B5">
      <w:pPr>
        <w:tabs>
          <w:tab w:val="left" w:pos="2595"/>
        </w:tabs>
        <w:spacing w:line="240" w:lineRule="auto"/>
        <w:jc w:val="both"/>
        <w:rPr>
          <w:rFonts w:ascii="Times New Roman" w:hAnsi="Times New Roman" w:cs="Times New Roman"/>
          <w:sz w:val="24"/>
          <w:szCs w:val="24"/>
        </w:rPr>
      </w:pP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Appropriate quantities of standard solutions were added to the placebo matrix to achieve these levels.</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Placebo Composition:</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placebo used for the study consisted of commonly employed excipients in tablet formulations, including:</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Microcrystalline cellulose- 50 mg</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Magnesium stearate- 3 mg</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lang w:val="it-IT"/>
        </w:rPr>
        <w:t>Mannitol- 30 mg</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lang w:val="it-IT"/>
        </w:rPr>
        <w:t>HPMC- 3 mg</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Procedure:</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placebo mixture was spiked with a known amount of s</w:t>
      </w:r>
      <w:r>
        <w:rPr>
          <w:rFonts w:ascii="Times New Roman" w:hAnsi="Times New Roman" w:cs="Times New Roman"/>
          <w:sz w:val="24"/>
          <w:szCs w:val="24"/>
        </w:rPr>
        <w:t>tandard solution containing Dapagliflozin and Eplerenone. The resulting solutions were prepared according to the method and analyzed under optimized chromatographic conditions.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By evaluating the recovery of the added analytes from the placebo matrix, the i</w:t>
      </w:r>
      <w:r>
        <w:rPr>
          <w:rFonts w:ascii="Times New Roman" w:hAnsi="Times New Roman" w:cs="Times New Roman"/>
          <w:sz w:val="24"/>
          <w:szCs w:val="24"/>
        </w:rPr>
        <w:t xml:space="preserve">nfluence of excipients on the analytical performance was determined. This approach provides a reliable measure of the method’s accuracy and its suitability for quantitative analysis in pharmaceutical formulations. The accuracy of the method was determined </w:t>
      </w:r>
      <w:r>
        <w:rPr>
          <w:rFonts w:ascii="Times New Roman" w:hAnsi="Times New Roman" w:cs="Times New Roman"/>
          <w:sz w:val="24"/>
          <w:szCs w:val="24"/>
        </w:rPr>
        <w:t>by calculating the percentage recovery of the added standard for both analytes. The extent of recovery at each level was used as an indicator of the method’s accuracy and its ability to measure the analytes in the presence of other formulation components.</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20 Preparation of sample solution for accuracy studies</w:t>
      </w:r>
    </w:p>
    <w:tbl>
      <w:tblPr>
        <w:tblStyle w:val="TableGrid"/>
        <w:tblW w:w="0" w:type="auto"/>
        <w:tblInd w:w="-5" w:type="dxa"/>
        <w:tblLook w:val="04A0" w:firstRow="1" w:lastRow="0" w:firstColumn="1" w:lastColumn="0" w:noHBand="0" w:noVBand="1"/>
      </w:tblPr>
      <w:tblGrid>
        <w:gridCol w:w="1417"/>
        <w:gridCol w:w="1277"/>
        <w:gridCol w:w="1842"/>
        <w:gridCol w:w="2074"/>
        <w:gridCol w:w="848"/>
        <w:gridCol w:w="3545"/>
      </w:tblGrid>
      <w:tr w:rsidR="005A19B5">
        <w:tc>
          <w:tcPr>
            <w:tcW w:w="1417" w:type="dxa"/>
          </w:tcPr>
          <w:p w:rsidR="005A19B5" w:rsidRDefault="00D046F1">
            <w:pPr>
              <w:tabs>
                <w:tab w:val="left" w:pos="259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Level of Spiking</w:t>
            </w:r>
          </w:p>
        </w:tc>
        <w:tc>
          <w:tcPr>
            <w:tcW w:w="127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Quantity of Placebo (mg)</w:t>
            </w:r>
          </w:p>
        </w:tc>
        <w:tc>
          <w:tcPr>
            <w:tcW w:w="1842"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Volume of stock solution added (mL)</w:t>
            </w:r>
          </w:p>
        </w:tc>
        <w:tc>
          <w:tcPr>
            <w:tcW w:w="2074"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Final dilution in 10 mL volumetric flask</w:t>
            </w:r>
          </w:p>
        </w:tc>
        <w:tc>
          <w:tcPr>
            <w:tcW w:w="4393" w:type="dxa"/>
            <w:gridSpan w:val="2"/>
          </w:tcPr>
          <w:p w:rsidR="005A19B5" w:rsidRDefault="00D046F1">
            <w:pPr>
              <w:tabs>
                <w:tab w:val="left" w:pos="2595"/>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Final Concentration (µg/mL) </w:t>
            </w:r>
          </w:p>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DAPA   EPLE</w:t>
            </w:r>
          </w:p>
        </w:tc>
      </w:tr>
      <w:tr w:rsidR="005A19B5">
        <w:tc>
          <w:tcPr>
            <w:tcW w:w="141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Un-spiked</w:t>
            </w:r>
          </w:p>
        </w:tc>
        <w:tc>
          <w:tcPr>
            <w:tcW w:w="127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42"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074" w:type="dxa"/>
            <w:vMerge w:val="restart"/>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Volume was made up </w:t>
            </w:r>
            <w:r>
              <w:rPr>
                <w:rFonts w:ascii="Times New Roman" w:hAnsi="Times New Roman" w:cs="Times New Roman"/>
                <w:sz w:val="24"/>
                <w:szCs w:val="24"/>
              </w:rPr>
              <w:t>with the diluent (methanol)</w:t>
            </w:r>
          </w:p>
        </w:tc>
        <w:tc>
          <w:tcPr>
            <w:tcW w:w="848"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545"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A19B5">
        <w:tc>
          <w:tcPr>
            <w:tcW w:w="141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27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42"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2074" w:type="dxa"/>
            <w:vMerge/>
          </w:tcPr>
          <w:p w:rsidR="005A19B5" w:rsidRDefault="005A19B5">
            <w:pPr>
              <w:tabs>
                <w:tab w:val="left" w:pos="2595"/>
              </w:tabs>
              <w:spacing w:after="0" w:line="240" w:lineRule="auto"/>
              <w:jc w:val="center"/>
              <w:rPr>
                <w:rFonts w:ascii="Times New Roman" w:hAnsi="Times New Roman" w:cs="Times New Roman"/>
                <w:sz w:val="24"/>
                <w:szCs w:val="24"/>
              </w:rPr>
            </w:pPr>
          </w:p>
        </w:tc>
        <w:tc>
          <w:tcPr>
            <w:tcW w:w="848"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545"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5A19B5">
        <w:tc>
          <w:tcPr>
            <w:tcW w:w="141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42"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4" w:type="dxa"/>
            <w:vMerge/>
          </w:tcPr>
          <w:p w:rsidR="005A19B5" w:rsidRDefault="005A19B5">
            <w:pPr>
              <w:tabs>
                <w:tab w:val="left" w:pos="2595"/>
              </w:tabs>
              <w:spacing w:after="0" w:line="240" w:lineRule="auto"/>
              <w:jc w:val="center"/>
              <w:rPr>
                <w:rFonts w:ascii="Times New Roman" w:hAnsi="Times New Roman" w:cs="Times New Roman"/>
                <w:sz w:val="24"/>
                <w:szCs w:val="24"/>
              </w:rPr>
            </w:pPr>
          </w:p>
        </w:tc>
        <w:tc>
          <w:tcPr>
            <w:tcW w:w="848"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545"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5A19B5">
        <w:tc>
          <w:tcPr>
            <w:tcW w:w="141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277"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842"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074" w:type="dxa"/>
            <w:vMerge/>
          </w:tcPr>
          <w:p w:rsidR="005A19B5" w:rsidRDefault="005A19B5">
            <w:pPr>
              <w:tabs>
                <w:tab w:val="left" w:pos="2595"/>
              </w:tabs>
              <w:spacing w:after="0" w:line="240" w:lineRule="auto"/>
              <w:jc w:val="center"/>
              <w:rPr>
                <w:rFonts w:ascii="Times New Roman" w:hAnsi="Times New Roman" w:cs="Times New Roman"/>
                <w:sz w:val="24"/>
                <w:szCs w:val="24"/>
              </w:rPr>
            </w:pPr>
          </w:p>
        </w:tc>
        <w:tc>
          <w:tcPr>
            <w:tcW w:w="848"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545"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5A19B5">
        <w:tc>
          <w:tcPr>
            <w:tcW w:w="11003" w:type="dxa"/>
            <w:gridSpan w:val="6"/>
          </w:tcPr>
          <w:p w:rsidR="005A19B5" w:rsidRDefault="00D046F1">
            <w:pPr>
              <w:tabs>
                <w:tab w:val="left" w:pos="2595"/>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w:t>
            </w:r>
            <w:r>
              <w:rPr>
                <w:rFonts w:ascii="Times New Roman" w:hAnsi="Times New Roman" w:cs="Times New Roman"/>
                <w:b/>
                <w:bCs/>
                <w:sz w:val="24"/>
                <w:szCs w:val="24"/>
              </w:rPr>
              <w:t xml:space="preserve"> </w:t>
            </w:r>
            <w:r>
              <w:rPr>
                <w:rFonts w:ascii="Times New Roman" w:hAnsi="Times New Roman" w:cs="Times New Roman"/>
                <w:b/>
                <w:bCs/>
                <w:sz w:val="24"/>
                <w:szCs w:val="24"/>
              </w:rPr>
              <w:t>reparation of Standard Solution</w:t>
            </w:r>
          </w:p>
          <w:p w:rsidR="005A19B5" w:rsidRDefault="00D046F1">
            <w:pPr>
              <w:tabs>
                <w:tab w:val="left" w:pos="2595"/>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Step 1: Preparation of Stock Solution</w:t>
            </w:r>
          </w:p>
          <w:p w:rsidR="005A19B5" w:rsidRDefault="00D046F1">
            <w:pPr>
              <w:tabs>
                <w:tab w:val="left" w:pos="25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Accurately weigh 20 mg of Dapagliflozin and 50 mg of Eplerenone and transfer both into a 100 </w:t>
            </w:r>
            <w:r>
              <w:rPr>
                <w:rFonts w:ascii="Times New Roman" w:hAnsi="Times New Roman" w:cs="Times New Roman"/>
                <w:sz w:val="24"/>
                <w:szCs w:val="24"/>
              </w:rPr>
              <w:t>mL volumetric flask. Add approximately 70 mL of methanol and sonicate the solution until complete dissolution of both analytes is achieved. After ensuring complete dissolution, make up the volume to the mark with methanol to obtain a combined stock solutio</w:t>
            </w:r>
            <w:r>
              <w:rPr>
                <w:rFonts w:ascii="Times New Roman" w:hAnsi="Times New Roman" w:cs="Times New Roman"/>
                <w:sz w:val="24"/>
                <w:szCs w:val="24"/>
              </w:rPr>
              <w:t>n having a concentration of 200 µg/mL of Dapagliflozin and 500 µg/mL of Eplerenone.</w:t>
            </w:r>
          </w:p>
          <w:p w:rsidR="005A19B5" w:rsidRDefault="005A19B5">
            <w:pPr>
              <w:tabs>
                <w:tab w:val="left" w:pos="2595"/>
              </w:tabs>
              <w:spacing w:after="0" w:line="240" w:lineRule="auto"/>
              <w:jc w:val="both"/>
              <w:rPr>
                <w:rFonts w:ascii="Times New Roman" w:hAnsi="Times New Roman" w:cs="Times New Roman"/>
                <w:sz w:val="24"/>
                <w:szCs w:val="24"/>
              </w:rPr>
            </w:pPr>
          </w:p>
        </w:tc>
      </w:tr>
    </w:tbl>
    <w:p w:rsidR="005A19B5" w:rsidRDefault="005A19B5">
      <w:pPr>
        <w:tabs>
          <w:tab w:val="left" w:pos="2595"/>
        </w:tabs>
        <w:spacing w:line="240" w:lineRule="auto"/>
        <w:jc w:val="both"/>
        <w:rPr>
          <w:rFonts w:ascii="Times New Roman" w:hAnsi="Times New Roman" w:cs="Times New Roman"/>
          <w:b/>
          <w:bCs/>
          <w:sz w:val="24"/>
          <w:szCs w:val="24"/>
        </w:rPr>
      </w:pPr>
    </w:p>
    <w:p w:rsidR="005A19B5" w:rsidRDefault="00D046F1">
      <w:pPr>
        <w:pStyle w:val="ListParagraph"/>
        <w:tabs>
          <w:tab w:val="left" w:pos="2595"/>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LOD and LOQ</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sensitivity of the developed HPLC method was evaluated by determining the Limit of Detection (LOD) and Limit of Quantification (LOQ) for Dapagliflozin </w:t>
      </w:r>
      <w:r>
        <w:rPr>
          <w:rFonts w:ascii="Times New Roman" w:hAnsi="Times New Roman" w:cs="Times New Roman"/>
          <w:sz w:val="24"/>
          <w:szCs w:val="24"/>
        </w:rPr>
        <w:t>and Eplerenone.</w:t>
      </w:r>
    </w:p>
    <w:p w:rsidR="005A19B5" w:rsidRDefault="00D046F1">
      <w:pPr>
        <w:numPr>
          <w:ilvl w:val="0"/>
          <w:numId w:val="43"/>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Principle:</w:t>
      </w:r>
      <w:r>
        <w:rPr>
          <w:rFonts w:ascii="Times New Roman" w:hAnsi="Times New Roman" w:cs="Times New Roman"/>
          <w:sz w:val="24"/>
          <w:szCs w:val="24"/>
        </w:rPr>
        <w:br/>
        <w:t xml:space="preserve">The LOD and LOQ were calculated based on the standard deviation of the response (σ) and the slope (S) of the calibration curve obtained from linearity studies. </w:t>
      </w:r>
    </w:p>
    <w:p w:rsidR="005A19B5" w:rsidRDefault="00D046F1">
      <w:pPr>
        <w:numPr>
          <w:ilvl w:val="0"/>
          <w:numId w:val="43"/>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Calculation:</w:t>
      </w:r>
      <w:r>
        <w:rPr>
          <w:rFonts w:ascii="Times New Roman" w:hAnsi="Times New Roman" w:cs="Times New Roman"/>
          <w:sz w:val="24"/>
          <w:szCs w:val="24"/>
        </w:rPr>
        <w:br/>
        <w:t>The following equations were used for estimation:</w:t>
      </w:r>
    </w:p>
    <w:p w:rsidR="005A19B5" w:rsidRDefault="005A19B5">
      <w:pPr>
        <w:tabs>
          <w:tab w:val="left" w:pos="2595"/>
        </w:tabs>
        <w:spacing w:line="240" w:lineRule="auto"/>
        <w:jc w:val="both"/>
        <w:rPr>
          <w:rFonts w:hAnsi="Cambria Math" w:cs="Times New Roman"/>
          <w:sz w:val="24"/>
          <w:szCs w:val="24"/>
        </w:rPr>
      </w:pPr>
    </w:p>
    <w:p w:rsidR="005A19B5" w:rsidRDefault="00D046F1">
      <w:pPr>
        <w:tabs>
          <w:tab w:val="left" w:pos="2595"/>
        </w:tabs>
        <w:spacing w:line="240" w:lineRule="auto"/>
        <w:jc w:val="both"/>
        <w:rPr>
          <w:rFonts w:ascii="Times New Roman" w:hAnsi="Times New Roman" w:cs="Times New Roman"/>
          <w:sz w:val="24"/>
          <w:szCs w:val="24"/>
        </w:rPr>
      </w:pPr>
      <m:oMathPara>
        <m:oMath>
          <m:r>
            <m:rPr>
              <m:nor/>
            </m:rPr>
            <w:rPr>
              <w:rFonts w:ascii="Cambria Math" w:hAnsi="Cambria Math" w:cs="Times New Roman"/>
              <w:i/>
              <w:sz w:val="24"/>
              <w:szCs w:val="24"/>
            </w:rPr>
            <m:t>LOD</m:t>
          </m:r>
          <m:r>
            <m:rPr>
              <m:nor/>
            </m:rPr>
            <w:rPr>
              <w:rFonts w:ascii="Cambria Math" w:hAnsi="Cambria Math" w:cs="Times New Roman"/>
              <w:sz w:val="24"/>
              <w:szCs w:val="24"/>
            </w:rPr>
            <m:t>=3.3×</m:t>
          </m:r>
          <m:f>
            <m:fPr>
              <m:ctrlPr>
                <w:rPr>
                  <w:rFonts w:ascii="Cambria Math" w:hAnsi="Cambria Math" w:cs="Times New Roman"/>
                  <w:sz w:val="24"/>
                  <w:szCs w:val="24"/>
                </w:rPr>
              </m:ctrlPr>
            </m:fPr>
            <m:num>
              <m:r>
                <m:rPr>
                  <m:nor/>
                </m:rPr>
                <w:rPr>
                  <w:rFonts w:ascii="Cambria Math" w:hAnsi="Cambria Math" w:cs="Times New Roman"/>
                  <w:i/>
                  <w:sz w:val="24"/>
                  <w:szCs w:val="24"/>
                </w:rPr>
                <m:t>σ</m:t>
              </m:r>
            </m:num>
            <m:den>
              <m:r>
                <m:rPr>
                  <m:nor/>
                </m:rPr>
                <w:rPr>
                  <w:rFonts w:ascii="Cambria Math" w:hAnsi="Cambria Math" w:cs="Times New Roman"/>
                  <w:i/>
                  <w:sz w:val="24"/>
                  <w:szCs w:val="24"/>
                </w:rPr>
                <m:t>S</m:t>
              </m:r>
            </m:den>
          </m:f>
          <m:r>
            <m:rPr>
              <m:nor/>
            </m:rPr>
            <w:rPr>
              <w:rFonts w:ascii="Cambria Math" w:hAnsi="Cambria Math" w:cs="Times New Roman"/>
              <w:sz w:val="24"/>
              <w:szCs w:val="24"/>
            </w:rPr>
            <w:br/>
          </m:r>
        </m:oMath>
        <m:oMath>
          <m:r>
            <m:rPr>
              <m:nor/>
            </m:rPr>
            <w:rPr>
              <w:rFonts w:ascii="Cambria Math" w:hAnsi="Cambria Math" w:cs="Times New Roman"/>
              <w:i/>
              <w:sz w:val="24"/>
              <w:szCs w:val="24"/>
            </w:rPr>
            <m:t>LOQ</m:t>
          </m:r>
          <m:r>
            <m:rPr>
              <m:nor/>
            </m:rPr>
            <w:rPr>
              <w:rFonts w:ascii="Cambria Math" w:hAnsi="Cambria Math" w:cs="Times New Roman"/>
              <w:sz w:val="24"/>
              <w:szCs w:val="24"/>
            </w:rPr>
            <m:t>=10×</m:t>
          </m:r>
          <m:f>
            <m:fPr>
              <m:ctrlPr>
                <w:rPr>
                  <w:rFonts w:ascii="Cambria Math" w:hAnsi="Cambria Math" w:cs="Times New Roman"/>
                  <w:sz w:val="24"/>
                  <w:szCs w:val="24"/>
                </w:rPr>
              </m:ctrlPr>
            </m:fPr>
            <m:num>
              <m:r>
                <m:rPr>
                  <m:nor/>
                </m:rPr>
                <w:rPr>
                  <w:rFonts w:ascii="Cambria Math" w:hAnsi="Cambria Math" w:cs="Times New Roman"/>
                  <w:i/>
                  <w:sz w:val="24"/>
                  <w:szCs w:val="24"/>
                </w:rPr>
                <m:t>σ</m:t>
              </m:r>
            </m:num>
            <m:den>
              <m:r>
                <m:rPr>
                  <m:nor/>
                </m:rPr>
                <w:rPr>
                  <w:rFonts w:ascii="Cambria Math" w:hAnsi="Cambria Math" w:cs="Times New Roman"/>
                  <w:i/>
                  <w:sz w:val="24"/>
                  <w:szCs w:val="24"/>
                </w:rPr>
                <m:t>S</m:t>
              </m:r>
            </m:den>
          </m:f>
        </m:oMath>
      </m:oMathPara>
    </w:p>
    <w:p w:rsidR="005A19B5" w:rsidRDefault="00D046F1">
      <w:pPr>
        <w:numPr>
          <w:ilvl w:val="0"/>
          <w:numId w:val="43"/>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Procedure:</w:t>
      </w:r>
      <w:r>
        <w:rPr>
          <w:rFonts w:ascii="Times New Roman" w:hAnsi="Times New Roman" w:cs="Times New Roman"/>
          <w:sz w:val="24"/>
          <w:szCs w:val="24"/>
        </w:rPr>
        <w:br/>
        <w:t>The calibration curve was constructed using multiple concentration levels of Dapagliflozin and Eplerenone. The slope (S) of the calibration curve was determined, and the standard deviation of the response (σ) was calculated fro</w:t>
      </w:r>
      <w:r>
        <w:rPr>
          <w:rFonts w:ascii="Times New Roman" w:hAnsi="Times New Roman" w:cs="Times New Roman"/>
          <w:sz w:val="24"/>
          <w:szCs w:val="24"/>
        </w:rPr>
        <w:t xml:space="preserve">m the y-intercepts of the regression lines. </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calculated LOD represents the lowest concentration of the analyte that can be reliably detected, whereas the LOQ indicates the lowest concentration that can be quantified with acceptable precision and accura</w:t>
      </w:r>
      <w:r>
        <w:rPr>
          <w:rFonts w:ascii="Times New Roman" w:hAnsi="Times New Roman" w:cs="Times New Roman"/>
          <w:sz w:val="24"/>
          <w:szCs w:val="24"/>
        </w:rPr>
        <w:t>cy.</w:t>
      </w:r>
    </w:p>
    <w:p w:rsidR="005A19B5" w:rsidRDefault="00D046F1">
      <w:pPr>
        <w:pStyle w:val="ListParagraph"/>
        <w:tabs>
          <w:tab w:val="left" w:pos="2595"/>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Robustness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To verify the reliability of the analytical procedure under practical conditions, the robustness of the method was investigated by deliberately altering selected operational parameters. The objective was to determine whether such minor adjus</w:t>
      </w:r>
      <w:r>
        <w:rPr>
          <w:rFonts w:ascii="Times New Roman" w:hAnsi="Times New Roman" w:cs="Times New Roman"/>
          <w:sz w:val="24"/>
          <w:szCs w:val="24"/>
        </w:rPr>
        <w:t>tments would influence the performance of the method.</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Variations were introduced in key chromatographic conditions, specifically the mobile phase flow rate and composition. Each parameter was modified independently while maintaining all other conditions co</w:t>
      </w:r>
      <w:r>
        <w:rPr>
          <w:rFonts w:ascii="Times New Roman" w:hAnsi="Times New Roman" w:cs="Times New Roman"/>
          <w:sz w:val="24"/>
          <w:szCs w:val="24"/>
        </w:rPr>
        <w:t>nstant, ensuring that the effect of each change could be evaluated in isolation.</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Under each altered condition, the standard mixture of Dapagliflozin and Eplerenone was analyzed, and the resulting chromatograms were carefully examined. Particular attention </w:t>
      </w:r>
      <w:r>
        <w:rPr>
          <w:rFonts w:ascii="Times New Roman" w:hAnsi="Times New Roman" w:cs="Times New Roman"/>
          <w:sz w:val="24"/>
          <w:szCs w:val="24"/>
        </w:rPr>
        <w:t>was given to any observable changes in peak profile, retention characteristics, and detector response.</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The method was considered robust as these controlled variations did not produce any significant deviation in the analytical outcome. This demonstrates th</w:t>
      </w:r>
      <w:r>
        <w:rPr>
          <w:rFonts w:ascii="Times New Roman" w:hAnsi="Times New Roman" w:cs="Times New Roman"/>
          <w:sz w:val="24"/>
          <w:szCs w:val="24"/>
        </w:rPr>
        <w:t>at the method possesses sufficient tolerance to minor changes and can be reliably applied in routine laboratory analysis.</w:t>
      </w:r>
    </w:p>
    <w:p w:rsidR="005A19B5" w:rsidRDefault="00D046F1">
      <w:pPr>
        <w:pStyle w:val="ListParagraph"/>
        <w:tabs>
          <w:tab w:val="left" w:pos="2595"/>
        </w:tabs>
        <w:spacing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Assay of synthetic mixture</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Solutions for Assay</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synthetic mixture was prepared in a fixed ratio of Dapagliflozin to </w:t>
      </w:r>
      <w:r>
        <w:rPr>
          <w:rFonts w:ascii="Times New Roman" w:hAnsi="Times New Roman" w:cs="Times New Roman"/>
          <w:sz w:val="24"/>
          <w:szCs w:val="24"/>
        </w:rPr>
        <w:t>Eplerenone of 2:5. Accordingly, the mixture contained 20 mg of Dapagliflozin and 50 mg of Eplerenone along with common pharmaceutical excipients.</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Preparation of Concentrated Stock Solution:</w:t>
      </w:r>
    </w:p>
    <w:p w:rsidR="005A19B5" w:rsidRDefault="00D046F1">
      <w:pPr>
        <w:numPr>
          <w:ilvl w:val="0"/>
          <w:numId w:val="44"/>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Weighing and Mixing:</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Accurately weigh 20 mg of Dapagliflozin and 50 mg of Eplerenone along with excipients such as Microcrystalline cellulose, Magnesium stearate, and Talc in appropriate proportions. </w:t>
      </w:r>
    </w:p>
    <w:p w:rsidR="005A19B5" w:rsidRDefault="00D046F1">
      <w:pPr>
        <w:numPr>
          <w:ilvl w:val="0"/>
          <w:numId w:val="44"/>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Dissolution of Components:</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Transfer the weighed mixture into a 100 mL volume</w:t>
      </w:r>
      <w:r>
        <w:rPr>
          <w:rFonts w:ascii="Times New Roman" w:hAnsi="Times New Roman" w:cs="Times New Roman"/>
          <w:sz w:val="24"/>
          <w:szCs w:val="24"/>
        </w:rPr>
        <w:t xml:space="preserve">tric flask and add about 70 mL of methanol. Sonicate the solution to ensure complete dissolution of the active pharmaceutical ingredients. </w:t>
      </w:r>
    </w:p>
    <w:p w:rsidR="005A19B5" w:rsidRDefault="00D046F1">
      <w:pPr>
        <w:numPr>
          <w:ilvl w:val="0"/>
          <w:numId w:val="44"/>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Volume Adjustment:</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After complete dissolution, make up the volume to 100 mL with methanol to obtain a concentrated s</w:t>
      </w:r>
      <w:r>
        <w:rPr>
          <w:rFonts w:ascii="Times New Roman" w:hAnsi="Times New Roman" w:cs="Times New Roman"/>
          <w:sz w:val="24"/>
          <w:szCs w:val="24"/>
        </w:rPr>
        <w:t xml:space="preserve">tock solution containing 200 µg/mL of Dapagliflozin and 500 µg/mL of Eplerenone. </w:t>
      </w:r>
    </w:p>
    <w:p w:rsidR="005A19B5" w:rsidRDefault="00D046F1">
      <w:pPr>
        <w:numPr>
          <w:ilvl w:val="0"/>
          <w:numId w:val="44"/>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Dilution to Intermediate Solution:</w:t>
      </w:r>
    </w:p>
    <w:p w:rsidR="005A19B5" w:rsidRDefault="00D046F1">
      <w:pPr>
        <w:tabs>
          <w:tab w:val="left" w:pos="2595"/>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Transfer 10 mL of the above stock solution into a 100 mL volumetric flask and dilute to volume with methanol. This results in an intermedia</w:t>
      </w:r>
      <w:r>
        <w:rPr>
          <w:rFonts w:ascii="Times New Roman" w:hAnsi="Times New Roman" w:cs="Times New Roman"/>
          <w:sz w:val="24"/>
          <w:szCs w:val="24"/>
        </w:rPr>
        <w:t xml:space="preserve">te solution having concentrations of 20 µg/mL of Dapagliflozin and 50 µg/mL of Eplerenone. </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Test Solution Preparation:</w:t>
      </w:r>
    </w:p>
    <w:p w:rsidR="005A19B5" w:rsidRDefault="005A19B5">
      <w:pPr>
        <w:tabs>
          <w:tab w:val="left" w:pos="567"/>
          <w:tab w:val="left" w:pos="2595"/>
        </w:tabs>
        <w:spacing w:line="240" w:lineRule="auto"/>
        <w:jc w:val="both"/>
        <w:rPr>
          <w:rFonts w:ascii="Times New Roman" w:hAnsi="Times New Roman" w:cs="Times New Roman"/>
          <w:sz w:val="24"/>
          <w:szCs w:val="24"/>
        </w:rPr>
      </w:pPr>
    </w:p>
    <w:p w:rsidR="005A19B5" w:rsidRDefault="005A19B5">
      <w:pPr>
        <w:tabs>
          <w:tab w:val="left" w:pos="567"/>
          <w:tab w:val="left" w:pos="2595"/>
        </w:tabs>
        <w:spacing w:line="240" w:lineRule="auto"/>
        <w:jc w:val="both"/>
        <w:rPr>
          <w:rFonts w:ascii="Times New Roman" w:hAnsi="Times New Roman" w:cs="Times New Roman"/>
          <w:sz w:val="24"/>
          <w:szCs w:val="24"/>
        </w:rPr>
      </w:pPr>
    </w:p>
    <w:p w:rsidR="005A19B5" w:rsidRDefault="005A19B5">
      <w:pPr>
        <w:tabs>
          <w:tab w:val="left" w:pos="567"/>
          <w:tab w:val="left" w:pos="2595"/>
        </w:tabs>
        <w:spacing w:line="240" w:lineRule="auto"/>
        <w:jc w:val="both"/>
        <w:rPr>
          <w:rFonts w:ascii="Times New Roman" w:hAnsi="Times New Roman" w:cs="Times New Roman"/>
          <w:sz w:val="24"/>
          <w:szCs w:val="24"/>
        </w:rPr>
      </w:pPr>
    </w:p>
    <w:p w:rsidR="005A19B5" w:rsidRDefault="00D046F1">
      <w:pPr>
        <w:numPr>
          <w:ilvl w:val="0"/>
          <w:numId w:val="45"/>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 suitable aliquot of the intermediate solution was filtered through a 0.45 µm membrane filter. </w:t>
      </w:r>
    </w:p>
    <w:p w:rsidR="005A19B5" w:rsidRDefault="00D046F1">
      <w:pPr>
        <w:numPr>
          <w:ilvl w:val="0"/>
          <w:numId w:val="45"/>
        </w:numPr>
        <w:tabs>
          <w:tab w:val="clear" w:pos="720"/>
          <w:tab w:val="left" w:pos="567"/>
          <w:tab w:val="left" w:pos="2595"/>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The filtered solution was directly us</w:t>
      </w:r>
      <w:r>
        <w:rPr>
          <w:rFonts w:ascii="Times New Roman" w:hAnsi="Times New Roman" w:cs="Times New Roman"/>
          <w:sz w:val="24"/>
          <w:szCs w:val="24"/>
        </w:rPr>
        <w:t xml:space="preserve">ed as the working test solution for analysis. </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Following optimization of chromatographic conditions, triplicate injections (n = 3) of the prepared solution (injection volume: 20 µL) were carried out, and the chromatograms were recorded for quantitative eva</w:t>
      </w:r>
      <w:r>
        <w:rPr>
          <w:rFonts w:ascii="Times New Roman" w:hAnsi="Times New Roman" w:cs="Times New Roman"/>
          <w:sz w:val="24"/>
          <w:szCs w:val="24"/>
        </w:rPr>
        <w:t>luation.</w:t>
      </w:r>
    </w:p>
    <w:p w:rsidR="005A19B5" w:rsidRDefault="005A19B5">
      <w:pPr>
        <w:tabs>
          <w:tab w:val="left" w:pos="2595"/>
        </w:tabs>
        <w:spacing w:line="240" w:lineRule="auto"/>
        <w:ind w:left="567" w:hanging="567"/>
        <w:rPr>
          <w:rFonts w:ascii="Times New Roman" w:hAnsi="Times New Roman" w:cs="Times New Roman"/>
          <w:b/>
          <w:bCs/>
          <w:sz w:val="28"/>
          <w:szCs w:val="28"/>
        </w:rPr>
      </w:pPr>
    </w:p>
    <w:p w:rsidR="005A19B5" w:rsidRDefault="00D046F1">
      <w:pPr>
        <w:tabs>
          <w:tab w:val="left" w:pos="2595"/>
        </w:tabs>
        <w:spacing w:line="240" w:lineRule="auto"/>
        <w:ind w:left="567" w:hanging="567"/>
        <w:rPr>
          <w:rFonts w:ascii="Times New Roman" w:hAnsi="Times New Roman" w:cs="Times New Roman"/>
          <w:b/>
          <w:bCs/>
          <w:sz w:val="28"/>
          <w:szCs w:val="28"/>
        </w:rPr>
      </w:pPr>
      <w:r>
        <w:rPr>
          <w:rFonts w:ascii="Times New Roman" w:hAnsi="Times New Roman" w:cs="Times New Roman"/>
          <w:b/>
          <w:bCs/>
          <w:sz w:val="28"/>
          <w:szCs w:val="28"/>
        </w:rPr>
        <w:t>RESULTS AND DISCUSSION</w:t>
      </w:r>
    </w:p>
    <w:p w:rsidR="005A19B5" w:rsidRDefault="00D046F1">
      <w:pPr>
        <w:tabs>
          <w:tab w:val="left" w:pos="2595"/>
        </w:tabs>
        <w:spacing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Analytical wavelength detection</w:t>
      </w:r>
    </w:p>
    <w:p w:rsidR="005A19B5" w:rsidRDefault="00D046F1">
      <w:pPr>
        <w:tabs>
          <w:tab w:val="left" w:pos="2595"/>
        </w:tabs>
        <w:spacing w:line="240" w:lineRule="auto"/>
        <w:ind w:left="567" w:hanging="567"/>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797675" cy="2188845"/>
            <wp:effectExtent l="9525" t="9525" r="12700" b="1143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a:srcRect/>
                    <a:stretch>
                      <a:fillRect/>
                    </a:stretch>
                  </pic:blipFill>
                  <pic:spPr>
                    <a:xfrm>
                      <a:off x="0" y="0"/>
                      <a:ext cx="6797675" cy="2188845"/>
                    </a:xfrm>
                    <a:prstGeom prst="rect">
                      <a:avLst/>
                    </a:prstGeom>
                    <a:noFill/>
                    <a:ln w="9525">
                      <a:solidFill>
                        <a:schemeClr val="tx1"/>
                      </a:solidFill>
                      <a:miter lim="800000"/>
                      <a:headEnd/>
                      <a:tailEnd/>
                    </a:ln>
                  </pic:spPr>
                </pic:pic>
              </a:graphicData>
            </a:graphic>
          </wp:inline>
        </w:drawing>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15 Overlay spectra of Dapagliflozin and Eplerenone</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UV preparation: 10 ppm of dapagliflozin and 25 ppm of eplerenone solutions were prepared in methanol and scanned in the range of </w:t>
      </w:r>
      <w:r>
        <w:rPr>
          <w:rFonts w:ascii="Times New Roman" w:hAnsi="Times New Roman" w:cs="Times New Roman"/>
          <w:sz w:val="24"/>
          <w:szCs w:val="24"/>
        </w:rPr>
        <w:t>200 to 400 nm.</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Results: Isosbestic point 228 nm.</w:t>
      </w:r>
    </w:p>
    <w:p w:rsidR="005A19B5" w:rsidRDefault="00D046F1">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Chromatographic condition optimization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Following a series of experiments to optimize chromatographic parameters for DAPA and EPLE analysis, a robust RP-HPLC method was established. This method will be furthe</w:t>
      </w:r>
      <w:r>
        <w:rPr>
          <w:rFonts w:ascii="Times New Roman" w:hAnsi="Times New Roman" w:cs="Times New Roman"/>
          <w:sz w:val="24"/>
          <w:szCs w:val="24"/>
        </w:rPr>
        <w:t>r validated to ensure its accuracy, precision, and other performance characteristics.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955665" cy="1714500"/>
            <wp:effectExtent l="9525" t="9525" r="16510" b="9525"/>
            <wp:docPr id="439554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54288"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55665" cy="1714500"/>
                    </a:xfrm>
                    <a:prstGeom prst="rect">
                      <a:avLst/>
                    </a:prstGeom>
                    <a:ln>
                      <a:solidFill>
                        <a:schemeClr val="tx1"/>
                      </a:solidFill>
                    </a:ln>
                  </pic:spPr>
                </pic:pic>
              </a:graphicData>
            </a:graphic>
          </wp:inline>
        </w:drawing>
      </w:r>
    </w:p>
    <w:p w:rsidR="005A19B5" w:rsidRDefault="00D046F1">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Figure 16 Trial 1- 20 µg/ml dapagliflozin + 50 µg/ml eplerenone, M.P- Water : Methanol (50:50 %v/v)</w:t>
      </w:r>
    </w:p>
    <w:p w:rsidR="005A19B5" w:rsidRDefault="005A19B5">
      <w:pPr>
        <w:tabs>
          <w:tab w:val="left" w:pos="2595"/>
        </w:tabs>
        <w:spacing w:line="240" w:lineRule="auto"/>
        <w:jc w:val="both"/>
        <w:rPr>
          <w:rFonts w:ascii="Times New Roman" w:hAnsi="Times New Roman" w:cs="Times New Roman"/>
          <w:b/>
          <w:bCs/>
          <w:sz w:val="24"/>
          <w:szCs w:val="24"/>
        </w:rPr>
      </w:pPr>
    </w:p>
    <w:p w:rsidR="005A19B5" w:rsidRDefault="005A19B5">
      <w:pPr>
        <w:tabs>
          <w:tab w:val="left" w:pos="2595"/>
        </w:tabs>
        <w:spacing w:line="240" w:lineRule="auto"/>
        <w:jc w:val="both"/>
        <w:rPr>
          <w:rFonts w:ascii="Times New Roman" w:hAnsi="Times New Roman" w:cs="Times New Roman"/>
          <w:sz w:val="24"/>
          <w:szCs w:val="24"/>
        </w:rPr>
      </w:pPr>
    </w:p>
    <w:p w:rsidR="005A19B5" w:rsidRDefault="005A19B5">
      <w:pPr>
        <w:tabs>
          <w:tab w:val="left" w:pos="2595"/>
        </w:tabs>
        <w:spacing w:line="240" w:lineRule="auto"/>
        <w:jc w:val="both"/>
        <w:rPr>
          <w:rFonts w:ascii="Times New Roman" w:hAnsi="Times New Roman" w:cs="Times New Roman"/>
          <w:sz w:val="24"/>
          <w:szCs w:val="24"/>
        </w:rPr>
      </w:pPr>
    </w:p>
    <w:p w:rsidR="005A19B5" w:rsidRDefault="005A19B5">
      <w:pPr>
        <w:tabs>
          <w:tab w:val="left" w:pos="2595"/>
        </w:tabs>
        <w:spacing w:line="240" w:lineRule="auto"/>
        <w:rPr>
          <w:rFonts w:ascii="Times New Roman" w:hAnsi="Times New Roman" w:cs="Times New Roman"/>
          <w:sz w:val="24"/>
          <w:szCs w:val="24"/>
        </w:rPr>
        <w:sectPr w:rsidR="005A19B5">
          <w:headerReference w:type="default" r:id="rId35"/>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p w:rsidR="005A19B5" w:rsidRDefault="005A19B5">
      <w:pPr>
        <w:tabs>
          <w:tab w:val="left" w:pos="2595"/>
        </w:tabs>
        <w:spacing w:line="240" w:lineRule="auto"/>
        <w:ind w:left="567" w:hanging="567"/>
        <w:jc w:val="center"/>
        <w:rPr>
          <w:rFonts w:ascii="Times New Roman" w:hAnsi="Times New Roman" w:cs="Times New Roman"/>
          <w:b/>
          <w:bCs/>
          <w:sz w:val="24"/>
          <w:szCs w:val="24"/>
        </w:rPr>
      </w:pPr>
    </w:p>
    <w:p w:rsidR="005A19B5" w:rsidRDefault="005A19B5">
      <w:pPr>
        <w:tabs>
          <w:tab w:val="left" w:pos="2595"/>
        </w:tabs>
        <w:spacing w:line="240" w:lineRule="auto"/>
        <w:ind w:left="567" w:hanging="567"/>
        <w:jc w:val="center"/>
        <w:rPr>
          <w:rFonts w:ascii="Times New Roman" w:hAnsi="Times New Roman" w:cs="Times New Roman"/>
          <w:b/>
          <w:bCs/>
          <w:sz w:val="24"/>
          <w:szCs w:val="24"/>
        </w:rPr>
      </w:pPr>
    </w:p>
    <w:p w:rsidR="005A19B5" w:rsidRDefault="00D046F1">
      <w:pPr>
        <w:tabs>
          <w:tab w:val="left" w:pos="2595"/>
        </w:tabs>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5602605" cy="1271905"/>
            <wp:effectExtent l="9525" t="9525" r="26670" b="13970"/>
            <wp:docPr id="19931449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44929" name="Picture 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602605" cy="1271905"/>
                    </a:xfrm>
                    <a:prstGeom prst="rect">
                      <a:avLst/>
                    </a:prstGeom>
                    <a:ln>
                      <a:solidFill>
                        <a:schemeClr val="tx1"/>
                      </a:solidFill>
                    </a:ln>
                  </pic:spPr>
                </pic:pic>
              </a:graphicData>
            </a:graphic>
          </wp:inline>
        </w:drawing>
      </w:r>
    </w:p>
    <w:p w:rsidR="005A19B5" w:rsidRDefault="00D046F1">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17</w:t>
      </w:r>
      <w:r>
        <w:rPr>
          <w:rFonts w:ascii="Times New Roman" w:hAnsi="Times New Roman" w:cs="Times New Roman"/>
          <w:b/>
          <w:bCs/>
          <w:sz w:val="24"/>
          <w:szCs w:val="24"/>
        </w:rPr>
        <w:t xml:space="preserve"> Trial 2- 20 µg/ml dapagliflozin + 50 µg/ml eplerenone, M.P- Water : Methanol (40:60 %v/v)</w:t>
      </w:r>
    </w:p>
    <w:p w:rsidR="005A19B5" w:rsidRDefault="00D046F1">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5062220" cy="1466850"/>
            <wp:effectExtent l="9525" t="9525" r="14605" b="9525"/>
            <wp:docPr id="778138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38030" name="Picture 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062220" cy="1466850"/>
                    </a:xfrm>
                    <a:prstGeom prst="rect">
                      <a:avLst/>
                    </a:prstGeom>
                    <a:ln>
                      <a:solidFill>
                        <a:schemeClr val="tx1"/>
                      </a:solidFill>
                    </a:ln>
                  </pic:spPr>
                </pic:pic>
              </a:graphicData>
            </a:graphic>
          </wp:inline>
        </w:drawing>
      </w:r>
    </w:p>
    <w:p w:rsidR="005A19B5" w:rsidRDefault="00D046F1">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18 Trial 3- 20 µg/ml dapagliflozin + 50 µg/ml eplerenone, M.P- Water : Acetonitrile (50:50 %v/v)</w:t>
      </w:r>
    </w:p>
    <w:p w:rsidR="005A19B5" w:rsidRDefault="00D046F1">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4757420" cy="1351280"/>
            <wp:effectExtent l="9525" t="9525" r="14605" b="10795"/>
            <wp:docPr id="1504122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2729" name="Picture 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757420" cy="1351280"/>
                    </a:xfrm>
                    <a:prstGeom prst="rect">
                      <a:avLst/>
                    </a:prstGeom>
                    <a:ln>
                      <a:solidFill>
                        <a:schemeClr val="tx1"/>
                      </a:solidFill>
                    </a:ln>
                  </pic:spPr>
                </pic:pic>
              </a:graphicData>
            </a:graphic>
          </wp:inline>
        </w:drawing>
      </w:r>
    </w:p>
    <w:p w:rsidR="005A19B5" w:rsidRDefault="00D046F1">
      <w:pPr>
        <w:tabs>
          <w:tab w:val="left" w:pos="2595"/>
        </w:tabs>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sz w:val="24"/>
          <w:szCs w:val="24"/>
        </w:rPr>
        <w:t xml:space="preserve">Figure 19 Trial 4- 20 µg/ml dapagliflozin + 50 µg/ml </w:t>
      </w:r>
      <w:r>
        <w:rPr>
          <w:rFonts w:ascii="Times New Roman" w:hAnsi="Times New Roman" w:cs="Times New Roman"/>
          <w:b/>
          <w:bCs/>
          <w:sz w:val="24"/>
          <w:szCs w:val="24"/>
        </w:rPr>
        <w:t>eplerenone, M.P- Water : Acetonitrile (60:40 %v/v)</w:t>
      </w:r>
    </w:p>
    <w:p w:rsidR="005A19B5" w:rsidRDefault="00D046F1">
      <w:pPr>
        <w:tabs>
          <w:tab w:val="left" w:pos="2595"/>
        </w:tabs>
        <w:spacing w:line="240" w:lineRule="auto"/>
        <w:ind w:left="567" w:hanging="567"/>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4531360" cy="1252855"/>
            <wp:effectExtent l="9525" t="9525" r="12065" b="13970"/>
            <wp:docPr id="635084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84270" name="Picture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531360" cy="1252855"/>
                    </a:xfrm>
                    <a:prstGeom prst="rect">
                      <a:avLst/>
                    </a:prstGeom>
                    <a:ln>
                      <a:solidFill>
                        <a:schemeClr val="tx1"/>
                      </a:solidFill>
                    </a:ln>
                  </pic:spPr>
                </pic:pic>
              </a:graphicData>
            </a:graphic>
          </wp:inline>
        </w:drawing>
      </w:r>
    </w:p>
    <w:p w:rsidR="005A19B5" w:rsidRDefault="00D046F1">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20 Trial 5- 20 µg/ml dapagliflozin + 50 µg/ml eplerenone, M.P- Phosphate buffer : Methanol (50:50 %v/v)</w:t>
      </w:r>
    </w:p>
    <w:p w:rsidR="005A19B5" w:rsidRDefault="00D046F1">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4538980" cy="1438910"/>
            <wp:effectExtent l="9525" t="9525" r="23495" b="18415"/>
            <wp:docPr id="58674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4150" name="Picture 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538980" cy="1438910"/>
                    </a:xfrm>
                    <a:prstGeom prst="rect">
                      <a:avLst/>
                    </a:prstGeom>
                    <a:ln>
                      <a:solidFill>
                        <a:schemeClr val="tx1"/>
                      </a:solidFill>
                    </a:ln>
                  </pic:spPr>
                </pic:pic>
              </a:graphicData>
            </a:graphic>
          </wp:inline>
        </w:drawing>
      </w:r>
    </w:p>
    <w:p w:rsidR="005A19B5" w:rsidRDefault="00D046F1">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21 Trial 6- 20 µg/ml dapagliflozin + 50 µg/ml eplerenone, M.P- Phosphate buffer : M</w:t>
      </w:r>
      <w:r>
        <w:rPr>
          <w:rFonts w:ascii="Times New Roman" w:hAnsi="Times New Roman" w:cs="Times New Roman"/>
          <w:b/>
          <w:bCs/>
          <w:sz w:val="24"/>
          <w:szCs w:val="24"/>
        </w:rPr>
        <w:t>ethanol (30:70 %v/v)</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21 Optimized chromatographic conditions</w:t>
      </w:r>
    </w:p>
    <w:tbl>
      <w:tblPr>
        <w:tblStyle w:val="TableGrid"/>
        <w:tblW w:w="10589" w:type="dxa"/>
        <w:tblLook w:val="04A0" w:firstRow="1" w:lastRow="0" w:firstColumn="1" w:lastColumn="0" w:noHBand="0" w:noVBand="1"/>
      </w:tblPr>
      <w:tblGrid>
        <w:gridCol w:w="1659"/>
        <w:gridCol w:w="8930"/>
      </w:tblGrid>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Stationary Phase </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Cosmosil C18 (250 cm×4.6 mm, 5µm)</w:t>
            </w:r>
          </w:p>
        </w:tc>
      </w:tr>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Mobile Phase (v/v) </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Phosphate Buffer: Methanol (30:70%v/v)</w:t>
            </w:r>
          </w:p>
        </w:tc>
      </w:tr>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Diluent</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Methanol</w:t>
            </w:r>
          </w:p>
        </w:tc>
      </w:tr>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Mode of elution</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Isocratic</w:t>
            </w:r>
          </w:p>
        </w:tc>
      </w:tr>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Flow Rate (mL/min) </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 ml/min</w:t>
            </w:r>
          </w:p>
        </w:tc>
      </w:tr>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Detection Wavelength (nm)</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228 nm</w:t>
            </w:r>
          </w:p>
        </w:tc>
      </w:tr>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Column Temperature </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 °C</w:t>
            </w:r>
          </w:p>
        </w:tc>
      </w:tr>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Injection Volume (µL) </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 µL</w:t>
            </w:r>
          </w:p>
        </w:tc>
      </w:tr>
      <w:tr w:rsidR="005A19B5">
        <w:trPr>
          <w:trHeight w:val="409"/>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Run Time (minutes) </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 min</w:t>
            </w:r>
          </w:p>
        </w:tc>
      </w:tr>
      <w:tr w:rsidR="005A19B5">
        <w:trPr>
          <w:trHeight w:val="90"/>
        </w:trPr>
        <w:tc>
          <w:tcPr>
            <w:tcW w:w="1659"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Retention time (minutes)</w:t>
            </w:r>
          </w:p>
        </w:tc>
        <w:tc>
          <w:tcPr>
            <w:tcW w:w="893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DAPA- 6.2 min, EPLE- 2.6 min</w:t>
            </w:r>
          </w:p>
        </w:tc>
      </w:tr>
    </w:tbl>
    <w:p w:rsidR="005A19B5" w:rsidRDefault="005A19B5">
      <w:pPr>
        <w:tabs>
          <w:tab w:val="left" w:pos="2595"/>
        </w:tabs>
        <w:spacing w:line="240" w:lineRule="auto"/>
        <w:jc w:val="both"/>
        <w:rPr>
          <w:rFonts w:ascii="Times New Roman" w:hAnsi="Times New Roman" w:cs="Times New Roman"/>
          <w:b/>
          <w:bCs/>
          <w:sz w:val="24"/>
          <w:szCs w:val="24"/>
        </w:rPr>
      </w:pP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System suitability parameters</w:t>
      </w:r>
    </w:p>
    <w:p w:rsidR="005A19B5" w:rsidRDefault="00D046F1">
      <w:pPr>
        <w:tabs>
          <w:tab w:val="left" w:pos="2595"/>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DAPA + EPLE solution at concentrations of 20 </w:t>
      </w:r>
      <w:r>
        <w:rPr>
          <w:rFonts w:ascii="Times New Roman" w:hAnsi="Times New Roman" w:cs="Times New Roman"/>
          <w:sz w:val="24"/>
          <w:szCs w:val="24"/>
        </w:rPr>
        <w:t>and 50 µg/mL was injected five times to evaluate system suitability test (SST) parameters, including retention time (Rt), number of theoretical plates, peak area, resolution and tailing factor (n = 5).</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22 System suitability parameters for DAPA (n = 5</w:t>
      </w:r>
      <w:r>
        <w:rPr>
          <w:rFonts w:ascii="Times New Roman" w:hAnsi="Times New Roman" w:cs="Times New Roman"/>
          <w:b/>
          <w:bCs/>
          <w:sz w:val="24"/>
          <w:szCs w:val="24"/>
        </w:rPr>
        <w:t>)</w:t>
      </w:r>
    </w:p>
    <w:tbl>
      <w:tblPr>
        <w:tblStyle w:val="TableGrid"/>
        <w:tblW w:w="10521" w:type="dxa"/>
        <w:tblLook w:val="04A0" w:firstRow="1" w:lastRow="0" w:firstColumn="1" w:lastColumn="0" w:noHBand="0" w:noVBand="1"/>
      </w:tblPr>
      <w:tblGrid>
        <w:gridCol w:w="2223"/>
        <w:gridCol w:w="2844"/>
        <w:gridCol w:w="5454"/>
      </w:tblGrid>
      <w:tr w:rsidR="005A19B5">
        <w:trPr>
          <w:trHeight w:val="670"/>
        </w:trPr>
        <w:tc>
          <w:tcPr>
            <w:tcW w:w="2223"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Parameters</w:t>
            </w:r>
          </w:p>
        </w:tc>
        <w:tc>
          <w:tcPr>
            <w:tcW w:w="284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Mean ± SD</w:t>
            </w:r>
          </w:p>
        </w:tc>
        <w:tc>
          <w:tcPr>
            <w:tcW w:w="545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 RSD</w:t>
            </w:r>
          </w:p>
        </w:tc>
      </w:tr>
      <w:tr w:rsidR="005A19B5">
        <w:trPr>
          <w:trHeight w:val="670"/>
        </w:trPr>
        <w:tc>
          <w:tcPr>
            <w:tcW w:w="2223"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Retention time</w:t>
            </w:r>
          </w:p>
        </w:tc>
        <w:tc>
          <w:tcPr>
            <w:tcW w:w="284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6.19 ± 0.04</w:t>
            </w:r>
          </w:p>
        </w:tc>
        <w:tc>
          <w:tcPr>
            <w:tcW w:w="545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0.72</w:t>
            </w:r>
          </w:p>
        </w:tc>
      </w:tr>
      <w:tr w:rsidR="005A19B5">
        <w:trPr>
          <w:trHeight w:val="670"/>
        </w:trPr>
        <w:tc>
          <w:tcPr>
            <w:tcW w:w="2223"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Tailing factor</w:t>
            </w:r>
          </w:p>
        </w:tc>
        <w:tc>
          <w:tcPr>
            <w:tcW w:w="284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1.03 ± 0.02</w:t>
            </w:r>
          </w:p>
        </w:tc>
        <w:tc>
          <w:tcPr>
            <w:tcW w:w="545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5A19B5">
        <w:trPr>
          <w:trHeight w:val="670"/>
        </w:trPr>
        <w:tc>
          <w:tcPr>
            <w:tcW w:w="2223"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Theoretical plates</w:t>
            </w:r>
          </w:p>
        </w:tc>
        <w:tc>
          <w:tcPr>
            <w:tcW w:w="284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7502.60 ±16.62</w:t>
            </w:r>
          </w:p>
        </w:tc>
        <w:tc>
          <w:tcPr>
            <w:tcW w:w="545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0.22</w:t>
            </w:r>
          </w:p>
        </w:tc>
      </w:tr>
      <w:tr w:rsidR="005A19B5">
        <w:trPr>
          <w:trHeight w:val="670"/>
        </w:trPr>
        <w:tc>
          <w:tcPr>
            <w:tcW w:w="2223"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Area</w:t>
            </w:r>
          </w:p>
        </w:tc>
        <w:tc>
          <w:tcPr>
            <w:tcW w:w="284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111676.80 ± 15.07</w:t>
            </w:r>
          </w:p>
        </w:tc>
        <w:tc>
          <w:tcPr>
            <w:tcW w:w="545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5A19B5">
        <w:trPr>
          <w:trHeight w:val="681"/>
        </w:trPr>
        <w:tc>
          <w:tcPr>
            <w:tcW w:w="2223"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Resolution</w:t>
            </w:r>
          </w:p>
        </w:tc>
        <w:tc>
          <w:tcPr>
            <w:tcW w:w="284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16.30 </w:t>
            </w:r>
            <w:r>
              <w:rPr>
                <w:rFonts w:ascii="Times New Roman" w:hAnsi="Times New Roman" w:cs="Times New Roman"/>
                <w:sz w:val="24"/>
                <w:szCs w:val="24"/>
              </w:rPr>
              <w:t>± 0.24</w:t>
            </w:r>
          </w:p>
        </w:tc>
        <w:tc>
          <w:tcPr>
            <w:tcW w:w="5454"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1.46</w:t>
            </w:r>
          </w:p>
        </w:tc>
      </w:tr>
    </w:tbl>
    <w:p w:rsidR="005A19B5" w:rsidRDefault="005A19B5">
      <w:pPr>
        <w:tabs>
          <w:tab w:val="left" w:pos="2595"/>
        </w:tabs>
        <w:spacing w:line="240" w:lineRule="auto"/>
        <w:jc w:val="both"/>
        <w:rPr>
          <w:rFonts w:ascii="Times New Roman" w:hAnsi="Times New Roman" w:cs="Times New Roman"/>
          <w:sz w:val="24"/>
          <w:szCs w:val="24"/>
        </w:rPr>
      </w:pP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23 System suitability parameters for EPLE (n = 5)</w:t>
      </w:r>
    </w:p>
    <w:tbl>
      <w:tblPr>
        <w:tblStyle w:val="TableGrid"/>
        <w:tblW w:w="10548" w:type="dxa"/>
        <w:tblLook w:val="04A0" w:firstRow="1" w:lastRow="0" w:firstColumn="1" w:lastColumn="0" w:noHBand="0" w:noVBand="1"/>
      </w:tblPr>
      <w:tblGrid>
        <w:gridCol w:w="2021"/>
        <w:gridCol w:w="3059"/>
        <w:gridCol w:w="5468"/>
      </w:tblGrid>
      <w:tr w:rsidR="005A19B5">
        <w:trPr>
          <w:trHeight w:val="617"/>
        </w:trPr>
        <w:tc>
          <w:tcPr>
            <w:tcW w:w="2021"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Parameters</w:t>
            </w:r>
          </w:p>
        </w:tc>
        <w:tc>
          <w:tcPr>
            <w:tcW w:w="3059"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Mean ± SD</w:t>
            </w:r>
          </w:p>
        </w:tc>
        <w:tc>
          <w:tcPr>
            <w:tcW w:w="5468"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 RSD</w:t>
            </w:r>
          </w:p>
        </w:tc>
      </w:tr>
      <w:tr w:rsidR="005A19B5">
        <w:trPr>
          <w:trHeight w:val="617"/>
        </w:trPr>
        <w:tc>
          <w:tcPr>
            <w:tcW w:w="2021"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Retention time</w:t>
            </w:r>
          </w:p>
        </w:tc>
        <w:tc>
          <w:tcPr>
            <w:tcW w:w="3059"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2.66 ± 0.03</w:t>
            </w:r>
          </w:p>
        </w:tc>
        <w:tc>
          <w:tcPr>
            <w:tcW w:w="5468"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0.97</w:t>
            </w:r>
          </w:p>
        </w:tc>
      </w:tr>
      <w:tr w:rsidR="005A19B5">
        <w:trPr>
          <w:trHeight w:val="617"/>
        </w:trPr>
        <w:tc>
          <w:tcPr>
            <w:tcW w:w="2021"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Tailing factor</w:t>
            </w:r>
          </w:p>
        </w:tc>
        <w:tc>
          <w:tcPr>
            <w:tcW w:w="3059"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1.28 ± 0.01</w:t>
            </w:r>
          </w:p>
        </w:tc>
        <w:tc>
          <w:tcPr>
            <w:tcW w:w="5468"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.78</w:t>
            </w:r>
          </w:p>
        </w:tc>
      </w:tr>
      <w:tr w:rsidR="005A19B5">
        <w:trPr>
          <w:trHeight w:val="617"/>
        </w:trPr>
        <w:tc>
          <w:tcPr>
            <w:tcW w:w="2021"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Theoretical plates</w:t>
            </w:r>
          </w:p>
        </w:tc>
        <w:tc>
          <w:tcPr>
            <w:tcW w:w="3059"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4045.80 ± 9.15</w:t>
            </w:r>
          </w:p>
        </w:tc>
        <w:tc>
          <w:tcPr>
            <w:tcW w:w="5468"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.23</w:t>
            </w:r>
          </w:p>
        </w:tc>
      </w:tr>
      <w:tr w:rsidR="005A19B5">
        <w:trPr>
          <w:trHeight w:val="617"/>
        </w:trPr>
        <w:tc>
          <w:tcPr>
            <w:tcW w:w="2021"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rPr>
              <w:t>Area</w:t>
            </w:r>
          </w:p>
        </w:tc>
        <w:tc>
          <w:tcPr>
            <w:tcW w:w="3059"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134361.80 ± 19.24</w:t>
            </w:r>
          </w:p>
        </w:tc>
        <w:tc>
          <w:tcPr>
            <w:tcW w:w="5468"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5A19B5">
        <w:trPr>
          <w:trHeight w:val="627"/>
        </w:trPr>
        <w:tc>
          <w:tcPr>
            <w:tcW w:w="2021"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Resolution</w:t>
            </w:r>
          </w:p>
        </w:tc>
        <w:tc>
          <w:tcPr>
            <w:tcW w:w="3059"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5468" w:type="dxa"/>
          </w:tcPr>
          <w:p w:rsidR="005A19B5" w:rsidRDefault="00D046F1">
            <w:pPr>
              <w:tabs>
                <w:tab w:val="left" w:pos="2595"/>
              </w:tabs>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bl>
    <w:p w:rsidR="005A19B5" w:rsidRDefault="005A19B5">
      <w:pPr>
        <w:tabs>
          <w:tab w:val="left" w:pos="2595"/>
        </w:tabs>
        <w:spacing w:line="240" w:lineRule="auto"/>
        <w:jc w:val="both"/>
        <w:rPr>
          <w:rFonts w:ascii="Times New Roman" w:hAnsi="Times New Roman" w:cs="Times New Roman"/>
          <w:sz w:val="24"/>
          <w:szCs w:val="24"/>
        </w:rPr>
      </w:pPr>
    </w:p>
    <w:p w:rsidR="005A19B5" w:rsidRDefault="00D046F1">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Forced Degradation studies</w:t>
      </w:r>
    </w:p>
    <w:p w:rsidR="005A19B5" w:rsidRDefault="00D046F1">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Acid hydrolysis</w:t>
      </w:r>
    </w:p>
    <w:p w:rsidR="005A19B5" w:rsidRDefault="00D046F1">
      <w:pPr>
        <w:tabs>
          <w:tab w:val="left" w:pos="2595"/>
        </w:tabs>
        <w:spacing w:line="240" w:lineRule="auto"/>
        <w:ind w:left="567" w:hanging="567"/>
        <w:jc w:val="both"/>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330950" cy="1162685"/>
            <wp:effectExtent l="9525" t="9525" r="22225" b="27940"/>
            <wp:docPr id="32499564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4995644" name="Content Placeholder 3"/>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330950" cy="1162685"/>
                    </a:xfrm>
                    <a:prstGeom prst="rect">
                      <a:avLst/>
                    </a:prstGeom>
                    <a:ln>
                      <a:solidFill>
                        <a:schemeClr val="tx1"/>
                      </a:solidFill>
                    </a:ln>
                  </pic:spPr>
                </pic:pic>
              </a:graphicData>
            </a:graphic>
          </wp:inline>
        </w:drawing>
      </w:r>
    </w:p>
    <w:p w:rsidR="005A19B5" w:rsidRDefault="00D046F1">
      <w:pPr>
        <w:tabs>
          <w:tab w:val="left" w:pos="2595"/>
        </w:tabs>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22 </w:t>
      </w:r>
      <w:r>
        <w:rPr>
          <w:rFonts w:ascii="Times New Roman" w:hAnsi="Times New Roman" w:cs="Times New Roman"/>
          <w:b/>
          <w:bCs/>
          <w:sz w:val="24"/>
          <w:szCs w:val="24"/>
          <w:lang w:val="en-US"/>
        </w:rPr>
        <w:t>Acid blank</w:t>
      </w:r>
    </w:p>
    <w:p w:rsidR="005A19B5" w:rsidRDefault="00D046F1">
      <w:pPr>
        <w:tabs>
          <w:tab w:val="left" w:pos="2595"/>
        </w:tabs>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120765" cy="1261745"/>
            <wp:effectExtent l="9525" t="9525" r="22860" b="24130"/>
            <wp:docPr id="1156995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5204" name="Picture 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20765" cy="1261745"/>
                    </a:xfrm>
                    <a:prstGeom prst="rect">
                      <a:avLst/>
                    </a:prstGeom>
                    <a:ln>
                      <a:solidFill>
                        <a:schemeClr val="tx1"/>
                      </a:solidFill>
                    </a:ln>
                  </pic:spPr>
                </pic:pic>
              </a:graphicData>
            </a:graphic>
          </wp:inline>
        </w:drawing>
      </w:r>
    </w:p>
    <w:p w:rsidR="005A19B5" w:rsidRDefault="00D046F1">
      <w:pPr>
        <w:tabs>
          <w:tab w:val="left" w:pos="2595"/>
        </w:tabs>
        <w:spacing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Figure </w:t>
      </w:r>
      <w:r>
        <w:rPr>
          <w:rFonts w:ascii="Times New Roman" w:hAnsi="Times New Roman" w:cs="Times New Roman"/>
          <w:b/>
          <w:bCs/>
          <w:sz w:val="24"/>
          <w:szCs w:val="24"/>
        </w:rPr>
        <w:t>23 Standard API</w:t>
      </w:r>
    </w:p>
    <w:p w:rsidR="005A19B5" w:rsidRDefault="00D046F1">
      <w:pPr>
        <w:tabs>
          <w:tab w:val="left" w:pos="2595"/>
        </w:tabs>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203315" cy="1153795"/>
            <wp:effectExtent l="9525" t="9525" r="16510" b="1778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203315" cy="1153795"/>
                    </a:xfrm>
                    <a:prstGeom prst="rect">
                      <a:avLst/>
                    </a:prstGeom>
                    <a:ln>
                      <a:solidFill>
                        <a:schemeClr val="tx1"/>
                      </a:solidFill>
                    </a:ln>
                  </pic:spPr>
                </pic:pic>
              </a:graphicData>
            </a:graphic>
          </wp:inline>
        </w:drawing>
      </w:r>
    </w:p>
    <w:p w:rsidR="005A19B5" w:rsidRDefault="00D046F1">
      <w:pPr>
        <w:pStyle w:val="ListParagraph"/>
        <w:tabs>
          <w:tab w:val="left" w:pos="2595"/>
        </w:tabs>
        <w:spacing w:line="240" w:lineRule="auto"/>
        <w:ind w:left="567"/>
        <w:contextualSpacing w:val="0"/>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24 </w:t>
      </w:r>
      <w:r>
        <w:rPr>
          <w:rFonts w:ascii="Times New Roman" w:hAnsi="Times New Roman" w:cs="Times New Roman"/>
          <w:b/>
          <w:bCs/>
          <w:sz w:val="24"/>
          <w:szCs w:val="24"/>
          <w:lang w:val="en-US"/>
        </w:rPr>
        <w:t>Sample of DAPA and EPLE for Acid degradation</w:t>
      </w:r>
    </w:p>
    <w:p w:rsidR="005A19B5" w:rsidRDefault="00D046F1">
      <w:pPr>
        <w:pStyle w:val="ListParagraph"/>
        <w:tabs>
          <w:tab w:val="left" w:pos="2595"/>
        </w:tabs>
        <w:spacing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The acid degradation study was performed by exposing the sample solution to acidic conditions to evaluate its stability behaviour. The chromatogram obtained after acid treatment showe</w:t>
      </w:r>
      <w:r>
        <w:rPr>
          <w:rFonts w:ascii="Times New Roman" w:hAnsi="Times New Roman" w:cs="Times New Roman"/>
          <w:sz w:val="24"/>
          <w:szCs w:val="24"/>
        </w:rPr>
        <w:t>d noticeable degradation of the drug substance. A significant decrease in the peak area of the active pharmaceutical ingredient was observed compared to the untreated sample, indicating susceptibility to acid hydrolysis.</w:t>
      </w:r>
    </w:p>
    <w:p w:rsidR="005A19B5" w:rsidRDefault="00D046F1">
      <w:pPr>
        <w:pStyle w:val="ListParagraph"/>
        <w:tabs>
          <w:tab w:val="left" w:pos="2595"/>
        </w:tabs>
        <w:spacing w:line="240" w:lineRule="auto"/>
        <w:ind w:left="0"/>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 Base hydrolysis</w:t>
      </w:r>
    </w:p>
    <w:p w:rsidR="005A19B5" w:rsidRDefault="00D046F1">
      <w:pPr>
        <w:pStyle w:val="ListParagraph"/>
        <w:tabs>
          <w:tab w:val="left" w:pos="2595"/>
        </w:tabs>
        <w:spacing w:line="240" w:lineRule="auto"/>
        <w:ind w:left="0"/>
        <w:contextualSpacing w:val="0"/>
        <w:jc w:val="both"/>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391275" cy="1345565"/>
            <wp:effectExtent l="9525" t="9525" r="19050" b="16510"/>
            <wp:docPr id="90158488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584880" name="Content Placeholder 3"/>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391275" cy="1345565"/>
                    </a:xfrm>
                    <a:prstGeom prst="rect">
                      <a:avLst/>
                    </a:prstGeom>
                    <a:ln>
                      <a:solidFill>
                        <a:schemeClr val="tx1"/>
                      </a:solidFill>
                    </a:ln>
                  </pic:spPr>
                </pic:pic>
              </a:graphicData>
            </a:graphic>
          </wp:inline>
        </w:drawing>
      </w:r>
    </w:p>
    <w:p w:rsidR="005A19B5" w:rsidRDefault="005A19B5">
      <w:pPr>
        <w:pStyle w:val="ListParagraph"/>
        <w:tabs>
          <w:tab w:val="left" w:pos="2595"/>
        </w:tabs>
        <w:spacing w:line="240" w:lineRule="auto"/>
        <w:ind w:left="0"/>
        <w:contextualSpacing w:val="0"/>
        <w:jc w:val="center"/>
        <w:rPr>
          <w:rFonts w:ascii="Times New Roman" w:hAnsi="Times New Roman" w:cs="Times New Roman"/>
          <w:b/>
          <w:bCs/>
          <w:sz w:val="24"/>
          <w:szCs w:val="24"/>
        </w:rPr>
      </w:pPr>
    </w:p>
    <w:p w:rsidR="005A19B5" w:rsidRDefault="00D046F1">
      <w:pPr>
        <w:pStyle w:val="ListParagraph"/>
        <w:tabs>
          <w:tab w:val="left" w:pos="2595"/>
        </w:tabs>
        <w:spacing w:line="240" w:lineRule="auto"/>
        <w:ind w:left="0"/>
        <w:contextualSpacing w:val="0"/>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Figure 25 </w:t>
      </w:r>
      <w:r>
        <w:rPr>
          <w:rFonts w:ascii="Times New Roman" w:hAnsi="Times New Roman" w:cs="Times New Roman"/>
          <w:b/>
          <w:bCs/>
          <w:sz w:val="24"/>
          <w:szCs w:val="24"/>
          <w:lang w:val="en-US"/>
        </w:rPr>
        <w:t xml:space="preserve">Base </w:t>
      </w:r>
      <w:r>
        <w:rPr>
          <w:rFonts w:ascii="Times New Roman" w:hAnsi="Times New Roman" w:cs="Times New Roman"/>
          <w:b/>
          <w:bCs/>
          <w:sz w:val="24"/>
          <w:szCs w:val="24"/>
          <w:lang w:val="en-US"/>
        </w:rPr>
        <w:t>blank</w:t>
      </w:r>
    </w:p>
    <w:p w:rsidR="005A19B5" w:rsidRDefault="00D046F1">
      <w:pPr>
        <w:pStyle w:val="ListParagraph"/>
        <w:tabs>
          <w:tab w:val="left" w:pos="2595"/>
        </w:tabs>
        <w:spacing w:line="240" w:lineRule="auto"/>
        <w:ind w:left="0"/>
        <w:contextualSpacing w:val="0"/>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5158105" cy="1288415"/>
            <wp:effectExtent l="9525" t="9525" r="13970" b="16510"/>
            <wp:docPr id="1232240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40511" name="Picture 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158105" cy="1288415"/>
                    </a:xfrm>
                    <a:prstGeom prst="rect">
                      <a:avLst/>
                    </a:prstGeom>
                    <a:ln>
                      <a:solidFill>
                        <a:schemeClr val="tx1"/>
                      </a:solidFill>
                    </a:ln>
                  </pic:spPr>
                </pic:pic>
              </a:graphicData>
            </a:graphic>
          </wp:inline>
        </w:drawing>
      </w:r>
    </w:p>
    <w:p w:rsidR="005A19B5" w:rsidRDefault="00D046F1" w:rsidP="005E2918">
      <w:pPr>
        <w:spacing w:line="240" w:lineRule="auto"/>
        <w:ind w:firstLineChars="650" w:firstLine="1566"/>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26 </w:t>
      </w:r>
      <w:r>
        <w:rPr>
          <w:rFonts w:ascii="Times New Roman" w:hAnsi="Times New Roman" w:cs="Times New Roman"/>
          <w:b/>
          <w:bCs/>
          <w:sz w:val="24"/>
          <w:szCs w:val="24"/>
          <w:lang w:val="en-US"/>
        </w:rPr>
        <w:t>Standard API</w:t>
      </w: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4566285" cy="1408430"/>
            <wp:effectExtent l="9525" t="9525" r="15240" b="1079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566285" cy="1408430"/>
                    </a:xfrm>
                    <a:prstGeom prst="rect">
                      <a:avLst/>
                    </a:prstGeom>
                    <a:ln>
                      <a:solidFill>
                        <a:schemeClr val="tx1"/>
                      </a:solidFill>
                    </a:ln>
                  </pic:spPr>
                </pic:pic>
              </a:graphicData>
            </a:graphic>
          </wp:inline>
        </w:drawing>
      </w:r>
    </w:p>
    <w:p w:rsidR="005A19B5" w:rsidRDefault="00D046F1" w:rsidP="005E2918">
      <w:pPr>
        <w:spacing w:line="240" w:lineRule="auto"/>
        <w:ind w:firstLineChars="900" w:firstLine="2168"/>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27 </w:t>
      </w:r>
      <w:r>
        <w:rPr>
          <w:rFonts w:ascii="Times New Roman" w:hAnsi="Times New Roman" w:cs="Times New Roman"/>
          <w:b/>
          <w:bCs/>
          <w:sz w:val="24"/>
          <w:szCs w:val="24"/>
          <w:lang w:val="en-US"/>
        </w:rPr>
        <w:t>Sample of DAPA and EPLE for Base degradation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base hydrolysis study was conducted by exposing the drug solution to alkaline conditions to evaluate its stability under basic stress. After treatment, the </w:t>
      </w:r>
      <w:r>
        <w:rPr>
          <w:rFonts w:ascii="Times New Roman" w:hAnsi="Times New Roman" w:cs="Times New Roman"/>
          <w:sz w:val="24"/>
          <w:szCs w:val="24"/>
        </w:rPr>
        <w:t>chromatogram showed a noticeable reduction in the peak area of the active pharmaceutical ingredient when compared to the untreated standard solution, indicating degradation under alkaline conditions. Additional peaks corresponding to degradation products w</w:t>
      </w:r>
      <w:r>
        <w:rPr>
          <w:rFonts w:ascii="Times New Roman" w:hAnsi="Times New Roman" w:cs="Times New Roman"/>
          <w:sz w:val="24"/>
          <w:szCs w:val="24"/>
        </w:rPr>
        <w:t>ere observed at different retention times. These degradant peaks were well separated from the principal drug peak, confirming the specificity and stability-indicating nature of the developed analytical method.</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Peroxide hydrolysis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403340" cy="1303655"/>
            <wp:effectExtent l="9525" t="9525" r="26035" b="20320"/>
            <wp:docPr id="84053706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0537061" name="Content Placeholder 3"/>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403340" cy="1303655"/>
                    </a:xfrm>
                    <a:prstGeom prst="rect">
                      <a:avLst/>
                    </a:prstGeom>
                    <a:ln>
                      <a:solidFill>
                        <a:schemeClr val="tx1"/>
                      </a:solidFill>
                    </a:ln>
                  </pic:spPr>
                </pic:pic>
              </a:graphicData>
            </a:graphic>
          </wp:inline>
        </w:drawing>
      </w:r>
    </w:p>
    <w:p w:rsidR="005A19B5" w:rsidRDefault="00D046F1">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28 </w:t>
      </w:r>
      <w:r>
        <w:rPr>
          <w:rFonts w:ascii="Times New Roman" w:hAnsi="Times New Roman" w:cs="Times New Roman"/>
          <w:b/>
          <w:bCs/>
          <w:sz w:val="24"/>
          <w:szCs w:val="24"/>
          <w:lang w:val="en-US"/>
        </w:rPr>
        <w:t>Peroxide blank</w:t>
      </w:r>
    </w:p>
    <w:p w:rsidR="005A19B5" w:rsidRDefault="005A19B5">
      <w:pPr>
        <w:spacing w:line="240" w:lineRule="auto"/>
        <w:jc w:val="center"/>
        <w:rPr>
          <w:rFonts w:ascii="Times New Roman" w:hAnsi="Times New Roman" w:cs="Times New Roman"/>
          <w:b/>
          <w:bCs/>
          <w:sz w:val="24"/>
          <w:szCs w:val="24"/>
          <w:lang w:val="en-US"/>
        </w:rPr>
      </w:pPr>
    </w:p>
    <w:p w:rsidR="005A19B5" w:rsidRDefault="005A19B5">
      <w:pPr>
        <w:spacing w:line="240" w:lineRule="auto"/>
        <w:jc w:val="center"/>
        <w:rPr>
          <w:rFonts w:ascii="Times New Roman" w:hAnsi="Times New Roman" w:cs="Times New Roman"/>
          <w:b/>
          <w:bCs/>
          <w:sz w:val="24"/>
          <w:szCs w:val="24"/>
        </w:rPr>
      </w:pP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4740910" cy="1220470"/>
            <wp:effectExtent l="9525" t="9525" r="12065" b="27305"/>
            <wp:docPr id="2183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947" name="Picture 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740910" cy="1220470"/>
                    </a:xfrm>
                    <a:prstGeom prst="rect">
                      <a:avLst/>
                    </a:prstGeom>
                    <a:ln>
                      <a:solidFill>
                        <a:schemeClr val="tx1"/>
                      </a:solidFill>
                    </a:ln>
                  </pic:spPr>
                </pic:pic>
              </a:graphicData>
            </a:graphic>
          </wp:inline>
        </w:drawing>
      </w:r>
    </w:p>
    <w:p w:rsidR="005A19B5" w:rsidRDefault="00D046F1" w:rsidP="005E2918">
      <w:pPr>
        <w:spacing w:line="240" w:lineRule="auto"/>
        <w:ind w:firstLineChars="800" w:firstLine="1928"/>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29 </w:t>
      </w:r>
      <w:r>
        <w:rPr>
          <w:rFonts w:ascii="Times New Roman" w:hAnsi="Times New Roman" w:cs="Times New Roman"/>
          <w:b/>
          <w:bCs/>
          <w:sz w:val="24"/>
          <w:szCs w:val="24"/>
          <w:lang w:val="en-US"/>
        </w:rPr>
        <w:t>Standard API</w:t>
      </w:r>
    </w:p>
    <w:p w:rsidR="005A19B5" w:rsidRDefault="005A19B5">
      <w:pPr>
        <w:spacing w:line="240" w:lineRule="auto"/>
        <w:jc w:val="center"/>
        <w:rPr>
          <w:rFonts w:ascii="Times New Roman" w:hAnsi="Times New Roman" w:cs="Times New Roman"/>
          <w:b/>
          <w:bCs/>
          <w:sz w:val="24"/>
          <w:szCs w:val="24"/>
        </w:rPr>
      </w:pPr>
    </w:p>
    <w:p w:rsidR="005A19B5" w:rsidRDefault="005A19B5">
      <w:pPr>
        <w:spacing w:line="240" w:lineRule="auto"/>
        <w:jc w:val="center"/>
        <w:rPr>
          <w:rFonts w:ascii="Times New Roman" w:hAnsi="Times New Roman" w:cs="Times New Roman"/>
          <w:b/>
          <w:bCs/>
          <w:sz w:val="24"/>
          <w:szCs w:val="24"/>
        </w:rPr>
      </w:pPr>
    </w:p>
    <w:p w:rsidR="005A19B5" w:rsidRDefault="005A19B5">
      <w:pPr>
        <w:spacing w:line="240" w:lineRule="auto"/>
        <w:jc w:val="center"/>
        <w:rPr>
          <w:rFonts w:ascii="Times New Roman" w:hAnsi="Times New Roman" w:cs="Times New Roman"/>
          <w:b/>
          <w:bCs/>
          <w:sz w:val="24"/>
          <w:szCs w:val="24"/>
        </w:rPr>
      </w:pPr>
    </w:p>
    <w:p w:rsidR="005A19B5" w:rsidRDefault="005A19B5">
      <w:pPr>
        <w:spacing w:line="240" w:lineRule="auto"/>
        <w:jc w:val="center"/>
        <w:rPr>
          <w:rFonts w:ascii="Times New Roman" w:hAnsi="Times New Roman" w:cs="Times New Roman"/>
          <w:b/>
          <w:bCs/>
          <w:sz w:val="24"/>
          <w:szCs w:val="24"/>
        </w:rPr>
      </w:pP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4660900" cy="1226185"/>
            <wp:effectExtent l="9525" t="9525" r="15875" b="21590"/>
            <wp:docPr id="157772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724" name="Picture 1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660900" cy="1226185"/>
                    </a:xfrm>
                    <a:prstGeom prst="rect">
                      <a:avLst/>
                    </a:prstGeom>
                    <a:ln>
                      <a:solidFill>
                        <a:schemeClr val="tx1"/>
                      </a:solidFill>
                    </a:ln>
                  </pic:spPr>
                </pic:pic>
              </a:graphicData>
            </a:graphic>
          </wp:inline>
        </w:drawing>
      </w:r>
    </w:p>
    <w:p w:rsidR="005A19B5" w:rsidRDefault="00D046F1">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Figure 30 </w:t>
      </w:r>
      <w:r>
        <w:rPr>
          <w:rFonts w:ascii="Times New Roman" w:hAnsi="Times New Roman" w:cs="Times New Roman"/>
          <w:b/>
          <w:bCs/>
          <w:sz w:val="24"/>
          <w:szCs w:val="24"/>
          <w:lang w:val="en-US"/>
        </w:rPr>
        <w:t>Sample of DAPA and EPLE for Peroxide degradation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oxidative degradation study was carried out by treating the drug solution with hydrogen peroxide to evaluate its stability under oxidative stress conditions. </w:t>
      </w:r>
      <w:r>
        <w:rPr>
          <w:rFonts w:ascii="Times New Roman" w:hAnsi="Times New Roman" w:cs="Times New Roman"/>
          <w:sz w:val="24"/>
          <w:szCs w:val="24"/>
        </w:rPr>
        <w:t>After the specified exposure period, the chromatogram exhibited a reduction in the peak area of the active pharmaceutical ingredient compared to the untreated sample, indicating susceptibility to oxidative degradation. One or more additional peaks correspo</w:t>
      </w:r>
      <w:r>
        <w:rPr>
          <w:rFonts w:ascii="Times New Roman" w:hAnsi="Times New Roman" w:cs="Times New Roman"/>
          <w:sz w:val="24"/>
          <w:szCs w:val="24"/>
        </w:rPr>
        <w:t>nding to oxidative degradation products were observed at distinct retention times. These degradant peaks were well resolved from the principal drug peak, confirming the selectivity and stability-indicating capability of the developed analytical method.</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w:t>
      </w:r>
      <w:r>
        <w:rPr>
          <w:rFonts w:ascii="Times New Roman" w:hAnsi="Times New Roman" w:cs="Times New Roman"/>
          <w:b/>
          <w:bCs/>
          <w:sz w:val="24"/>
          <w:szCs w:val="24"/>
        </w:rPr>
        <w:t>rmal Degradation</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6299835" cy="1478915"/>
            <wp:effectExtent l="9525" t="9525" r="15240" b="16510"/>
            <wp:docPr id="859820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20581" name="Picture 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299835" cy="1478915"/>
                    </a:xfrm>
                    <a:prstGeom prst="rect">
                      <a:avLst/>
                    </a:prstGeom>
                    <a:ln>
                      <a:solidFill>
                        <a:schemeClr val="tx1"/>
                      </a:solidFill>
                    </a:ln>
                  </pic:spPr>
                </pic:pic>
              </a:graphicData>
            </a:graphic>
          </wp:inline>
        </w:drawing>
      </w:r>
    </w:p>
    <w:p w:rsidR="005A19B5" w:rsidRDefault="00D046F1">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Figure 31 </w:t>
      </w:r>
      <w:r>
        <w:rPr>
          <w:rFonts w:ascii="Times New Roman" w:hAnsi="Times New Roman" w:cs="Times New Roman"/>
          <w:b/>
          <w:bCs/>
          <w:sz w:val="24"/>
          <w:szCs w:val="24"/>
          <w:lang w:val="en-US"/>
        </w:rPr>
        <w:t>Standard API</w:t>
      </w: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extent cx="4813300" cy="1659890"/>
            <wp:effectExtent l="9525" t="9525" r="15875" b="26035"/>
            <wp:docPr id="1116294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94747" name="Picture 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813300" cy="1659890"/>
                    </a:xfrm>
                    <a:prstGeom prst="rect">
                      <a:avLst/>
                    </a:prstGeom>
                    <a:ln>
                      <a:solidFill>
                        <a:schemeClr val="tx1"/>
                      </a:solidFill>
                    </a:ln>
                  </pic:spPr>
                </pic:pic>
              </a:graphicData>
            </a:graphic>
          </wp:inline>
        </w:drawing>
      </w:r>
    </w:p>
    <w:p w:rsidR="005A19B5" w:rsidRDefault="00D046F1" w:rsidP="005E2918">
      <w:pPr>
        <w:spacing w:line="240" w:lineRule="auto"/>
        <w:ind w:firstLineChars="800" w:firstLine="192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Figure 32 Sample of DAPA and EPLE for Thermal degradation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thermal degradation study was performed by exposing the drug substance to elevated temperature conditions for a specified period to assess its stabili</w:t>
      </w:r>
      <w:r>
        <w:rPr>
          <w:rFonts w:ascii="Times New Roman" w:hAnsi="Times New Roman" w:cs="Times New Roman"/>
          <w:sz w:val="24"/>
          <w:szCs w:val="24"/>
        </w:rPr>
        <w:t>ty under heat stress. After thermal treatment, the chromatogram showed a slight reduction in the peak area of the active pharmaceutical ingredient compared to the untreated sample, indicating partial degradation due to heat exposure.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24 Summary of fo</w:t>
      </w:r>
      <w:r>
        <w:rPr>
          <w:rFonts w:ascii="Times New Roman" w:hAnsi="Times New Roman" w:cs="Times New Roman"/>
          <w:b/>
          <w:bCs/>
          <w:sz w:val="24"/>
          <w:szCs w:val="24"/>
        </w:rPr>
        <w:t>rced degradation studies</w:t>
      </w:r>
    </w:p>
    <w:tbl>
      <w:tblPr>
        <w:tblStyle w:val="TableGrid"/>
        <w:tblW w:w="10071" w:type="dxa"/>
        <w:tblLook w:val="04A0" w:firstRow="1" w:lastRow="0" w:firstColumn="1" w:lastColumn="0" w:noHBand="0" w:noVBand="1"/>
      </w:tblPr>
      <w:tblGrid>
        <w:gridCol w:w="1244"/>
        <w:gridCol w:w="1364"/>
        <w:gridCol w:w="936"/>
        <w:gridCol w:w="936"/>
        <w:gridCol w:w="5591"/>
      </w:tblGrid>
      <w:tr w:rsidR="005A19B5">
        <w:trPr>
          <w:trHeight w:val="596"/>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Stress Condition</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Compound</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Std. Area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Obs. Area</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 Degradation</w:t>
            </w:r>
          </w:p>
        </w:tc>
      </w:tr>
      <w:tr w:rsidR="005A19B5">
        <w:trPr>
          <w:trHeight w:val="596"/>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Acid</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111682</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105151</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5.848</w:t>
            </w:r>
          </w:p>
        </w:tc>
      </w:tr>
      <w:tr w:rsidR="005A19B5">
        <w:trPr>
          <w:trHeight w:val="596"/>
        </w:trPr>
        <w:tc>
          <w:tcPr>
            <w:tcW w:w="1244" w:type="dxa"/>
          </w:tcPr>
          <w:p w:rsidR="005A19B5" w:rsidRDefault="005A19B5">
            <w:pPr>
              <w:spacing w:line="240" w:lineRule="auto"/>
              <w:jc w:val="center"/>
              <w:rPr>
                <w:rFonts w:ascii="Times New Roman" w:hAnsi="Times New Roman" w:cs="Times New Roman"/>
                <w:sz w:val="24"/>
                <w:szCs w:val="24"/>
              </w:rPr>
            </w:pP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134350</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111923</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16.693</w:t>
            </w:r>
          </w:p>
        </w:tc>
      </w:tr>
      <w:tr w:rsidR="005A19B5">
        <w:trPr>
          <w:trHeight w:val="596"/>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Base</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111478</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100512</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9.837</w:t>
            </w:r>
          </w:p>
        </w:tc>
      </w:tr>
      <w:tr w:rsidR="005A19B5">
        <w:trPr>
          <w:trHeight w:val="596"/>
        </w:trPr>
        <w:tc>
          <w:tcPr>
            <w:tcW w:w="1244" w:type="dxa"/>
          </w:tcPr>
          <w:p w:rsidR="005A19B5" w:rsidRDefault="005A19B5">
            <w:pPr>
              <w:spacing w:line="240" w:lineRule="auto"/>
              <w:jc w:val="center"/>
              <w:rPr>
                <w:rFonts w:ascii="Times New Roman" w:hAnsi="Times New Roman" w:cs="Times New Roman"/>
                <w:sz w:val="24"/>
                <w:szCs w:val="24"/>
              </w:rPr>
            </w:pP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134478</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126429</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5.985</w:t>
            </w:r>
          </w:p>
        </w:tc>
      </w:tr>
      <w:tr w:rsidR="005A19B5">
        <w:trPr>
          <w:trHeight w:val="596"/>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Oxidative</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111528</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101051</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9.394</w:t>
            </w:r>
          </w:p>
        </w:tc>
      </w:tr>
      <w:tr w:rsidR="005A19B5">
        <w:trPr>
          <w:trHeight w:val="596"/>
        </w:trPr>
        <w:tc>
          <w:tcPr>
            <w:tcW w:w="1244" w:type="dxa"/>
          </w:tcPr>
          <w:p w:rsidR="005A19B5" w:rsidRDefault="005A19B5">
            <w:pPr>
              <w:spacing w:line="240" w:lineRule="auto"/>
              <w:jc w:val="center"/>
              <w:rPr>
                <w:rFonts w:ascii="Times New Roman" w:hAnsi="Times New Roman" w:cs="Times New Roman"/>
                <w:sz w:val="24"/>
                <w:szCs w:val="24"/>
              </w:rPr>
            </w:pP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134587</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127655</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5.151</w:t>
            </w:r>
          </w:p>
        </w:tc>
      </w:tr>
      <w:tr w:rsidR="005A19B5">
        <w:trPr>
          <w:trHeight w:val="596"/>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Thermal</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111748</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108828</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2.613</w:t>
            </w:r>
          </w:p>
        </w:tc>
      </w:tr>
      <w:tr w:rsidR="005A19B5">
        <w:trPr>
          <w:trHeight w:val="606"/>
        </w:trPr>
        <w:tc>
          <w:tcPr>
            <w:tcW w:w="1244" w:type="dxa"/>
          </w:tcPr>
          <w:p w:rsidR="005A19B5" w:rsidRDefault="005A19B5">
            <w:pPr>
              <w:spacing w:line="240" w:lineRule="auto"/>
              <w:jc w:val="center"/>
              <w:rPr>
                <w:rFonts w:ascii="Times New Roman" w:hAnsi="Times New Roman" w:cs="Times New Roman"/>
                <w:sz w:val="24"/>
                <w:szCs w:val="24"/>
              </w:rPr>
            </w:pP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134357</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128053</w:t>
            </w:r>
          </w:p>
        </w:tc>
        <w:tc>
          <w:tcPr>
            <w:tcW w:w="5591"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4.692</w:t>
            </w:r>
          </w:p>
        </w:tc>
      </w:tr>
    </w:tbl>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Conclusion of Forced Degradation Studies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Forced degradation studies of Dapagliflozin (DAPA) and Eplerenone (EPLE) under various stress conditions, including acidic, basic, </w:t>
      </w:r>
      <w:r>
        <w:rPr>
          <w:rFonts w:ascii="Times New Roman" w:hAnsi="Times New Roman" w:cs="Times New Roman"/>
          <w:sz w:val="24"/>
          <w:szCs w:val="24"/>
        </w:rPr>
        <w:t>oxidative, and thermal environments, revealed that both analytes undergo degradation to varying extents.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Dapagliflozin showed maximum degradation under basic and oxidative conditions, followed by acidic stress, while it remained relatively stable under the</w:t>
      </w:r>
      <w:r>
        <w:rPr>
          <w:rFonts w:ascii="Times New Roman" w:hAnsi="Times New Roman" w:cs="Times New Roman"/>
          <w:sz w:val="24"/>
          <w:szCs w:val="24"/>
        </w:rPr>
        <w:t>rmal conditions. On the other hand, Eplerenone exhibited significant degradation under acidic conditions, whereas comparatively lower degradation was observed under basic, oxidative, and thermal stress.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results indicate that both drugs are susceptible </w:t>
      </w:r>
      <w:r>
        <w:rPr>
          <w:rFonts w:ascii="Times New Roman" w:hAnsi="Times New Roman" w:cs="Times New Roman"/>
          <w:sz w:val="24"/>
          <w:szCs w:val="24"/>
        </w:rPr>
        <w:t>to degradation under stress conditions, with distinct degradation behavior for each analyte. However, the degradation products did not interfere with the main peaks, demonstrating that the developed HPLC method is stability-indicating in nature.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Validation</w:t>
      </w:r>
      <w:r>
        <w:rPr>
          <w:rFonts w:ascii="Times New Roman" w:hAnsi="Times New Roman" w:cs="Times New Roman"/>
          <w:b/>
          <w:bCs/>
          <w:sz w:val="24"/>
          <w:szCs w:val="24"/>
        </w:rPr>
        <w:t xml:space="preserve"> of the developed RP-HPLC method</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Specificity results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specificity of the developed HPLC method was critically evaluated through the analysis of individual standard solutions and their combined mixture for Dapagliflozin and Eplerenone. The chromatographi</w:t>
      </w:r>
      <w:r>
        <w:rPr>
          <w:rFonts w:ascii="Times New Roman" w:hAnsi="Times New Roman" w:cs="Times New Roman"/>
          <w:sz w:val="24"/>
          <w:szCs w:val="24"/>
        </w:rPr>
        <w:t>c profiles demonstrated that both analytes produced sharp, symmetrical, and well-resolved peaks at distinct retention times. The retention behavior of each compound in the combined mixture was found to be consistent with that observed in the individual sta</w:t>
      </w:r>
      <w:r>
        <w:rPr>
          <w:rFonts w:ascii="Times New Roman" w:hAnsi="Times New Roman" w:cs="Times New Roman"/>
          <w:sz w:val="24"/>
          <w:szCs w:val="24"/>
        </w:rPr>
        <w:t>ndard injections, thereby confirming the identity of the respective peaks. Furthermore, no extraneous or co-eluting peaks were detected at or near the retention times of the analytes, indicating the absence of interference from formulation excipients or ot</w:t>
      </w:r>
      <w:r>
        <w:rPr>
          <w:rFonts w:ascii="Times New Roman" w:hAnsi="Times New Roman" w:cs="Times New Roman"/>
          <w:sz w:val="24"/>
          <w:szCs w:val="24"/>
        </w:rPr>
        <w:t>her potential impurities. The baseline around the peaks remained stable, and adequate resolution between the two analytes was achieved. These findings substantiate that the developed method possesses a high degree of specificity and is capable of unequivoc</w:t>
      </w:r>
      <w:r>
        <w:rPr>
          <w:rFonts w:ascii="Times New Roman" w:hAnsi="Times New Roman" w:cs="Times New Roman"/>
          <w:sz w:val="24"/>
          <w:szCs w:val="24"/>
        </w:rPr>
        <w:t>ally identifying Dapagliflozin and Eplerenone in the presence of other components, making it suitable for routine analytical applications.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6990715" cy="1560830"/>
            <wp:effectExtent l="9525" t="9525" r="10160" b="10795"/>
            <wp:docPr id="3874360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6099"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990715" cy="1560830"/>
                    </a:xfrm>
                    <a:prstGeom prst="rect">
                      <a:avLst/>
                    </a:prstGeom>
                    <a:noFill/>
                    <a:ln>
                      <a:solidFill>
                        <a:schemeClr val="tx1"/>
                      </a:solidFill>
                    </a:ln>
                  </pic:spPr>
                </pic:pic>
              </a:graphicData>
            </a:graphic>
          </wp:inline>
        </w:drawing>
      </w:r>
    </w:p>
    <w:p w:rsidR="005A19B5" w:rsidRDefault="005A19B5">
      <w:pPr>
        <w:spacing w:line="240" w:lineRule="auto"/>
        <w:jc w:val="both"/>
        <w:rPr>
          <w:rFonts w:ascii="Times New Roman" w:hAnsi="Times New Roman" w:cs="Times New Roman"/>
          <w:b/>
          <w:bCs/>
          <w:sz w:val="24"/>
          <w:szCs w:val="24"/>
        </w:rPr>
      </w:pPr>
    </w:p>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33 Peak identification for Dapagliflozin</w:t>
      </w: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483225" cy="1199515"/>
            <wp:effectExtent l="9525" t="9525" r="12700" b="10160"/>
            <wp:docPr id="3371025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02527"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83225" cy="1199515"/>
                    </a:xfrm>
                    <a:prstGeom prst="rect">
                      <a:avLst/>
                    </a:prstGeom>
                    <a:noFill/>
                    <a:ln>
                      <a:solidFill>
                        <a:schemeClr val="tx1"/>
                      </a:solidFill>
                    </a:ln>
                  </pic:spPr>
                </pic:pic>
              </a:graphicData>
            </a:graphic>
          </wp:inline>
        </w:drawing>
      </w:r>
    </w:p>
    <w:p w:rsidR="005A19B5" w:rsidRDefault="00D046F1" w:rsidP="005E2918">
      <w:pPr>
        <w:spacing w:line="240" w:lineRule="auto"/>
        <w:ind w:firstLineChars="550" w:firstLine="1325"/>
        <w:jc w:val="both"/>
        <w:rPr>
          <w:rFonts w:ascii="Times New Roman" w:hAnsi="Times New Roman" w:cs="Times New Roman"/>
          <w:b/>
          <w:bCs/>
          <w:sz w:val="24"/>
          <w:szCs w:val="24"/>
        </w:rPr>
      </w:pPr>
      <w:r>
        <w:rPr>
          <w:rFonts w:ascii="Times New Roman" w:hAnsi="Times New Roman" w:cs="Times New Roman"/>
          <w:b/>
          <w:bCs/>
          <w:sz w:val="24"/>
          <w:szCs w:val="24"/>
        </w:rPr>
        <w:t>Figure 34 Peak identification for Eplerenone</w:t>
      </w:r>
    </w:p>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4559300" cy="1350010"/>
            <wp:effectExtent l="9525" t="9525" r="22225" b="12065"/>
            <wp:docPr id="1421069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989"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559300" cy="1350010"/>
                    </a:xfrm>
                    <a:prstGeom prst="rect">
                      <a:avLst/>
                    </a:prstGeom>
                    <a:noFill/>
                    <a:ln>
                      <a:solidFill>
                        <a:schemeClr val="tx1"/>
                      </a:solidFill>
                    </a:ln>
                  </pic:spPr>
                </pic:pic>
              </a:graphicData>
            </a:graphic>
          </wp:inline>
        </w:drawing>
      </w:r>
    </w:p>
    <w:p w:rsidR="005A19B5" w:rsidRDefault="00D046F1" w:rsidP="005E2918">
      <w:pPr>
        <w:spacing w:line="240" w:lineRule="auto"/>
        <w:ind w:firstLineChars="850" w:firstLine="2048"/>
        <w:jc w:val="both"/>
        <w:rPr>
          <w:rFonts w:ascii="Times New Roman" w:hAnsi="Times New Roman" w:cs="Times New Roman"/>
          <w:b/>
          <w:bCs/>
          <w:sz w:val="24"/>
          <w:szCs w:val="24"/>
        </w:rPr>
      </w:pPr>
      <w:r>
        <w:rPr>
          <w:rFonts w:ascii="Times New Roman" w:hAnsi="Times New Roman" w:cs="Times New Roman"/>
          <w:b/>
          <w:bCs/>
          <w:sz w:val="24"/>
          <w:szCs w:val="24"/>
        </w:rPr>
        <w:t xml:space="preserve">Figure 35 </w:t>
      </w:r>
      <w:r>
        <w:rPr>
          <w:rFonts w:ascii="Times New Roman" w:hAnsi="Times New Roman" w:cs="Times New Roman"/>
          <w:b/>
          <w:bCs/>
          <w:sz w:val="24"/>
          <w:szCs w:val="24"/>
        </w:rPr>
        <w:t>Chromatogram of mobile phase</w:t>
      </w: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en-IN"/>
        </w:rPr>
        <w:drawing>
          <wp:inline distT="0" distB="0" distL="0" distR="0">
            <wp:extent cx="4999355" cy="1800860"/>
            <wp:effectExtent l="9525" t="9525" r="20320" b="18415"/>
            <wp:docPr id="9316166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16615"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999355" cy="1800860"/>
                    </a:xfrm>
                    <a:prstGeom prst="rect">
                      <a:avLst/>
                    </a:prstGeom>
                    <a:noFill/>
                    <a:ln>
                      <a:solidFill>
                        <a:schemeClr val="tx1"/>
                      </a:solidFill>
                    </a:ln>
                  </pic:spPr>
                </pic:pic>
              </a:graphicData>
            </a:graphic>
          </wp:inline>
        </w:drawing>
      </w:r>
    </w:p>
    <w:p w:rsidR="005A19B5" w:rsidRDefault="00D046F1" w:rsidP="005E2918">
      <w:pPr>
        <w:spacing w:line="240" w:lineRule="auto"/>
        <w:ind w:firstLineChars="700" w:firstLine="1687"/>
        <w:jc w:val="both"/>
        <w:rPr>
          <w:rFonts w:ascii="Times New Roman" w:hAnsi="Times New Roman" w:cs="Times New Roman"/>
          <w:b/>
          <w:bCs/>
          <w:sz w:val="24"/>
          <w:szCs w:val="24"/>
        </w:rPr>
      </w:pPr>
      <w:r>
        <w:rPr>
          <w:rFonts w:ascii="Times New Roman" w:hAnsi="Times New Roman" w:cs="Times New Roman"/>
          <w:b/>
          <w:bCs/>
          <w:sz w:val="24"/>
          <w:szCs w:val="24"/>
        </w:rPr>
        <w:t>Figure 36 Chromatogram of standard solution</w:t>
      </w: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en-IN"/>
        </w:rPr>
        <w:drawing>
          <wp:inline distT="0" distB="0" distL="0" distR="0">
            <wp:extent cx="4455795" cy="1674495"/>
            <wp:effectExtent l="9525" t="9525" r="11430" b="11430"/>
            <wp:docPr id="19087238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3867"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455795" cy="1674495"/>
                    </a:xfrm>
                    <a:prstGeom prst="rect">
                      <a:avLst/>
                    </a:prstGeom>
                    <a:noFill/>
                    <a:ln>
                      <a:solidFill>
                        <a:schemeClr val="tx1"/>
                      </a:solidFill>
                    </a:ln>
                  </pic:spPr>
                </pic:pic>
              </a:graphicData>
            </a:graphic>
          </wp:inline>
        </w:drawing>
      </w:r>
    </w:p>
    <w:p w:rsidR="005A19B5" w:rsidRDefault="00D046F1" w:rsidP="005E2918">
      <w:pPr>
        <w:spacing w:line="240" w:lineRule="auto"/>
        <w:ind w:firstLineChars="900" w:firstLine="2168"/>
        <w:jc w:val="both"/>
        <w:rPr>
          <w:rFonts w:ascii="Times New Roman" w:hAnsi="Times New Roman" w:cs="Times New Roman"/>
          <w:b/>
          <w:bCs/>
          <w:sz w:val="24"/>
          <w:szCs w:val="24"/>
        </w:rPr>
      </w:pPr>
      <w:r>
        <w:rPr>
          <w:rFonts w:ascii="Times New Roman" w:hAnsi="Times New Roman" w:cs="Times New Roman"/>
          <w:b/>
          <w:bCs/>
          <w:sz w:val="24"/>
          <w:szCs w:val="24"/>
        </w:rPr>
        <w:t>Figure 37 Chromatogram of synthetic mixture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Result- </w:t>
      </w:r>
      <w:r>
        <w:rPr>
          <w:rFonts w:ascii="Times New Roman" w:hAnsi="Times New Roman" w:cs="Times New Roman"/>
          <w:sz w:val="24"/>
          <w:szCs w:val="24"/>
        </w:rPr>
        <w:t xml:space="preserve">No extraneous or co-eluting peaks were detected at or near the retention times of the analytes, indicating the absence of interference from formulation excipients or other potential impurities. The baseline around the peaks </w:t>
      </w: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remained stable, and adequate</w:t>
      </w:r>
      <w:r>
        <w:rPr>
          <w:rFonts w:ascii="Times New Roman" w:hAnsi="Times New Roman" w:cs="Times New Roman"/>
          <w:sz w:val="24"/>
          <w:szCs w:val="24"/>
        </w:rPr>
        <w:t xml:space="preserve"> resolution between the two analytes was achieved.</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Range and Linearity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linearity of the developed HPLC method was established by analyzing standard solutions of Dapagliflozin and Eplerenone at five concentration levels over the selected working range. </w:t>
      </w:r>
      <w:r>
        <w:rPr>
          <w:rFonts w:ascii="Times New Roman" w:hAnsi="Times New Roman" w:cs="Times New Roman"/>
          <w:sz w:val="24"/>
          <w:szCs w:val="24"/>
        </w:rPr>
        <w:t>Calibration curves were constructed by plotting peak area against concentration for both analytes. Dapagliflozin exhibited linearity in the concentration range of 10–30 µg/mL, while Eplerenone showed linearity in the range of 25–75 µg/mL. The obtained cali</w:t>
      </w:r>
      <w:r>
        <w:rPr>
          <w:rFonts w:ascii="Times New Roman" w:hAnsi="Times New Roman" w:cs="Times New Roman"/>
          <w:sz w:val="24"/>
          <w:szCs w:val="24"/>
        </w:rPr>
        <w:t xml:space="preserve">bration plots demonstrated a direct and proportional relationship between concentration and detector response across the studied range. The regression analysis indicated a high degree of linearity, as evidenced by correlation coefficient (R²) values close </w:t>
      </w:r>
      <w:r>
        <w:rPr>
          <w:rFonts w:ascii="Times New Roman" w:hAnsi="Times New Roman" w:cs="Times New Roman"/>
          <w:sz w:val="24"/>
          <w:szCs w:val="24"/>
        </w:rPr>
        <w:t>to unity for both analytes. Additionally, the chromatographic responses at each concentration level were consistent, indicating the reliability of the method within the selected range. The established linearity range adequately covers the working concentra</w:t>
      </w:r>
      <w:r>
        <w:rPr>
          <w:rFonts w:ascii="Times New Roman" w:hAnsi="Times New Roman" w:cs="Times New Roman"/>
          <w:sz w:val="24"/>
          <w:szCs w:val="24"/>
        </w:rPr>
        <w:t>tions used for routine analysis.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988685" cy="1539240"/>
            <wp:effectExtent l="9525" t="9525" r="21590" b="13335"/>
            <wp:docPr id="14727228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22845"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988685" cy="1539240"/>
                    </a:xfrm>
                    <a:prstGeom prst="rect">
                      <a:avLst/>
                    </a:prstGeom>
                    <a:noFill/>
                    <a:ln>
                      <a:solidFill>
                        <a:schemeClr val="tx1"/>
                      </a:solidFill>
                    </a:ln>
                  </pic:spPr>
                </pic:pic>
              </a:graphicData>
            </a:graphic>
          </wp:inline>
        </w:drawing>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38 Chromatogram of Linearity 50%</w:t>
      </w:r>
    </w:p>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899150" cy="1483360"/>
            <wp:effectExtent l="9525" t="9525" r="15875" b="12065"/>
            <wp:docPr id="6451001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00141"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899150" cy="1483360"/>
                    </a:xfrm>
                    <a:prstGeom prst="rect">
                      <a:avLst/>
                    </a:prstGeom>
                    <a:noFill/>
                    <a:ln>
                      <a:solidFill>
                        <a:schemeClr val="tx1"/>
                      </a:solidFill>
                    </a:ln>
                  </pic:spPr>
                </pic:pic>
              </a:graphicData>
            </a:graphic>
          </wp:inline>
        </w:drawing>
      </w:r>
    </w:p>
    <w:p w:rsidR="005A19B5" w:rsidRDefault="00D046F1" w:rsidP="005E2918">
      <w:pPr>
        <w:spacing w:line="240" w:lineRule="auto"/>
        <w:ind w:firstLineChars="400" w:firstLine="964"/>
        <w:jc w:val="both"/>
        <w:rPr>
          <w:rFonts w:ascii="Times New Roman" w:hAnsi="Times New Roman" w:cs="Times New Roman"/>
          <w:b/>
          <w:bCs/>
          <w:sz w:val="24"/>
          <w:szCs w:val="24"/>
        </w:rPr>
      </w:pPr>
      <w:r>
        <w:rPr>
          <w:rFonts w:ascii="Times New Roman" w:hAnsi="Times New Roman" w:cs="Times New Roman"/>
          <w:b/>
          <w:bCs/>
          <w:sz w:val="24"/>
          <w:szCs w:val="24"/>
        </w:rPr>
        <w:t>Figure 39 Chromatogram of Linearity 75%</w:t>
      </w: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en-IN"/>
        </w:rPr>
        <w:drawing>
          <wp:inline distT="0" distB="0" distL="0" distR="0">
            <wp:extent cx="5147945" cy="1503680"/>
            <wp:effectExtent l="9525" t="9525" r="24130" b="10795"/>
            <wp:docPr id="2100549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49183"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147945" cy="1503680"/>
                    </a:xfrm>
                    <a:prstGeom prst="rect">
                      <a:avLst/>
                    </a:prstGeom>
                    <a:noFill/>
                    <a:ln>
                      <a:solidFill>
                        <a:schemeClr val="tx1"/>
                      </a:solidFill>
                    </a:ln>
                  </pic:spPr>
                </pic:pic>
              </a:graphicData>
            </a:graphic>
          </wp:inline>
        </w:drawing>
      </w:r>
    </w:p>
    <w:p w:rsidR="005A19B5" w:rsidRDefault="00D046F1" w:rsidP="005E2918">
      <w:pPr>
        <w:spacing w:line="240" w:lineRule="auto"/>
        <w:ind w:firstLineChars="650" w:firstLine="1566"/>
        <w:jc w:val="both"/>
        <w:rPr>
          <w:rFonts w:ascii="Times New Roman" w:hAnsi="Times New Roman" w:cs="Times New Roman"/>
          <w:b/>
          <w:bCs/>
          <w:sz w:val="24"/>
          <w:szCs w:val="24"/>
        </w:rPr>
      </w:pPr>
      <w:r>
        <w:rPr>
          <w:rFonts w:ascii="Times New Roman" w:hAnsi="Times New Roman" w:cs="Times New Roman"/>
          <w:b/>
          <w:bCs/>
          <w:sz w:val="24"/>
          <w:szCs w:val="24"/>
        </w:rPr>
        <w:t>Figure 40 Chromatogram of Linearity 100%</w:t>
      </w: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en-IN"/>
        </w:rPr>
        <w:drawing>
          <wp:inline distT="0" distB="0" distL="0" distR="0">
            <wp:extent cx="4828540" cy="1765935"/>
            <wp:effectExtent l="9525" t="9525" r="19685" b="15240"/>
            <wp:docPr id="7723965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6573"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828540" cy="1765935"/>
                    </a:xfrm>
                    <a:prstGeom prst="rect">
                      <a:avLst/>
                    </a:prstGeom>
                    <a:noFill/>
                    <a:ln>
                      <a:solidFill>
                        <a:schemeClr val="tx1"/>
                      </a:solidFill>
                    </a:ln>
                  </pic:spPr>
                </pic:pic>
              </a:graphicData>
            </a:graphic>
          </wp:inline>
        </w:drawing>
      </w:r>
    </w:p>
    <w:p w:rsidR="005A19B5" w:rsidRDefault="00D046F1" w:rsidP="005E2918">
      <w:pPr>
        <w:spacing w:line="240" w:lineRule="auto"/>
        <w:ind w:firstLineChars="750" w:firstLine="1807"/>
        <w:jc w:val="both"/>
        <w:rPr>
          <w:rFonts w:ascii="Times New Roman" w:hAnsi="Times New Roman" w:cs="Times New Roman"/>
          <w:b/>
          <w:bCs/>
          <w:sz w:val="24"/>
          <w:szCs w:val="24"/>
        </w:rPr>
      </w:pPr>
      <w:r>
        <w:rPr>
          <w:rFonts w:ascii="Times New Roman" w:hAnsi="Times New Roman" w:cs="Times New Roman"/>
          <w:b/>
          <w:bCs/>
          <w:sz w:val="24"/>
          <w:szCs w:val="24"/>
        </w:rPr>
        <w:t>Figure 41 Chromatogram of Linearity 125%</w:t>
      </w: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5A19B5">
      <w:pPr>
        <w:spacing w:line="240" w:lineRule="auto"/>
        <w:jc w:val="center"/>
        <w:rPr>
          <w:rFonts w:ascii="Times New Roman" w:hAnsi="Times New Roman" w:cs="Times New Roman"/>
          <w:sz w:val="24"/>
          <w:szCs w:val="24"/>
        </w:rPr>
      </w:pP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en-IN"/>
        </w:rPr>
        <w:drawing>
          <wp:inline distT="0" distB="0" distL="0" distR="0">
            <wp:extent cx="5157470" cy="1820545"/>
            <wp:effectExtent l="9525" t="9525" r="14605" b="17780"/>
            <wp:docPr id="17171874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8740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157470" cy="1820545"/>
                    </a:xfrm>
                    <a:prstGeom prst="rect">
                      <a:avLst/>
                    </a:prstGeom>
                    <a:noFill/>
                    <a:ln>
                      <a:solidFill>
                        <a:schemeClr val="tx1"/>
                      </a:solidFill>
                    </a:ln>
                  </pic:spPr>
                </pic:pic>
              </a:graphicData>
            </a:graphic>
          </wp:inline>
        </w:drawing>
      </w:r>
    </w:p>
    <w:p w:rsidR="005A19B5" w:rsidRDefault="00D046F1" w:rsidP="005E2918">
      <w:pPr>
        <w:spacing w:line="240" w:lineRule="auto"/>
        <w:ind w:firstLineChars="700" w:firstLine="1687"/>
        <w:jc w:val="both"/>
        <w:rPr>
          <w:rFonts w:ascii="Times New Roman" w:hAnsi="Times New Roman" w:cs="Times New Roman"/>
          <w:b/>
          <w:bCs/>
          <w:sz w:val="24"/>
          <w:szCs w:val="24"/>
        </w:rPr>
      </w:pPr>
      <w:r>
        <w:rPr>
          <w:rFonts w:ascii="Times New Roman" w:hAnsi="Times New Roman" w:cs="Times New Roman"/>
          <w:b/>
          <w:bCs/>
          <w:sz w:val="24"/>
          <w:szCs w:val="24"/>
        </w:rPr>
        <w:t>Figure 42 Chromatogram of Linearity 150%</w:t>
      </w: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en-IN"/>
        </w:rPr>
        <w:drawing>
          <wp:inline distT="0" distB="0" distL="0" distR="0">
            <wp:extent cx="4342130" cy="1998980"/>
            <wp:effectExtent l="9525" t="9525" r="10795" b="10795"/>
            <wp:docPr id="19418838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3802"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342130" cy="1998980"/>
                    </a:xfrm>
                    <a:prstGeom prst="rect">
                      <a:avLst/>
                    </a:prstGeom>
                    <a:noFill/>
                    <a:ln>
                      <a:solidFill>
                        <a:schemeClr val="tx1"/>
                      </a:solidFill>
                    </a:ln>
                  </pic:spPr>
                </pic:pic>
              </a:graphicData>
            </a:graphic>
          </wp:inline>
        </w:drawing>
      </w:r>
    </w:p>
    <w:p w:rsidR="005A19B5" w:rsidRDefault="00D046F1" w:rsidP="005E2918">
      <w:pPr>
        <w:spacing w:line="240" w:lineRule="auto"/>
        <w:ind w:firstLineChars="950" w:firstLine="2289"/>
        <w:jc w:val="both"/>
        <w:rPr>
          <w:rFonts w:ascii="Times New Roman" w:hAnsi="Times New Roman" w:cs="Times New Roman"/>
          <w:b/>
          <w:bCs/>
          <w:sz w:val="24"/>
          <w:szCs w:val="24"/>
        </w:rPr>
      </w:pPr>
      <w:r>
        <w:rPr>
          <w:rFonts w:ascii="Times New Roman" w:hAnsi="Times New Roman" w:cs="Times New Roman"/>
          <w:b/>
          <w:bCs/>
          <w:sz w:val="24"/>
          <w:szCs w:val="24"/>
        </w:rPr>
        <w:t>Figure 43 Overlay Chromatogram of Linearity</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25 Linearity data for DAPA</w:t>
      </w:r>
    </w:p>
    <w:tbl>
      <w:tblPr>
        <w:tblStyle w:val="TableGrid"/>
        <w:tblW w:w="10357" w:type="dxa"/>
        <w:tblLook w:val="04A0" w:firstRow="1" w:lastRow="0" w:firstColumn="1" w:lastColumn="0" w:noHBand="0" w:noVBand="1"/>
      </w:tblPr>
      <w:tblGrid>
        <w:gridCol w:w="590"/>
        <w:gridCol w:w="1696"/>
        <w:gridCol w:w="2221"/>
        <w:gridCol w:w="5850"/>
      </w:tblGrid>
      <w:tr w:rsidR="005A19B5">
        <w:trPr>
          <w:trHeight w:val="774"/>
        </w:trPr>
        <w:tc>
          <w:tcPr>
            <w:tcW w:w="590"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696"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Concentration (μg/mL)</w:t>
            </w:r>
          </w:p>
        </w:tc>
        <w:tc>
          <w:tcPr>
            <w:tcW w:w="2221"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Peak Area (Mean ± S. D. )</w:t>
            </w:r>
          </w:p>
        </w:tc>
        <w:tc>
          <w:tcPr>
            <w:tcW w:w="5850"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RSD</w:t>
            </w:r>
          </w:p>
        </w:tc>
      </w:tr>
      <w:tr w:rsidR="005A19B5">
        <w:trPr>
          <w:trHeight w:val="392"/>
        </w:trPr>
        <w:tc>
          <w:tcPr>
            <w:tcW w:w="5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21"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55587.00 </w:t>
            </w:r>
            <w:r>
              <w:rPr>
                <w:rFonts w:ascii="Times New Roman" w:hAnsi="Times New Roman" w:cs="Times New Roman"/>
                <w:sz w:val="24"/>
                <w:szCs w:val="24"/>
              </w:rPr>
              <w:t>± 53.11</w:t>
            </w:r>
          </w:p>
        </w:tc>
        <w:tc>
          <w:tcPr>
            <w:tcW w:w="5850"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0.10</w:t>
            </w:r>
          </w:p>
        </w:tc>
      </w:tr>
      <w:tr w:rsidR="005A19B5">
        <w:trPr>
          <w:trHeight w:val="392"/>
        </w:trPr>
        <w:tc>
          <w:tcPr>
            <w:tcW w:w="5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21"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82281.33 </w:t>
            </w:r>
            <w:r>
              <w:rPr>
                <w:rFonts w:ascii="Times New Roman" w:hAnsi="Times New Roman" w:cs="Times New Roman"/>
                <w:sz w:val="24"/>
                <w:szCs w:val="24"/>
              </w:rPr>
              <w:t>± 63.57</w:t>
            </w:r>
          </w:p>
        </w:tc>
        <w:tc>
          <w:tcPr>
            <w:tcW w:w="5850"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0.08</w:t>
            </w:r>
          </w:p>
        </w:tc>
      </w:tr>
      <w:tr w:rsidR="005A19B5">
        <w:trPr>
          <w:trHeight w:val="774"/>
        </w:trPr>
        <w:tc>
          <w:tcPr>
            <w:tcW w:w="5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221"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111883.33 </w:t>
            </w:r>
            <w:r>
              <w:rPr>
                <w:rFonts w:ascii="Times New Roman" w:hAnsi="Times New Roman" w:cs="Times New Roman"/>
                <w:sz w:val="24"/>
                <w:szCs w:val="24"/>
              </w:rPr>
              <w:t>± 113.78</w:t>
            </w:r>
          </w:p>
        </w:tc>
        <w:tc>
          <w:tcPr>
            <w:tcW w:w="5850"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0.10</w:t>
            </w:r>
          </w:p>
        </w:tc>
      </w:tr>
      <w:tr w:rsidR="005A19B5">
        <w:trPr>
          <w:trHeight w:val="774"/>
        </w:trPr>
        <w:tc>
          <w:tcPr>
            <w:tcW w:w="5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221"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137372.67 </w:t>
            </w:r>
            <w:r>
              <w:rPr>
                <w:rFonts w:ascii="Times New Roman" w:hAnsi="Times New Roman" w:cs="Times New Roman"/>
                <w:sz w:val="24"/>
                <w:szCs w:val="24"/>
              </w:rPr>
              <w:t>± 56.08</w:t>
            </w:r>
          </w:p>
        </w:tc>
        <w:tc>
          <w:tcPr>
            <w:tcW w:w="5850"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0.04</w:t>
            </w:r>
          </w:p>
        </w:tc>
      </w:tr>
      <w:tr w:rsidR="005A19B5">
        <w:trPr>
          <w:trHeight w:val="774"/>
        </w:trPr>
        <w:tc>
          <w:tcPr>
            <w:tcW w:w="59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221"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166461.67 </w:t>
            </w:r>
            <w:r>
              <w:rPr>
                <w:rFonts w:ascii="Times New Roman" w:hAnsi="Times New Roman" w:cs="Times New Roman"/>
                <w:sz w:val="24"/>
                <w:szCs w:val="24"/>
              </w:rPr>
              <w:t>± 134.40</w:t>
            </w:r>
          </w:p>
        </w:tc>
        <w:tc>
          <w:tcPr>
            <w:tcW w:w="5850"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0.08</w:t>
            </w:r>
          </w:p>
        </w:tc>
      </w:tr>
      <w:tr w:rsidR="005A19B5">
        <w:trPr>
          <w:trHeight w:val="774"/>
        </w:trPr>
        <w:tc>
          <w:tcPr>
            <w:tcW w:w="4507" w:type="dxa"/>
            <w:gridSpan w:val="3"/>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Regression equation</w:t>
            </w:r>
          </w:p>
        </w:tc>
        <w:tc>
          <w:tcPr>
            <w:tcW w:w="585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y=5535.5x – 5.7333</w:t>
            </w:r>
          </w:p>
        </w:tc>
      </w:tr>
      <w:tr w:rsidR="005A19B5">
        <w:trPr>
          <w:trHeight w:val="401"/>
        </w:trPr>
        <w:tc>
          <w:tcPr>
            <w:tcW w:w="4507" w:type="dxa"/>
            <w:gridSpan w:val="3"/>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Regression Coefficient</w:t>
            </w:r>
          </w:p>
        </w:tc>
        <w:tc>
          <w:tcPr>
            <w:tcW w:w="585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0.9996</w:t>
            </w:r>
          </w:p>
        </w:tc>
      </w:tr>
    </w:tbl>
    <w:p w:rsidR="005A19B5" w:rsidRDefault="005A19B5">
      <w:pPr>
        <w:spacing w:line="240" w:lineRule="auto"/>
        <w:jc w:val="both"/>
        <w:rPr>
          <w:rFonts w:ascii="Times New Roman" w:hAnsi="Times New Roman" w:cs="Times New Roman"/>
          <w:b/>
          <w:bCs/>
          <w:sz w:val="24"/>
          <w:szCs w:val="24"/>
        </w:rPr>
      </w:pP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noProof/>
          <w:sz w:val="24"/>
          <w:szCs w:val="24"/>
          <w:lang w:eastAsia="en-IN"/>
        </w:rPr>
        <w:drawing>
          <wp:inline distT="0" distB="0" distL="0" distR="0">
            <wp:extent cx="5631815" cy="2911475"/>
            <wp:effectExtent l="4445" t="4445" r="21590" b="17780"/>
            <wp:docPr id="15329979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Figure 44 Calibration curve for DAPA</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26 Linearity data for EPLE</w:t>
      </w:r>
    </w:p>
    <w:tbl>
      <w:tblPr>
        <w:tblStyle w:val="TableGrid"/>
        <w:tblW w:w="10507" w:type="dxa"/>
        <w:tblLook w:val="04A0" w:firstRow="1" w:lastRow="0" w:firstColumn="1" w:lastColumn="0" w:noHBand="0" w:noVBand="1"/>
      </w:tblPr>
      <w:tblGrid>
        <w:gridCol w:w="691"/>
        <w:gridCol w:w="1696"/>
        <w:gridCol w:w="2652"/>
        <w:gridCol w:w="5468"/>
      </w:tblGrid>
      <w:tr w:rsidR="005A19B5">
        <w:trPr>
          <w:trHeight w:val="749"/>
        </w:trPr>
        <w:tc>
          <w:tcPr>
            <w:tcW w:w="691"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Sr. No.</w:t>
            </w:r>
          </w:p>
        </w:tc>
        <w:tc>
          <w:tcPr>
            <w:tcW w:w="1696"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Concentration (μg/mL)</w:t>
            </w:r>
          </w:p>
        </w:tc>
        <w:tc>
          <w:tcPr>
            <w:tcW w:w="2652"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Peak Area (Mean ± S. </w:t>
            </w:r>
            <w:r>
              <w:rPr>
                <w:rFonts w:ascii="Times New Roman" w:hAnsi="Times New Roman" w:cs="Times New Roman"/>
                <w:b/>
                <w:bCs/>
                <w:sz w:val="24"/>
                <w:szCs w:val="24"/>
              </w:rPr>
              <w:t>D. )</w:t>
            </w:r>
          </w:p>
        </w:tc>
        <w:tc>
          <w:tcPr>
            <w:tcW w:w="5468"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RSD</w:t>
            </w:r>
          </w:p>
        </w:tc>
      </w:tr>
      <w:tr w:rsidR="005A19B5">
        <w:trPr>
          <w:trHeight w:val="379"/>
        </w:trPr>
        <w:tc>
          <w:tcPr>
            <w:tcW w:w="69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652"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68450.33 ± 96</w:t>
            </w:r>
          </w:p>
        </w:tc>
        <w:tc>
          <w:tcPr>
            <w:tcW w:w="5468"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0.14</w:t>
            </w:r>
          </w:p>
        </w:tc>
      </w:tr>
      <w:tr w:rsidR="005A19B5">
        <w:trPr>
          <w:trHeight w:val="379"/>
        </w:trPr>
        <w:tc>
          <w:tcPr>
            <w:tcW w:w="69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37.5</w:t>
            </w:r>
          </w:p>
        </w:tc>
        <w:tc>
          <w:tcPr>
            <w:tcW w:w="2652"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100577.00 ± 87.43</w:t>
            </w:r>
          </w:p>
        </w:tc>
        <w:tc>
          <w:tcPr>
            <w:tcW w:w="5468"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0.09</w:t>
            </w:r>
          </w:p>
        </w:tc>
      </w:tr>
      <w:tr w:rsidR="005A19B5">
        <w:trPr>
          <w:trHeight w:val="379"/>
        </w:trPr>
        <w:tc>
          <w:tcPr>
            <w:tcW w:w="69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652"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137406.33 ± 278.99</w:t>
            </w:r>
          </w:p>
        </w:tc>
        <w:tc>
          <w:tcPr>
            <w:tcW w:w="5468"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0.20</w:t>
            </w:r>
          </w:p>
        </w:tc>
      </w:tr>
      <w:tr w:rsidR="005A19B5">
        <w:trPr>
          <w:trHeight w:val="379"/>
        </w:trPr>
        <w:tc>
          <w:tcPr>
            <w:tcW w:w="69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62.5</w:t>
            </w:r>
          </w:p>
        </w:tc>
        <w:tc>
          <w:tcPr>
            <w:tcW w:w="2652"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169586.00 ± 314.50</w:t>
            </w:r>
          </w:p>
        </w:tc>
        <w:tc>
          <w:tcPr>
            <w:tcW w:w="5468"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0.19</w:t>
            </w:r>
          </w:p>
        </w:tc>
      </w:tr>
      <w:tr w:rsidR="005A19B5">
        <w:trPr>
          <w:trHeight w:val="379"/>
        </w:trPr>
        <w:tc>
          <w:tcPr>
            <w:tcW w:w="691"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652"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199353.67 ± 223.51</w:t>
            </w:r>
          </w:p>
        </w:tc>
        <w:tc>
          <w:tcPr>
            <w:tcW w:w="5468"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0.11</w:t>
            </w:r>
          </w:p>
        </w:tc>
      </w:tr>
      <w:tr w:rsidR="005A19B5">
        <w:trPr>
          <w:trHeight w:val="379"/>
        </w:trPr>
        <w:tc>
          <w:tcPr>
            <w:tcW w:w="5039" w:type="dxa"/>
            <w:gridSpan w:val="3"/>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Regression equation</w:t>
            </w:r>
          </w:p>
        </w:tc>
        <w:tc>
          <w:tcPr>
            <w:tcW w:w="5468"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y=2646.5x +2748.4</w:t>
            </w:r>
          </w:p>
        </w:tc>
      </w:tr>
      <w:tr w:rsidR="005A19B5">
        <w:trPr>
          <w:trHeight w:val="388"/>
        </w:trPr>
        <w:tc>
          <w:tcPr>
            <w:tcW w:w="5039" w:type="dxa"/>
            <w:gridSpan w:val="3"/>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Linear Regression Coefficient</w:t>
            </w:r>
          </w:p>
        </w:tc>
        <w:tc>
          <w:tcPr>
            <w:tcW w:w="5468"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0.9988</w:t>
            </w:r>
          </w:p>
        </w:tc>
      </w:tr>
    </w:tbl>
    <w:p w:rsidR="005A19B5" w:rsidRDefault="005A19B5">
      <w:pPr>
        <w:spacing w:line="240" w:lineRule="auto"/>
        <w:jc w:val="center"/>
        <w:rPr>
          <w:rFonts w:ascii="Times New Roman" w:hAnsi="Times New Roman" w:cs="Times New Roman"/>
          <w:b/>
          <w:bCs/>
          <w:sz w:val="24"/>
          <w:szCs w:val="24"/>
        </w:rPr>
      </w:pPr>
    </w:p>
    <w:p w:rsidR="005A19B5" w:rsidRDefault="00D046F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en-IN"/>
        </w:rPr>
        <w:drawing>
          <wp:inline distT="0" distB="0" distL="0" distR="0">
            <wp:extent cx="4817110" cy="2677160"/>
            <wp:effectExtent l="4445" t="4445" r="17145" b="23495"/>
            <wp:docPr id="9560918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A19B5" w:rsidRDefault="00D046F1" w:rsidP="005E2918">
      <w:pPr>
        <w:spacing w:line="240" w:lineRule="auto"/>
        <w:ind w:firstLineChars="800" w:firstLine="1928"/>
        <w:jc w:val="both"/>
        <w:rPr>
          <w:rFonts w:ascii="Times New Roman" w:hAnsi="Times New Roman" w:cs="Times New Roman"/>
          <w:b/>
          <w:bCs/>
          <w:sz w:val="24"/>
          <w:szCs w:val="24"/>
        </w:rPr>
      </w:pPr>
      <w:r>
        <w:rPr>
          <w:rFonts w:ascii="Times New Roman" w:hAnsi="Times New Roman" w:cs="Times New Roman"/>
          <w:b/>
          <w:bCs/>
          <w:sz w:val="24"/>
          <w:szCs w:val="24"/>
        </w:rPr>
        <w:t>Figure 45 Calibration curve for EPLE</w:t>
      </w: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conducted to evaluate the linearity of the proposed RP-HPLC method for the simultaneous estimation </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of Dapagliflozin and Eplerenone over a defined concentration range. A minimum acceptance criterion of </w:t>
      </w:r>
      <w:r>
        <w:rPr>
          <w:rFonts w:ascii="Times New Roman" w:hAnsi="Times New Roman" w:cs="Times New Roman"/>
          <w:sz w:val="24"/>
          <w:szCs w:val="24"/>
        </w:rPr>
        <w:t>correlation coefficient (r²) greater than 0.995 was considered to confirm adequate linearity of the method.</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calibration data produced correlation coefficient (r²) values of 0.9996 for Dapagliflozin and 0.9988 for Eplerenone. These values are w</w:t>
      </w:r>
      <w:r>
        <w:rPr>
          <w:rFonts w:ascii="Times New Roman" w:hAnsi="Times New Roman" w:cs="Times New Roman"/>
          <w:sz w:val="24"/>
          <w:szCs w:val="24"/>
        </w:rPr>
        <w:t>ell within the acceptable limits, demonstrating a strong and direct relationship between concentration and chromatographic response for both analytes.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 xml:space="preserve">Based on compliance with the established linearity criteria, the developed RP-HPLC method is </w:t>
      </w:r>
      <w:r>
        <w:rPr>
          <w:rFonts w:ascii="Times New Roman" w:hAnsi="Times New Roman" w:cs="Times New Roman"/>
          <w:sz w:val="24"/>
          <w:szCs w:val="24"/>
        </w:rPr>
        <w:t>considered reliable for quantitative analysis of Dapagliflozin within the concentration range of 10–30 µg/mL and Eplerenone within 25–75 µg/mL. The validated linear range confirms the suitability of the method for accurate estimation of both drugs in routi</w:t>
      </w:r>
      <w:r>
        <w:rPr>
          <w:rFonts w:ascii="Times New Roman" w:hAnsi="Times New Roman" w:cs="Times New Roman"/>
          <w:sz w:val="24"/>
          <w:szCs w:val="24"/>
        </w:rPr>
        <w:t>ne analysis.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Repeatability</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27 Repeatability Data for DAPA</w:t>
      </w:r>
    </w:p>
    <w:tbl>
      <w:tblPr>
        <w:tblStyle w:val="TableGrid"/>
        <w:tblW w:w="9335" w:type="dxa"/>
        <w:tblLook w:val="04A0" w:firstRow="1" w:lastRow="0" w:firstColumn="1" w:lastColumn="0" w:noHBand="0" w:noVBand="1"/>
      </w:tblPr>
      <w:tblGrid>
        <w:gridCol w:w="1680"/>
        <w:gridCol w:w="7655"/>
      </w:tblGrid>
      <w:tr w:rsidR="005A19B5">
        <w:trPr>
          <w:trHeight w:val="817"/>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Area</w:t>
            </w:r>
          </w:p>
        </w:tc>
        <w:tc>
          <w:tcPr>
            <w:tcW w:w="7655"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Concentration of DAPA ( 20 µg/mL)</w:t>
            </w:r>
          </w:p>
        </w:tc>
      </w:tr>
      <w:tr w:rsidR="005A19B5">
        <w:trPr>
          <w:trHeight w:val="56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115928</w:t>
            </w:r>
          </w:p>
        </w:tc>
      </w:tr>
      <w:tr w:rsidR="005A19B5">
        <w:trPr>
          <w:trHeight w:val="56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2.</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115268</w:t>
            </w:r>
          </w:p>
        </w:tc>
      </w:tr>
      <w:tr w:rsidR="005A19B5">
        <w:trPr>
          <w:trHeight w:val="56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3.</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115654</w:t>
            </w:r>
          </w:p>
        </w:tc>
      </w:tr>
      <w:tr w:rsidR="005A19B5">
        <w:trPr>
          <w:trHeight w:val="56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4.</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115123</w:t>
            </w:r>
          </w:p>
        </w:tc>
      </w:tr>
      <w:tr w:rsidR="005A19B5">
        <w:trPr>
          <w:trHeight w:val="56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5.</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115789</w:t>
            </w:r>
          </w:p>
        </w:tc>
      </w:tr>
      <w:tr w:rsidR="005A19B5">
        <w:trPr>
          <w:trHeight w:val="56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6.</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115874</w:t>
            </w:r>
          </w:p>
        </w:tc>
      </w:tr>
      <w:tr w:rsidR="005A19B5">
        <w:trPr>
          <w:trHeight w:val="56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Mean</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115606.00</w:t>
            </w:r>
          </w:p>
        </w:tc>
      </w:tr>
      <w:tr w:rsidR="005A19B5">
        <w:trPr>
          <w:trHeight w:val="56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SD</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334.32</w:t>
            </w:r>
          </w:p>
        </w:tc>
      </w:tr>
      <w:tr w:rsidR="005A19B5">
        <w:trPr>
          <w:trHeight w:val="589"/>
        </w:trPr>
        <w:tc>
          <w:tcPr>
            <w:tcW w:w="16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c>
          <w:tcPr>
            <w:tcW w:w="7655"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0.29</w:t>
            </w:r>
          </w:p>
        </w:tc>
      </w:tr>
    </w:tbl>
    <w:p w:rsidR="005A19B5" w:rsidRDefault="005A19B5">
      <w:pPr>
        <w:spacing w:line="240" w:lineRule="auto"/>
        <w:jc w:val="center"/>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28 Repeatability Data for EPLE</w:t>
      </w:r>
    </w:p>
    <w:tbl>
      <w:tblPr>
        <w:tblStyle w:val="TableGrid"/>
        <w:tblW w:w="9362" w:type="dxa"/>
        <w:tblLook w:val="04A0" w:firstRow="1" w:lastRow="0" w:firstColumn="1" w:lastColumn="0" w:noHBand="0" w:noVBand="1"/>
      </w:tblPr>
      <w:tblGrid>
        <w:gridCol w:w="1880"/>
        <w:gridCol w:w="7482"/>
      </w:tblGrid>
      <w:tr w:rsidR="005A19B5">
        <w:trPr>
          <w:trHeight w:val="521"/>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Area</w:t>
            </w:r>
          </w:p>
        </w:tc>
        <w:tc>
          <w:tcPr>
            <w:tcW w:w="7482"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Concentration of EPLE (50 µg/mL)</w:t>
            </w:r>
          </w:p>
        </w:tc>
      </w:tr>
      <w:tr w:rsidR="005A19B5">
        <w:trPr>
          <w:trHeight w:val="57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140467</w:t>
            </w:r>
          </w:p>
        </w:tc>
      </w:tr>
      <w:tr w:rsidR="005A19B5">
        <w:trPr>
          <w:trHeight w:val="57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2.</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139650</w:t>
            </w:r>
          </w:p>
        </w:tc>
      </w:tr>
      <w:tr w:rsidR="005A19B5">
        <w:trPr>
          <w:trHeight w:val="57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3.</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140102</w:t>
            </w:r>
          </w:p>
        </w:tc>
      </w:tr>
      <w:tr w:rsidR="005A19B5">
        <w:trPr>
          <w:trHeight w:val="57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4.</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140987</w:t>
            </w:r>
          </w:p>
        </w:tc>
      </w:tr>
      <w:tr w:rsidR="005A19B5">
        <w:trPr>
          <w:trHeight w:val="57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5.</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139784</w:t>
            </w:r>
          </w:p>
        </w:tc>
      </w:tr>
      <w:tr w:rsidR="005A19B5">
        <w:trPr>
          <w:trHeight w:val="57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6.</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140620</w:t>
            </w:r>
          </w:p>
        </w:tc>
      </w:tr>
      <w:tr w:rsidR="005A19B5">
        <w:trPr>
          <w:trHeight w:val="57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Mean</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140268.33</w:t>
            </w:r>
          </w:p>
        </w:tc>
      </w:tr>
      <w:tr w:rsidR="005A19B5">
        <w:trPr>
          <w:trHeight w:val="57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SD</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514.63</w:t>
            </w:r>
          </w:p>
        </w:tc>
      </w:tr>
      <w:tr w:rsidR="005A19B5">
        <w:trPr>
          <w:trHeight w:val="580"/>
        </w:trPr>
        <w:tc>
          <w:tcPr>
            <w:tcW w:w="1880"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c>
          <w:tcPr>
            <w:tcW w:w="7482" w:type="dxa"/>
            <w:vAlign w:val="bottom"/>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0.37</w:t>
            </w:r>
          </w:p>
        </w:tc>
      </w:tr>
    </w:tbl>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Repeatability evaluates the ability of the analytical method to produce consistent results when multiple </w:t>
      </w:r>
      <w:r>
        <w:rPr>
          <w:rFonts w:ascii="Times New Roman" w:hAnsi="Times New Roman" w:cs="Times New Roman"/>
          <w:sz w:val="24"/>
          <w:szCs w:val="24"/>
        </w:rPr>
        <w:t>measurements are carried out under the same experimental conditions. As per ICH guidelines, the method is considered precise if the percentage Relative Standard Deviation (%RSD) does not exceed 2%.</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 RSD values obtained for Dapagliflozin and E</w:t>
      </w:r>
      <w:r>
        <w:rPr>
          <w:rFonts w:ascii="Times New Roman" w:hAnsi="Times New Roman" w:cs="Times New Roman"/>
          <w:sz w:val="24"/>
          <w:szCs w:val="24"/>
        </w:rPr>
        <w:t>plerenone at the selected concentration level (20 µg/mL and 50 µg/mL, respectively) were found to be less than 2%. This indicates minimal variation among replicate injections and demonstrates good system consistency.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 xml:space="preserve">Since the % RSD values for </w:t>
      </w:r>
      <w:r>
        <w:rPr>
          <w:rFonts w:ascii="Times New Roman" w:hAnsi="Times New Roman" w:cs="Times New Roman"/>
          <w:sz w:val="24"/>
          <w:szCs w:val="24"/>
        </w:rPr>
        <w:t>both analytes were within the acceptable limit, the developed RP-HPLC method can be considered repeatable. The results confirm that the method provides reliable and consistent responses for the quantitative determination of Dapagliflozin and Eplerenone.</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w:t>
      </w:r>
      <w:r>
        <w:rPr>
          <w:rFonts w:ascii="Times New Roman" w:hAnsi="Times New Roman" w:cs="Times New Roman"/>
          <w:b/>
          <w:bCs/>
          <w:sz w:val="24"/>
          <w:szCs w:val="24"/>
        </w:rPr>
        <w:t>traday Precision</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29 Data of Intraday precision of DAPA and EPLE</w:t>
      </w:r>
    </w:p>
    <w:tbl>
      <w:tblPr>
        <w:tblStyle w:val="TableGrid"/>
        <w:tblW w:w="10044" w:type="dxa"/>
        <w:tblLayout w:type="fixed"/>
        <w:tblLook w:val="04A0" w:firstRow="1" w:lastRow="0" w:firstColumn="1" w:lastColumn="0" w:noHBand="0" w:noVBand="1"/>
      </w:tblPr>
      <w:tblGrid>
        <w:gridCol w:w="865"/>
        <w:gridCol w:w="1693"/>
        <w:gridCol w:w="777"/>
        <w:gridCol w:w="1077"/>
        <w:gridCol w:w="3355"/>
        <w:gridCol w:w="2277"/>
      </w:tblGrid>
      <w:tr w:rsidR="005A19B5">
        <w:trPr>
          <w:trHeight w:val="1568"/>
        </w:trPr>
        <w:tc>
          <w:tcPr>
            <w:tcW w:w="865"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Conc. DAPA (µg. mL</w:t>
            </w:r>
            <w:r>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w:t>
            </w:r>
          </w:p>
        </w:tc>
        <w:tc>
          <w:tcPr>
            <w:tcW w:w="1693"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Intraday (Mean Area ± SD)</w:t>
            </w:r>
          </w:p>
        </w:tc>
        <w:tc>
          <w:tcPr>
            <w:tcW w:w="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c>
          <w:tcPr>
            <w:tcW w:w="1077" w:type="dxa"/>
          </w:tcPr>
          <w:p w:rsidR="005A19B5" w:rsidRDefault="00D046F1">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Conc. EPLE (µg. mL</w:t>
            </w:r>
            <w:r>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w:t>
            </w:r>
          </w:p>
        </w:tc>
        <w:tc>
          <w:tcPr>
            <w:tcW w:w="3355"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Intraday (Mean Area ± SD)</w:t>
            </w:r>
          </w:p>
        </w:tc>
        <w:tc>
          <w:tcPr>
            <w:tcW w:w="22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r>
      <w:tr w:rsidR="005A19B5">
        <w:trPr>
          <w:trHeight w:val="789"/>
        </w:trPr>
        <w:tc>
          <w:tcPr>
            <w:tcW w:w="86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69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55471.67 </w:t>
            </w:r>
            <w:r>
              <w:rPr>
                <w:rFonts w:ascii="Times New Roman" w:hAnsi="Times New Roman" w:cs="Times New Roman"/>
                <w:sz w:val="24"/>
                <w:szCs w:val="24"/>
                <w:lang w:val="en-US"/>
              </w:rPr>
              <w:t>± 86.41</w:t>
            </w:r>
          </w:p>
        </w:tc>
        <w:tc>
          <w:tcPr>
            <w:tcW w:w="777"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0.16</w:t>
            </w:r>
          </w:p>
        </w:tc>
        <w:tc>
          <w:tcPr>
            <w:tcW w:w="1077" w:type="dxa"/>
            <w:vAlign w:val="center"/>
          </w:tcPr>
          <w:p w:rsidR="005A19B5" w:rsidRDefault="00D046F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335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68451.33 </w:t>
            </w:r>
            <w:r>
              <w:rPr>
                <w:rFonts w:ascii="Times New Roman" w:hAnsi="Times New Roman" w:cs="Times New Roman"/>
                <w:sz w:val="24"/>
                <w:szCs w:val="24"/>
                <w:lang w:val="en-US"/>
              </w:rPr>
              <w:t>± 94.50</w:t>
            </w:r>
          </w:p>
        </w:tc>
        <w:tc>
          <w:tcPr>
            <w:tcW w:w="2277"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0.14</w:t>
            </w:r>
          </w:p>
        </w:tc>
      </w:tr>
      <w:tr w:rsidR="005A19B5">
        <w:trPr>
          <w:trHeight w:val="993"/>
        </w:trPr>
        <w:tc>
          <w:tcPr>
            <w:tcW w:w="86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69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115485.33 </w:t>
            </w:r>
            <w:r>
              <w:rPr>
                <w:rFonts w:ascii="Times New Roman" w:hAnsi="Times New Roman" w:cs="Times New Roman"/>
                <w:sz w:val="24"/>
                <w:szCs w:val="24"/>
                <w:lang w:val="en-US"/>
              </w:rPr>
              <w:t>± 546.87</w:t>
            </w:r>
          </w:p>
        </w:tc>
        <w:tc>
          <w:tcPr>
            <w:tcW w:w="777"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0.47</w:t>
            </w:r>
          </w:p>
        </w:tc>
        <w:tc>
          <w:tcPr>
            <w:tcW w:w="1077" w:type="dxa"/>
            <w:vAlign w:val="center"/>
          </w:tcPr>
          <w:p w:rsidR="005A19B5" w:rsidRDefault="00D046F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335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140245.67 </w:t>
            </w:r>
            <w:r>
              <w:rPr>
                <w:rFonts w:ascii="Times New Roman" w:hAnsi="Times New Roman" w:cs="Times New Roman"/>
                <w:sz w:val="24"/>
                <w:szCs w:val="24"/>
                <w:lang w:val="en-US"/>
              </w:rPr>
              <w:t>± 521.50</w:t>
            </w:r>
          </w:p>
        </w:tc>
        <w:tc>
          <w:tcPr>
            <w:tcW w:w="2277"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0.37</w:t>
            </w:r>
          </w:p>
        </w:tc>
      </w:tr>
      <w:tr w:rsidR="005A19B5">
        <w:trPr>
          <w:trHeight w:val="1015"/>
        </w:trPr>
        <w:tc>
          <w:tcPr>
            <w:tcW w:w="86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69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166048.33 </w:t>
            </w:r>
            <w:r>
              <w:rPr>
                <w:rFonts w:ascii="Times New Roman" w:hAnsi="Times New Roman" w:cs="Times New Roman"/>
                <w:sz w:val="24"/>
                <w:szCs w:val="24"/>
                <w:lang w:val="en-US"/>
              </w:rPr>
              <w:t>± 819.48</w:t>
            </w:r>
          </w:p>
        </w:tc>
        <w:tc>
          <w:tcPr>
            <w:tcW w:w="777"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0.49</w:t>
            </w:r>
          </w:p>
        </w:tc>
        <w:tc>
          <w:tcPr>
            <w:tcW w:w="1077" w:type="dxa"/>
            <w:vAlign w:val="center"/>
          </w:tcPr>
          <w:p w:rsidR="005A19B5" w:rsidRDefault="00D046F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335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199645.67 </w:t>
            </w:r>
            <w:r>
              <w:rPr>
                <w:rFonts w:ascii="Times New Roman" w:hAnsi="Times New Roman" w:cs="Times New Roman"/>
                <w:sz w:val="24"/>
                <w:szCs w:val="24"/>
                <w:lang w:val="en-US"/>
              </w:rPr>
              <w:t>± 300.91</w:t>
            </w:r>
          </w:p>
        </w:tc>
        <w:tc>
          <w:tcPr>
            <w:tcW w:w="2277"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0.15</w:t>
            </w:r>
          </w:p>
        </w:tc>
      </w:tr>
    </w:tbl>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Intra-day precision assesses the consistency of the analytical method when measurements are performed multiple times within the same day at different time intervals. </w:t>
      </w:r>
      <w:r>
        <w:rPr>
          <w:rFonts w:ascii="Times New Roman" w:hAnsi="Times New Roman" w:cs="Times New Roman"/>
          <w:sz w:val="24"/>
          <w:szCs w:val="24"/>
        </w:rPr>
        <w:t>According to ICH guidelines, the method is considered precise if the percentage Relative Standard Deviation (%RSD) is less than 2%.</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intra-day precision was evaluated at three concentration levels, corresponding to 50%, 100%, and 150%, i.e., 10</w:t>
      </w:r>
      <w:r>
        <w:rPr>
          <w:rFonts w:ascii="Times New Roman" w:hAnsi="Times New Roman" w:cs="Times New Roman"/>
          <w:sz w:val="24"/>
          <w:szCs w:val="24"/>
        </w:rPr>
        <w:t xml:space="preserve"> µg/mL and 25 µg/mL, 20 µg/mL and 50 µg/mL, and 30 µg/mL and 75 µg/mL for Dapagliflozin and Eplerenone, respectively. The %RSD values obtained for both analytes at all concentration levels were found to be less than 2%, indicating good repeatability of res</w:t>
      </w:r>
      <w:r>
        <w:rPr>
          <w:rFonts w:ascii="Times New Roman" w:hAnsi="Times New Roman" w:cs="Times New Roman"/>
          <w:sz w:val="24"/>
          <w:szCs w:val="24"/>
        </w:rPr>
        <w:t>ults within the same day.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A</w:t>
      </w:r>
      <w:r>
        <w:rPr>
          <w:rFonts w:ascii="Times New Roman" w:hAnsi="Times New Roman" w:cs="Times New Roman"/>
          <w:sz w:val="24"/>
          <w:szCs w:val="24"/>
        </w:rPr>
        <w:t xml:space="preserve"> </w:t>
      </w:r>
      <w:r>
        <w:rPr>
          <w:rFonts w:ascii="Times New Roman" w:hAnsi="Times New Roman" w:cs="Times New Roman"/>
          <w:sz w:val="24"/>
          <w:szCs w:val="24"/>
        </w:rPr>
        <w:t>s the %RSD values were within the acceptable limit for all concentration levels, the developed RP-HPLC method demonstrates good intra-day precision. This confirms that the method is capable of providing consistent an</w:t>
      </w:r>
      <w:r>
        <w:rPr>
          <w:rFonts w:ascii="Times New Roman" w:hAnsi="Times New Roman" w:cs="Times New Roman"/>
          <w:sz w:val="24"/>
          <w:szCs w:val="24"/>
        </w:rPr>
        <w:t>d reliable results during routine analysis performed within a single day.</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Inter-day precision</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30 Data of Inter-day precision of DAPA and EPLE</w:t>
      </w:r>
    </w:p>
    <w:tbl>
      <w:tblPr>
        <w:tblStyle w:val="TableGrid"/>
        <w:tblW w:w="10507" w:type="dxa"/>
        <w:tblLayout w:type="fixed"/>
        <w:tblLook w:val="04A0" w:firstRow="1" w:lastRow="0" w:firstColumn="1" w:lastColumn="0" w:noHBand="0" w:noVBand="1"/>
      </w:tblPr>
      <w:tblGrid>
        <w:gridCol w:w="865"/>
        <w:gridCol w:w="2115"/>
        <w:gridCol w:w="696"/>
        <w:gridCol w:w="1609"/>
        <w:gridCol w:w="3436"/>
        <w:gridCol w:w="1786"/>
      </w:tblGrid>
      <w:tr w:rsidR="005A19B5">
        <w:trPr>
          <w:trHeight w:val="1644"/>
        </w:trPr>
        <w:tc>
          <w:tcPr>
            <w:tcW w:w="865"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Conc. DAPA (µg. mL</w:t>
            </w:r>
            <w:r>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w:t>
            </w:r>
          </w:p>
        </w:tc>
        <w:tc>
          <w:tcPr>
            <w:tcW w:w="2115"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Inter-day (Mean Area ± SD)</w:t>
            </w:r>
          </w:p>
        </w:tc>
        <w:tc>
          <w:tcPr>
            <w:tcW w:w="69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RSD</w:t>
            </w:r>
          </w:p>
        </w:tc>
        <w:tc>
          <w:tcPr>
            <w:tcW w:w="1609" w:type="dxa"/>
          </w:tcPr>
          <w:p w:rsidR="005A19B5" w:rsidRDefault="00D046F1">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Conc. EPLE (µg. mL</w:t>
            </w:r>
            <w:r>
              <w:rPr>
                <w:rFonts w:ascii="Times New Roman" w:hAnsi="Times New Roman" w:cs="Times New Roman"/>
                <w:b/>
                <w:bCs/>
                <w:sz w:val="24"/>
                <w:szCs w:val="24"/>
                <w:vertAlign w:val="superscript"/>
                <w:lang w:val="en-US"/>
              </w:rPr>
              <w:t>-1</w:t>
            </w:r>
            <w:r>
              <w:rPr>
                <w:rFonts w:ascii="Times New Roman" w:hAnsi="Times New Roman" w:cs="Times New Roman"/>
                <w:b/>
                <w:bCs/>
                <w:sz w:val="24"/>
                <w:szCs w:val="24"/>
                <w:lang w:val="en-US"/>
              </w:rPr>
              <w:t>)</w:t>
            </w:r>
          </w:p>
        </w:tc>
        <w:tc>
          <w:tcPr>
            <w:tcW w:w="343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Inter-day (Mean Area ± SD)</w:t>
            </w:r>
          </w:p>
        </w:tc>
        <w:tc>
          <w:tcPr>
            <w:tcW w:w="178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RSD</w:t>
            </w:r>
          </w:p>
        </w:tc>
      </w:tr>
      <w:tr w:rsidR="005A19B5">
        <w:trPr>
          <w:trHeight w:val="587"/>
        </w:trPr>
        <w:tc>
          <w:tcPr>
            <w:tcW w:w="86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15"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55531.67 </w:t>
            </w:r>
            <w:r>
              <w:rPr>
                <w:rFonts w:ascii="Times New Roman" w:hAnsi="Times New Roman" w:cs="Times New Roman"/>
                <w:sz w:val="24"/>
                <w:szCs w:val="24"/>
                <w:lang w:val="en-US"/>
              </w:rPr>
              <w:t>± 370.24</w:t>
            </w:r>
          </w:p>
        </w:tc>
        <w:tc>
          <w:tcPr>
            <w:tcW w:w="69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0.67</w:t>
            </w:r>
          </w:p>
        </w:tc>
        <w:tc>
          <w:tcPr>
            <w:tcW w:w="1609" w:type="dxa"/>
            <w:vAlign w:val="center"/>
          </w:tcPr>
          <w:p w:rsidR="005A19B5" w:rsidRDefault="00D046F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343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68489.00 </w:t>
            </w:r>
            <w:r>
              <w:rPr>
                <w:rFonts w:ascii="Times New Roman" w:hAnsi="Times New Roman" w:cs="Times New Roman"/>
                <w:sz w:val="24"/>
                <w:szCs w:val="24"/>
                <w:lang w:val="en-US"/>
              </w:rPr>
              <w:t>± 414.34</w:t>
            </w:r>
          </w:p>
        </w:tc>
        <w:tc>
          <w:tcPr>
            <w:tcW w:w="178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0.60</w:t>
            </w:r>
          </w:p>
        </w:tc>
      </w:tr>
      <w:tr w:rsidR="005A19B5">
        <w:trPr>
          <w:trHeight w:val="1100"/>
        </w:trPr>
        <w:tc>
          <w:tcPr>
            <w:tcW w:w="86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15"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115855.33 </w:t>
            </w:r>
            <w:r>
              <w:rPr>
                <w:rFonts w:ascii="Times New Roman" w:hAnsi="Times New Roman" w:cs="Times New Roman"/>
                <w:sz w:val="24"/>
                <w:szCs w:val="24"/>
                <w:lang w:val="en-US"/>
              </w:rPr>
              <w:t>± 851.05</w:t>
            </w:r>
          </w:p>
        </w:tc>
        <w:tc>
          <w:tcPr>
            <w:tcW w:w="69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0.73</w:t>
            </w:r>
          </w:p>
        </w:tc>
        <w:tc>
          <w:tcPr>
            <w:tcW w:w="1609" w:type="dxa"/>
            <w:vAlign w:val="center"/>
          </w:tcPr>
          <w:p w:rsidR="005A19B5" w:rsidRDefault="00D046F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343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140291.00 </w:t>
            </w:r>
            <w:r>
              <w:rPr>
                <w:rFonts w:ascii="Times New Roman" w:hAnsi="Times New Roman" w:cs="Times New Roman"/>
                <w:sz w:val="24"/>
                <w:szCs w:val="24"/>
                <w:lang w:val="en-US"/>
              </w:rPr>
              <w:t>± 623.37</w:t>
            </w:r>
          </w:p>
        </w:tc>
        <w:tc>
          <w:tcPr>
            <w:tcW w:w="178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0.44</w:t>
            </w:r>
          </w:p>
        </w:tc>
      </w:tr>
      <w:tr w:rsidR="005A19B5">
        <w:trPr>
          <w:trHeight w:val="1113"/>
        </w:trPr>
        <w:tc>
          <w:tcPr>
            <w:tcW w:w="86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115"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166649.00 </w:t>
            </w:r>
            <w:r>
              <w:rPr>
                <w:rFonts w:ascii="Times New Roman" w:hAnsi="Times New Roman" w:cs="Times New Roman"/>
                <w:sz w:val="24"/>
                <w:szCs w:val="24"/>
                <w:lang w:val="en-US"/>
              </w:rPr>
              <w:t>± 697.36</w:t>
            </w:r>
          </w:p>
        </w:tc>
        <w:tc>
          <w:tcPr>
            <w:tcW w:w="69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0.42</w:t>
            </w:r>
          </w:p>
        </w:tc>
        <w:tc>
          <w:tcPr>
            <w:tcW w:w="1609" w:type="dxa"/>
            <w:vAlign w:val="center"/>
          </w:tcPr>
          <w:p w:rsidR="005A19B5" w:rsidRDefault="00D046F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w:t>
            </w:r>
          </w:p>
        </w:tc>
        <w:tc>
          <w:tcPr>
            <w:tcW w:w="343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199073.33 </w:t>
            </w:r>
            <w:r>
              <w:rPr>
                <w:rFonts w:ascii="Times New Roman" w:hAnsi="Times New Roman" w:cs="Times New Roman"/>
                <w:sz w:val="24"/>
                <w:szCs w:val="24"/>
                <w:lang w:val="en-US"/>
              </w:rPr>
              <w:t>± 767.51</w:t>
            </w:r>
          </w:p>
        </w:tc>
        <w:tc>
          <w:tcPr>
            <w:tcW w:w="1786" w:type="dxa"/>
            <w:vAlign w:val="bottom"/>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0.39</w:t>
            </w:r>
          </w:p>
        </w:tc>
      </w:tr>
    </w:tbl>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Inter-day precision evaluates the reproducibility of the analytical method when measurements are carried out on </w:t>
      </w: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different days under similar experimental conditions. As per ICH guidelines, a %RSD value not exceeding 2% is considered acceptable for demon</w:t>
      </w:r>
      <w:r>
        <w:rPr>
          <w:rFonts w:ascii="Times New Roman" w:hAnsi="Times New Roman" w:cs="Times New Roman"/>
          <w:sz w:val="24"/>
          <w:szCs w:val="24"/>
        </w:rPr>
        <w:t>strating adequate precision.</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 xml:space="preserve">The inter-day precision was assessed at three concentration levels, corresponding to 50%, 100%, and 150%, i.e., 10 µg/mL and 25 µg/mL, 20 µg/mL and 50 µg/mL, and 30 µg/mL and 75 µg/mL for Dapagliflozin and Eplerenone, </w:t>
      </w:r>
      <w:r>
        <w:rPr>
          <w:rFonts w:ascii="Times New Roman" w:hAnsi="Times New Roman" w:cs="Times New Roman"/>
          <w:sz w:val="24"/>
          <w:szCs w:val="24"/>
        </w:rPr>
        <w:t>respectively. The %RSD values obtained for both analytes at all concentration levels across different days were found to be less than 2%, indicating minimal variability in the results.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The observed %RSD values within acceptable limits confirm t</w:t>
      </w:r>
      <w:r>
        <w:rPr>
          <w:rFonts w:ascii="Times New Roman" w:hAnsi="Times New Roman" w:cs="Times New Roman"/>
          <w:sz w:val="24"/>
          <w:szCs w:val="24"/>
        </w:rPr>
        <w:t>hat the developed RP-HPLC method possesses good inter-day precision. The method is therefore reliable and reproducible for the quantitative estimation of Dapagliflozin and Eplerenone over multiple days.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Accuracy</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31 Accuracy data for DAPA and EPLE</w:t>
      </w:r>
    </w:p>
    <w:tbl>
      <w:tblPr>
        <w:tblStyle w:val="TableGrid"/>
        <w:tblW w:w="10726" w:type="dxa"/>
        <w:tblLook w:val="04A0" w:firstRow="1" w:lastRow="0" w:firstColumn="1" w:lastColumn="0" w:noHBand="0" w:noVBand="1"/>
      </w:tblPr>
      <w:tblGrid>
        <w:gridCol w:w="1004"/>
        <w:gridCol w:w="1429"/>
        <w:gridCol w:w="1035"/>
        <w:gridCol w:w="1243"/>
        <w:gridCol w:w="936"/>
        <w:gridCol w:w="1236"/>
        <w:gridCol w:w="3843"/>
      </w:tblGrid>
      <w:tr w:rsidR="005A19B5">
        <w:trPr>
          <w:trHeight w:val="408"/>
        </w:trPr>
        <w:tc>
          <w:tcPr>
            <w:tcW w:w="10726" w:type="dxa"/>
            <w:gridSpan w:val="7"/>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Acc</w:t>
            </w:r>
            <w:r>
              <w:rPr>
                <w:rFonts w:ascii="Times New Roman" w:hAnsi="Times New Roman" w:cs="Times New Roman"/>
                <w:b/>
                <w:bCs/>
                <w:sz w:val="24"/>
                <w:szCs w:val="24"/>
                <w:lang w:val="en-US"/>
              </w:rPr>
              <w:t>uracy Data for DAPA</w:t>
            </w:r>
          </w:p>
        </w:tc>
      </w:tr>
      <w:tr w:rsidR="005A19B5">
        <w:trPr>
          <w:trHeight w:val="1579"/>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Level of</w:t>
            </w:r>
          </w:p>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Spiking</w:t>
            </w:r>
          </w:p>
        </w:tc>
        <w:tc>
          <w:tcPr>
            <w:tcW w:w="1429"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Quantity of</w:t>
            </w:r>
          </w:p>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placebo(mg)</w:t>
            </w:r>
          </w:p>
        </w:tc>
        <w:tc>
          <w:tcPr>
            <w:tcW w:w="1035"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Amount of drug</w:t>
            </w:r>
          </w:p>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Added (µg/mL)</w:t>
            </w:r>
          </w:p>
        </w:tc>
        <w:tc>
          <w:tcPr>
            <w:tcW w:w="1243"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Amount of drug</w:t>
            </w:r>
          </w:p>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Recovered (µg/mL)</w:t>
            </w:r>
          </w:p>
        </w:tc>
        <w:tc>
          <w:tcPr>
            <w:tcW w:w="93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Std area</w:t>
            </w:r>
          </w:p>
        </w:tc>
        <w:tc>
          <w:tcPr>
            <w:tcW w:w="1236"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Test area (Mean)</w:t>
            </w:r>
          </w:p>
        </w:tc>
        <w:tc>
          <w:tcPr>
            <w:tcW w:w="3843"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 Mean recovery ± SD</w:t>
            </w:r>
          </w:p>
        </w:tc>
      </w:tr>
      <w:tr w:rsidR="005A19B5">
        <w:trPr>
          <w:trHeight w:val="798"/>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Un-spiked</w:t>
            </w:r>
          </w:p>
        </w:tc>
        <w:tc>
          <w:tcPr>
            <w:tcW w:w="1429"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936"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6"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38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5A19B5">
        <w:trPr>
          <w:trHeight w:val="798"/>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50%</w:t>
            </w:r>
          </w:p>
        </w:tc>
        <w:tc>
          <w:tcPr>
            <w:tcW w:w="1429"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9.999</w:t>
            </w:r>
          </w:p>
        </w:tc>
        <w:tc>
          <w:tcPr>
            <w:tcW w:w="9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55568</w:t>
            </w:r>
          </w:p>
        </w:tc>
        <w:tc>
          <w:tcPr>
            <w:tcW w:w="12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55565.00</w:t>
            </w:r>
          </w:p>
        </w:tc>
        <w:tc>
          <w:tcPr>
            <w:tcW w:w="38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99.995 </w:t>
            </w:r>
            <w:r>
              <w:rPr>
                <w:rFonts w:ascii="Times New Roman" w:hAnsi="Times New Roman" w:cs="Times New Roman"/>
                <w:sz w:val="24"/>
                <w:szCs w:val="24"/>
                <w:lang w:val="en-US"/>
              </w:rPr>
              <w:t>± 0.009</w:t>
            </w:r>
          </w:p>
        </w:tc>
      </w:tr>
      <w:tr w:rsidR="005A19B5">
        <w:trPr>
          <w:trHeight w:val="798"/>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100%</w:t>
            </w:r>
          </w:p>
        </w:tc>
        <w:tc>
          <w:tcPr>
            <w:tcW w:w="1429"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19.999</w:t>
            </w:r>
          </w:p>
        </w:tc>
        <w:tc>
          <w:tcPr>
            <w:tcW w:w="9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111928</w:t>
            </w:r>
          </w:p>
        </w:tc>
        <w:tc>
          <w:tcPr>
            <w:tcW w:w="12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111924.67</w:t>
            </w:r>
          </w:p>
        </w:tc>
        <w:tc>
          <w:tcPr>
            <w:tcW w:w="38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99.997 </w:t>
            </w:r>
            <w:r>
              <w:rPr>
                <w:rFonts w:ascii="Times New Roman" w:hAnsi="Times New Roman" w:cs="Times New Roman"/>
                <w:sz w:val="24"/>
                <w:szCs w:val="24"/>
                <w:lang w:val="en-US"/>
              </w:rPr>
              <w:t>± 0.004</w:t>
            </w:r>
          </w:p>
        </w:tc>
      </w:tr>
      <w:tr w:rsidR="005A19B5">
        <w:trPr>
          <w:trHeight w:val="798"/>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150%</w:t>
            </w:r>
          </w:p>
        </w:tc>
        <w:tc>
          <w:tcPr>
            <w:tcW w:w="1429"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30.000</w:t>
            </w:r>
          </w:p>
        </w:tc>
        <w:tc>
          <w:tcPr>
            <w:tcW w:w="9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166610</w:t>
            </w:r>
          </w:p>
        </w:tc>
        <w:tc>
          <w:tcPr>
            <w:tcW w:w="12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166609.33</w:t>
            </w:r>
          </w:p>
        </w:tc>
        <w:tc>
          <w:tcPr>
            <w:tcW w:w="38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100.000 </w:t>
            </w:r>
            <w:r>
              <w:rPr>
                <w:rFonts w:ascii="Times New Roman" w:hAnsi="Times New Roman" w:cs="Times New Roman"/>
                <w:sz w:val="24"/>
                <w:szCs w:val="24"/>
                <w:lang w:val="en-US"/>
              </w:rPr>
              <w:t>± 0.002</w:t>
            </w:r>
          </w:p>
        </w:tc>
      </w:tr>
      <w:tr w:rsidR="005A19B5">
        <w:trPr>
          <w:trHeight w:val="408"/>
        </w:trPr>
        <w:tc>
          <w:tcPr>
            <w:tcW w:w="10726" w:type="dxa"/>
            <w:gridSpan w:val="7"/>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Accuracy data for EPLE</w:t>
            </w:r>
          </w:p>
        </w:tc>
      </w:tr>
      <w:tr w:rsidR="005A19B5">
        <w:trPr>
          <w:trHeight w:val="798"/>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Un-spiked</w:t>
            </w:r>
          </w:p>
        </w:tc>
        <w:tc>
          <w:tcPr>
            <w:tcW w:w="1429"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9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12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38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w:t>
            </w:r>
          </w:p>
        </w:tc>
      </w:tr>
      <w:tr w:rsidR="005A19B5">
        <w:trPr>
          <w:trHeight w:val="949"/>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50%</w:t>
            </w:r>
          </w:p>
        </w:tc>
        <w:tc>
          <w:tcPr>
            <w:tcW w:w="1429"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24.999</w:t>
            </w:r>
          </w:p>
        </w:tc>
        <w:tc>
          <w:tcPr>
            <w:tcW w:w="9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68546</w:t>
            </w:r>
          </w:p>
        </w:tc>
        <w:tc>
          <w:tcPr>
            <w:tcW w:w="12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68489.00</w:t>
            </w:r>
          </w:p>
        </w:tc>
        <w:tc>
          <w:tcPr>
            <w:tcW w:w="3843"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99.996 </w:t>
            </w:r>
            <w:r>
              <w:rPr>
                <w:rFonts w:ascii="Times New Roman" w:hAnsi="Times New Roman" w:cs="Times New Roman"/>
                <w:sz w:val="24"/>
                <w:szCs w:val="24"/>
                <w:lang w:val="en-US"/>
              </w:rPr>
              <w:t>± 0.007</w:t>
            </w:r>
          </w:p>
        </w:tc>
      </w:tr>
      <w:tr w:rsidR="005A19B5">
        <w:trPr>
          <w:trHeight w:val="949"/>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100%</w:t>
            </w:r>
          </w:p>
        </w:tc>
        <w:tc>
          <w:tcPr>
            <w:tcW w:w="1429"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2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49.995</w:t>
            </w:r>
          </w:p>
        </w:tc>
        <w:tc>
          <w:tcPr>
            <w:tcW w:w="9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137467</w:t>
            </w:r>
          </w:p>
        </w:tc>
        <w:tc>
          <w:tcPr>
            <w:tcW w:w="12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140291.00</w:t>
            </w:r>
          </w:p>
        </w:tc>
        <w:tc>
          <w:tcPr>
            <w:tcW w:w="3843"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99.990 </w:t>
            </w:r>
            <w:r>
              <w:rPr>
                <w:rFonts w:ascii="Times New Roman" w:hAnsi="Times New Roman" w:cs="Times New Roman"/>
                <w:sz w:val="24"/>
                <w:szCs w:val="24"/>
                <w:lang w:val="en-US"/>
              </w:rPr>
              <w:t>± 0.008</w:t>
            </w:r>
          </w:p>
        </w:tc>
      </w:tr>
      <w:tr w:rsidR="005A19B5">
        <w:trPr>
          <w:trHeight w:val="968"/>
        </w:trPr>
        <w:tc>
          <w:tcPr>
            <w:tcW w:w="1004"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150%</w:t>
            </w:r>
          </w:p>
        </w:tc>
        <w:tc>
          <w:tcPr>
            <w:tcW w:w="1429"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035"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243" w:type="dxa"/>
            <w:vAlign w:val="center"/>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74.998</w:t>
            </w:r>
          </w:p>
        </w:tc>
        <w:tc>
          <w:tcPr>
            <w:tcW w:w="9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199545</w:t>
            </w:r>
          </w:p>
        </w:tc>
        <w:tc>
          <w:tcPr>
            <w:tcW w:w="1236"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199073.33</w:t>
            </w:r>
          </w:p>
        </w:tc>
        <w:tc>
          <w:tcPr>
            <w:tcW w:w="3843" w:type="dxa"/>
            <w:vAlign w:val="center"/>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99.997 </w:t>
            </w:r>
            <w:r>
              <w:rPr>
                <w:rFonts w:ascii="Times New Roman" w:hAnsi="Times New Roman" w:cs="Times New Roman"/>
                <w:sz w:val="24"/>
                <w:szCs w:val="24"/>
                <w:lang w:val="en-US"/>
              </w:rPr>
              <w:t>± 0.008</w:t>
            </w:r>
          </w:p>
        </w:tc>
      </w:tr>
    </w:tbl>
    <w:p w:rsidR="005A19B5" w:rsidRDefault="005A19B5">
      <w:pPr>
        <w:spacing w:line="240" w:lineRule="auto"/>
        <w:jc w:val="both"/>
        <w:rPr>
          <w:rFonts w:ascii="Times New Roman" w:hAnsi="Times New Roman" w:cs="Times New Roman"/>
          <w:b/>
          <w:bCs/>
          <w:sz w:val="24"/>
          <w:szCs w:val="24"/>
        </w:rPr>
      </w:pP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Accuracy represents the closeness of agreement between the experimentally obtained values and the true value of the analytes. As per ICH guidelines, the method is considered accurate if the percentage recovery lies </w:t>
      </w:r>
      <w:r>
        <w:rPr>
          <w:rFonts w:ascii="Times New Roman" w:hAnsi="Times New Roman" w:cs="Times New Roman"/>
          <w:sz w:val="24"/>
          <w:szCs w:val="24"/>
        </w:rPr>
        <w:t>within the acceptable range of 98% to 102%.</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accuracy of the method was evaluated at three concentration levels corresponding to 50%, 100%, and 150%, i.e., 10 µg/mL and 25 µg/mL, 20 µg/mL and 50 µg/mL, and 30 µg/mL and 75 µg/mL for Dapagliflozi</w:t>
      </w:r>
      <w:r>
        <w:rPr>
          <w:rFonts w:ascii="Times New Roman" w:hAnsi="Times New Roman" w:cs="Times New Roman"/>
          <w:sz w:val="24"/>
          <w:szCs w:val="24"/>
        </w:rPr>
        <w:t>n and Eplerenone, respectively. The percentage recovery values obtained for both analytes at all levels were found to be within the range of 98% to 102%.</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The recovery results within the acceptable limits confirm that the developed RP-HPLC metho</w:t>
      </w:r>
      <w:r>
        <w:rPr>
          <w:rFonts w:ascii="Times New Roman" w:hAnsi="Times New Roman" w:cs="Times New Roman"/>
          <w:sz w:val="24"/>
          <w:szCs w:val="24"/>
        </w:rPr>
        <w:t>d is accurate. The method is therefore suitable for the reliable quantification of Dapagliflozin and Eplerenone in pharmaceutical formulations.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LOD and LOQ</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LOD &amp; LOQ were calculated on basis of formula </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LOD = 3.3 × σ / S </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LOQ = 10 × σ / 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LOD for Dapag</w:t>
      </w:r>
      <w:r>
        <w:rPr>
          <w:rFonts w:ascii="Times New Roman" w:hAnsi="Times New Roman" w:cs="Times New Roman"/>
          <w:sz w:val="24"/>
          <w:szCs w:val="24"/>
        </w:rPr>
        <w:t>liflozin was found to be- 0.034</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LOQ for Dapagliflozin was found to be- 0.104</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LOD for Eplerenone was found to be- 0.080</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LOQ for Eplerenone was found to be- 0.243</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Criteria:</w:t>
      </w:r>
      <w:r>
        <w:rPr>
          <w:rFonts w:ascii="Times New Roman" w:hAnsi="Times New Roman" w:cs="Times New Roman"/>
          <w:sz w:val="24"/>
          <w:szCs w:val="24"/>
        </w:rPr>
        <w:br/>
        <w:t xml:space="preserve">Although ICH guidelines do not make it mandatory to determine LOD and LOQ for assay </w:t>
      </w:r>
      <w:r>
        <w:rPr>
          <w:rFonts w:ascii="Times New Roman" w:hAnsi="Times New Roman" w:cs="Times New Roman"/>
          <w:sz w:val="24"/>
          <w:szCs w:val="24"/>
        </w:rPr>
        <w:t>methods, these parameters are useful for understanding the sensitivity of the developed analytical method. Hence, LOD and LOQ were evaluated for Dapagliflozin and Eplerenone.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LOD values obtained for Dapagliflozin and Eplerenone indicate the mi</w:t>
      </w:r>
      <w:r>
        <w:rPr>
          <w:rFonts w:ascii="Times New Roman" w:hAnsi="Times New Roman" w:cs="Times New Roman"/>
          <w:sz w:val="24"/>
          <w:szCs w:val="24"/>
        </w:rPr>
        <w:t>nimum concentration at which the analytes can be detected reliably. Similarly, the LOQ values represent the lowest concentration at which the analytes can be quantified with acceptable precision and accuracy. The calculated values demonstrate that the meth</w:t>
      </w:r>
      <w:r>
        <w:rPr>
          <w:rFonts w:ascii="Times New Roman" w:hAnsi="Times New Roman" w:cs="Times New Roman"/>
          <w:sz w:val="24"/>
          <w:szCs w:val="24"/>
        </w:rPr>
        <w:t>od is sufficiently sensitive for the detection and quantification of both analytes at low concentration levels.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The determined LOD and LOQ values confirm that the developed RP-HPLC method possesses adequate sensitivity for the estimation of Dap</w:t>
      </w:r>
      <w:r>
        <w:rPr>
          <w:rFonts w:ascii="Times New Roman" w:hAnsi="Times New Roman" w:cs="Times New Roman"/>
          <w:sz w:val="24"/>
          <w:szCs w:val="24"/>
        </w:rPr>
        <w:t>agliflozin and Eplerenone. The method is therefore suitable for routine analysis, even at low concentration levels.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Robustness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32 Robustness data for DAPA and EPLE</w:t>
      </w:r>
    </w:p>
    <w:tbl>
      <w:tblPr>
        <w:tblStyle w:val="TableGrid"/>
        <w:tblW w:w="10317" w:type="dxa"/>
        <w:tblLook w:val="04A0" w:firstRow="1" w:lastRow="0" w:firstColumn="1" w:lastColumn="0" w:noHBand="0" w:noVBand="1"/>
      </w:tblPr>
      <w:tblGrid>
        <w:gridCol w:w="1745"/>
        <w:gridCol w:w="1030"/>
        <w:gridCol w:w="936"/>
        <w:gridCol w:w="1236"/>
        <w:gridCol w:w="5370"/>
      </w:tblGrid>
      <w:tr w:rsidR="005A19B5">
        <w:trPr>
          <w:trHeight w:val="421"/>
        </w:trPr>
        <w:tc>
          <w:tcPr>
            <w:tcW w:w="10317" w:type="dxa"/>
            <w:gridSpan w:val="5"/>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DAPA</w:t>
            </w:r>
          </w:p>
        </w:tc>
      </w:tr>
      <w:tr w:rsidR="005A19B5">
        <w:trPr>
          <w:trHeight w:val="576"/>
        </w:trPr>
        <w:tc>
          <w:tcPr>
            <w:tcW w:w="1745"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PARAMETER</w:t>
            </w:r>
          </w:p>
        </w:tc>
        <w:tc>
          <w:tcPr>
            <w:tcW w:w="1030"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LEVEL</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AREA</w:t>
            </w:r>
          </w:p>
        </w:tc>
        <w:tc>
          <w:tcPr>
            <w:tcW w:w="12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MEAN</w:t>
            </w:r>
          </w:p>
        </w:tc>
        <w:tc>
          <w:tcPr>
            <w:tcW w:w="5370"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%RSD</w:t>
            </w:r>
          </w:p>
        </w:tc>
      </w:tr>
      <w:tr w:rsidR="005A19B5">
        <w:trPr>
          <w:trHeight w:val="499"/>
        </w:trPr>
        <w:tc>
          <w:tcPr>
            <w:tcW w:w="1745"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Mobile phase composition</w:t>
            </w:r>
          </w:p>
        </w:tc>
        <w:tc>
          <w:tcPr>
            <w:tcW w:w="1030"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28:72</w:t>
            </w: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116021</w:t>
            </w:r>
          </w:p>
        </w:tc>
        <w:tc>
          <w:tcPr>
            <w:tcW w:w="1236" w:type="dxa"/>
            <w:vMerge w:val="restart"/>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116437.67</w:t>
            </w:r>
          </w:p>
          <w:p w:rsidR="005A19B5" w:rsidRDefault="005A19B5">
            <w:pPr>
              <w:spacing w:line="240" w:lineRule="auto"/>
              <w:jc w:val="center"/>
              <w:rPr>
                <w:rFonts w:ascii="Times New Roman" w:hAnsi="Times New Roman" w:cs="Times New Roman"/>
                <w:sz w:val="24"/>
                <w:szCs w:val="24"/>
              </w:rPr>
            </w:pPr>
          </w:p>
        </w:tc>
        <w:tc>
          <w:tcPr>
            <w:tcW w:w="5370"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0.35</w:t>
            </w: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tcPr>
          <w:p w:rsidR="005A19B5" w:rsidRDefault="005A19B5">
            <w:pPr>
              <w:spacing w:line="240" w:lineRule="auto"/>
              <w:jc w:val="center"/>
              <w:rPr>
                <w:rFonts w:ascii="Times New Roman" w:hAnsi="Times New Roman" w:cs="Times New Roman"/>
                <w:sz w:val="24"/>
                <w:szCs w:val="24"/>
              </w:rPr>
            </w:pP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116841</w:t>
            </w:r>
          </w:p>
        </w:tc>
        <w:tc>
          <w:tcPr>
            <w:tcW w:w="1236" w:type="dxa"/>
            <w:vMerge/>
          </w:tcPr>
          <w:p w:rsidR="005A19B5" w:rsidRDefault="005A19B5">
            <w:pPr>
              <w:spacing w:line="240" w:lineRule="auto"/>
              <w:jc w:val="center"/>
              <w:rPr>
                <w:rFonts w:ascii="Times New Roman" w:hAnsi="Times New Roman" w:cs="Times New Roman"/>
                <w:sz w:val="24"/>
                <w:szCs w:val="24"/>
              </w:rPr>
            </w:pPr>
          </w:p>
        </w:tc>
        <w:tc>
          <w:tcPr>
            <w:tcW w:w="5370" w:type="dxa"/>
            <w:vMerge/>
          </w:tcPr>
          <w:p w:rsidR="005A19B5" w:rsidRDefault="005A19B5">
            <w:pPr>
              <w:spacing w:line="240" w:lineRule="auto"/>
              <w:jc w:val="center"/>
              <w:rPr>
                <w:rFonts w:ascii="Times New Roman" w:hAnsi="Times New Roman" w:cs="Times New Roman"/>
                <w:sz w:val="24"/>
                <w:szCs w:val="24"/>
              </w:rPr>
            </w:pPr>
          </w:p>
        </w:tc>
      </w:tr>
      <w:tr w:rsidR="005A19B5">
        <w:trPr>
          <w:trHeight w:val="287"/>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tcPr>
          <w:p w:rsidR="005A19B5" w:rsidRDefault="005A19B5">
            <w:pPr>
              <w:spacing w:line="240" w:lineRule="auto"/>
              <w:jc w:val="center"/>
              <w:rPr>
                <w:rFonts w:ascii="Times New Roman" w:hAnsi="Times New Roman" w:cs="Times New Roman"/>
                <w:sz w:val="24"/>
                <w:szCs w:val="24"/>
              </w:rPr>
            </w:pP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116451</w:t>
            </w:r>
          </w:p>
        </w:tc>
        <w:tc>
          <w:tcPr>
            <w:tcW w:w="1236" w:type="dxa"/>
            <w:vMerge/>
          </w:tcPr>
          <w:p w:rsidR="005A19B5" w:rsidRDefault="005A19B5">
            <w:pPr>
              <w:spacing w:line="240" w:lineRule="auto"/>
              <w:jc w:val="center"/>
              <w:rPr>
                <w:rFonts w:ascii="Times New Roman" w:hAnsi="Times New Roman" w:cs="Times New Roman"/>
                <w:sz w:val="24"/>
                <w:szCs w:val="24"/>
              </w:rPr>
            </w:pPr>
          </w:p>
        </w:tc>
        <w:tc>
          <w:tcPr>
            <w:tcW w:w="5370" w:type="dxa"/>
            <w:vMerge/>
          </w:tcPr>
          <w:p w:rsidR="005A19B5" w:rsidRDefault="005A19B5">
            <w:pPr>
              <w:spacing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32:68</w:t>
            </w: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114512</w:t>
            </w:r>
          </w:p>
        </w:tc>
        <w:tc>
          <w:tcPr>
            <w:tcW w:w="1236" w:type="dxa"/>
            <w:vMerge w:val="restart"/>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114453.33</w:t>
            </w:r>
          </w:p>
          <w:p w:rsidR="005A19B5" w:rsidRDefault="005A19B5">
            <w:pPr>
              <w:spacing w:line="240" w:lineRule="auto"/>
              <w:jc w:val="center"/>
              <w:rPr>
                <w:rFonts w:ascii="Times New Roman" w:hAnsi="Times New Roman" w:cs="Times New Roman"/>
                <w:sz w:val="24"/>
                <w:szCs w:val="24"/>
              </w:rPr>
            </w:pPr>
          </w:p>
        </w:tc>
        <w:tc>
          <w:tcPr>
            <w:tcW w:w="5370"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0.32</w:t>
            </w: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tcPr>
          <w:p w:rsidR="005A19B5" w:rsidRDefault="005A19B5">
            <w:pPr>
              <w:spacing w:line="240" w:lineRule="auto"/>
              <w:jc w:val="center"/>
              <w:rPr>
                <w:rFonts w:ascii="Times New Roman" w:hAnsi="Times New Roman" w:cs="Times New Roman"/>
                <w:sz w:val="24"/>
                <w:szCs w:val="24"/>
              </w:rPr>
            </w:pP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114789</w:t>
            </w:r>
          </w:p>
        </w:tc>
        <w:tc>
          <w:tcPr>
            <w:tcW w:w="1236" w:type="dxa"/>
            <w:vMerge/>
          </w:tcPr>
          <w:p w:rsidR="005A19B5" w:rsidRDefault="005A19B5">
            <w:pPr>
              <w:spacing w:line="240" w:lineRule="auto"/>
              <w:jc w:val="center"/>
              <w:rPr>
                <w:rFonts w:ascii="Times New Roman" w:hAnsi="Times New Roman" w:cs="Times New Roman"/>
                <w:sz w:val="24"/>
                <w:szCs w:val="24"/>
              </w:rPr>
            </w:pPr>
          </w:p>
        </w:tc>
        <w:tc>
          <w:tcPr>
            <w:tcW w:w="5370" w:type="dxa"/>
            <w:vMerge/>
          </w:tcPr>
          <w:p w:rsidR="005A19B5" w:rsidRDefault="005A19B5">
            <w:pPr>
              <w:spacing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tcPr>
          <w:p w:rsidR="005A19B5" w:rsidRDefault="005A19B5">
            <w:pPr>
              <w:spacing w:line="240" w:lineRule="auto"/>
              <w:jc w:val="center"/>
              <w:rPr>
                <w:rFonts w:ascii="Times New Roman" w:hAnsi="Times New Roman" w:cs="Times New Roman"/>
                <w:sz w:val="24"/>
                <w:szCs w:val="24"/>
              </w:rPr>
            </w:pP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114059</w:t>
            </w:r>
          </w:p>
        </w:tc>
        <w:tc>
          <w:tcPr>
            <w:tcW w:w="1236" w:type="dxa"/>
            <w:vMerge/>
          </w:tcPr>
          <w:p w:rsidR="005A19B5" w:rsidRDefault="005A19B5">
            <w:pPr>
              <w:spacing w:line="240" w:lineRule="auto"/>
              <w:jc w:val="center"/>
              <w:rPr>
                <w:rFonts w:ascii="Times New Roman" w:hAnsi="Times New Roman" w:cs="Times New Roman"/>
                <w:sz w:val="24"/>
                <w:szCs w:val="24"/>
              </w:rPr>
            </w:pPr>
          </w:p>
        </w:tc>
        <w:tc>
          <w:tcPr>
            <w:tcW w:w="5370" w:type="dxa"/>
            <w:vMerge/>
          </w:tcPr>
          <w:p w:rsidR="005A19B5" w:rsidRDefault="005A19B5">
            <w:pPr>
              <w:spacing w:line="240" w:lineRule="auto"/>
              <w:jc w:val="center"/>
              <w:rPr>
                <w:rFonts w:ascii="Times New Roman" w:hAnsi="Times New Roman" w:cs="Times New Roman"/>
                <w:sz w:val="24"/>
                <w:szCs w:val="24"/>
              </w:rPr>
            </w:pPr>
          </w:p>
        </w:tc>
      </w:tr>
      <w:tr w:rsidR="005A19B5">
        <w:trPr>
          <w:trHeight w:val="499"/>
        </w:trPr>
        <w:tc>
          <w:tcPr>
            <w:tcW w:w="1745"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Flow Rate</w:t>
            </w:r>
          </w:p>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(ml/min)</w:t>
            </w:r>
          </w:p>
        </w:tc>
        <w:tc>
          <w:tcPr>
            <w:tcW w:w="1030"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115928</w:t>
            </w:r>
          </w:p>
        </w:tc>
        <w:tc>
          <w:tcPr>
            <w:tcW w:w="1236" w:type="dxa"/>
            <w:vMerge w:val="restart"/>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115418.67</w:t>
            </w:r>
          </w:p>
          <w:p w:rsidR="005A19B5" w:rsidRDefault="005A19B5">
            <w:pPr>
              <w:spacing w:line="240" w:lineRule="auto"/>
              <w:jc w:val="center"/>
              <w:rPr>
                <w:rFonts w:ascii="Times New Roman" w:hAnsi="Times New Roman" w:cs="Times New Roman"/>
                <w:sz w:val="24"/>
                <w:szCs w:val="24"/>
              </w:rPr>
            </w:pPr>
          </w:p>
        </w:tc>
        <w:tc>
          <w:tcPr>
            <w:tcW w:w="5370"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0.39</w:t>
            </w: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tcPr>
          <w:p w:rsidR="005A19B5" w:rsidRDefault="005A19B5">
            <w:pPr>
              <w:spacing w:line="240" w:lineRule="auto"/>
              <w:jc w:val="center"/>
              <w:rPr>
                <w:rFonts w:ascii="Times New Roman" w:hAnsi="Times New Roman" w:cs="Times New Roman"/>
                <w:sz w:val="24"/>
                <w:szCs w:val="24"/>
              </w:rPr>
            </w:pP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115241</w:t>
            </w:r>
          </w:p>
        </w:tc>
        <w:tc>
          <w:tcPr>
            <w:tcW w:w="1236" w:type="dxa"/>
            <w:vMerge/>
          </w:tcPr>
          <w:p w:rsidR="005A19B5" w:rsidRDefault="005A19B5">
            <w:pPr>
              <w:spacing w:line="240" w:lineRule="auto"/>
              <w:jc w:val="center"/>
              <w:rPr>
                <w:rFonts w:ascii="Times New Roman" w:hAnsi="Times New Roman" w:cs="Times New Roman"/>
                <w:sz w:val="24"/>
                <w:szCs w:val="24"/>
              </w:rPr>
            </w:pPr>
          </w:p>
        </w:tc>
        <w:tc>
          <w:tcPr>
            <w:tcW w:w="5370" w:type="dxa"/>
            <w:vMerge/>
          </w:tcPr>
          <w:p w:rsidR="005A19B5" w:rsidRDefault="005A19B5">
            <w:pPr>
              <w:spacing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tcPr>
          <w:p w:rsidR="005A19B5" w:rsidRDefault="005A19B5">
            <w:pPr>
              <w:spacing w:line="240" w:lineRule="auto"/>
              <w:jc w:val="center"/>
              <w:rPr>
                <w:rFonts w:ascii="Times New Roman" w:hAnsi="Times New Roman" w:cs="Times New Roman"/>
                <w:sz w:val="24"/>
                <w:szCs w:val="24"/>
              </w:rPr>
            </w:pP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115087</w:t>
            </w:r>
          </w:p>
        </w:tc>
        <w:tc>
          <w:tcPr>
            <w:tcW w:w="1236" w:type="dxa"/>
            <w:vMerge/>
          </w:tcPr>
          <w:p w:rsidR="005A19B5" w:rsidRDefault="005A19B5">
            <w:pPr>
              <w:spacing w:line="240" w:lineRule="auto"/>
              <w:jc w:val="center"/>
              <w:rPr>
                <w:rFonts w:ascii="Times New Roman" w:hAnsi="Times New Roman" w:cs="Times New Roman"/>
                <w:sz w:val="24"/>
                <w:szCs w:val="24"/>
              </w:rPr>
            </w:pPr>
          </w:p>
        </w:tc>
        <w:tc>
          <w:tcPr>
            <w:tcW w:w="5370" w:type="dxa"/>
            <w:vMerge/>
          </w:tcPr>
          <w:p w:rsidR="005A19B5" w:rsidRDefault="005A19B5">
            <w:pPr>
              <w:spacing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117841</w:t>
            </w:r>
          </w:p>
        </w:tc>
        <w:tc>
          <w:tcPr>
            <w:tcW w:w="1236" w:type="dxa"/>
            <w:vMerge w:val="restart"/>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117325.33</w:t>
            </w:r>
          </w:p>
          <w:p w:rsidR="005A19B5" w:rsidRDefault="005A19B5">
            <w:pPr>
              <w:spacing w:line="240" w:lineRule="auto"/>
              <w:jc w:val="center"/>
              <w:rPr>
                <w:rFonts w:ascii="Times New Roman" w:hAnsi="Times New Roman" w:cs="Times New Roman"/>
                <w:sz w:val="24"/>
                <w:szCs w:val="24"/>
              </w:rPr>
            </w:pPr>
          </w:p>
        </w:tc>
        <w:tc>
          <w:tcPr>
            <w:tcW w:w="5370"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lang w:val="en-US"/>
              </w:rPr>
              <w:t>0.39</w:t>
            </w: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tcPr>
          <w:p w:rsidR="005A19B5" w:rsidRDefault="005A19B5">
            <w:pPr>
              <w:spacing w:line="240" w:lineRule="auto"/>
              <w:jc w:val="center"/>
              <w:rPr>
                <w:rFonts w:ascii="Times New Roman" w:hAnsi="Times New Roman" w:cs="Times New Roman"/>
                <w:sz w:val="24"/>
                <w:szCs w:val="24"/>
              </w:rPr>
            </w:pP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116981</w:t>
            </w:r>
          </w:p>
        </w:tc>
        <w:tc>
          <w:tcPr>
            <w:tcW w:w="1236" w:type="dxa"/>
            <w:vMerge/>
          </w:tcPr>
          <w:p w:rsidR="005A19B5" w:rsidRDefault="005A19B5">
            <w:pPr>
              <w:spacing w:line="240" w:lineRule="auto"/>
              <w:jc w:val="center"/>
              <w:rPr>
                <w:rFonts w:ascii="Times New Roman" w:hAnsi="Times New Roman" w:cs="Times New Roman"/>
                <w:sz w:val="24"/>
                <w:szCs w:val="24"/>
              </w:rPr>
            </w:pPr>
          </w:p>
        </w:tc>
        <w:tc>
          <w:tcPr>
            <w:tcW w:w="5370" w:type="dxa"/>
            <w:vMerge/>
          </w:tcPr>
          <w:p w:rsidR="005A19B5" w:rsidRDefault="005A19B5">
            <w:pPr>
              <w:spacing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line="240" w:lineRule="auto"/>
              <w:jc w:val="center"/>
              <w:rPr>
                <w:rFonts w:ascii="Times New Roman" w:hAnsi="Times New Roman" w:cs="Times New Roman"/>
                <w:sz w:val="24"/>
                <w:szCs w:val="24"/>
              </w:rPr>
            </w:pPr>
          </w:p>
        </w:tc>
        <w:tc>
          <w:tcPr>
            <w:tcW w:w="1030" w:type="dxa"/>
            <w:vMerge/>
          </w:tcPr>
          <w:p w:rsidR="005A19B5" w:rsidRDefault="005A19B5">
            <w:pPr>
              <w:spacing w:line="240" w:lineRule="auto"/>
              <w:jc w:val="center"/>
              <w:rPr>
                <w:rFonts w:ascii="Times New Roman" w:hAnsi="Times New Roman" w:cs="Times New Roman"/>
                <w:sz w:val="24"/>
                <w:szCs w:val="24"/>
              </w:rPr>
            </w:pPr>
          </w:p>
        </w:tc>
        <w:tc>
          <w:tcPr>
            <w:tcW w:w="936" w:type="dxa"/>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117154</w:t>
            </w:r>
          </w:p>
        </w:tc>
        <w:tc>
          <w:tcPr>
            <w:tcW w:w="1236" w:type="dxa"/>
            <w:vMerge/>
          </w:tcPr>
          <w:p w:rsidR="005A19B5" w:rsidRDefault="005A19B5">
            <w:pPr>
              <w:spacing w:line="240" w:lineRule="auto"/>
              <w:jc w:val="center"/>
              <w:rPr>
                <w:rFonts w:ascii="Times New Roman" w:hAnsi="Times New Roman" w:cs="Times New Roman"/>
                <w:sz w:val="24"/>
                <w:szCs w:val="24"/>
              </w:rPr>
            </w:pPr>
          </w:p>
        </w:tc>
        <w:tc>
          <w:tcPr>
            <w:tcW w:w="5370" w:type="dxa"/>
            <w:vMerge/>
          </w:tcPr>
          <w:p w:rsidR="005A19B5" w:rsidRDefault="005A19B5">
            <w:pPr>
              <w:spacing w:line="240" w:lineRule="auto"/>
              <w:jc w:val="center"/>
              <w:rPr>
                <w:rFonts w:ascii="Times New Roman" w:hAnsi="Times New Roman" w:cs="Times New Roman"/>
                <w:sz w:val="24"/>
                <w:szCs w:val="24"/>
              </w:rPr>
            </w:pPr>
          </w:p>
        </w:tc>
      </w:tr>
      <w:tr w:rsidR="005A19B5">
        <w:trPr>
          <w:trHeight w:val="499"/>
        </w:trPr>
        <w:tc>
          <w:tcPr>
            <w:tcW w:w="10317" w:type="dxa"/>
            <w:gridSpan w:val="5"/>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EPLE</w:t>
            </w:r>
          </w:p>
        </w:tc>
      </w:tr>
      <w:tr w:rsidR="005A19B5">
        <w:trPr>
          <w:trHeight w:val="499"/>
        </w:trPr>
        <w:tc>
          <w:tcPr>
            <w:tcW w:w="1745"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Mobile phase composition</w:t>
            </w:r>
          </w:p>
        </w:tc>
        <w:tc>
          <w:tcPr>
            <w:tcW w:w="1030"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28:72</w:t>
            </w: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158963</w:t>
            </w:r>
          </w:p>
        </w:tc>
        <w:tc>
          <w:tcPr>
            <w:tcW w:w="1236" w:type="dxa"/>
            <w:vMerge w:val="restart"/>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158553.00</w:t>
            </w:r>
          </w:p>
          <w:p w:rsidR="005A19B5" w:rsidRDefault="005A19B5">
            <w:pPr>
              <w:spacing w:after="0" w:line="240" w:lineRule="auto"/>
              <w:jc w:val="center"/>
              <w:rPr>
                <w:rFonts w:ascii="Times New Roman" w:hAnsi="Times New Roman" w:cs="Times New Roman"/>
                <w:sz w:val="24"/>
                <w:szCs w:val="24"/>
              </w:rPr>
            </w:pPr>
          </w:p>
        </w:tc>
        <w:tc>
          <w:tcPr>
            <w:tcW w:w="5370"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0.26</w:t>
            </w: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tcPr>
          <w:p w:rsidR="005A19B5" w:rsidRDefault="005A19B5">
            <w:pPr>
              <w:spacing w:after="0" w:line="240" w:lineRule="auto"/>
              <w:jc w:val="center"/>
              <w:rPr>
                <w:rFonts w:ascii="Times New Roman" w:hAnsi="Times New Roman" w:cs="Times New Roman"/>
                <w:sz w:val="24"/>
                <w:szCs w:val="24"/>
              </w:rPr>
            </w:pP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158149</w:t>
            </w:r>
          </w:p>
        </w:tc>
        <w:tc>
          <w:tcPr>
            <w:tcW w:w="1236" w:type="dxa"/>
            <w:vMerge/>
          </w:tcPr>
          <w:p w:rsidR="005A19B5" w:rsidRDefault="005A19B5">
            <w:pPr>
              <w:spacing w:after="0" w:line="240" w:lineRule="auto"/>
              <w:jc w:val="center"/>
              <w:rPr>
                <w:rFonts w:ascii="Times New Roman" w:hAnsi="Times New Roman" w:cs="Times New Roman"/>
                <w:sz w:val="24"/>
                <w:szCs w:val="24"/>
              </w:rPr>
            </w:pPr>
          </w:p>
        </w:tc>
        <w:tc>
          <w:tcPr>
            <w:tcW w:w="5370" w:type="dxa"/>
            <w:vMerge/>
          </w:tcPr>
          <w:p w:rsidR="005A19B5" w:rsidRDefault="005A19B5">
            <w:pPr>
              <w:spacing w:after="0"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tcPr>
          <w:p w:rsidR="005A19B5" w:rsidRDefault="005A19B5">
            <w:pPr>
              <w:spacing w:after="0" w:line="240" w:lineRule="auto"/>
              <w:jc w:val="center"/>
              <w:rPr>
                <w:rFonts w:ascii="Times New Roman" w:hAnsi="Times New Roman" w:cs="Times New Roman"/>
                <w:sz w:val="24"/>
                <w:szCs w:val="24"/>
              </w:rPr>
            </w:pP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158547</w:t>
            </w:r>
          </w:p>
        </w:tc>
        <w:tc>
          <w:tcPr>
            <w:tcW w:w="1236" w:type="dxa"/>
            <w:vMerge/>
          </w:tcPr>
          <w:p w:rsidR="005A19B5" w:rsidRDefault="005A19B5">
            <w:pPr>
              <w:spacing w:after="0" w:line="240" w:lineRule="auto"/>
              <w:jc w:val="center"/>
              <w:rPr>
                <w:rFonts w:ascii="Times New Roman" w:hAnsi="Times New Roman" w:cs="Times New Roman"/>
                <w:sz w:val="24"/>
                <w:szCs w:val="24"/>
              </w:rPr>
            </w:pPr>
          </w:p>
        </w:tc>
        <w:tc>
          <w:tcPr>
            <w:tcW w:w="5370" w:type="dxa"/>
            <w:vMerge/>
          </w:tcPr>
          <w:p w:rsidR="005A19B5" w:rsidRDefault="005A19B5">
            <w:pPr>
              <w:spacing w:after="0"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32:68</w:t>
            </w: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130214</w:t>
            </w:r>
          </w:p>
        </w:tc>
        <w:tc>
          <w:tcPr>
            <w:tcW w:w="1236" w:type="dxa"/>
            <w:vMerge w:val="restart"/>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130523.67</w:t>
            </w:r>
          </w:p>
          <w:p w:rsidR="005A19B5" w:rsidRDefault="005A19B5">
            <w:pPr>
              <w:spacing w:after="0" w:line="240" w:lineRule="auto"/>
              <w:jc w:val="center"/>
              <w:rPr>
                <w:rFonts w:ascii="Times New Roman" w:hAnsi="Times New Roman" w:cs="Times New Roman"/>
                <w:sz w:val="24"/>
                <w:szCs w:val="24"/>
              </w:rPr>
            </w:pPr>
          </w:p>
        </w:tc>
        <w:tc>
          <w:tcPr>
            <w:tcW w:w="5370"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0.22</w:t>
            </w: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tcPr>
          <w:p w:rsidR="005A19B5" w:rsidRDefault="005A19B5">
            <w:pPr>
              <w:spacing w:after="0" w:line="240" w:lineRule="auto"/>
              <w:jc w:val="center"/>
              <w:rPr>
                <w:rFonts w:ascii="Times New Roman" w:hAnsi="Times New Roman" w:cs="Times New Roman"/>
                <w:sz w:val="24"/>
                <w:szCs w:val="24"/>
              </w:rPr>
            </w:pP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130789</w:t>
            </w:r>
          </w:p>
        </w:tc>
        <w:tc>
          <w:tcPr>
            <w:tcW w:w="1236" w:type="dxa"/>
            <w:vMerge/>
          </w:tcPr>
          <w:p w:rsidR="005A19B5" w:rsidRDefault="005A19B5">
            <w:pPr>
              <w:spacing w:after="0" w:line="240" w:lineRule="auto"/>
              <w:jc w:val="center"/>
              <w:rPr>
                <w:rFonts w:ascii="Times New Roman" w:hAnsi="Times New Roman" w:cs="Times New Roman"/>
                <w:sz w:val="24"/>
                <w:szCs w:val="24"/>
              </w:rPr>
            </w:pPr>
          </w:p>
        </w:tc>
        <w:tc>
          <w:tcPr>
            <w:tcW w:w="5370" w:type="dxa"/>
            <w:vMerge/>
          </w:tcPr>
          <w:p w:rsidR="005A19B5" w:rsidRDefault="005A19B5">
            <w:pPr>
              <w:spacing w:after="0"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tcPr>
          <w:p w:rsidR="005A19B5" w:rsidRDefault="005A19B5">
            <w:pPr>
              <w:spacing w:after="0" w:line="240" w:lineRule="auto"/>
              <w:jc w:val="center"/>
              <w:rPr>
                <w:rFonts w:ascii="Times New Roman" w:hAnsi="Times New Roman" w:cs="Times New Roman"/>
                <w:sz w:val="24"/>
                <w:szCs w:val="24"/>
              </w:rPr>
            </w:pP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130568</w:t>
            </w:r>
          </w:p>
        </w:tc>
        <w:tc>
          <w:tcPr>
            <w:tcW w:w="1236" w:type="dxa"/>
            <w:vMerge/>
          </w:tcPr>
          <w:p w:rsidR="005A19B5" w:rsidRDefault="005A19B5">
            <w:pPr>
              <w:spacing w:after="0" w:line="240" w:lineRule="auto"/>
              <w:jc w:val="center"/>
              <w:rPr>
                <w:rFonts w:ascii="Times New Roman" w:hAnsi="Times New Roman" w:cs="Times New Roman"/>
                <w:sz w:val="24"/>
                <w:szCs w:val="24"/>
              </w:rPr>
            </w:pPr>
          </w:p>
        </w:tc>
        <w:tc>
          <w:tcPr>
            <w:tcW w:w="5370" w:type="dxa"/>
            <w:vMerge/>
          </w:tcPr>
          <w:p w:rsidR="005A19B5" w:rsidRDefault="005A19B5">
            <w:pPr>
              <w:spacing w:after="0" w:line="240" w:lineRule="auto"/>
              <w:jc w:val="center"/>
              <w:rPr>
                <w:rFonts w:ascii="Times New Roman" w:hAnsi="Times New Roman" w:cs="Times New Roman"/>
                <w:sz w:val="24"/>
                <w:szCs w:val="24"/>
              </w:rPr>
            </w:pPr>
          </w:p>
        </w:tc>
      </w:tr>
      <w:tr w:rsidR="005A19B5">
        <w:trPr>
          <w:trHeight w:val="499"/>
        </w:trPr>
        <w:tc>
          <w:tcPr>
            <w:tcW w:w="1745" w:type="dxa"/>
            <w:vMerge w:val="restart"/>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Flow Rate</w:t>
            </w:r>
          </w:p>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(ml/min)</w:t>
            </w:r>
          </w:p>
        </w:tc>
        <w:tc>
          <w:tcPr>
            <w:tcW w:w="1030"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140467</w:t>
            </w:r>
          </w:p>
        </w:tc>
        <w:tc>
          <w:tcPr>
            <w:tcW w:w="1236" w:type="dxa"/>
            <w:vMerge w:val="restart"/>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140393.00</w:t>
            </w:r>
          </w:p>
          <w:p w:rsidR="005A19B5" w:rsidRDefault="005A19B5">
            <w:pPr>
              <w:spacing w:after="0" w:line="240" w:lineRule="auto"/>
              <w:jc w:val="center"/>
              <w:rPr>
                <w:rFonts w:ascii="Times New Roman" w:hAnsi="Times New Roman" w:cs="Times New Roman"/>
                <w:sz w:val="24"/>
                <w:szCs w:val="24"/>
              </w:rPr>
            </w:pPr>
          </w:p>
        </w:tc>
        <w:tc>
          <w:tcPr>
            <w:tcW w:w="5370"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0.17</w:t>
            </w: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tcPr>
          <w:p w:rsidR="005A19B5" w:rsidRDefault="005A19B5">
            <w:pPr>
              <w:spacing w:after="0" w:line="240" w:lineRule="auto"/>
              <w:jc w:val="center"/>
              <w:rPr>
                <w:rFonts w:ascii="Times New Roman" w:hAnsi="Times New Roman" w:cs="Times New Roman"/>
                <w:sz w:val="24"/>
                <w:szCs w:val="24"/>
              </w:rPr>
            </w:pP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140587</w:t>
            </w:r>
          </w:p>
        </w:tc>
        <w:tc>
          <w:tcPr>
            <w:tcW w:w="1236" w:type="dxa"/>
            <w:vMerge/>
          </w:tcPr>
          <w:p w:rsidR="005A19B5" w:rsidRDefault="005A19B5">
            <w:pPr>
              <w:spacing w:after="0" w:line="240" w:lineRule="auto"/>
              <w:jc w:val="center"/>
              <w:rPr>
                <w:rFonts w:ascii="Times New Roman" w:hAnsi="Times New Roman" w:cs="Times New Roman"/>
                <w:sz w:val="24"/>
                <w:szCs w:val="24"/>
              </w:rPr>
            </w:pPr>
          </w:p>
        </w:tc>
        <w:tc>
          <w:tcPr>
            <w:tcW w:w="5370" w:type="dxa"/>
            <w:vMerge/>
          </w:tcPr>
          <w:p w:rsidR="005A19B5" w:rsidRDefault="005A19B5">
            <w:pPr>
              <w:spacing w:after="0"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tcPr>
          <w:p w:rsidR="005A19B5" w:rsidRDefault="005A19B5">
            <w:pPr>
              <w:spacing w:after="0" w:line="240" w:lineRule="auto"/>
              <w:jc w:val="center"/>
              <w:rPr>
                <w:rFonts w:ascii="Times New Roman" w:hAnsi="Times New Roman" w:cs="Times New Roman"/>
                <w:sz w:val="24"/>
                <w:szCs w:val="24"/>
              </w:rPr>
            </w:pP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140125</w:t>
            </w:r>
          </w:p>
        </w:tc>
        <w:tc>
          <w:tcPr>
            <w:tcW w:w="1236" w:type="dxa"/>
            <w:vMerge/>
          </w:tcPr>
          <w:p w:rsidR="005A19B5" w:rsidRDefault="005A19B5">
            <w:pPr>
              <w:spacing w:after="0" w:line="240" w:lineRule="auto"/>
              <w:jc w:val="center"/>
              <w:rPr>
                <w:rFonts w:ascii="Times New Roman" w:hAnsi="Times New Roman" w:cs="Times New Roman"/>
                <w:sz w:val="24"/>
                <w:szCs w:val="24"/>
              </w:rPr>
            </w:pPr>
          </w:p>
        </w:tc>
        <w:tc>
          <w:tcPr>
            <w:tcW w:w="5370" w:type="dxa"/>
            <w:vMerge/>
          </w:tcPr>
          <w:p w:rsidR="005A19B5" w:rsidRDefault="005A19B5">
            <w:pPr>
              <w:spacing w:after="0" w:line="240" w:lineRule="auto"/>
              <w:jc w:val="center"/>
              <w:rPr>
                <w:rFonts w:ascii="Times New Roman" w:hAnsi="Times New Roman" w:cs="Times New Roman"/>
                <w:sz w:val="24"/>
                <w:szCs w:val="24"/>
              </w:rPr>
            </w:pP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125412</w:t>
            </w:r>
          </w:p>
        </w:tc>
        <w:tc>
          <w:tcPr>
            <w:tcW w:w="1236" w:type="dxa"/>
            <w:vMerge w:val="restart"/>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125617.00</w:t>
            </w:r>
          </w:p>
          <w:p w:rsidR="005A19B5" w:rsidRDefault="005A19B5">
            <w:pPr>
              <w:spacing w:after="0" w:line="240" w:lineRule="auto"/>
              <w:jc w:val="center"/>
              <w:rPr>
                <w:rFonts w:ascii="Times New Roman" w:hAnsi="Times New Roman" w:cs="Times New Roman"/>
                <w:sz w:val="24"/>
                <w:szCs w:val="24"/>
              </w:rPr>
            </w:pPr>
          </w:p>
        </w:tc>
        <w:tc>
          <w:tcPr>
            <w:tcW w:w="5370" w:type="dxa"/>
            <w:vMerge w:val="restart"/>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0.15</w:t>
            </w:r>
          </w:p>
        </w:tc>
      </w:tr>
      <w:tr w:rsidR="005A19B5">
        <w:trPr>
          <w:trHeight w:val="499"/>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tcPr>
          <w:p w:rsidR="005A19B5" w:rsidRDefault="005A19B5">
            <w:pPr>
              <w:spacing w:after="0" w:line="240" w:lineRule="auto"/>
              <w:jc w:val="center"/>
              <w:rPr>
                <w:rFonts w:ascii="Times New Roman" w:hAnsi="Times New Roman" w:cs="Times New Roman"/>
                <w:sz w:val="24"/>
                <w:szCs w:val="24"/>
              </w:rPr>
            </w:pP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125789</w:t>
            </w:r>
          </w:p>
        </w:tc>
        <w:tc>
          <w:tcPr>
            <w:tcW w:w="1236" w:type="dxa"/>
            <w:vMerge/>
          </w:tcPr>
          <w:p w:rsidR="005A19B5" w:rsidRDefault="005A19B5">
            <w:pPr>
              <w:spacing w:after="0" w:line="240" w:lineRule="auto"/>
              <w:jc w:val="center"/>
              <w:rPr>
                <w:rFonts w:ascii="Times New Roman" w:hAnsi="Times New Roman" w:cs="Times New Roman"/>
                <w:sz w:val="24"/>
                <w:szCs w:val="24"/>
              </w:rPr>
            </w:pPr>
          </w:p>
        </w:tc>
        <w:tc>
          <w:tcPr>
            <w:tcW w:w="5370" w:type="dxa"/>
            <w:vMerge/>
          </w:tcPr>
          <w:p w:rsidR="005A19B5" w:rsidRDefault="005A19B5">
            <w:pPr>
              <w:spacing w:after="0" w:line="240" w:lineRule="auto"/>
              <w:jc w:val="center"/>
              <w:rPr>
                <w:rFonts w:ascii="Times New Roman" w:hAnsi="Times New Roman" w:cs="Times New Roman"/>
                <w:sz w:val="24"/>
                <w:szCs w:val="24"/>
              </w:rPr>
            </w:pPr>
          </w:p>
        </w:tc>
      </w:tr>
      <w:tr w:rsidR="005A19B5">
        <w:trPr>
          <w:trHeight w:val="518"/>
        </w:trPr>
        <w:tc>
          <w:tcPr>
            <w:tcW w:w="1745" w:type="dxa"/>
            <w:vMerge/>
          </w:tcPr>
          <w:p w:rsidR="005A19B5" w:rsidRDefault="005A19B5">
            <w:pPr>
              <w:spacing w:after="0" w:line="240" w:lineRule="auto"/>
              <w:jc w:val="center"/>
              <w:rPr>
                <w:rFonts w:ascii="Times New Roman" w:hAnsi="Times New Roman" w:cs="Times New Roman"/>
                <w:sz w:val="24"/>
                <w:szCs w:val="24"/>
              </w:rPr>
            </w:pPr>
          </w:p>
        </w:tc>
        <w:tc>
          <w:tcPr>
            <w:tcW w:w="1030" w:type="dxa"/>
            <w:vMerge/>
          </w:tcPr>
          <w:p w:rsidR="005A19B5" w:rsidRDefault="005A19B5">
            <w:pPr>
              <w:spacing w:after="0" w:line="240" w:lineRule="auto"/>
              <w:jc w:val="center"/>
              <w:rPr>
                <w:rFonts w:ascii="Times New Roman" w:hAnsi="Times New Roman" w:cs="Times New Roman"/>
                <w:sz w:val="24"/>
                <w:szCs w:val="24"/>
              </w:rPr>
            </w:pPr>
          </w:p>
        </w:tc>
        <w:tc>
          <w:tcPr>
            <w:tcW w:w="936" w:type="dxa"/>
            <w:vAlign w:val="center"/>
          </w:tcPr>
          <w:p w:rsidR="005A19B5" w:rsidRDefault="00D046F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125650</w:t>
            </w:r>
          </w:p>
        </w:tc>
        <w:tc>
          <w:tcPr>
            <w:tcW w:w="1236" w:type="dxa"/>
            <w:vMerge/>
          </w:tcPr>
          <w:p w:rsidR="005A19B5" w:rsidRDefault="005A19B5">
            <w:pPr>
              <w:spacing w:after="0" w:line="240" w:lineRule="auto"/>
              <w:jc w:val="center"/>
              <w:rPr>
                <w:rFonts w:ascii="Times New Roman" w:hAnsi="Times New Roman" w:cs="Times New Roman"/>
                <w:sz w:val="24"/>
                <w:szCs w:val="24"/>
              </w:rPr>
            </w:pPr>
          </w:p>
        </w:tc>
        <w:tc>
          <w:tcPr>
            <w:tcW w:w="5370" w:type="dxa"/>
            <w:vMerge/>
          </w:tcPr>
          <w:p w:rsidR="005A19B5" w:rsidRDefault="005A19B5">
            <w:pPr>
              <w:spacing w:after="0" w:line="240" w:lineRule="auto"/>
              <w:jc w:val="center"/>
              <w:rPr>
                <w:rFonts w:ascii="Times New Roman" w:hAnsi="Times New Roman" w:cs="Times New Roman"/>
                <w:sz w:val="24"/>
                <w:szCs w:val="24"/>
              </w:rPr>
            </w:pPr>
          </w:p>
        </w:tc>
      </w:tr>
    </w:tbl>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Criteria:</w:t>
      </w:r>
      <w:r>
        <w:rPr>
          <w:rFonts w:ascii="Times New Roman" w:hAnsi="Times New Roman" w:cs="Times New Roman"/>
          <w:sz w:val="24"/>
          <w:szCs w:val="24"/>
        </w:rPr>
        <w:br/>
        <w:t xml:space="preserve">Robustness evaluates the </w:t>
      </w:r>
      <w:r>
        <w:rPr>
          <w:rFonts w:ascii="Times New Roman" w:hAnsi="Times New Roman" w:cs="Times New Roman"/>
          <w:sz w:val="24"/>
          <w:szCs w:val="24"/>
        </w:rPr>
        <w:t>reliability of an analytical method under small and deliberate variations in method parameters. As per general acceptance criteria, the method is considered robust if the percentage relative standard deviation (%RSD) remains below 2% under varied condition</w:t>
      </w:r>
      <w:r>
        <w:rPr>
          <w:rFonts w:ascii="Times New Roman" w:hAnsi="Times New Roman" w:cs="Times New Roman"/>
          <w:sz w:val="24"/>
          <w:szCs w:val="24"/>
        </w:rPr>
        <w:t>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The robustness of the developed RP-HPLC method was assessed by introducing slight variations in mobile phase composition and flow rate. For Dapagliflozin, the %RSD values were found to be in the range of 0.32–0.39% for changes in mobile phase c</w:t>
      </w:r>
      <w:r>
        <w:rPr>
          <w:rFonts w:ascii="Times New Roman" w:hAnsi="Times New Roman" w:cs="Times New Roman"/>
          <w:sz w:val="24"/>
          <w:szCs w:val="24"/>
        </w:rPr>
        <w:t>omposition and flow rate. Similarly, for Eplerenone, the %RSD values ranged from 0.15–0.26% under the same varied conditions.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low %RSD values indicate that the chromatographic responses remained consistent despite minor changes in </w:t>
      </w:r>
    </w:p>
    <w:p w:rsidR="005A19B5" w:rsidRDefault="005A19B5">
      <w:pPr>
        <w:spacing w:line="240" w:lineRule="auto"/>
        <w:jc w:val="both"/>
        <w:rPr>
          <w:rFonts w:ascii="Times New Roman" w:hAnsi="Times New Roman" w:cs="Times New Roman"/>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analytical parame</w:t>
      </w:r>
      <w:r>
        <w:rPr>
          <w:rFonts w:ascii="Times New Roman" w:hAnsi="Times New Roman" w:cs="Times New Roman"/>
          <w:sz w:val="24"/>
          <w:szCs w:val="24"/>
        </w:rPr>
        <w:t>ters.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Since the %RSD values for both Dapagliflozin and Eplerenone were well within the acceptable limit, the developed method can be considered robust. The method demonstrates reliability and stability under small variations, confirming its sui</w:t>
      </w:r>
      <w:r>
        <w:rPr>
          <w:rFonts w:ascii="Times New Roman" w:hAnsi="Times New Roman" w:cs="Times New Roman"/>
          <w:sz w:val="24"/>
          <w:szCs w:val="24"/>
        </w:rPr>
        <w:t>tability for routine analytical applications.</w:t>
      </w:r>
    </w:p>
    <w:p w:rsidR="005A19B5" w:rsidRDefault="00D046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Assay of synthetic mixture</w:t>
      </w:r>
    </w:p>
    <w:p w:rsidR="005A19B5" w:rsidRDefault="00D046F1" w:rsidP="005E2918">
      <w:pPr>
        <w:spacing w:line="240" w:lineRule="auto"/>
        <w:ind w:firstLineChars="200" w:firstLine="482"/>
        <w:jc w:val="both"/>
        <w:rPr>
          <w:rFonts w:ascii="Times New Roman" w:hAnsi="Times New Roman" w:cs="Times New Roman"/>
          <w:b/>
          <w:bCs/>
          <w:sz w:val="24"/>
          <w:szCs w:val="24"/>
        </w:rPr>
      </w:pPr>
      <w:r>
        <w:rPr>
          <w:rFonts w:ascii="Times New Roman" w:hAnsi="Times New Roman" w:cs="Times New Roman"/>
          <w:b/>
          <w:bCs/>
          <w:sz w:val="24"/>
          <w:szCs w:val="24"/>
        </w:rPr>
        <w:t>Table 33 Determination of DAPA and EPLE from synthetic mixture</w:t>
      </w:r>
    </w:p>
    <w:tbl>
      <w:tblPr>
        <w:tblStyle w:val="TableGrid"/>
        <w:tblW w:w="0" w:type="auto"/>
        <w:tblInd w:w="567" w:type="dxa"/>
        <w:tblLook w:val="04A0" w:firstRow="1" w:lastRow="0" w:firstColumn="1" w:lastColumn="0" w:noHBand="0" w:noVBand="1"/>
      </w:tblPr>
      <w:tblGrid>
        <w:gridCol w:w="1048"/>
        <w:gridCol w:w="1069"/>
        <w:gridCol w:w="2314"/>
        <w:gridCol w:w="5523"/>
      </w:tblGrid>
      <w:tr w:rsidR="005A19B5">
        <w:trPr>
          <w:trHeight w:val="1464"/>
        </w:trPr>
        <w:tc>
          <w:tcPr>
            <w:tcW w:w="1048" w:type="dxa"/>
          </w:tcPr>
          <w:p w:rsidR="005A19B5" w:rsidRDefault="00D046F1">
            <w:pPr>
              <w:pStyle w:val="ListParagraph"/>
              <w:tabs>
                <w:tab w:val="left" w:pos="2595"/>
              </w:tabs>
              <w:spacing w:after="0" w:line="240" w:lineRule="auto"/>
              <w:ind w:left="0"/>
              <w:contextualSpacing w:val="0"/>
              <w:rPr>
                <w:rFonts w:ascii="Times New Roman" w:hAnsi="Times New Roman" w:cs="Times New Roman"/>
                <w:b/>
                <w:bCs/>
                <w:sz w:val="24"/>
                <w:szCs w:val="24"/>
              </w:rPr>
            </w:pPr>
            <w:r>
              <w:rPr>
                <w:rFonts w:ascii="Times New Roman" w:hAnsi="Times New Roman" w:cs="Times New Roman"/>
                <w:b/>
                <w:bCs/>
                <w:sz w:val="24"/>
                <w:szCs w:val="24"/>
              </w:rPr>
              <w:t>Drug</w:t>
            </w:r>
          </w:p>
        </w:tc>
        <w:tc>
          <w:tcPr>
            <w:tcW w:w="1069" w:type="dxa"/>
          </w:tcPr>
          <w:p w:rsidR="005A19B5" w:rsidRDefault="00D046F1">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Amount taken</w:t>
            </w:r>
          </w:p>
          <w:p w:rsidR="005A19B5" w:rsidRDefault="00D046F1">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(µg/mL)</w:t>
            </w:r>
          </w:p>
        </w:tc>
        <w:tc>
          <w:tcPr>
            <w:tcW w:w="2314" w:type="dxa"/>
          </w:tcPr>
          <w:p w:rsidR="005A19B5" w:rsidRDefault="00D046F1">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Amount found</w:t>
            </w:r>
          </w:p>
          <w:p w:rsidR="005A19B5" w:rsidRDefault="00D046F1">
            <w:pPr>
              <w:tabs>
                <w:tab w:val="left" w:pos="259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(µg/mL) (Mean ± SD)</w:t>
            </w:r>
          </w:p>
        </w:tc>
        <w:tc>
          <w:tcPr>
            <w:tcW w:w="5523" w:type="dxa"/>
          </w:tcPr>
          <w:p w:rsidR="005A19B5" w:rsidRDefault="00D046F1">
            <w:pPr>
              <w:pStyle w:val="ListParagraph"/>
              <w:tabs>
                <w:tab w:val="left" w:pos="2595"/>
              </w:tabs>
              <w:spacing w:after="0" w:line="240" w:lineRule="auto"/>
              <w:ind w:left="0"/>
              <w:contextualSpacing w:val="0"/>
              <w:rPr>
                <w:rFonts w:ascii="Times New Roman" w:hAnsi="Times New Roman" w:cs="Times New Roman"/>
                <w:b/>
                <w:bCs/>
                <w:sz w:val="24"/>
                <w:szCs w:val="24"/>
              </w:rPr>
            </w:pPr>
            <w:r>
              <w:rPr>
                <w:rFonts w:ascii="Times New Roman" w:hAnsi="Times New Roman" w:cs="Times New Roman"/>
                <w:b/>
                <w:bCs/>
                <w:sz w:val="24"/>
                <w:szCs w:val="24"/>
              </w:rPr>
              <w:t>% Assay (Mean ± SD)</w:t>
            </w:r>
          </w:p>
        </w:tc>
      </w:tr>
      <w:tr w:rsidR="005A19B5">
        <w:trPr>
          <w:trHeight w:val="495"/>
        </w:trPr>
        <w:tc>
          <w:tcPr>
            <w:tcW w:w="1048" w:type="dxa"/>
          </w:tcPr>
          <w:p w:rsidR="005A19B5" w:rsidRDefault="00D046F1">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DAPA</w:t>
            </w:r>
          </w:p>
        </w:tc>
        <w:tc>
          <w:tcPr>
            <w:tcW w:w="1069" w:type="dxa"/>
          </w:tcPr>
          <w:p w:rsidR="005A19B5" w:rsidRDefault="00D046F1">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20</w:t>
            </w:r>
          </w:p>
        </w:tc>
        <w:tc>
          <w:tcPr>
            <w:tcW w:w="2314" w:type="dxa"/>
          </w:tcPr>
          <w:p w:rsidR="005A19B5" w:rsidRDefault="00D046F1">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20.07 </w:t>
            </w:r>
            <w:r>
              <w:rPr>
                <w:rFonts w:ascii="Times New Roman" w:hAnsi="Times New Roman" w:cs="Times New Roman"/>
                <w:b/>
                <w:bCs/>
                <w:sz w:val="24"/>
                <w:szCs w:val="24"/>
              </w:rPr>
              <w:t xml:space="preserve">± </w:t>
            </w:r>
            <w:r>
              <w:rPr>
                <w:rFonts w:ascii="Times New Roman" w:hAnsi="Times New Roman" w:cs="Times New Roman"/>
                <w:sz w:val="24"/>
                <w:szCs w:val="24"/>
              </w:rPr>
              <w:t>0.04</w:t>
            </w:r>
          </w:p>
        </w:tc>
        <w:tc>
          <w:tcPr>
            <w:tcW w:w="5523" w:type="dxa"/>
          </w:tcPr>
          <w:p w:rsidR="005A19B5" w:rsidRDefault="00D046F1">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100.33 ± 0.03</w:t>
            </w:r>
          </w:p>
        </w:tc>
      </w:tr>
      <w:tr w:rsidR="005A19B5">
        <w:trPr>
          <w:trHeight w:val="506"/>
        </w:trPr>
        <w:tc>
          <w:tcPr>
            <w:tcW w:w="1048" w:type="dxa"/>
          </w:tcPr>
          <w:p w:rsidR="005A19B5" w:rsidRDefault="00D046F1">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EPLE</w:t>
            </w:r>
          </w:p>
        </w:tc>
        <w:tc>
          <w:tcPr>
            <w:tcW w:w="1069" w:type="dxa"/>
          </w:tcPr>
          <w:p w:rsidR="005A19B5" w:rsidRDefault="00D046F1">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50</w:t>
            </w:r>
          </w:p>
        </w:tc>
        <w:tc>
          <w:tcPr>
            <w:tcW w:w="2314" w:type="dxa"/>
          </w:tcPr>
          <w:p w:rsidR="005A19B5" w:rsidRDefault="00D046F1">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49.82 </w:t>
            </w:r>
            <w:r>
              <w:rPr>
                <w:rFonts w:ascii="Times New Roman" w:hAnsi="Times New Roman" w:cs="Times New Roman"/>
                <w:b/>
                <w:bCs/>
                <w:sz w:val="24"/>
                <w:szCs w:val="24"/>
              </w:rPr>
              <w:t>±</w:t>
            </w:r>
            <w:r>
              <w:rPr>
                <w:rFonts w:ascii="Times New Roman" w:hAnsi="Times New Roman" w:cs="Times New Roman"/>
                <w:sz w:val="24"/>
                <w:szCs w:val="24"/>
              </w:rPr>
              <w:t xml:space="preserve"> 0.54</w:t>
            </w:r>
          </w:p>
        </w:tc>
        <w:tc>
          <w:tcPr>
            <w:tcW w:w="5523" w:type="dxa"/>
          </w:tcPr>
          <w:p w:rsidR="005A19B5" w:rsidRDefault="00D046F1">
            <w:pPr>
              <w:pStyle w:val="ListParagraph"/>
              <w:tabs>
                <w:tab w:val="left" w:pos="2595"/>
              </w:tabs>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99.65 ± 0.81</w:t>
            </w:r>
          </w:p>
        </w:tc>
      </w:tr>
    </w:tbl>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Criteria:</w:t>
      </w:r>
      <w:r>
        <w:rPr>
          <w:rFonts w:ascii="Times New Roman" w:hAnsi="Times New Roman" w:cs="Times New Roman"/>
          <w:sz w:val="24"/>
          <w:szCs w:val="24"/>
        </w:rPr>
        <w:br/>
        <w:t xml:space="preserve">The assay of pharmaceutical formulations is performed to determine the amount of active drug present in the sample. As per general acceptance criteria, the percentage assay value should lie within the range of 98% </w:t>
      </w:r>
      <w:r>
        <w:rPr>
          <w:rFonts w:ascii="Times New Roman" w:hAnsi="Times New Roman" w:cs="Times New Roman"/>
          <w:sz w:val="24"/>
          <w:szCs w:val="24"/>
        </w:rPr>
        <w:t>to 102% of the labelled claim.</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br/>
        <w:t xml:space="preserve">The assay of the synthetic mixture was carried out using the developed RP-HPLC method. The amount of Dapagliflozin and Eplerenone found was 20.07 ± 0.04 µg/mL and 49.82 ± 0.54 µg/mL, respectively. The corresponding </w:t>
      </w:r>
      <w:r>
        <w:rPr>
          <w:rFonts w:ascii="Times New Roman" w:hAnsi="Times New Roman" w:cs="Times New Roman"/>
          <w:sz w:val="24"/>
          <w:szCs w:val="24"/>
        </w:rPr>
        <w:t>percentage assay values were 100.33 ± 0.03% for Dapagliflozin and 99.65 ± 0.81% for Eplerenone.</w:t>
      </w:r>
    </w:p>
    <w:p w:rsidR="005A19B5" w:rsidRDefault="005A19B5">
      <w:pPr>
        <w:spacing w:line="240" w:lineRule="auto"/>
        <w:jc w:val="both"/>
        <w:rPr>
          <w:rFonts w:ascii="Times New Roman" w:hAnsi="Times New Roman" w:cs="Times New Roman"/>
          <w:b/>
          <w:bCs/>
          <w:sz w:val="24"/>
          <w:szCs w:val="24"/>
        </w:rPr>
      </w:pP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br/>
        <w:t>The obtained assay values for both analytes were within the acceptable limits, indicating that the method is accurate and suitable for quantitative</w:t>
      </w:r>
      <w:r>
        <w:rPr>
          <w:rFonts w:ascii="Times New Roman" w:hAnsi="Times New Roman" w:cs="Times New Roman"/>
          <w:sz w:val="24"/>
          <w:szCs w:val="24"/>
        </w:rPr>
        <w:t xml:space="preserve"> estimation. The low standard deviation values further confirm the consistency and reliability of the method for routine analysis of Dapagliflozin and Eplerenone.</w:t>
      </w:r>
    </w:p>
    <w:p w:rsidR="005A19B5" w:rsidRDefault="00D046F1">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CONCLUSION</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Summary of HPLC method development and validation</w:t>
      </w: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34 Summary of HPLC method</w:t>
      </w:r>
    </w:p>
    <w:tbl>
      <w:tblPr>
        <w:tblStyle w:val="TableGrid"/>
        <w:tblW w:w="10426" w:type="dxa"/>
        <w:tblLook w:val="04A0" w:firstRow="1" w:lastRow="0" w:firstColumn="1" w:lastColumn="0" w:noHBand="0" w:noVBand="1"/>
      </w:tblPr>
      <w:tblGrid>
        <w:gridCol w:w="1970"/>
        <w:gridCol w:w="8456"/>
      </w:tblGrid>
      <w:tr w:rsidR="005A19B5">
        <w:trPr>
          <w:trHeight w:val="838"/>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Stationary Phase </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Cosmosil C18 (250 cm×4.6 mm, 5µm)</w:t>
            </w:r>
          </w:p>
        </w:tc>
      </w:tr>
      <w:tr w:rsidR="005A19B5">
        <w:trPr>
          <w:trHeight w:val="838"/>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Mobile Phase (v/v) </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Phosphate Buffer: Methanol (30:70%v/v)</w:t>
            </w:r>
          </w:p>
        </w:tc>
      </w:tr>
      <w:tr w:rsidR="005A19B5">
        <w:trPr>
          <w:trHeight w:val="440"/>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Diluent</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Methanol</w:t>
            </w:r>
          </w:p>
        </w:tc>
      </w:tr>
      <w:tr w:rsidR="005A19B5">
        <w:trPr>
          <w:trHeight w:val="440"/>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Mode of elution</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Isocratic</w:t>
            </w:r>
          </w:p>
        </w:tc>
      </w:tr>
      <w:tr w:rsidR="005A19B5">
        <w:trPr>
          <w:trHeight w:val="838"/>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Flow Rate (mL/min) </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 ml/min</w:t>
            </w:r>
          </w:p>
        </w:tc>
      </w:tr>
      <w:tr w:rsidR="005A19B5">
        <w:trPr>
          <w:trHeight w:val="838"/>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Detection Wavelength (nm)</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228 nm</w:t>
            </w:r>
          </w:p>
        </w:tc>
      </w:tr>
      <w:tr w:rsidR="005A19B5">
        <w:trPr>
          <w:trHeight w:val="838"/>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Column Temperature </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 °C</w:t>
            </w:r>
          </w:p>
        </w:tc>
      </w:tr>
      <w:tr w:rsidR="005A19B5">
        <w:trPr>
          <w:trHeight w:val="838"/>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Injection Volume (µL) </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 µL</w:t>
            </w:r>
          </w:p>
        </w:tc>
      </w:tr>
      <w:tr w:rsidR="005A19B5">
        <w:trPr>
          <w:trHeight w:val="440"/>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Run Time (minutes) </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 min</w:t>
            </w:r>
          </w:p>
        </w:tc>
      </w:tr>
      <w:tr w:rsidR="005A19B5">
        <w:trPr>
          <w:trHeight w:val="848"/>
        </w:trPr>
        <w:tc>
          <w:tcPr>
            <w:tcW w:w="1970"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Retention time (minutes)</w:t>
            </w:r>
          </w:p>
        </w:tc>
        <w:tc>
          <w:tcPr>
            <w:tcW w:w="8456" w:type="dxa"/>
          </w:tcPr>
          <w:p w:rsidR="005A19B5" w:rsidRDefault="00D046F1">
            <w:pPr>
              <w:tabs>
                <w:tab w:val="left" w:pos="2595"/>
              </w:tabs>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DAPA- 6.2 min, EPLE- 2.6 min</w:t>
            </w:r>
          </w:p>
        </w:tc>
      </w:tr>
    </w:tbl>
    <w:p w:rsidR="005A19B5" w:rsidRDefault="005A19B5">
      <w:pPr>
        <w:spacing w:line="240" w:lineRule="auto"/>
        <w:ind w:left="567" w:hanging="567"/>
        <w:jc w:val="both"/>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Table 35 Summary of Validation parameters</w:t>
      </w:r>
    </w:p>
    <w:tbl>
      <w:tblPr>
        <w:tblStyle w:val="TableGrid"/>
        <w:tblW w:w="10753" w:type="dxa"/>
        <w:tblLook w:val="04A0" w:firstRow="1" w:lastRow="0" w:firstColumn="1" w:lastColumn="0" w:noHBand="0" w:noVBand="1"/>
      </w:tblPr>
      <w:tblGrid>
        <w:gridCol w:w="1820"/>
        <w:gridCol w:w="1919"/>
        <w:gridCol w:w="7014"/>
      </w:tblGrid>
      <w:tr w:rsidR="005A19B5">
        <w:trPr>
          <w:trHeight w:val="576"/>
        </w:trPr>
        <w:tc>
          <w:tcPr>
            <w:tcW w:w="1820" w:type="dxa"/>
          </w:tcPr>
          <w:p w:rsidR="005A19B5" w:rsidRDefault="00D046F1">
            <w:pPr>
              <w:tabs>
                <w:tab w:val="left" w:pos="2940"/>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Parameter</w:t>
            </w:r>
          </w:p>
        </w:tc>
        <w:tc>
          <w:tcPr>
            <w:tcW w:w="1919" w:type="dxa"/>
          </w:tcPr>
          <w:p w:rsidR="005A19B5" w:rsidRDefault="00D046F1">
            <w:pPr>
              <w:tabs>
                <w:tab w:val="left" w:pos="2940"/>
              </w:tabs>
              <w:spacing w:line="240" w:lineRule="auto"/>
              <w:ind w:left="12" w:hanging="12"/>
              <w:jc w:val="center"/>
              <w:rPr>
                <w:rFonts w:ascii="Times New Roman" w:hAnsi="Times New Roman" w:cs="Times New Roman"/>
                <w:b/>
                <w:bCs/>
                <w:sz w:val="24"/>
                <w:szCs w:val="24"/>
              </w:rPr>
            </w:pPr>
            <w:r>
              <w:rPr>
                <w:rFonts w:ascii="Times New Roman" w:hAnsi="Times New Roman" w:cs="Times New Roman"/>
                <w:b/>
                <w:bCs/>
                <w:sz w:val="24"/>
                <w:szCs w:val="24"/>
                <w:lang w:val="en-US"/>
              </w:rPr>
              <w:t>Dapagliflozin</w:t>
            </w:r>
          </w:p>
        </w:tc>
        <w:tc>
          <w:tcPr>
            <w:tcW w:w="7014" w:type="dxa"/>
          </w:tcPr>
          <w:p w:rsidR="005A19B5" w:rsidRDefault="00D046F1">
            <w:pPr>
              <w:tabs>
                <w:tab w:val="left" w:pos="2940"/>
              </w:tabs>
              <w:spacing w:line="240" w:lineRule="auto"/>
              <w:ind w:left="33" w:hanging="33"/>
              <w:jc w:val="center"/>
              <w:rPr>
                <w:rFonts w:ascii="Times New Roman" w:hAnsi="Times New Roman" w:cs="Times New Roman"/>
                <w:b/>
                <w:bCs/>
                <w:sz w:val="24"/>
                <w:szCs w:val="24"/>
              </w:rPr>
            </w:pPr>
            <w:r>
              <w:rPr>
                <w:rFonts w:ascii="Times New Roman" w:hAnsi="Times New Roman" w:cs="Times New Roman"/>
                <w:b/>
                <w:bCs/>
                <w:sz w:val="24"/>
                <w:szCs w:val="24"/>
                <w:lang w:val="en-US"/>
              </w:rPr>
              <w:t>Eplerenone</w:t>
            </w:r>
          </w:p>
        </w:tc>
      </w:tr>
      <w:tr w:rsidR="005A19B5">
        <w:trPr>
          <w:trHeight w:val="984"/>
        </w:trPr>
        <w:tc>
          <w:tcPr>
            <w:tcW w:w="1820" w:type="dxa"/>
          </w:tcPr>
          <w:p w:rsidR="005A19B5" w:rsidRDefault="00D046F1">
            <w:pPr>
              <w:tabs>
                <w:tab w:val="left" w:pos="2940"/>
              </w:tabs>
              <w:spacing w:line="240" w:lineRule="auto"/>
              <w:ind w:left="34" w:hanging="34"/>
              <w:jc w:val="center"/>
              <w:rPr>
                <w:rFonts w:ascii="Times New Roman" w:hAnsi="Times New Roman" w:cs="Times New Roman"/>
                <w:b/>
                <w:bCs/>
                <w:sz w:val="24"/>
                <w:szCs w:val="24"/>
              </w:rPr>
            </w:pPr>
            <w:r>
              <w:rPr>
                <w:rFonts w:ascii="Times New Roman" w:hAnsi="Times New Roman" w:cs="Times New Roman"/>
                <w:b/>
                <w:bCs/>
                <w:sz w:val="24"/>
                <w:szCs w:val="24"/>
                <w:lang w:val="en-US"/>
              </w:rPr>
              <w:t>System suitability (Mean± % RSD)</w:t>
            </w:r>
          </w:p>
        </w:tc>
        <w:tc>
          <w:tcPr>
            <w:tcW w:w="1919" w:type="dxa"/>
          </w:tcPr>
          <w:p w:rsidR="005A19B5" w:rsidRDefault="00D046F1">
            <w:pPr>
              <w:pStyle w:val="Default"/>
              <w:jc w:val="center"/>
            </w:pPr>
            <w:r>
              <w:t xml:space="preserve">111676.80 ± 15.07 </w:t>
            </w:r>
          </w:p>
          <w:p w:rsidR="005A19B5" w:rsidRDefault="005A19B5">
            <w:pPr>
              <w:tabs>
                <w:tab w:val="left" w:pos="2940"/>
              </w:tabs>
              <w:spacing w:line="240" w:lineRule="auto"/>
              <w:ind w:left="567" w:hanging="567"/>
              <w:jc w:val="center"/>
              <w:rPr>
                <w:rFonts w:ascii="Times New Roman" w:hAnsi="Times New Roman" w:cs="Times New Roman"/>
                <w:sz w:val="24"/>
                <w:szCs w:val="24"/>
              </w:rPr>
            </w:pPr>
          </w:p>
        </w:tc>
        <w:tc>
          <w:tcPr>
            <w:tcW w:w="7014"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134361.80 ±</w:t>
            </w:r>
            <w:r>
              <w:rPr>
                <w:rFonts w:ascii="Times New Roman" w:hAnsi="Times New Roman" w:cs="Times New Roman"/>
                <w:sz w:val="24"/>
                <w:szCs w:val="24"/>
                <w:lang w:val="en-US"/>
              </w:rPr>
              <w:t xml:space="preserve"> 19.24</w:t>
            </w:r>
          </w:p>
        </w:tc>
      </w:tr>
      <w:tr w:rsidR="005A19B5">
        <w:trPr>
          <w:trHeight w:val="984"/>
        </w:trPr>
        <w:tc>
          <w:tcPr>
            <w:tcW w:w="1820" w:type="dxa"/>
          </w:tcPr>
          <w:p w:rsidR="005A19B5" w:rsidRDefault="00D046F1">
            <w:pPr>
              <w:tabs>
                <w:tab w:val="left" w:pos="2940"/>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Linearity &amp; Range (n=3)</w:t>
            </w:r>
          </w:p>
        </w:tc>
        <w:tc>
          <w:tcPr>
            <w:tcW w:w="1919"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10-30 ppm</w:t>
            </w:r>
          </w:p>
        </w:tc>
        <w:tc>
          <w:tcPr>
            <w:tcW w:w="7014"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25-75 ppm</w:t>
            </w:r>
          </w:p>
        </w:tc>
      </w:tr>
      <w:tr w:rsidR="005A19B5">
        <w:trPr>
          <w:trHeight w:val="984"/>
        </w:trPr>
        <w:tc>
          <w:tcPr>
            <w:tcW w:w="1820" w:type="dxa"/>
          </w:tcPr>
          <w:p w:rsidR="005A19B5" w:rsidRDefault="00D046F1">
            <w:pPr>
              <w:tabs>
                <w:tab w:val="left" w:pos="2940"/>
              </w:tabs>
              <w:spacing w:line="240" w:lineRule="auto"/>
              <w:ind w:left="34" w:hanging="34"/>
              <w:jc w:val="center"/>
              <w:rPr>
                <w:rFonts w:ascii="Times New Roman" w:hAnsi="Times New Roman" w:cs="Times New Roman"/>
                <w:b/>
                <w:bCs/>
                <w:sz w:val="24"/>
                <w:szCs w:val="24"/>
              </w:rPr>
            </w:pPr>
            <w:r>
              <w:rPr>
                <w:rFonts w:ascii="Times New Roman" w:hAnsi="Times New Roman" w:cs="Times New Roman"/>
                <w:b/>
                <w:bCs/>
                <w:sz w:val="24"/>
                <w:szCs w:val="24"/>
                <w:lang w:val="en-US"/>
              </w:rPr>
              <w:t>Correlation coefficient (R</w:t>
            </w:r>
            <w:r>
              <w:rPr>
                <w:rFonts w:ascii="Times New Roman" w:hAnsi="Times New Roman" w:cs="Times New Roman"/>
                <w:b/>
                <w:bCs/>
                <w:sz w:val="24"/>
                <w:szCs w:val="24"/>
                <w:vertAlign w:val="superscript"/>
                <w:lang w:val="en-US"/>
              </w:rPr>
              <w:t>2</w:t>
            </w:r>
            <w:r>
              <w:rPr>
                <w:rFonts w:ascii="Times New Roman" w:hAnsi="Times New Roman" w:cs="Times New Roman"/>
                <w:b/>
                <w:bCs/>
                <w:sz w:val="24"/>
                <w:szCs w:val="24"/>
                <w:lang w:val="en-US"/>
              </w:rPr>
              <w:t>)</w:t>
            </w:r>
          </w:p>
        </w:tc>
        <w:tc>
          <w:tcPr>
            <w:tcW w:w="1919"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0.9996</w:t>
            </w:r>
          </w:p>
        </w:tc>
        <w:tc>
          <w:tcPr>
            <w:tcW w:w="7014"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0.9988</w:t>
            </w:r>
          </w:p>
        </w:tc>
      </w:tr>
      <w:tr w:rsidR="005A19B5">
        <w:trPr>
          <w:trHeight w:val="984"/>
        </w:trPr>
        <w:tc>
          <w:tcPr>
            <w:tcW w:w="1820" w:type="dxa"/>
          </w:tcPr>
          <w:p w:rsidR="005A19B5" w:rsidRDefault="00D046F1">
            <w:pPr>
              <w:tabs>
                <w:tab w:val="left" w:pos="2940"/>
              </w:tabs>
              <w:spacing w:line="240" w:lineRule="auto"/>
              <w:ind w:left="34" w:hanging="34"/>
              <w:jc w:val="center"/>
              <w:rPr>
                <w:rFonts w:ascii="Times New Roman" w:hAnsi="Times New Roman" w:cs="Times New Roman"/>
                <w:b/>
                <w:bCs/>
                <w:sz w:val="24"/>
                <w:szCs w:val="24"/>
              </w:rPr>
            </w:pPr>
            <w:r>
              <w:rPr>
                <w:rFonts w:ascii="Times New Roman" w:hAnsi="Times New Roman" w:cs="Times New Roman"/>
                <w:b/>
                <w:bCs/>
                <w:sz w:val="24"/>
                <w:szCs w:val="24"/>
                <w:lang w:val="en-US"/>
              </w:rPr>
              <w:t>Intra-day precision (% RSD)</w:t>
            </w:r>
          </w:p>
        </w:tc>
        <w:tc>
          <w:tcPr>
            <w:tcW w:w="1919"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0.16-0.49</w:t>
            </w:r>
          </w:p>
        </w:tc>
        <w:tc>
          <w:tcPr>
            <w:tcW w:w="7014"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0.14-0.37</w:t>
            </w:r>
          </w:p>
        </w:tc>
      </w:tr>
      <w:tr w:rsidR="005A19B5">
        <w:trPr>
          <w:trHeight w:val="984"/>
        </w:trPr>
        <w:tc>
          <w:tcPr>
            <w:tcW w:w="1820" w:type="dxa"/>
          </w:tcPr>
          <w:p w:rsidR="005A19B5" w:rsidRDefault="00D046F1">
            <w:pPr>
              <w:tabs>
                <w:tab w:val="left" w:pos="2940"/>
              </w:tabs>
              <w:spacing w:line="240" w:lineRule="auto"/>
              <w:ind w:left="34" w:hanging="34"/>
              <w:jc w:val="center"/>
              <w:rPr>
                <w:rFonts w:ascii="Times New Roman" w:hAnsi="Times New Roman" w:cs="Times New Roman"/>
                <w:b/>
                <w:bCs/>
                <w:sz w:val="24"/>
                <w:szCs w:val="24"/>
              </w:rPr>
            </w:pPr>
            <w:r>
              <w:rPr>
                <w:rFonts w:ascii="Times New Roman" w:hAnsi="Times New Roman" w:cs="Times New Roman"/>
                <w:b/>
                <w:bCs/>
                <w:sz w:val="24"/>
                <w:szCs w:val="24"/>
                <w:lang w:val="en-US"/>
              </w:rPr>
              <w:t>Inter-day Precision (% RSD)</w:t>
            </w:r>
          </w:p>
        </w:tc>
        <w:tc>
          <w:tcPr>
            <w:tcW w:w="1919"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0.42-0.73</w:t>
            </w:r>
          </w:p>
        </w:tc>
        <w:tc>
          <w:tcPr>
            <w:tcW w:w="7014" w:type="dxa"/>
          </w:tcPr>
          <w:p w:rsidR="005A19B5" w:rsidRDefault="00D046F1">
            <w:pPr>
              <w:tabs>
                <w:tab w:val="left" w:pos="2940"/>
              </w:tabs>
              <w:spacing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0.39-0.60</w:t>
            </w:r>
          </w:p>
        </w:tc>
      </w:tr>
      <w:tr w:rsidR="005A19B5">
        <w:trPr>
          <w:trHeight w:val="418"/>
        </w:trPr>
        <w:tc>
          <w:tcPr>
            <w:tcW w:w="1820" w:type="dxa"/>
          </w:tcPr>
          <w:p w:rsidR="005A19B5" w:rsidRDefault="00D046F1">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Repeatability (% RSD)</w:t>
            </w:r>
          </w:p>
        </w:tc>
        <w:tc>
          <w:tcPr>
            <w:tcW w:w="1919"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0.29</w:t>
            </w:r>
          </w:p>
        </w:tc>
        <w:tc>
          <w:tcPr>
            <w:tcW w:w="7014"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0.37</w:t>
            </w:r>
          </w:p>
        </w:tc>
      </w:tr>
      <w:tr w:rsidR="005A19B5">
        <w:trPr>
          <w:trHeight w:val="1235"/>
        </w:trPr>
        <w:tc>
          <w:tcPr>
            <w:tcW w:w="1820" w:type="dxa"/>
          </w:tcPr>
          <w:p w:rsidR="005A19B5" w:rsidRDefault="00D046F1">
            <w:pPr>
              <w:tabs>
                <w:tab w:val="left" w:pos="2940"/>
              </w:tabs>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Accuracy (% Mean recovery ± </w:t>
            </w:r>
            <w:r>
              <w:rPr>
                <w:rFonts w:ascii="Times New Roman" w:hAnsi="Times New Roman" w:cs="Times New Roman"/>
                <w:b/>
                <w:bCs/>
                <w:sz w:val="24"/>
                <w:szCs w:val="24"/>
                <w:lang w:val="en-US"/>
              </w:rPr>
              <w:t>SD)</w:t>
            </w:r>
          </w:p>
        </w:tc>
        <w:tc>
          <w:tcPr>
            <w:tcW w:w="1919" w:type="dxa"/>
          </w:tcPr>
          <w:p w:rsidR="005A19B5" w:rsidRDefault="00D046F1">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99.995 ± 0.009</w:t>
            </w:r>
          </w:p>
          <w:p w:rsidR="005A19B5" w:rsidRDefault="00D046F1">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99.997 ± 0.004</w:t>
            </w:r>
          </w:p>
          <w:p w:rsidR="005A19B5" w:rsidRDefault="00D046F1">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lang w:val="en-US"/>
              </w:rPr>
              <w:t>100.00 ± 0.002</w:t>
            </w:r>
          </w:p>
        </w:tc>
        <w:tc>
          <w:tcPr>
            <w:tcW w:w="7014" w:type="dxa"/>
          </w:tcPr>
          <w:p w:rsidR="005A19B5" w:rsidRDefault="00D046F1">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99.996 </w:t>
            </w:r>
            <w:r>
              <w:rPr>
                <w:rFonts w:ascii="Times New Roman" w:hAnsi="Times New Roman" w:cs="Times New Roman"/>
                <w:sz w:val="24"/>
                <w:szCs w:val="24"/>
                <w:lang w:val="en-US"/>
              </w:rPr>
              <w:t>± 0.007</w:t>
            </w:r>
          </w:p>
          <w:p w:rsidR="005A19B5" w:rsidRDefault="00D046F1">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99.990 </w:t>
            </w:r>
            <w:r>
              <w:rPr>
                <w:rFonts w:ascii="Times New Roman" w:hAnsi="Times New Roman" w:cs="Times New Roman"/>
                <w:sz w:val="24"/>
                <w:szCs w:val="24"/>
                <w:lang w:val="en-US"/>
              </w:rPr>
              <w:t>± 0.008</w:t>
            </w:r>
          </w:p>
          <w:p w:rsidR="005A19B5" w:rsidRDefault="00D046F1">
            <w:pPr>
              <w:tabs>
                <w:tab w:val="left" w:pos="2940"/>
              </w:tabs>
              <w:spacing w:after="0" w:line="24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99.997 </w:t>
            </w:r>
            <w:r>
              <w:rPr>
                <w:rFonts w:ascii="Times New Roman" w:hAnsi="Times New Roman" w:cs="Times New Roman"/>
                <w:sz w:val="24"/>
                <w:szCs w:val="24"/>
                <w:lang w:val="en-US"/>
              </w:rPr>
              <w:t>± 0.008</w:t>
            </w:r>
          </w:p>
        </w:tc>
      </w:tr>
      <w:tr w:rsidR="005A19B5">
        <w:trPr>
          <w:trHeight w:val="826"/>
        </w:trPr>
        <w:tc>
          <w:tcPr>
            <w:tcW w:w="1820" w:type="dxa"/>
          </w:tcPr>
          <w:p w:rsidR="005A19B5" w:rsidRDefault="00D046F1">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Robustness</w:t>
            </w:r>
          </w:p>
        </w:tc>
        <w:tc>
          <w:tcPr>
            <w:tcW w:w="1919" w:type="dxa"/>
          </w:tcPr>
          <w:p w:rsidR="005A19B5" w:rsidRDefault="00D046F1">
            <w:pPr>
              <w:tabs>
                <w:tab w:val="left" w:pos="2940"/>
              </w:tabs>
              <w:spacing w:after="0" w:line="240" w:lineRule="auto"/>
              <w:ind w:left="12" w:hanging="12"/>
              <w:jc w:val="center"/>
              <w:rPr>
                <w:rFonts w:ascii="Times New Roman" w:hAnsi="Times New Roman" w:cs="Times New Roman"/>
                <w:sz w:val="24"/>
                <w:szCs w:val="24"/>
                <w:lang w:val="en-US"/>
              </w:rPr>
            </w:pPr>
            <w:r>
              <w:rPr>
                <w:rFonts w:ascii="Times New Roman" w:hAnsi="Times New Roman" w:cs="Times New Roman"/>
                <w:sz w:val="24"/>
                <w:szCs w:val="24"/>
                <w:lang w:val="en-US"/>
              </w:rPr>
              <w:t>% RSD &lt; 2 for all parameters</w:t>
            </w:r>
          </w:p>
        </w:tc>
        <w:tc>
          <w:tcPr>
            <w:tcW w:w="7014"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 RSD &lt; 2 for all parameters</w:t>
            </w:r>
          </w:p>
        </w:tc>
      </w:tr>
      <w:tr w:rsidR="005A19B5">
        <w:trPr>
          <w:trHeight w:val="418"/>
        </w:trPr>
        <w:tc>
          <w:tcPr>
            <w:tcW w:w="1820" w:type="dxa"/>
          </w:tcPr>
          <w:p w:rsidR="005A19B5" w:rsidRDefault="00D046F1">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LOD</w:t>
            </w:r>
          </w:p>
        </w:tc>
        <w:tc>
          <w:tcPr>
            <w:tcW w:w="1919"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0.034</w:t>
            </w:r>
          </w:p>
        </w:tc>
        <w:tc>
          <w:tcPr>
            <w:tcW w:w="7014"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0.080</w:t>
            </w:r>
          </w:p>
        </w:tc>
      </w:tr>
      <w:tr w:rsidR="005A19B5">
        <w:trPr>
          <w:trHeight w:val="418"/>
        </w:trPr>
        <w:tc>
          <w:tcPr>
            <w:tcW w:w="1820" w:type="dxa"/>
          </w:tcPr>
          <w:p w:rsidR="005A19B5" w:rsidRDefault="00D046F1">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LOQ</w:t>
            </w:r>
          </w:p>
        </w:tc>
        <w:tc>
          <w:tcPr>
            <w:tcW w:w="1919"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0.104</w:t>
            </w:r>
          </w:p>
        </w:tc>
        <w:tc>
          <w:tcPr>
            <w:tcW w:w="7014"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0.243</w:t>
            </w:r>
          </w:p>
        </w:tc>
      </w:tr>
      <w:tr w:rsidR="005A19B5">
        <w:trPr>
          <w:trHeight w:val="428"/>
        </w:trPr>
        <w:tc>
          <w:tcPr>
            <w:tcW w:w="1820" w:type="dxa"/>
          </w:tcPr>
          <w:p w:rsidR="005A19B5" w:rsidRDefault="00D046F1">
            <w:pPr>
              <w:tabs>
                <w:tab w:val="left" w:pos="2940"/>
              </w:tabs>
              <w:spacing w:after="0" w:line="240" w:lineRule="auto"/>
              <w:ind w:left="567" w:hanging="567"/>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Assay</w:t>
            </w:r>
          </w:p>
        </w:tc>
        <w:tc>
          <w:tcPr>
            <w:tcW w:w="1919"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100.33 ± 0.03</w:t>
            </w:r>
          </w:p>
        </w:tc>
        <w:tc>
          <w:tcPr>
            <w:tcW w:w="7014" w:type="dxa"/>
          </w:tcPr>
          <w:p w:rsidR="005A19B5" w:rsidRDefault="00D046F1">
            <w:pPr>
              <w:tabs>
                <w:tab w:val="left" w:pos="2940"/>
              </w:tabs>
              <w:spacing w:after="0" w:line="240" w:lineRule="auto"/>
              <w:ind w:left="567" w:hanging="567"/>
              <w:jc w:val="center"/>
              <w:rPr>
                <w:rFonts w:ascii="Times New Roman" w:hAnsi="Times New Roman" w:cs="Times New Roman"/>
                <w:sz w:val="24"/>
                <w:szCs w:val="24"/>
                <w:lang w:val="en-US"/>
              </w:rPr>
            </w:pPr>
            <w:r>
              <w:rPr>
                <w:rFonts w:ascii="Times New Roman" w:hAnsi="Times New Roman" w:cs="Times New Roman"/>
                <w:sz w:val="24"/>
                <w:szCs w:val="24"/>
                <w:lang w:val="en-US"/>
              </w:rPr>
              <w:t>99.65 ± 0.81</w:t>
            </w:r>
          </w:p>
        </w:tc>
      </w:tr>
    </w:tbl>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ind w:left="567" w:hanging="567"/>
        <w:jc w:val="both"/>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Table 36 Summary of </w:t>
      </w:r>
      <w:r>
        <w:rPr>
          <w:rFonts w:ascii="Times New Roman" w:hAnsi="Times New Roman" w:cs="Times New Roman"/>
          <w:b/>
          <w:bCs/>
          <w:sz w:val="24"/>
          <w:szCs w:val="24"/>
        </w:rPr>
        <w:t>Forced Degradation Studies</w:t>
      </w:r>
    </w:p>
    <w:tbl>
      <w:tblPr>
        <w:tblStyle w:val="TableGrid"/>
        <w:tblW w:w="10753" w:type="dxa"/>
        <w:tblLook w:val="04A0" w:firstRow="1" w:lastRow="0" w:firstColumn="1" w:lastColumn="0" w:noHBand="0" w:noVBand="1"/>
      </w:tblPr>
      <w:tblGrid>
        <w:gridCol w:w="1244"/>
        <w:gridCol w:w="1364"/>
        <w:gridCol w:w="936"/>
        <w:gridCol w:w="936"/>
        <w:gridCol w:w="1496"/>
        <w:gridCol w:w="4777"/>
      </w:tblGrid>
      <w:tr w:rsidR="005A19B5">
        <w:trPr>
          <w:trHeight w:val="960"/>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Stress Condition</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Compound</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Std. Area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Obs. Area</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 Degradation</w:t>
            </w:r>
          </w:p>
        </w:tc>
        <w:tc>
          <w:tcPr>
            <w:tcW w:w="4777" w:type="dxa"/>
          </w:tcPr>
          <w:p w:rsidR="005A19B5" w:rsidRDefault="00D046F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Remarks</w:t>
            </w:r>
          </w:p>
        </w:tc>
      </w:tr>
      <w:tr w:rsidR="005A19B5">
        <w:trPr>
          <w:trHeight w:val="806"/>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Acid</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111682</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105151</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5.848</w:t>
            </w:r>
          </w:p>
        </w:tc>
        <w:tc>
          <w:tcPr>
            <w:tcW w:w="4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 interference</w:t>
            </w:r>
          </w:p>
        </w:tc>
      </w:tr>
      <w:tr w:rsidR="005A19B5">
        <w:trPr>
          <w:trHeight w:val="806"/>
        </w:trPr>
        <w:tc>
          <w:tcPr>
            <w:tcW w:w="1244" w:type="dxa"/>
          </w:tcPr>
          <w:p w:rsidR="005A19B5" w:rsidRDefault="005A19B5">
            <w:pPr>
              <w:spacing w:line="240" w:lineRule="auto"/>
              <w:jc w:val="center"/>
              <w:rPr>
                <w:rFonts w:ascii="Times New Roman" w:hAnsi="Times New Roman" w:cs="Times New Roman"/>
                <w:sz w:val="24"/>
                <w:szCs w:val="24"/>
              </w:rPr>
            </w:pP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134350</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111923</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16.693</w:t>
            </w:r>
          </w:p>
        </w:tc>
        <w:tc>
          <w:tcPr>
            <w:tcW w:w="4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Significant degradation</w:t>
            </w:r>
          </w:p>
        </w:tc>
      </w:tr>
      <w:tr w:rsidR="005A19B5">
        <w:trPr>
          <w:trHeight w:val="562"/>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Base</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111478</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100512</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9.837</w:t>
            </w:r>
          </w:p>
        </w:tc>
        <w:tc>
          <w:tcPr>
            <w:tcW w:w="4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 degradation</w:t>
            </w:r>
          </w:p>
        </w:tc>
      </w:tr>
      <w:tr w:rsidR="005A19B5">
        <w:trPr>
          <w:trHeight w:val="562"/>
        </w:trPr>
        <w:tc>
          <w:tcPr>
            <w:tcW w:w="1244" w:type="dxa"/>
          </w:tcPr>
          <w:p w:rsidR="005A19B5" w:rsidRDefault="005A19B5">
            <w:pPr>
              <w:spacing w:line="240" w:lineRule="auto"/>
              <w:jc w:val="center"/>
              <w:rPr>
                <w:rFonts w:ascii="Times New Roman" w:hAnsi="Times New Roman" w:cs="Times New Roman"/>
                <w:sz w:val="24"/>
                <w:szCs w:val="24"/>
              </w:rPr>
            </w:pP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134478</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126429</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5.985</w:t>
            </w:r>
          </w:p>
        </w:tc>
        <w:tc>
          <w:tcPr>
            <w:tcW w:w="4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Stable</w:t>
            </w:r>
          </w:p>
        </w:tc>
      </w:tr>
      <w:tr w:rsidR="005A19B5">
        <w:trPr>
          <w:trHeight w:val="806"/>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Oxidative</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111528</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101051</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9.394</w:t>
            </w:r>
          </w:p>
        </w:tc>
        <w:tc>
          <w:tcPr>
            <w:tcW w:w="4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 degradation</w:t>
            </w:r>
          </w:p>
        </w:tc>
      </w:tr>
      <w:tr w:rsidR="005A19B5">
        <w:trPr>
          <w:trHeight w:val="562"/>
        </w:trPr>
        <w:tc>
          <w:tcPr>
            <w:tcW w:w="1244" w:type="dxa"/>
          </w:tcPr>
          <w:p w:rsidR="005A19B5" w:rsidRDefault="005A19B5">
            <w:pPr>
              <w:spacing w:line="240" w:lineRule="auto"/>
              <w:jc w:val="center"/>
              <w:rPr>
                <w:rFonts w:ascii="Times New Roman" w:hAnsi="Times New Roman" w:cs="Times New Roman"/>
                <w:sz w:val="24"/>
                <w:szCs w:val="24"/>
              </w:rPr>
            </w:pP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134587</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127655</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5.151</w:t>
            </w:r>
          </w:p>
        </w:tc>
        <w:tc>
          <w:tcPr>
            <w:tcW w:w="4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Stable</w:t>
            </w:r>
          </w:p>
        </w:tc>
      </w:tr>
      <w:tr w:rsidR="005A19B5">
        <w:trPr>
          <w:trHeight w:val="562"/>
        </w:trPr>
        <w:tc>
          <w:tcPr>
            <w:tcW w:w="124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Thermal</w:t>
            </w: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DAPA</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111748</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108828</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2.613</w:t>
            </w:r>
          </w:p>
        </w:tc>
        <w:tc>
          <w:tcPr>
            <w:tcW w:w="4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Stable</w:t>
            </w:r>
          </w:p>
        </w:tc>
      </w:tr>
      <w:tr w:rsidR="005A19B5">
        <w:trPr>
          <w:trHeight w:val="571"/>
        </w:trPr>
        <w:tc>
          <w:tcPr>
            <w:tcW w:w="1244" w:type="dxa"/>
          </w:tcPr>
          <w:p w:rsidR="005A19B5" w:rsidRDefault="005A19B5">
            <w:pPr>
              <w:spacing w:line="240" w:lineRule="auto"/>
              <w:jc w:val="center"/>
              <w:rPr>
                <w:rFonts w:ascii="Times New Roman" w:hAnsi="Times New Roman" w:cs="Times New Roman"/>
                <w:sz w:val="24"/>
                <w:szCs w:val="24"/>
              </w:rPr>
            </w:pPr>
          </w:p>
        </w:tc>
        <w:tc>
          <w:tcPr>
            <w:tcW w:w="1364"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EPLE</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134357</w:t>
            </w:r>
          </w:p>
        </w:tc>
        <w:tc>
          <w:tcPr>
            <w:tcW w:w="93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128053</w:t>
            </w:r>
          </w:p>
        </w:tc>
        <w:tc>
          <w:tcPr>
            <w:tcW w:w="1496" w:type="dxa"/>
          </w:tcPr>
          <w:p w:rsidR="005A19B5" w:rsidRDefault="00D046F1">
            <w:pPr>
              <w:spacing w:line="240" w:lineRule="auto"/>
              <w:jc w:val="center"/>
              <w:rPr>
                <w:rFonts w:ascii="Times New Roman" w:hAnsi="Times New Roman" w:cs="Times New Roman"/>
                <w:sz w:val="24"/>
                <w:szCs w:val="24"/>
              </w:rPr>
            </w:pPr>
            <w:r>
              <w:rPr>
                <w:rFonts w:ascii="Times New Roman" w:hAnsi="Times New Roman" w:cs="Times New Roman"/>
                <w:sz w:val="24"/>
                <w:szCs w:val="24"/>
              </w:rPr>
              <w:t>4.692</w:t>
            </w:r>
          </w:p>
        </w:tc>
        <w:tc>
          <w:tcPr>
            <w:tcW w:w="4777" w:type="dxa"/>
          </w:tcPr>
          <w:p w:rsidR="005A19B5" w:rsidRDefault="00D046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Stable</w:t>
            </w:r>
          </w:p>
        </w:tc>
      </w:tr>
    </w:tbl>
    <w:p w:rsidR="005A19B5" w:rsidRDefault="005A19B5">
      <w:pPr>
        <w:spacing w:line="240" w:lineRule="auto"/>
        <w:ind w:left="567" w:hanging="567"/>
        <w:jc w:val="both"/>
        <w:rPr>
          <w:rFonts w:ascii="Times New Roman" w:hAnsi="Times New Roman" w:cs="Times New Roman"/>
          <w:b/>
          <w:bCs/>
          <w:sz w:val="24"/>
          <w:szCs w:val="24"/>
        </w:rPr>
      </w:pPr>
    </w:p>
    <w:p w:rsidR="005A19B5" w:rsidRDefault="00D046F1">
      <w:p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Conclusion of the method</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present investigation, a </w:t>
      </w:r>
      <w:r>
        <w:rPr>
          <w:rFonts w:ascii="Times New Roman" w:hAnsi="Times New Roman" w:cs="Times New Roman"/>
          <w:sz w:val="24"/>
          <w:szCs w:val="24"/>
        </w:rPr>
        <w:t>reliable and efficient RP-HPLC method was successfully developed for the simultaneous estimation of Dapagliflozin and Eplerenone in synthetic mixture. The method was systematically optimized to achieve satisfactory chromatographic separation with well-defi</w:t>
      </w:r>
      <w:r>
        <w:rPr>
          <w:rFonts w:ascii="Times New Roman" w:hAnsi="Times New Roman" w:cs="Times New Roman"/>
          <w:sz w:val="24"/>
          <w:szCs w:val="24"/>
        </w:rPr>
        <w:t>ned and resolved peaks for both analytes.</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validation studies confirmed that the method complies with ICH guidelines. The linearity results demonstrated a strong correlation between concentration and response over the selected range, indicating the suit</w:t>
      </w:r>
      <w:r>
        <w:rPr>
          <w:rFonts w:ascii="Times New Roman" w:hAnsi="Times New Roman" w:cs="Times New Roman"/>
          <w:sz w:val="24"/>
          <w:szCs w:val="24"/>
        </w:rPr>
        <w:t>ability of the method for quantitative analysis. Precision studies, including repeatability as well as intra-day and inter-day precision, revealed low variability (%RSD &lt; 2%), confirming the consistency and reproducibility of the method.</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Accuracy was </w:t>
      </w:r>
      <w:r>
        <w:rPr>
          <w:rFonts w:ascii="Times New Roman" w:hAnsi="Times New Roman" w:cs="Times New Roman"/>
          <w:sz w:val="24"/>
          <w:szCs w:val="24"/>
        </w:rPr>
        <w:t>established through recovery studies, with results falling within the acceptable limits, indicating that the method is free from interference by excipients. The robustness evaluation further demonstrated that small, deliberate variations in chromatographic</w:t>
      </w:r>
      <w:r>
        <w:rPr>
          <w:rFonts w:ascii="Times New Roman" w:hAnsi="Times New Roman" w:cs="Times New Roman"/>
          <w:sz w:val="24"/>
          <w:szCs w:val="24"/>
        </w:rPr>
        <w:t xml:space="preserve"> conditions did not significantly affect the analytical performance, confirming the method’s reliability.</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The assay results showed that the content of both Dapagliflozin and Eplerenone in the synthetic mixture was within acceptable limits, supporting the a</w:t>
      </w:r>
      <w:r>
        <w:rPr>
          <w:rFonts w:ascii="Times New Roman" w:hAnsi="Times New Roman" w:cs="Times New Roman"/>
          <w:sz w:val="24"/>
          <w:szCs w:val="24"/>
        </w:rPr>
        <w:t>pplicability of the method for routine quantitative estimation. Additionally, forced degradation studies revealed that both analytes undergo degradation under various stress conditions, with distinct degradation behavior. However, the method was capable of</w:t>
      </w:r>
      <w:r>
        <w:rPr>
          <w:rFonts w:ascii="Times New Roman" w:hAnsi="Times New Roman" w:cs="Times New Roman"/>
          <w:sz w:val="24"/>
          <w:szCs w:val="24"/>
        </w:rPr>
        <w:t xml:space="preserve"> effectively separating the degradation products from the main peaks, indicating its stability-indicating nature.</w:t>
      </w:r>
    </w:p>
    <w:p w:rsidR="005A19B5" w:rsidRDefault="00D046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conclusion, the developed RP-HPLC method is simple, precise, accurate, robust, and stability-indicating. It can be confidently applied for </w:t>
      </w:r>
      <w:r>
        <w:rPr>
          <w:rFonts w:ascii="Times New Roman" w:hAnsi="Times New Roman" w:cs="Times New Roman"/>
          <w:sz w:val="24"/>
          <w:szCs w:val="24"/>
        </w:rPr>
        <w:t>routine quality control and stability studies of Dapagliflozin and Eplerenone in pharmaceutical formulations.</w:t>
      </w:r>
    </w:p>
    <w:p w:rsidR="005A19B5" w:rsidRDefault="005A19B5">
      <w:pPr>
        <w:spacing w:line="240" w:lineRule="auto"/>
        <w:ind w:left="567" w:hanging="567"/>
        <w:jc w:val="both"/>
        <w:rPr>
          <w:rFonts w:ascii="Times New Roman" w:hAnsi="Times New Roman" w:cs="Times New Roman"/>
          <w:b/>
          <w:bCs/>
          <w:sz w:val="24"/>
          <w:szCs w:val="24"/>
        </w:rPr>
      </w:pPr>
    </w:p>
    <w:p w:rsidR="005A19B5" w:rsidRDefault="005A19B5">
      <w:pPr>
        <w:spacing w:line="240" w:lineRule="auto"/>
        <w:ind w:left="567" w:hanging="567"/>
        <w:jc w:val="center"/>
        <w:rPr>
          <w:rFonts w:ascii="Times New Roman" w:hAnsi="Times New Roman" w:cs="Times New Roman"/>
          <w:b/>
          <w:bCs/>
          <w:sz w:val="24"/>
          <w:szCs w:val="24"/>
        </w:rPr>
      </w:pPr>
    </w:p>
    <w:p w:rsidR="005A19B5" w:rsidRDefault="005A19B5">
      <w:pPr>
        <w:spacing w:line="240" w:lineRule="auto"/>
        <w:jc w:val="both"/>
        <w:rPr>
          <w:rFonts w:ascii="Times New Roman" w:hAnsi="Times New Roman" w:cs="Times New Roman"/>
          <w:b/>
          <w:bCs/>
          <w:sz w:val="24"/>
          <w:szCs w:val="24"/>
        </w:rPr>
      </w:pPr>
    </w:p>
    <w:p w:rsidR="005A19B5" w:rsidRDefault="005A19B5">
      <w:pPr>
        <w:spacing w:line="240" w:lineRule="auto"/>
        <w:jc w:val="both"/>
        <w:rPr>
          <w:rFonts w:ascii="Times New Roman" w:hAnsi="Times New Roman" w:cs="Times New Roman"/>
          <w:b/>
          <w:bCs/>
          <w:sz w:val="24"/>
          <w:szCs w:val="24"/>
        </w:rPr>
      </w:pPr>
    </w:p>
    <w:p w:rsidR="005A19B5" w:rsidRDefault="005A19B5">
      <w:pPr>
        <w:spacing w:line="240" w:lineRule="auto"/>
        <w:rPr>
          <w:rFonts w:ascii="Times New Roman" w:hAnsi="Times New Roman" w:cs="Times New Roman"/>
          <w:sz w:val="24"/>
          <w:szCs w:val="24"/>
        </w:rPr>
        <w:sectPr w:rsidR="005A19B5">
          <w:headerReference w:type="default" r:id="rId64"/>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pPr>
    </w:p>
    <w:p w:rsidR="005A19B5" w:rsidRDefault="005A19B5">
      <w:pPr>
        <w:pStyle w:val="Heading1"/>
        <w:tabs>
          <w:tab w:val="left" w:pos="3336"/>
        </w:tabs>
        <w:spacing w:before="120" w:line="240" w:lineRule="auto"/>
        <w:ind w:left="1681"/>
        <w:rPr>
          <w:rFonts w:ascii="Times New Roman" w:hAnsi="Times New Roman" w:cs="Times New Roman"/>
          <w:spacing w:val="-7"/>
          <w:sz w:val="24"/>
          <w:szCs w:val="24"/>
        </w:rPr>
      </w:pPr>
    </w:p>
    <w:p w:rsidR="005A19B5" w:rsidRDefault="00D046F1">
      <w:pPr>
        <w:pStyle w:val="Heading1"/>
        <w:tabs>
          <w:tab w:val="left" w:pos="3336"/>
        </w:tabs>
        <w:spacing w:before="120" w:line="240" w:lineRule="auto"/>
        <w:ind w:left="1681"/>
        <w:rPr>
          <w:rFonts w:ascii="Times New Roman" w:hAnsi="Times New Roman" w:cs="Times New Roman"/>
          <w:b/>
          <w:bCs/>
          <w:color w:val="000000" w:themeColor="text1"/>
          <w:sz w:val="28"/>
          <w:szCs w:val="28"/>
        </w:rPr>
      </w:pPr>
      <w:r>
        <w:rPr>
          <w:rFonts w:ascii="Times New Roman" w:hAnsi="Times New Roman" w:cs="Times New Roman"/>
          <w:b/>
          <w:bCs/>
          <w:color w:val="000000" w:themeColor="text1"/>
          <w:spacing w:val="-7"/>
          <w:sz w:val="28"/>
          <w:szCs w:val="28"/>
        </w:rPr>
        <w:t>APPENDIX-</w:t>
      </w:r>
      <w:r>
        <w:rPr>
          <w:rFonts w:ascii="Times New Roman" w:hAnsi="Times New Roman" w:cs="Times New Roman"/>
          <w:b/>
          <w:bCs/>
          <w:color w:val="000000" w:themeColor="text1"/>
          <w:spacing w:val="-10"/>
          <w:sz w:val="28"/>
          <w:szCs w:val="28"/>
        </w:rPr>
        <w:t>I</w:t>
      </w:r>
      <w:r>
        <w:rPr>
          <w:rFonts w:ascii="Times New Roman" w:hAnsi="Times New Roman" w:cs="Times New Roman"/>
          <w:b/>
          <w:bCs/>
          <w:color w:val="000000" w:themeColor="text1"/>
          <w:sz w:val="28"/>
          <w:szCs w:val="28"/>
        </w:rPr>
        <w:tab/>
        <w:t>LIST</w:t>
      </w:r>
      <w:r>
        <w:rPr>
          <w:rFonts w:ascii="Times New Roman" w:hAnsi="Times New Roman" w:cs="Times New Roman"/>
          <w:b/>
          <w:bCs/>
          <w:color w:val="000000" w:themeColor="text1"/>
          <w:spacing w:val="-14"/>
          <w:sz w:val="28"/>
          <w:szCs w:val="28"/>
        </w:rPr>
        <w:t xml:space="preserve"> </w:t>
      </w:r>
      <w:r>
        <w:rPr>
          <w:rFonts w:ascii="Times New Roman" w:hAnsi="Times New Roman" w:cs="Times New Roman"/>
          <w:b/>
          <w:bCs/>
          <w:color w:val="000000" w:themeColor="text1"/>
          <w:sz w:val="28"/>
          <w:szCs w:val="28"/>
        </w:rPr>
        <w:t>OF</w:t>
      </w:r>
      <w:r>
        <w:rPr>
          <w:rFonts w:ascii="Times New Roman" w:hAnsi="Times New Roman" w:cs="Times New Roman"/>
          <w:b/>
          <w:bCs/>
          <w:color w:val="000000" w:themeColor="text1"/>
          <w:spacing w:val="-1"/>
          <w:sz w:val="28"/>
          <w:szCs w:val="28"/>
        </w:rPr>
        <w:t xml:space="preserve"> </w:t>
      </w:r>
      <w:r>
        <w:rPr>
          <w:rFonts w:ascii="Times New Roman" w:hAnsi="Times New Roman" w:cs="Times New Roman"/>
          <w:b/>
          <w:bCs/>
          <w:color w:val="000000" w:themeColor="text1"/>
          <w:spacing w:val="-2"/>
          <w:sz w:val="28"/>
          <w:szCs w:val="28"/>
        </w:rPr>
        <w:t>ABBREVIATIONS</w:t>
      </w:r>
    </w:p>
    <w:p w:rsidR="005A19B5" w:rsidRDefault="005A19B5">
      <w:pPr>
        <w:pStyle w:val="BodyText"/>
        <w:spacing w:before="4"/>
        <w:rPr>
          <w:b/>
          <w:bCs/>
          <w:color w:val="000000" w:themeColor="text1"/>
          <w:sz w:val="28"/>
          <w:szCs w:val="28"/>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69"/>
        <w:gridCol w:w="4264"/>
      </w:tblGrid>
      <w:tr w:rsidR="005A19B5">
        <w:trPr>
          <w:trHeight w:val="320"/>
        </w:trPr>
        <w:tc>
          <w:tcPr>
            <w:tcW w:w="4269" w:type="dxa"/>
          </w:tcPr>
          <w:p w:rsidR="005A19B5" w:rsidRDefault="00D046F1">
            <w:pPr>
              <w:pStyle w:val="TableParagraph"/>
              <w:spacing w:line="240" w:lineRule="auto"/>
              <w:ind w:left="119"/>
              <w:rPr>
                <w:b/>
                <w:sz w:val="24"/>
                <w:szCs w:val="24"/>
              </w:rPr>
            </w:pPr>
            <w:r>
              <w:rPr>
                <w:b/>
                <w:spacing w:val="-2"/>
                <w:sz w:val="24"/>
                <w:szCs w:val="24"/>
              </w:rPr>
              <w:t>Abbreviations</w:t>
            </w:r>
          </w:p>
        </w:tc>
        <w:tc>
          <w:tcPr>
            <w:tcW w:w="4264" w:type="dxa"/>
          </w:tcPr>
          <w:p w:rsidR="005A19B5" w:rsidRDefault="00D046F1">
            <w:pPr>
              <w:pStyle w:val="TableParagraph"/>
              <w:spacing w:line="240" w:lineRule="auto"/>
              <w:ind w:left="115"/>
              <w:rPr>
                <w:b/>
                <w:sz w:val="24"/>
                <w:szCs w:val="24"/>
              </w:rPr>
            </w:pPr>
            <w:r>
              <w:rPr>
                <w:b/>
                <w:spacing w:val="-4"/>
                <w:sz w:val="24"/>
                <w:szCs w:val="24"/>
              </w:rPr>
              <w:t>Expanded</w:t>
            </w:r>
            <w:r>
              <w:rPr>
                <w:b/>
                <w:spacing w:val="-5"/>
                <w:sz w:val="24"/>
                <w:szCs w:val="24"/>
              </w:rPr>
              <w:t xml:space="preserve"> </w:t>
            </w:r>
            <w:r>
              <w:rPr>
                <w:b/>
                <w:spacing w:val="-2"/>
                <w:sz w:val="24"/>
                <w:szCs w:val="24"/>
              </w:rPr>
              <w:t>Forms</w:t>
            </w:r>
          </w:p>
        </w:tc>
      </w:tr>
      <w:tr w:rsidR="005A19B5">
        <w:trPr>
          <w:trHeight w:val="278"/>
        </w:trPr>
        <w:tc>
          <w:tcPr>
            <w:tcW w:w="4269" w:type="dxa"/>
          </w:tcPr>
          <w:p w:rsidR="005A19B5" w:rsidRDefault="00D046F1">
            <w:pPr>
              <w:pStyle w:val="TableParagraph"/>
              <w:spacing w:line="240" w:lineRule="auto"/>
              <w:ind w:left="119"/>
              <w:rPr>
                <w:sz w:val="24"/>
                <w:szCs w:val="24"/>
              </w:rPr>
            </w:pPr>
            <w:r>
              <w:rPr>
                <w:spacing w:val="-4"/>
                <w:sz w:val="24"/>
                <w:szCs w:val="24"/>
              </w:rPr>
              <w:t>T2DM</w:t>
            </w:r>
          </w:p>
        </w:tc>
        <w:tc>
          <w:tcPr>
            <w:tcW w:w="4264" w:type="dxa"/>
          </w:tcPr>
          <w:p w:rsidR="005A19B5" w:rsidRDefault="00D046F1">
            <w:pPr>
              <w:pStyle w:val="TableParagraph"/>
              <w:spacing w:line="240" w:lineRule="auto"/>
              <w:ind w:left="115"/>
              <w:rPr>
                <w:sz w:val="24"/>
                <w:szCs w:val="24"/>
              </w:rPr>
            </w:pPr>
            <w:r>
              <w:rPr>
                <w:sz w:val="24"/>
                <w:szCs w:val="24"/>
              </w:rPr>
              <w:t>Type</w:t>
            </w:r>
            <w:r>
              <w:rPr>
                <w:spacing w:val="-2"/>
                <w:sz w:val="24"/>
                <w:szCs w:val="24"/>
              </w:rPr>
              <w:t xml:space="preserve"> </w:t>
            </w:r>
            <w:r>
              <w:rPr>
                <w:sz w:val="24"/>
                <w:szCs w:val="24"/>
              </w:rPr>
              <w:t>2</w:t>
            </w:r>
            <w:r>
              <w:rPr>
                <w:spacing w:val="-3"/>
                <w:sz w:val="24"/>
                <w:szCs w:val="24"/>
              </w:rPr>
              <w:t xml:space="preserve"> </w:t>
            </w:r>
            <w:r>
              <w:rPr>
                <w:sz w:val="24"/>
                <w:szCs w:val="24"/>
              </w:rPr>
              <w:t xml:space="preserve">Diabetes </w:t>
            </w:r>
            <w:r>
              <w:rPr>
                <w:spacing w:val="-2"/>
                <w:sz w:val="24"/>
                <w:szCs w:val="24"/>
              </w:rPr>
              <w:t>Mellitus</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5"/>
                <w:sz w:val="24"/>
                <w:szCs w:val="24"/>
              </w:rPr>
              <w:t>CKD</w:t>
            </w:r>
          </w:p>
        </w:tc>
        <w:tc>
          <w:tcPr>
            <w:tcW w:w="4264" w:type="dxa"/>
          </w:tcPr>
          <w:p w:rsidR="005A19B5" w:rsidRDefault="00D046F1">
            <w:pPr>
              <w:pStyle w:val="TableParagraph"/>
              <w:spacing w:line="240" w:lineRule="auto"/>
              <w:ind w:left="115"/>
              <w:rPr>
                <w:sz w:val="24"/>
                <w:szCs w:val="24"/>
              </w:rPr>
            </w:pPr>
            <w:r>
              <w:rPr>
                <w:sz w:val="24"/>
                <w:szCs w:val="24"/>
              </w:rPr>
              <w:t>Chronic</w:t>
            </w:r>
            <w:r>
              <w:rPr>
                <w:spacing w:val="-6"/>
                <w:sz w:val="24"/>
                <w:szCs w:val="24"/>
              </w:rPr>
              <w:t xml:space="preserve"> </w:t>
            </w:r>
            <w:r>
              <w:rPr>
                <w:sz w:val="24"/>
                <w:szCs w:val="24"/>
              </w:rPr>
              <w:t>Kidney</w:t>
            </w:r>
            <w:r>
              <w:rPr>
                <w:spacing w:val="-16"/>
                <w:sz w:val="24"/>
                <w:szCs w:val="24"/>
              </w:rPr>
              <w:t xml:space="preserve"> </w:t>
            </w:r>
            <w:r>
              <w:rPr>
                <w:spacing w:val="-2"/>
                <w:sz w:val="24"/>
                <w:szCs w:val="24"/>
              </w:rPr>
              <w:t>Disease</w:t>
            </w:r>
          </w:p>
        </w:tc>
      </w:tr>
      <w:tr w:rsidR="005A19B5">
        <w:trPr>
          <w:trHeight w:val="277"/>
        </w:trPr>
        <w:tc>
          <w:tcPr>
            <w:tcW w:w="4269" w:type="dxa"/>
          </w:tcPr>
          <w:p w:rsidR="005A19B5" w:rsidRDefault="00D046F1">
            <w:pPr>
              <w:pStyle w:val="TableParagraph"/>
              <w:spacing w:line="240" w:lineRule="auto"/>
              <w:ind w:left="119"/>
              <w:rPr>
                <w:sz w:val="24"/>
                <w:szCs w:val="24"/>
              </w:rPr>
            </w:pPr>
            <w:r>
              <w:rPr>
                <w:spacing w:val="-2"/>
                <w:sz w:val="24"/>
                <w:szCs w:val="24"/>
              </w:rPr>
              <w:t>SGLT2</w:t>
            </w:r>
          </w:p>
        </w:tc>
        <w:tc>
          <w:tcPr>
            <w:tcW w:w="4264" w:type="dxa"/>
          </w:tcPr>
          <w:p w:rsidR="005A19B5" w:rsidRDefault="00D046F1">
            <w:pPr>
              <w:pStyle w:val="TableParagraph"/>
              <w:spacing w:line="240" w:lineRule="auto"/>
              <w:ind w:left="115"/>
              <w:rPr>
                <w:sz w:val="24"/>
                <w:szCs w:val="24"/>
              </w:rPr>
            </w:pPr>
            <w:r>
              <w:rPr>
                <w:sz w:val="24"/>
                <w:szCs w:val="24"/>
              </w:rPr>
              <w:t>Sodium–Glucose</w:t>
            </w:r>
            <w:r>
              <w:rPr>
                <w:spacing w:val="-10"/>
                <w:sz w:val="24"/>
                <w:szCs w:val="24"/>
              </w:rPr>
              <w:t xml:space="preserve"> </w:t>
            </w:r>
            <w:r>
              <w:rPr>
                <w:sz w:val="24"/>
                <w:szCs w:val="24"/>
              </w:rPr>
              <w:t>Cotransporter</w:t>
            </w:r>
            <w:r>
              <w:rPr>
                <w:spacing w:val="-7"/>
                <w:sz w:val="24"/>
                <w:szCs w:val="24"/>
              </w:rPr>
              <w:t xml:space="preserve"> </w:t>
            </w:r>
            <w:r>
              <w:rPr>
                <w:spacing w:val="-10"/>
                <w:sz w:val="24"/>
                <w:szCs w:val="24"/>
              </w:rPr>
              <w:t>2</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5"/>
                <w:sz w:val="24"/>
                <w:szCs w:val="24"/>
              </w:rPr>
              <w:t>MR</w:t>
            </w:r>
          </w:p>
        </w:tc>
        <w:tc>
          <w:tcPr>
            <w:tcW w:w="4264" w:type="dxa"/>
          </w:tcPr>
          <w:p w:rsidR="005A19B5" w:rsidRDefault="00D046F1">
            <w:pPr>
              <w:pStyle w:val="TableParagraph"/>
              <w:spacing w:line="240" w:lineRule="auto"/>
              <w:ind w:left="115"/>
              <w:rPr>
                <w:sz w:val="24"/>
                <w:szCs w:val="24"/>
              </w:rPr>
            </w:pPr>
            <w:r>
              <w:rPr>
                <w:spacing w:val="-2"/>
                <w:sz w:val="24"/>
                <w:szCs w:val="24"/>
              </w:rPr>
              <w:t>Mineralocorticoid</w:t>
            </w:r>
            <w:r>
              <w:rPr>
                <w:spacing w:val="12"/>
                <w:sz w:val="24"/>
                <w:szCs w:val="24"/>
              </w:rPr>
              <w:t xml:space="preserve"> </w:t>
            </w:r>
            <w:r>
              <w:rPr>
                <w:spacing w:val="-2"/>
                <w:sz w:val="24"/>
                <w:szCs w:val="24"/>
              </w:rPr>
              <w:t>Receptor</w:t>
            </w:r>
          </w:p>
        </w:tc>
      </w:tr>
      <w:tr w:rsidR="005A19B5">
        <w:trPr>
          <w:trHeight w:val="551"/>
        </w:trPr>
        <w:tc>
          <w:tcPr>
            <w:tcW w:w="4269" w:type="dxa"/>
          </w:tcPr>
          <w:p w:rsidR="005A19B5" w:rsidRDefault="00D046F1">
            <w:pPr>
              <w:pStyle w:val="TableParagraph"/>
              <w:spacing w:line="240" w:lineRule="auto"/>
              <w:ind w:left="119"/>
              <w:rPr>
                <w:sz w:val="24"/>
                <w:szCs w:val="24"/>
              </w:rPr>
            </w:pPr>
            <w:r>
              <w:rPr>
                <w:spacing w:val="-2"/>
                <w:sz w:val="24"/>
                <w:szCs w:val="24"/>
              </w:rPr>
              <w:t>HFrEF</w:t>
            </w:r>
          </w:p>
        </w:tc>
        <w:tc>
          <w:tcPr>
            <w:tcW w:w="4264" w:type="dxa"/>
          </w:tcPr>
          <w:p w:rsidR="005A19B5" w:rsidRDefault="00D046F1">
            <w:pPr>
              <w:pStyle w:val="TableParagraph"/>
              <w:spacing w:line="240" w:lineRule="auto"/>
              <w:ind w:left="115" w:firstLine="62"/>
              <w:rPr>
                <w:sz w:val="24"/>
                <w:szCs w:val="24"/>
              </w:rPr>
            </w:pPr>
            <w:r>
              <w:rPr>
                <w:sz w:val="24"/>
                <w:szCs w:val="24"/>
              </w:rPr>
              <w:t>Heart</w:t>
            </w:r>
            <w:r>
              <w:rPr>
                <w:spacing w:val="40"/>
                <w:sz w:val="24"/>
                <w:szCs w:val="24"/>
              </w:rPr>
              <w:t xml:space="preserve"> </w:t>
            </w:r>
            <w:r>
              <w:rPr>
                <w:sz w:val="24"/>
                <w:szCs w:val="24"/>
              </w:rPr>
              <w:t>Failure</w:t>
            </w:r>
            <w:r>
              <w:rPr>
                <w:spacing w:val="40"/>
                <w:sz w:val="24"/>
                <w:szCs w:val="24"/>
              </w:rPr>
              <w:t xml:space="preserve"> </w:t>
            </w:r>
            <w:r>
              <w:rPr>
                <w:sz w:val="24"/>
                <w:szCs w:val="24"/>
              </w:rPr>
              <w:t>with</w:t>
            </w:r>
            <w:r>
              <w:rPr>
                <w:spacing w:val="34"/>
                <w:sz w:val="24"/>
                <w:szCs w:val="24"/>
              </w:rPr>
              <w:t xml:space="preserve"> </w:t>
            </w:r>
            <w:r>
              <w:rPr>
                <w:sz w:val="24"/>
                <w:szCs w:val="24"/>
              </w:rPr>
              <w:t>Reduced</w:t>
            </w:r>
            <w:r>
              <w:rPr>
                <w:spacing w:val="40"/>
                <w:sz w:val="24"/>
                <w:szCs w:val="24"/>
              </w:rPr>
              <w:t xml:space="preserve"> </w:t>
            </w:r>
            <w:r>
              <w:rPr>
                <w:sz w:val="24"/>
                <w:szCs w:val="24"/>
              </w:rPr>
              <w:t>E</w:t>
            </w:r>
            <w:r>
              <w:rPr>
                <w:spacing w:val="-15"/>
                <w:sz w:val="24"/>
                <w:szCs w:val="24"/>
              </w:rPr>
              <w:t xml:space="preserve"> </w:t>
            </w:r>
            <w:r>
              <w:rPr>
                <w:sz w:val="24"/>
                <w:szCs w:val="24"/>
              </w:rPr>
              <w:t xml:space="preserve">jection </w:t>
            </w:r>
            <w:r>
              <w:rPr>
                <w:spacing w:val="-2"/>
                <w:sz w:val="24"/>
                <w:szCs w:val="24"/>
              </w:rPr>
              <w:t>Fraction</w:t>
            </w:r>
          </w:p>
        </w:tc>
      </w:tr>
      <w:tr w:rsidR="005A19B5">
        <w:trPr>
          <w:trHeight w:val="546"/>
        </w:trPr>
        <w:tc>
          <w:tcPr>
            <w:tcW w:w="4269" w:type="dxa"/>
          </w:tcPr>
          <w:p w:rsidR="005A19B5" w:rsidRDefault="00D046F1">
            <w:pPr>
              <w:pStyle w:val="TableParagraph"/>
              <w:spacing w:line="240" w:lineRule="auto"/>
              <w:ind w:left="119"/>
              <w:rPr>
                <w:sz w:val="24"/>
                <w:szCs w:val="24"/>
              </w:rPr>
            </w:pPr>
            <w:r>
              <w:rPr>
                <w:spacing w:val="-5"/>
                <w:sz w:val="24"/>
                <w:szCs w:val="24"/>
              </w:rPr>
              <w:t>ACE</w:t>
            </w:r>
          </w:p>
        </w:tc>
        <w:tc>
          <w:tcPr>
            <w:tcW w:w="4264" w:type="dxa"/>
          </w:tcPr>
          <w:p w:rsidR="005A19B5" w:rsidRDefault="00D046F1">
            <w:pPr>
              <w:pStyle w:val="TableParagraph"/>
              <w:tabs>
                <w:tab w:val="left" w:pos="3369"/>
              </w:tabs>
              <w:spacing w:line="240" w:lineRule="auto"/>
              <w:ind w:left="115" w:right="106"/>
              <w:rPr>
                <w:sz w:val="24"/>
                <w:szCs w:val="24"/>
              </w:rPr>
            </w:pPr>
            <w:r>
              <w:rPr>
                <w:spacing w:val="-2"/>
                <w:sz w:val="24"/>
                <w:szCs w:val="24"/>
              </w:rPr>
              <w:t>Angiotensin-Converting</w:t>
            </w:r>
            <w:r>
              <w:rPr>
                <w:spacing w:val="-2"/>
                <w:sz w:val="24"/>
                <w:szCs w:val="24"/>
                <w:lang w:val="en-IN"/>
              </w:rPr>
              <w:t xml:space="preserve"> </w:t>
            </w:r>
            <w:r>
              <w:rPr>
                <w:spacing w:val="-4"/>
                <w:sz w:val="24"/>
                <w:szCs w:val="24"/>
              </w:rPr>
              <w:t xml:space="preserve">Enzyme </w:t>
            </w:r>
            <w:r>
              <w:rPr>
                <w:spacing w:val="-2"/>
                <w:sz w:val="24"/>
                <w:szCs w:val="24"/>
              </w:rPr>
              <w:t>inhibitors</w:t>
            </w:r>
          </w:p>
        </w:tc>
      </w:tr>
      <w:tr w:rsidR="005A19B5">
        <w:trPr>
          <w:trHeight w:val="278"/>
        </w:trPr>
        <w:tc>
          <w:tcPr>
            <w:tcW w:w="4269" w:type="dxa"/>
          </w:tcPr>
          <w:p w:rsidR="005A19B5" w:rsidRDefault="00D046F1">
            <w:pPr>
              <w:pStyle w:val="TableParagraph"/>
              <w:spacing w:line="240" w:lineRule="auto"/>
              <w:ind w:left="119"/>
              <w:rPr>
                <w:sz w:val="24"/>
                <w:szCs w:val="24"/>
              </w:rPr>
            </w:pPr>
            <w:r>
              <w:rPr>
                <w:spacing w:val="-4"/>
                <w:sz w:val="24"/>
                <w:szCs w:val="24"/>
              </w:rPr>
              <w:t>ARBs</w:t>
            </w:r>
          </w:p>
        </w:tc>
        <w:tc>
          <w:tcPr>
            <w:tcW w:w="4264" w:type="dxa"/>
          </w:tcPr>
          <w:p w:rsidR="005A19B5" w:rsidRDefault="00D046F1">
            <w:pPr>
              <w:pStyle w:val="TableParagraph"/>
              <w:spacing w:line="240" w:lineRule="auto"/>
              <w:ind w:left="115"/>
              <w:rPr>
                <w:sz w:val="24"/>
                <w:szCs w:val="24"/>
              </w:rPr>
            </w:pPr>
            <w:r>
              <w:rPr>
                <w:sz w:val="24"/>
                <w:szCs w:val="24"/>
              </w:rPr>
              <w:t>Angiotensin</w:t>
            </w:r>
            <w:r>
              <w:rPr>
                <w:spacing w:val="-10"/>
                <w:sz w:val="24"/>
                <w:szCs w:val="24"/>
              </w:rPr>
              <w:t xml:space="preserve"> </w:t>
            </w:r>
            <w:r>
              <w:rPr>
                <w:sz w:val="24"/>
                <w:szCs w:val="24"/>
              </w:rPr>
              <w:t>II</w:t>
            </w:r>
            <w:r>
              <w:rPr>
                <w:spacing w:val="3"/>
                <w:sz w:val="24"/>
                <w:szCs w:val="24"/>
              </w:rPr>
              <w:t xml:space="preserve"> </w:t>
            </w:r>
            <w:r>
              <w:rPr>
                <w:sz w:val="24"/>
                <w:szCs w:val="24"/>
              </w:rPr>
              <w:t>Receptor</w:t>
            </w:r>
            <w:r>
              <w:rPr>
                <w:spacing w:val="2"/>
                <w:sz w:val="24"/>
                <w:szCs w:val="24"/>
              </w:rPr>
              <w:t xml:space="preserve"> </w:t>
            </w:r>
            <w:r>
              <w:rPr>
                <w:spacing w:val="-2"/>
                <w:sz w:val="24"/>
                <w:szCs w:val="24"/>
              </w:rPr>
              <w:t>Blockers</w:t>
            </w:r>
          </w:p>
        </w:tc>
      </w:tr>
      <w:tr w:rsidR="005A19B5">
        <w:trPr>
          <w:trHeight w:val="276"/>
        </w:trPr>
        <w:tc>
          <w:tcPr>
            <w:tcW w:w="4269" w:type="dxa"/>
          </w:tcPr>
          <w:p w:rsidR="005A19B5" w:rsidRDefault="00D046F1">
            <w:pPr>
              <w:pStyle w:val="TableParagraph"/>
              <w:spacing w:line="240" w:lineRule="auto"/>
              <w:ind w:left="119"/>
              <w:rPr>
                <w:sz w:val="24"/>
                <w:szCs w:val="24"/>
              </w:rPr>
            </w:pPr>
            <w:r>
              <w:rPr>
                <w:spacing w:val="-4"/>
                <w:sz w:val="24"/>
                <w:szCs w:val="24"/>
              </w:rPr>
              <w:t>eGFR</w:t>
            </w:r>
          </w:p>
        </w:tc>
        <w:tc>
          <w:tcPr>
            <w:tcW w:w="4264" w:type="dxa"/>
          </w:tcPr>
          <w:p w:rsidR="005A19B5" w:rsidRDefault="00D046F1">
            <w:pPr>
              <w:pStyle w:val="TableParagraph"/>
              <w:spacing w:line="240" w:lineRule="auto"/>
              <w:ind w:left="115"/>
              <w:rPr>
                <w:sz w:val="24"/>
                <w:szCs w:val="24"/>
              </w:rPr>
            </w:pPr>
            <w:r>
              <w:rPr>
                <w:sz w:val="24"/>
                <w:szCs w:val="24"/>
              </w:rPr>
              <w:t>Glomerular</w:t>
            </w:r>
            <w:r>
              <w:rPr>
                <w:spacing w:val="-10"/>
                <w:sz w:val="24"/>
                <w:szCs w:val="24"/>
              </w:rPr>
              <w:t xml:space="preserve"> </w:t>
            </w:r>
            <w:r>
              <w:rPr>
                <w:sz w:val="24"/>
                <w:szCs w:val="24"/>
              </w:rPr>
              <w:t>Filtration</w:t>
            </w:r>
            <w:r>
              <w:rPr>
                <w:spacing w:val="-13"/>
                <w:sz w:val="24"/>
                <w:szCs w:val="24"/>
              </w:rPr>
              <w:t xml:space="preserve"> </w:t>
            </w:r>
            <w:r>
              <w:rPr>
                <w:spacing w:val="-4"/>
                <w:sz w:val="24"/>
                <w:szCs w:val="24"/>
              </w:rPr>
              <w:t>Rate</w:t>
            </w:r>
          </w:p>
        </w:tc>
      </w:tr>
      <w:tr w:rsidR="005A19B5">
        <w:trPr>
          <w:trHeight w:val="550"/>
        </w:trPr>
        <w:tc>
          <w:tcPr>
            <w:tcW w:w="4269" w:type="dxa"/>
          </w:tcPr>
          <w:p w:rsidR="005A19B5" w:rsidRDefault="00D046F1">
            <w:pPr>
              <w:pStyle w:val="TableParagraph"/>
              <w:spacing w:line="240" w:lineRule="auto"/>
              <w:ind w:left="119"/>
              <w:rPr>
                <w:sz w:val="24"/>
                <w:szCs w:val="24"/>
              </w:rPr>
            </w:pPr>
            <w:r>
              <w:rPr>
                <w:spacing w:val="-5"/>
                <w:sz w:val="24"/>
                <w:szCs w:val="24"/>
              </w:rPr>
              <w:t>UGT</w:t>
            </w:r>
          </w:p>
        </w:tc>
        <w:tc>
          <w:tcPr>
            <w:tcW w:w="4264" w:type="dxa"/>
          </w:tcPr>
          <w:p w:rsidR="005A19B5" w:rsidRDefault="00D046F1">
            <w:pPr>
              <w:pStyle w:val="TableParagraph"/>
              <w:tabs>
                <w:tab w:val="left" w:pos="2865"/>
              </w:tabs>
              <w:spacing w:line="240" w:lineRule="auto"/>
              <w:ind w:left="115"/>
              <w:rPr>
                <w:sz w:val="24"/>
                <w:szCs w:val="24"/>
              </w:rPr>
            </w:pPr>
            <w:r>
              <w:rPr>
                <w:spacing w:val="-2"/>
                <w:sz w:val="24"/>
                <w:szCs w:val="24"/>
              </w:rPr>
              <w:t>Uridine</w:t>
            </w:r>
            <w:r>
              <w:rPr>
                <w:spacing w:val="-2"/>
                <w:sz w:val="24"/>
                <w:szCs w:val="24"/>
                <w:lang w:val="en-IN"/>
              </w:rPr>
              <w:t xml:space="preserve"> </w:t>
            </w:r>
            <w:r>
              <w:rPr>
                <w:spacing w:val="-2"/>
                <w:sz w:val="24"/>
                <w:szCs w:val="24"/>
              </w:rPr>
              <w:t>Diphosphate-</w:t>
            </w:r>
          </w:p>
          <w:p w:rsidR="005A19B5" w:rsidRDefault="00D046F1">
            <w:pPr>
              <w:pStyle w:val="TableParagraph"/>
              <w:spacing w:line="240" w:lineRule="auto"/>
              <w:ind w:left="115"/>
              <w:rPr>
                <w:sz w:val="24"/>
                <w:szCs w:val="24"/>
              </w:rPr>
            </w:pPr>
            <w:r>
              <w:rPr>
                <w:spacing w:val="-2"/>
                <w:sz w:val="24"/>
                <w:szCs w:val="24"/>
              </w:rPr>
              <w:t>Glucuronosyltransferase</w:t>
            </w:r>
          </w:p>
        </w:tc>
      </w:tr>
      <w:tr w:rsidR="005A19B5">
        <w:trPr>
          <w:trHeight w:val="273"/>
        </w:trPr>
        <w:tc>
          <w:tcPr>
            <w:tcW w:w="4269" w:type="dxa"/>
          </w:tcPr>
          <w:p w:rsidR="005A19B5" w:rsidRDefault="00D046F1">
            <w:pPr>
              <w:pStyle w:val="TableParagraph"/>
              <w:spacing w:line="240" w:lineRule="auto"/>
              <w:ind w:left="119"/>
              <w:rPr>
                <w:sz w:val="24"/>
                <w:szCs w:val="24"/>
              </w:rPr>
            </w:pPr>
            <w:r>
              <w:rPr>
                <w:spacing w:val="-4"/>
                <w:sz w:val="24"/>
                <w:szCs w:val="24"/>
              </w:rPr>
              <w:t>MRAs</w:t>
            </w:r>
          </w:p>
        </w:tc>
        <w:tc>
          <w:tcPr>
            <w:tcW w:w="4264" w:type="dxa"/>
          </w:tcPr>
          <w:p w:rsidR="005A19B5" w:rsidRDefault="00D046F1">
            <w:pPr>
              <w:pStyle w:val="TableParagraph"/>
              <w:spacing w:line="240" w:lineRule="auto"/>
              <w:ind w:left="115"/>
              <w:rPr>
                <w:sz w:val="24"/>
                <w:szCs w:val="24"/>
              </w:rPr>
            </w:pPr>
            <w:r>
              <w:rPr>
                <w:sz w:val="24"/>
                <w:szCs w:val="24"/>
              </w:rPr>
              <w:t>Mineralocorticoid</w:t>
            </w:r>
            <w:r>
              <w:rPr>
                <w:spacing w:val="-3"/>
                <w:sz w:val="24"/>
                <w:szCs w:val="24"/>
              </w:rPr>
              <w:t xml:space="preserve"> </w:t>
            </w:r>
            <w:r>
              <w:rPr>
                <w:sz w:val="24"/>
                <w:szCs w:val="24"/>
              </w:rPr>
              <w:t>Receptor</w:t>
            </w:r>
            <w:r>
              <w:rPr>
                <w:spacing w:val="-10"/>
                <w:sz w:val="24"/>
                <w:szCs w:val="24"/>
              </w:rPr>
              <w:t xml:space="preserve"> </w:t>
            </w:r>
            <w:r>
              <w:rPr>
                <w:spacing w:val="-2"/>
                <w:sz w:val="24"/>
                <w:szCs w:val="24"/>
              </w:rPr>
              <w:t>Antagonists</w:t>
            </w:r>
          </w:p>
        </w:tc>
      </w:tr>
      <w:tr w:rsidR="005A19B5">
        <w:trPr>
          <w:trHeight w:val="276"/>
        </w:trPr>
        <w:tc>
          <w:tcPr>
            <w:tcW w:w="4269" w:type="dxa"/>
          </w:tcPr>
          <w:p w:rsidR="005A19B5" w:rsidRDefault="00D046F1">
            <w:pPr>
              <w:pStyle w:val="TableParagraph"/>
              <w:spacing w:line="240" w:lineRule="auto"/>
              <w:ind w:left="119"/>
              <w:rPr>
                <w:sz w:val="24"/>
                <w:szCs w:val="24"/>
              </w:rPr>
            </w:pPr>
            <w:r>
              <w:rPr>
                <w:spacing w:val="-5"/>
                <w:sz w:val="24"/>
                <w:szCs w:val="24"/>
              </w:rPr>
              <w:t>BP</w:t>
            </w:r>
          </w:p>
        </w:tc>
        <w:tc>
          <w:tcPr>
            <w:tcW w:w="4264" w:type="dxa"/>
          </w:tcPr>
          <w:p w:rsidR="005A19B5" w:rsidRDefault="00D046F1">
            <w:pPr>
              <w:pStyle w:val="TableParagraph"/>
              <w:spacing w:line="240" w:lineRule="auto"/>
              <w:ind w:left="115"/>
              <w:rPr>
                <w:sz w:val="24"/>
                <w:szCs w:val="24"/>
              </w:rPr>
            </w:pPr>
            <w:r>
              <w:rPr>
                <w:sz w:val="24"/>
                <w:szCs w:val="24"/>
              </w:rPr>
              <w:t>Blood</w:t>
            </w:r>
            <w:r>
              <w:rPr>
                <w:spacing w:val="1"/>
                <w:sz w:val="24"/>
                <w:szCs w:val="24"/>
              </w:rPr>
              <w:t xml:space="preserve"> </w:t>
            </w:r>
            <w:r>
              <w:rPr>
                <w:spacing w:val="-2"/>
                <w:sz w:val="24"/>
                <w:szCs w:val="24"/>
              </w:rPr>
              <w:t>Pressure</w:t>
            </w:r>
          </w:p>
        </w:tc>
      </w:tr>
      <w:tr w:rsidR="005A19B5">
        <w:trPr>
          <w:trHeight w:val="551"/>
        </w:trPr>
        <w:tc>
          <w:tcPr>
            <w:tcW w:w="4269" w:type="dxa"/>
          </w:tcPr>
          <w:p w:rsidR="005A19B5" w:rsidRDefault="00D046F1">
            <w:pPr>
              <w:pStyle w:val="TableParagraph"/>
              <w:spacing w:line="240" w:lineRule="auto"/>
              <w:ind w:left="119"/>
              <w:rPr>
                <w:sz w:val="24"/>
                <w:szCs w:val="24"/>
              </w:rPr>
            </w:pPr>
            <w:r>
              <w:rPr>
                <w:spacing w:val="-2"/>
                <w:sz w:val="24"/>
                <w:szCs w:val="24"/>
              </w:rPr>
              <w:t>CDSCO</w:t>
            </w:r>
          </w:p>
        </w:tc>
        <w:tc>
          <w:tcPr>
            <w:tcW w:w="4264" w:type="dxa"/>
          </w:tcPr>
          <w:p w:rsidR="005A19B5" w:rsidRDefault="00D046F1">
            <w:pPr>
              <w:pStyle w:val="TableParagraph"/>
              <w:tabs>
                <w:tab w:val="left" w:pos="1204"/>
                <w:tab w:val="left" w:pos="2179"/>
                <w:tab w:val="left" w:pos="3422"/>
              </w:tabs>
              <w:spacing w:line="240" w:lineRule="auto"/>
              <w:ind w:left="115" w:right="108"/>
              <w:rPr>
                <w:sz w:val="24"/>
                <w:szCs w:val="24"/>
              </w:rPr>
            </w:pPr>
            <w:r>
              <w:rPr>
                <w:spacing w:val="-2"/>
                <w:sz w:val="24"/>
                <w:szCs w:val="24"/>
              </w:rPr>
              <w:t>Central</w:t>
            </w:r>
            <w:r>
              <w:rPr>
                <w:spacing w:val="-2"/>
                <w:sz w:val="24"/>
                <w:szCs w:val="24"/>
                <w:lang w:val="en-IN"/>
              </w:rPr>
              <w:t xml:space="preserve"> </w:t>
            </w:r>
            <w:r>
              <w:rPr>
                <w:spacing w:val="-4"/>
                <w:sz w:val="24"/>
                <w:szCs w:val="24"/>
              </w:rPr>
              <w:t>Drugs</w:t>
            </w:r>
            <w:r>
              <w:rPr>
                <w:spacing w:val="-4"/>
                <w:sz w:val="24"/>
                <w:szCs w:val="24"/>
                <w:lang w:val="en-IN"/>
              </w:rPr>
              <w:t xml:space="preserve"> </w:t>
            </w:r>
            <w:r>
              <w:rPr>
                <w:spacing w:val="-2"/>
                <w:sz w:val="24"/>
                <w:szCs w:val="24"/>
              </w:rPr>
              <w:t>Standard</w:t>
            </w:r>
            <w:r>
              <w:rPr>
                <w:spacing w:val="-2"/>
                <w:sz w:val="24"/>
                <w:szCs w:val="24"/>
                <w:lang w:val="en-IN"/>
              </w:rPr>
              <w:t xml:space="preserve"> </w:t>
            </w:r>
            <w:r>
              <w:rPr>
                <w:spacing w:val="-4"/>
                <w:sz w:val="24"/>
                <w:szCs w:val="24"/>
              </w:rPr>
              <w:t xml:space="preserve">Control </w:t>
            </w:r>
            <w:r>
              <w:rPr>
                <w:spacing w:val="-2"/>
                <w:sz w:val="24"/>
                <w:szCs w:val="24"/>
              </w:rPr>
              <w:t>Organization</w:t>
            </w:r>
          </w:p>
        </w:tc>
      </w:tr>
      <w:tr w:rsidR="005A19B5">
        <w:trPr>
          <w:trHeight w:val="551"/>
        </w:trPr>
        <w:tc>
          <w:tcPr>
            <w:tcW w:w="4269" w:type="dxa"/>
          </w:tcPr>
          <w:p w:rsidR="005A19B5" w:rsidRDefault="00D046F1">
            <w:pPr>
              <w:pStyle w:val="TableParagraph"/>
              <w:spacing w:line="240" w:lineRule="auto"/>
              <w:ind w:left="119"/>
              <w:rPr>
                <w:sz w:val="24"/>
                <w:szCs w:val="24"/>
              </w:rPr>
            </w:pPr>
            <w:r>
              <w:rPr>
                <w:spacing w:val="-4"/>
                <w:sz w:val="24"/>
                <w:szCs w:val="24"/>
              </w:rPr>
              <w:t>HPLC</w:t>
            </w:r>
          </w:p>
        </w:tc>
        <w:tc>
          <w:tcPr>
            <w:tcW w:w="4264" w:type="dxa"/>
          </w:tcPr>
          <w:p w:rsidR="005A19B5" w:rsidRDefault="00D046F1">
            <w:pPr>
              <w:pStyle w:val="TableParagraph"/>
              <w:tabs>
                <w:tab w:val="left" w:pos="3518"/>
              </w:tabs>
              <w:spacing w:line="240" w:lineRule="auto"/>
              <w:ind w:left="115" w:right="113"/>
              <w:rPr>
                <w:sz w:val="24"/>
                <w:szCs w:val="24"/>
              </w:rPr>
            </w:pPr>
            <w:r>
              <w:rPr>
                <w:spacing w:val="-2"/>
                <w:sz w:val="24"/>
                <w:szCs w:val="24"/>
              </w:rPr>
              <w:t>High-Performance</w:t>
            </w:r>
            <w:r>
              <w:rPr>
                <w:spacing w:val="-2"/>
                <w:sz w:val="24"/>
                <w:szCs w:val="24"/>
                <w:lang w:val="en-IN"/>
              </w:rPr>
              <w:t xml:space="preserve"> </w:t>
            </w:r>
            <w:r>
              <w:rPr>
                <w:spacing w:val="-6"/>
                <w:sz w:val="24"/>
                <w:szCs w:val="24"/>
              </w:rPr>
              <w:t xml:space="preserve">Liquid </w:t>
            </w:r>
            <w:r>
              <w:rPr>
                <w:spacing w:val="-2"/>
                <w:sz w:val="24"/>
                <w:szCs w:val="24"/>
              </w:rPr>
              <w:t>Chromatography</w:t>
            </w:r>
          </w:p>
        </w:tc>
      </w:tr>
      <w:tr w:rsidR="005A19B5">
        <w:trPr>
          <w:trHeight w:val="277"/>
        </w:trPr>
        <w:tc>
          <w:tcPr>
            <w:tcW w:w="4269" w:type="dxa"/>
          </w:tcPr>
          <w:p w:rsidR="005A19B5" w:rsidRDefault="00D046F1">
            <w:pPr>
              <w:pStyle w:val="TableParagraph"/>
              <w:spacing w:line="240" w:lineRule="auto"/>
              <w:ind w:left="119"/>
              <w:rPr>
                <w:sz w:val="24"/>
                <w:szCs w:val="24"/>
              </w:rPr>
            </w:pPr>
            <w:r>
              <w:rPr>
                <w:spacing w:val="-5"/>
                <w:sz w:val="24"/>
                <w:szCs w:val="24"/>
              </w:rPr>
              <w:t>GC</w:t>
            </w:r>
          </w:p>
        </w:tc>
        <w:tc>
          <w:tcPr>
            <w:tcW w:w="4264" w:type="dxa"/>
          </w:tcPr>
          <w:p w:rsidR="005A19B5" w:rsidRDefault="00D046F1">
            <w:pPr>
              <w:pStyle w:val="TableParagraph"/>
              <w:spacing w:line="240" w:lineRule="auto"/>
              <w:ind w:left="115"/>
              <w:rPr>
                <w:sz w:val="24"/>
                <w:szCs w:val="24"/>
              </w:rPr>
            </w:pPr>
            <w:r>
              <w:rPr>
                <w:sz w:val="24"/>
                <w:szCs w:val="24"/>
              </w:rPr>
              <w:t>Gas</w:t>
            </w:r>
            <w:r>
              <w:rPr>
                <w:spacing w:val="-4"/>
                <w:sz w:val="24"/>
                <w:szCs w:val="24"/>
              </w:rPr>
              <w:t xml:space="preserve"> </w:t>
            </w:r>
            <w:r>
              <w:rPr>
                <w:spacing w:val="-2"/>
                <w:sz w:val="24"/>
                <w:szCs w:val="24"/>
              </w:rPr>
              <w:t>Chromatography</w:t>
            </w:r>
          </w:p>
        </w:tc>
      </w:tr>
      <w:tr w:rsidR="005A19B5">
        <w:trPr>
          <w:trHeight w:val="273"/>
        </w:trPr>
        <w:tc>
          <w:tcPr>
            <w:tcW w:w="4269" w:type="dxa"/>
          </w:tcPr>
          <w:p w:rsidR="005A19B5" w:rsidRDefault="00D046F1">
            <w:pPr>
              <w:pStyle w:val="TableParagraph"/>
              <w:spacing w:line="240" w:lineRule="auto"/>
              <w:ind w:left="119"/>
              <w:rPr>
                <w:sz w:val="24"/>
                <w:szCs w:val="24"/>
              </w:rPr>
            </w:pPr>
            <w:r>
              <w:rPr>
                <w:spacing w:val="-5"/>
                <w:sz w:val="24"/>
                <w:szCs w:val="24"/>
              </w:rPr>
              <w:t>R&amp;D</w:t>
            </w:r>
          </w:p>
        </w:tc>
        <w:tc>
          <w:tcPr>
            <w:tcW w:w="4264" w:type="dxa"/>
          </w:tcPr>
          <w:p w:rsidR="005A19B5" w:rsidRDefault="00D046F1">
            <w:pPr>
              <w:pStyle w:val="TableParagraph"/>
              <w:spacing w:line="240" w:lineRule="auto"/>
              <w:ind w:left="115"/>
              <w:rPr>
                <w:sz w:val="24"/>
                <w:szCs w:val="24"/>
              </w:rPr>
            </w:pPr>
            <w:r>
              <w:rPr>
                <w:sz w:val="24"/>
                <w:szCs w:val="24"/>
              </w:rPr>
              <w:t>Research</w:t>
            </w:r>
            <w:r>
              <w:rPr>
                <w:spacing w:val="-11"/>
                <w:sz w:val="24"/>
                <w:szCs w:val="24"/>
              </w:rPr>
              <w:t xml:space="preserve"> </w:t>
            </w:r>
            <w:r>
              <w:rPr>
                <w:sz w:val="24"/>
                <w:szCs w:val="24"/>
              </w:rPr>
              <w:t>and</w:t>
            </w:r>
            <w:r>
              <w:rPr>
                <w:spacing w:val="-1"/>
                <w:sz w:val="24"/>
                <w:szCs w:val="24"/>
              </w:rPr>
              <w:t xml:space="preserve"> </w:t>
            </w:r>
            <w:r>
              <w:rPr>
                <w:spacing w:val="-2"/>
                <w:sz w:val="24"/>
                <w:szCs w:val="24"/>
              </w:rPr>
              <w:t>Development</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5"/>
                <w:sz w:val="24"/>
                <w:szCs w:val="24"/>
              </w:rPr>
              <w:t>API</w:t>
            </w:r>
          </w:p>
        </w:tc>
        <w:tc>
          <w:tcPr>
            <w:tcW w:w="4264" w:type="dxa"/>
          </w:tcPr>
          <w:p w:rsidR="005A19B5" w:rsidRDefault="00D046F1">
            <w:pPr>
              <w:pStyle w:val="TableParagraph"/>
              <w:spacing w:line="240" w:lineRule="auto"/>
              <w:ind w:left="115"/>
              <w:rPr>
                <w:sz w:val="24"/>
                <w:szCs w:val="24"/>
              </w:rPr>
            </w:pPr>
            <w:r>
              <w:rPr>
                <w:spacing w:val="-2"/>
                <w:sz w:val="24"/>
                <w:szCs w:val="24"/>
              </w:rPr>
              <w:t>Active</w:t>
            </w:r>
            <w:r>
              <w:rPr>
                <w:spacing w:val="-14"/>
                <w:sz w:val="24"/>
                <w:szCs w:val="24"/>
              </w:rPr>
              <w:t xml:space="preserve"> </w:t>
            </w:r>
            <w:r>
              <w:rPr>
                <w:spacing w:val="-2"/>
                <w:sz w:val="24"/>
                <w:szCs w:val="24"/>
              </w:rPr>
              <w:t>Pharmaceutical</w:t>
            </w:r>
            <w:r>
              <w:rPr>
                <w:spacing w:val="-14"/>
                <w:sz w:val="24"/>
                <w:szCs w:val="24"/>
              </w:rPr>
              <w:t xml:space="preserve"> </w:t>
            </w:r>
            <w:r>
              <w:rPr>
                <w:spacing w:val="-2"/>
                <w:sz w:val="24"/>
                <w:szCs w:val="24"/>
              </w:rPr>
              <w:t>Ingredient</w:t>
            </w:r>
          </w:p>
        </w:tc>
      </w:tr>
      <w:tr w:rsidR="005A19B5">
        <w:trPr>
          <w:trHeight w:val="273"/>
        </w:trPr>
        <w:tc>
          <w:tcPr>
            <w:tcW w:w="4269" w:type="dxa"/>
          </w:tcPr>
          <w:p w:rsidR="005A19B5" w:rsidRDefault="00D046F1">
            <w:pPr>
              <w:pStyle w:val="TableParagraph"/>
              <w:spacing w:line="240" w:lineRule="auto"/>
              <w:ind w:left="119"/>
              <w:rPr>
                <w:sz w:val="24"/>
                <w:szCs w:val="24"/>
              </w:rPr>
            </w:pPr>
            <w:r>
              <w:rPr>
                <w:spacing w:val="-5"/>
                <w:sz w:val="24"/>
                <w:szCs w:val="24"/>
              </w:rPr>
              <w:t>UV</w:t>
            </w:r>
          </w:p>
        </w:tc>
        <w:tc>
          <w:tcPr>
            <w:tcW w:w="4264" w:type="dxa"/>
          </w:tcPr>
          <w:p w:rsidR="005A19B5" w:rsidRDefault="00D046F1">
            <w:pPr>
              <w:pStyle w:val="TableParagraph"/>
              <w:spacing w:line="240" w:lineRule="auto"/>
              <w:ind w:left="115"/>
              <w:rPr>
                <w:sz w:val="24"/>
                <w:szCs w:val="24"/>
              </w:rPr>
            </w:pPr>
            <w:r>
              <w:rPr>
                <w:spacing w:val="-2"/>
                <w:sz w:val="24"/>
                <w:szCs w:val="24"/>
              </w:rPr>
              <w:t>Ultraviolet</w:t>
            </w:r>
            <w:r>
              <w:rPr>
                <w:spacing w:val="-13"/>
                <w:sz w:val="24"/>
                <w:szCs w:val="24"/>
              </w:rPr>
              <w:t xml:space="preserve"> </w:t>
            </w:r>
            <w:r>
              <w:rPr>
                <w:spacing w:val="-2"/>
                <w:sz w:val="24"/>
                <w:szCs w:val="24"/>
              </w:rPr>
              <w:t>Spectroscopy</w:t>
            </w:r>
          </w:p>
        </w:tc>
      </w:tr>
      <w:tr w:rsidR="005A19B5">
        <w:trPr>
          <w:trHeight w:val="277"/>
        </w:trPr>
        <w:tc>
          <w:tcPr>
            <w:tcW w:w="4269" w:type="dxa"/>
          </w:tcPr>
          <w:p w:rsidR="005A19B5" w:rsidRDefault="00D046F1">
            <w:pPr>
              <w:pStyle w:val="TableParagraph"/>
              <w:spacing w:line="240" w:lineRule="auto"/>
              <w:ind w:left="119"/>
              <w:rPr>
                <w:sz w:val="24"/>
                <w:szCs w:val="24"/>
              </w:rPr>
            </w:pPr>
            <w:r>
              <w:rPr>
                <w:spacing w:val="-5"/>
                <w:sz w:val="24"/>
                <w:szCs w:val="24"/>
              </w:rPr>
              <w:t>IR</w:t>
            </w:r>
          </w:p>
        </w:tc>
        <w:tc>
          <w:tcPr>
            <w:tcW w:w="4264" w:type="dxa"/>
          </w:tcPr>
          <w:p w:rsidR="005A19B5" w:rsidRDefault="00D046F1">
            <w:pPr>
              <w:pStyle w:val="TableParagraph"/>
              <w:spacing w:line="240" w:lineRule="auto"/>
              <w:ind w:left="115"/>
              <w:rPr>
                <w:sz w:val="24"/>
                <w:szCs w:val="24"/>
              </w:rPr>
            </w:pPr>
            <w:r>
              <w:rPr>
                <w:spacing w:val="-2"/>
                <w:sz w:val="24"/>
                <w:szCs w:val="24"/>
              </w:rPr>
              <w:t>Infrared</w:t>
            </w:r>
            <w:r>
              <w:rPr>
                <w:spacing w:val="-4"/>
                <w:sz w:val="24"/>
                <w:szCs w:val="24"/>
              </w:rPr>
              <w:t xml:space="preserve"> </w:t>
            </w:r>
            <w:r>
              <w:rPr>
                <w:spacing w:val="-2"/>
                <w:sz w:val="24"/>
                <w:szCs w:val="24"/>
              </w:rPr>
              <w:t>Spectroscopy</w:t>
            </w:r>
          </w:p>
        </w:tc>
      </w:tr>
      <w:tr w:rsidR="005A19B5">
        <w:trPr>
          <w:trHeight w:val="551"/>
        </w:trPr>
        <w:tc>
          <w:tcPr>
            <w:tcW w:w="4269" w:type="dxa"/>
          </w:tcPr>
          <w:p w:rsidR="005A19B5" w:rsidRDefault="00D046F1">
            <w:pPr>
              <w:pStyle w:val="TableParagraph"/>
              <w:spacing w:line="240" w:lineRule="auto"/>
              <w:ind w:left="119"/>
              <w:rPr>
                <w:sz w:val="24"/>
                <w:szCs w:val="24"/>
              </w:rPr>
            </w:pPr>
            <w:r>
              <w:rPr>
                <w:spacing w:val="-2"/>
                <w:sz w:val="24"/>
                <w:szCs w:val="24"/>
              </w:rPr>
              <w:t>NP-</w:t>
            </w:r>
            <w:r>
              <w:rPr>
                <w:spacing w:val="-4"/>
                <w:sz w:val="24"/>
                <w:szCs w:val="24"/>
              </w:rPr>
              <w:t>HPLC</w:t>
            </w:r>
          </w:p>
        </w:tc>
        <w:tc>
          <w:tcPr>
            <w:tcW w:w="4264" w:type="dxa"/>
          </w:tcPr>
          <w:p w:rsidR="005A19B5" w:rsidRDefault="00D046F1">
            <w:pPr>
              <w:pStyle w:val="TableParagraph"/>
              <w:spacing w:line="240" w:lineRule="auto"/>
              <w:ind w:left="115"/>
              <w:rPr>
                <w:sz w:val="24"/>
                <w:szCs w:val="24"/>
              </w:rPr>
            </w:pPr>
            <w:r>
              <w:rPr>
                <w:sz w:val="24"/>
                <w:szCs w:val="24"/>
              </w:rPr>
              <w:t>Normal</w:t>
            </w:r>
            <w:r>
              <w:rPr>
                <w:spacing w:val="-9"/>
                <w:sz w:val="24"/>
                <w:szCs w:val="24"/>
              </w:rPr>
              <w:t xml:space="preserve"> </w:t>
            </w:r>
            <w:r>
              <w:rPr>
                <w:sz w:val="24"/>
                <w:szCs w:val="24"/>
              </w:rPr>
              <w:t>Phase</w:t>
            </w:r>
            <w:r>
              <w:rPr>
                <w:spacing w:val="19"/>
                <w:sz w:val="24"/>
                <w:szCs w:val="24"/>
              </w:rPr>
              <w:t xml:space="preserve"> </w:t>
            </w:r>
            <w:r>
              <w:rPr>
                <w:sz w:val="24"/>
                <w:szCs w:val="24"/>
              </w:rPr>
              <w:t xml:space="preserve">High Performance Liquid </w:t>
            </w:r>
            <w:r>
              <w:rPr>
                <w:spacing w:val="-2"/>
                <w:sz w:val="24"/>
                <w:szCs w:val="24"/>
              </w:rPr>
              <w:t>Chromatography</w:t>
            </w:r>
          </w:p>
        </w:tc>
      </w:tr>
      <w:tr w:rsidR="005A19B5">
        <w:trPr>
          <w:trHeight w:val="551"/>
        </w:trPr>
        <w:tc>
          <w:tcPr>
            <w:tcW w:w="4269" w:type="dxa"/>
          </w:tcPr>
          <w:p w:rsidR="005A19B5" w:rsidRDefault="00D046F1">
            <w:pPr>
              <w:pStyle w:val="TableParagraph"/>
              <w:spacing w:line="240" w:lineRule="auto"/>
              <w:ind w:left="119"/>
              <w:rPr>
                <w:sz w:val="24"/>
                <w:szCs w:val="24"/>
              </w:rPr>
            </w:pPr>
            <w:r>
              <w:rPr>
                <w:sz w:val="24"/>
                <w:szCs w:val="24"/>
              </w:rPr>
              <w:t>RP-</w:t>
            </w:r>
            <w:r>
              <w:rPr>
                <w:spacing w:val="-4"/>
                <w:sz w:val="24"/>
                <w:szCs w:val="24"/>
              </w:rPr>
              <w:t>HPLC</w:t>
            </w:r>
          </w:p>
        </w:tc>
        <w:tc>
          <w:tcPr>
            <w:tcW w:w="4264" w:type="dxa"/>
          </w:tcPr>
          <w:p w:rsidR="005A19B5" w:rsidRDefault="00D046F1">
            <w:pPr>
              <w:pStyle w:val="TableParagraph"/>
              <w:spacing w:line="240" w:lineRule="auto"/>
              <w:ind w:left="115"/>
              <w:rPr>
                <w:sz w:val="24"/>
                <w:szCs w:val="24"/>
              </w:rPr>
            </w:pPr>
            <w:r>
              <w:rPr>
                <w:sz w:val="24"/>
                <w:szCs w:val="24"/>
              </w:rPr>
              <w:t>Reverse</w:t>
            </w:r>
            <w:r>
              <w:rPr>
                <w:spacing w:val="-11"/>
                <w:sz w:val="24"/>
                <w:szCs w:val="24"/>
              </w:rPr>
              <w:t xml:space="preserve"> </w:t>
            </w:r>
            <w:r>
              <w:rPr>
                <w:sz w:val="24"/>
                <w:szCs w:val="24"/>
              </w:rPr>
              <w:t>Phase</w:t>
            </w:r>
            <w:r>
              <w:rPr>
                <w:spacing w:val="-8"/>
                <w:sz w:val="24"/>
                <w:szCs w:val="24"/>
              </w:rPr>
              <w:t xml:space="preserve"> </w:t>
            </w:r>
            <w:r>
              <w:rPr>
                <w:sz w:val="24"/>
                <w:szCs w:val="24"/>
              </w:rPr>
              <w:t>High</w:t>
            </w:r>
            <w:r>
              <w:rPr>
                <w:spacing w:val="-9"/>
                <w:sz w:val="24"/>
                <w:szCs w:val="24"/>
              </w:rPr>
              <w:t xml:space="preserve"> </w:t>
            </w:r>
            <w:r>
              <w:rPr>
                <w:sz w:val="24"/>
                <w:szCs w:val="24"/>
              </w:rPr>
              <w:t xml:space="preserve">Performance Liquid </w:t>
            </w:r>
            <w:r>
              <w:rPr>
                <w:spacing w:val="-2"/>
                <w:sz w:val="24"/>
                <w:szCs w:val="24"/>
              </w:rPr>
              <w:t>Chromatography</w:t>
            </w:r>
          </w:p>
        </w:tc>
      </w:tr>
      <w:tr w:rsidR="005A19B5">
        <w:trPr>
          <w:trHeight w:val="276"/>
        </w:trPr>
        <w:tc>
          <w:tcPr>
            <w:tcW w:w="4269" w:type="dxa"/>
          </w:tcPr>
          <w:p w:rsidR="005A19B5" w:rsidRDefault="00D046F1">
            <w:pPr>
              <w:pStyle w:val="TableParagraph"/>
              <w:spacing w:line="240" w:lineRule="auto"/>
              <w:ind w:left="119"/>
              <w:rPr>
                <w:sz w:val="24"/>
                <w:szCs w:val="24"/>
              </w:rPr>
            </w:pPr>
            <w:r>
              <w:rPr>
                <w:spacing w:val="-5"/>
                <w:sz w:val="24"/>
                <w:szCs w:val="24"/>
              </w:rPr>
              <w:t>IEC</w:t>
            </w:r>
          </w:p>
        </w:tc>
        <w:tc>
          <w:tcPr>
            <w:tcW w:w="4264" w:type="dxa"/>
          </w:tcPr>
          <w:p w:rsidR="005A19B5" w:rsidRDefault="00D046F1">
            <w:pPr>
              <w:pStyle w:val="TableParagraph"/>
              <w:spacing w:line="240" w:lineRule="auto"/>
              <w:ind w:left="115"/>
              <w:rPr>
                <w:sz w:val="24"/>
                <w:szCs w:val="24"/>
              </w:rPr>
            </w:pPr>
            <w:r>
              <w:rPr>
                <w:spacing w:val="-2"/>
                <w:sz w:val="24"/>
                <w:szCs w:val="24"/>
              </w:rPr>
              <w:t>Ion-Exchange</w:t>
            </w:r>
            <w:r>
              <w:rPr>
                <w:spacing w:val="5"/>
                <w:sz w:val="24"/>
                <w:szCs w:val="24"/>
              </w:rPr>
              <w:t xml:space="preserve"> </w:t>
            </w:r>
            <w:r>
              <w:rPr>
                <w:spacing w:val="-2"/>
                <w:sz w:val="24"/>
                <w:szCs w:val="24"/>
              </w:rPr>
              <w:t>Chromatography</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5"/>
                <w:sz w:val="24"/>
                <w:szCs w:val="24"/>
              </w:rPr>
              <w:t>SEC</w:t>
            </w:r>
          </w:p>
        </w:tc>
        <w:tc>
          <w:tcPr>
            <w:tcW w:w="4264" w:type="dxa"/>
          </w:tcPr>
          <w:p w:rsidR="005A19B5" w:rsidRDefault="00D046F1">
            <w:pPr>
              <w:pStyle w:val="TableParagraph"/>
              <w:spacing w:line="240" w:lineRule="auto"/>
              <w:ind w:left="115"/>
              <w:rPr>
                <w:sz w:val="24"/>
                <w:szCs w:val="24"/>
              </w:rPr>
            </w:pPr>
            <w:r>
              <w:rPr>
                <w:spacing w:val="-2"/>
                <w:sz w:val="24"/>
                <w:szCs w:val="24"/>
              </w:rPr>
              <w:t>Size-Exclusion</w:t>
            </w:r>
            <w:r>
              <w:rPr>
                <w:spacing w:val="10"/>
                <w:sz w:val="24"/>
                <w:szCs w:val="24"/>
              </w:rPr>
              <w:t xml:space="preserve"> </w:t>
            </w:r>
            <w:r>
              <w:rPr>
                <w:spacing w:val="-2"/>
                <w:sz w:val="24"/>
                <w:szCs w:val="24"/>
              </w:rPr>
              <w:t>Chromatography</w:t>
            </w:r>
          </w:p>
        </w:tc>
      </w:tr>
      <w:tr w:rsidR="005A19B5">
        <w:trPr>
          <w:trHeight w:val="278"/>
        </w:trPr>
        <w:tc>
          <w:tcPr>
            <w:tcW w:w="4269" w:type="dxa"/>
          </w:tcPr>
          <w:p w:rsidR="005A19B5" w:rsidRDefault="00D046F1">
            <w:pPr>
              <w:pStyle w:val="TableParagraph"/>
              <w:spacing w:line="240" w:lineRule="auto"/>
              <w:ind w:left="119"/>
              <w:rPr>
                <w:sz w:val="24"/>
                <w:szCs w:val="24"/>
              </w:rPr>
            </w:pPr>
            <w:r>
              <w:rPr>
                <w:spacing w:val="-5"/>
                <w:sz w:val="24"/>
                <w:szCs w:val="24"/>
              </w:rPr>
              <w:t>GPC</w:t>
            </w:r>
          </w:p>
        </w:tc>
        <w:tc>
          <w:tcPr>
            <w:tcW w:w="4264" w:type="dxa"/>
          </w:tcPr>
          <w:p w:rsidR="005A19B5" w:rsidRDefault="00D046F1">
            <w:pPr>
              <w:pStyle w:val="TableParagraph"/>
              <w:spacing w:line="240" w:lineRule="auto"/>
              <w:ind w:left="115"/>
              <w:rPr>
                <w:sz w:val="24"/>
                <w:szCs w:val="24"/>
              </w:rPr>
            </w:pPr>
            <w:r>
              <w:rPr>
                <w:sz w:val="24"/>
                <w:szCs w:val="24"/>
              </w:rPr>
              <w:t>Gel</w:t>
            </w:r>
            <w:r>
              <w:rPr>
                <w:spacing w:val="-18"/>
                <w:sz w:val="24"/>
                <w:szCs w:val="24"/>
              </w:rPr>
              <w:t xml:space="preserve"> </w:t>
            </w:r>
            <w:r>
              <w:rPr>
                <w:sz w:val="24"/>
                <w:szCs w:val="24"/>
              </w:rPr>
              <w:t>Permeation</w:t>
            </w:r>
            <w:r>
              <w:rPr>
                <w:spacing w:val="-4"/>
                <w:sz w:val="24"/>
                <w:szCs w:val="24"/>
              </w:rPr>
              <w:t xml:space="preserve"> </w:t>
            </w:r>
            <w:r>
              <w:rPr>
                <w:spacing w:val="-2"/>
                <w:sz w:val="24"/>
                <w:szCs w:val="24"/>
              </w:rPr>
              <w:t>Chromatography</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5"/>
                <w:sz w:val="24"/>
                <w:szCs w:val="24"/>
              </w:rPr>
              <w:t>DAS</w:t>
            </w:r>
          </w:p>
        </w:tc>
        <w:tc>
          <w:tcPr>
            <w:tcW w:w="4264" w:type="dxa"/>
          </w:tcPr>
          <w:p w:rsidR="005A19B5" w:rsidRDefault="00D046F1">
            <w:pPr>
              <w:pStyle w:val="TableParagraph"/>
              <w:spacing w:line="240" w:lineRule="auto"/>
              <w:ind w:left="115"/>
              <w:rPr>
                <w:sz w:val="24"/>
                <w:szCs w:val="24"/>
              </w:rPr>
            </w:pPr>
            <w:r>
              <w:rPr>
                <w:sz w:val="24"/>
                <w:szCs w:val="24"/>
              </w:rPr>
              <w:t>Data</w:t>
            </w:r>
            <w:r>
              <w:rPr>
                <w:spacing w:val="-12"/>
                <w:sz w:val="24"/>
                <w:szCs w:val="24"/>
              </w:rPr>
              <w:t xml:space="preserve"> </w:t>
            </w:r>
            <w:r>
              <w:rPr>
                <w:sz w:val="24"/>
                <w:szCs w:val="24"/>
              </w:rPr>
              <w:t>Acquisition</w:t>
            </w:r>
            <w:r>
              <w:rPr>
                <w:spacing w:val="-9"/>
                <w:sz w:val="24"/>
                <w:szCs w:val="24"/>
              </w:rPr>
              <w:t xml:space="preserve"> </w:t>
            </w:r>
            <w:r>
              <w:rPr>
                <w:spacing w:val="-2"/>
                <w:sz w:val="24"/>
                <w:szCs w:val="24"/>
              </w:rPr>
              <w:t>System</w:t>
            </w:r>
          </w:p>
        </w:tc>
      </w:tr>
      <w:tr w:rsidR="005A19B5">
        <w:trPr>
          <w:trHeight w:val="277"/>
        </w:trPr>
        <w:tc>
          <w:tcPr>
            <w:tcW w:w="4269" w:type="dxa"/>
          </w:tcPr>
          <w:p w:rsidR="005A19B5" w:rsidRDefault="00D046F1">
            <w:pPr>
              <w:pStyle w:val="TableParagraph"/>
              <w:spacing w:line="240" w:lineRule="auto"/>
              <w:ind w:left="119"/>
              <w:rPr>
                <w:sz w:val="24"/>
                <w:szCs w:val="24"/>
              </w:rPr>
            </w:pPr>
            <w:r>
              <w:rPr>
                <w:spacing w:val="-5"/>
                <w:sz w:val="24"/>
                <w:szCs w:val="24"/>
              </w:rPr>
              <w:t>USP</w:t>
            </w:r>
          </w:p>
        </w:tc>
        <w:tc>
          <w:tcPr>
            <w:tcW w:w="4264" w:type="dxa"/>
          </w:tcPr>
          <w:p w:rsidR="005A19B5" w:rsidRDefault="00D046F1">
            <w:pPr>
              <w:pStyle w:val="TableParagraph"/>
              <w:spacing w:line="240" w:lineRule="auto"/>
              <w:ind w:left="115"/>
              <w:rPr>
                <w:sz w:val="24"/>
                <w:szCs w:val="24"/>
              </w:rPr>
            </w:pPr>
            <w:r>
              <w:rPr>
                <w:sz w:val="24"/>
                <w:szCs w:val="24"/>
              </w:rPr>
              <w:t>United</w:t>
            </w:r>
            <w:r>
              <w:rPr>
                <w:spacing w:val="-1"/>
                <w:sz w:val="24"/>
                <w:szCs w:val="24"/>
              </w:rPr>
              <w:t xml:space="preserve"> </w:t>
            </w:r>
            <w:r>
              <w:rPr>
                <w:sz w:val="24"/>
                <w:szCs w:val="24"/>
              </w:rPr>
              <w:t xml:space="preserve">States </w:t>
            </w:r>
            <w:r>
              <w:rPr>
                <w:spacing w:val="-2"/>
                <w:sz w:val="24"/>
                <w:szCs w:val="24"/>
              </w:rPr>
              <w:t>Pharmacopeia</w:t>
            </w:r>
          </w:p>
        </w:tc>
      </w:tr>
      <w:tr w:rsidR="005A19B5">
        <w:trPr>
          <w:trHeight w:val="277"/>
        </w:trPr>
        <w:tc>
          <w:tcPr>
            <w:tcW w:w="4269" w:type="dxa"/>
          </w:tcPr>
          <w:p w:rsidR="005A19B5" w:rsidRDefault="00D046F1">
            <w:pPr>
              <w:pStyle w:val="TableParagraph"/>
              <w:spacing w:line="240" w:lineRule="auto"/>
              <w:ind w:left="119"/>
              <w:rPr>
                <w:sz w:val="24"/>
                <w:szCs w:val="24"/>
              </w:rPr>
            </w:pPr>
            <w:r>
              <w:rPr>
                <w:spacing w:val="-5"/>
                <w:sz w:val="24"/>
                <w:szCs w:val="24"/>
              </w:rPr>
              <w:t>IP</w:t>
            </w:r>
          </w:p>
        </w:tc>
        <w:tc>
          <w:tcPr>
            <w:tcW w:w="4264" w:type="dxa"/>
          </w:tcPr>
          <w:p w:rsidR="005A19B5" w:rsidRDefault="00D046F1">
            <w:pPr>
              <w:pStyle w:val="TableParagraph"/>
              <w:spacing w:line="240" w:lineRule="auto"/>
              <w:ind w:left="115"/>
              <w:rPr>
                <w:sz w:val="24"/>
                <w:szCs w:val="24"/>
              </w:rPr>
            </w:pPr>
            <w:r>
              <w:rPr>
                <w:sz w:val="24"/>
                <w:szCs w:val="24"/>
              </w:rPr>
              <w:t>Indian</w:t>
            </w:r>
            <w:r>
              <w:rPr>
                <w:spacing w:val="-9"/>
                <w:sz w:val="24"/>
                <w:szCs w:val="24"/>
              </w:rPr>
              <w:t xml:space="preserve"> </w:t>
            </w:r>
            <w:r>
              <w:rPr>
                <w:spacing w:val="-2"/>
                <w:sz w:val="24"/>
                <w:szCs w:val="24"/>
              </w:rPr>
              <w:t>Pharmacopeia</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5"/>
                <w:sz w:val="24"/>
                <w:szCs w:val="24"/>
              </w:rPr>
              <w:t>BP</w:t>
            </w:r>
          </w:p>
        </w:tc>
        <w:tc>
          <w:tcPr>
            <w:tcW w:w="4264" w:type="dxa"/>
          </w:tcPr>
          <w:p w:rsidR="005A19B5" w:rsidRDefault="00D046F1">
            <w:pPr>
              <w:pStyle w:val="TableParagraph"/>
              <w:spacing w:line="240" w:lineRule="auto"/>
              <w:ind w:left="115"/>
              <w:rPr>
                <w:sz w:val="24"/>
                <w:szCs w:val="24"/>
              </w:rPr>
            </w:pPr>
            <w:r>
              <w:rPr>
                <w:spacing w:val="-2"/>
                <w:sz w:val="24"/>
                <w:szCs w:val="24"/>
              </w:rPr>
              <w:t>British</w:t>
            </w:r>
            <w:r>
              <w:rPr>
                <w:spacing w:val="-4"/>
                <w:sz w:val="24"/>
                <w:szCs w:val="24"/>
              </w:rPr>
              <w:t xml:space="preserve"> </w:t>
            </w:r>
            <w:r>
              <w:rPr>
                <w:spacing w:val="-2"/>
                <w:sz w:val="24"/>
                <w:szCs w:val="24"/>
              </w:rPr>
              <w:t>Pharmacopoeia</w:t>
            </w:r>
          </w:p>
        </w:tc>
      </w:tr>
      <w:tr w:rsidR="005A19B5">
        <w:trPr>
          <w:trHeight w:val="550"/>
        </w:trPr>
        <w:tc>
          <w:tcPr>
            <w:tcW w:w="4269" w:type="dxa"/>
          </w:tcPr>
          <w:p w:rsidR="005A19B5" w:rsidRDefault="00D046F1">
            <w:pPr>
              <w:pStyle w:val="TableParagraph"/>
              <w:spacing w:line="240" w:lineRule="auto"/>
              <w:ind w:left="119"/>
              <w:rPr>
                <w:sz w:val="24"/>
                <w:szCs w:val="24"/>
              </w:rPr>
            </w:pPr>
            <w:r>
              <w:rPr>
                <w:spacing w:val="-5"/>
                <w:sz w:val="24"/>
                <w:szCs w:val="24"/>
              </w:rPr>
              <w:t>ICH</w:t>
            </w:r>
          </w:p>
        </w:tc>
        <w:tc>
          <w:tcPr>
            <w:tcW w:w="4264" w:type="dxa"/>
          </w:tcPr>
          <w:p w:rsidR="005A19B5" w:rsidRDefault="00D046F1">
            <w:pPr>
              <w:pStyle w:val="TableParagraph"/>
              <w:tabs>
                <w:tab w:val="left" w:pos="2054"/>
                <w:tab w:val="left" w:pos="3883"/>
              </w:tabs>
              <w:spacing w:line="240" w:lineRule="auto"/>
              <w:ind w:left="115" w:right="104"/>
              <w:rPr>
                <w:sz w:val="24"/>
                <w:szCs w:val="24"/>
              </w:rPr>
            </w:pPr>
            <w:r>
              <w:rPr>
                <w:spacing w:val="-2"/>
                <w:sz w:val="24"/>
                <w:szCs w:val="24"/>
              </w:rPr>
              <w:t>International</w:t>
            </w:r>
            <w:r>
              <w:rPr>
                <w:spacing w:val="-2"/>
                <w:sz w:val="24"/>
                <w:szCs w:val="24"/>
                <w:lang w:val="en-IN"/>
              </w:rPr>
              <w:t xml:space="preserve"> </w:t>
            </w:r>
            <w:r>
              <w:rPr>
                <w:spacing w:val="-2"/>
                <w:sz w:val="24"/>
                <w:szCs w:val="24"/>
              </w:rPr>
              <w:t>Conference</w:t>
            </w:r>
            <w:r>
              <w:rPr>
                <w:spacing w:val="-2"/>
                <w:sz w:val="24"/>
                <w:szCs w:val="24"/>
                <w:lang w:val="en-IN"/>
              </w:rPr>
              <w:t xml:space="preserve"> </w:t>
            </w:r>
            <w:r>
              <w:rPr>
                <w:spacing w:val="-8"/>
                <w:sz w:val="24"/>
                <w:szCs w:val="24"/>
              </w:rPr>
              <w:t xml:space="preserve">for </w:t>
            </w:r>
            <w:r>
              <w:rPr>
                <w:spacing w:val="-2"/>
                <w:sz w:val="24"/>
                <w:szCs w:val="24"/>
              </w:rPr>
              <w:t>Harmonization</w:t>
            </w:r>
          </w:p>
        </w:tc>
      </w:tr>
      <w:tr w:rsidR="005A19B5">
        <w:trPr>
          <w:trHeight w:val="277"/>
        </w:trPr>
        <w:tc>
          <w:tcPr>
            <w:tcW w:w="4269" w:type="dxa"/>
          </w:tcPr>
          <w:p w:rsidR="005A19B5" w:rsidRDefault="00D046F1">
            <w:pPr>
              <w:pStyle w:val="TableParagraph"/>
              <w:spacing w:line="240" w:lineRule="auto"/>
              <w:ind w:left="119"/>
              <w:rPr>
                <w:sz w:val="24"/>
                <w:szCs w:val="24"/>
              </w:rPr>
            </w:pPr>
            <w:r>
              <w:rPr>
                <w:spacing w:val="-5"/>
                <w:sz w:val="24"/>
                <w:szCs w:val="24"/>
              </w:rPr>
              <w:t>WHO</w:t>
            </w:r>
          </w:p>
        </w:tc>
        <w:tc>
          <w:tcPr>
            <w:tcW w:w="4264" w:type="dxa"/>
          </w:tcPr>
          <w:p w:rsidR="005A19B5" w:rsidRDefault="00D046F1">
            <w:pPr>
              <w:pStyle w:val="TableParagraph"/>
              <w:spacing w:line="240" w:lineRule="auto"/>
              <w:ind w:left="115"/>
              <w:rPr>
                <w:sz w:val="24"/>
                <w:szCs w:val="24"/>
              </w:rPr>
            </w:pPr>
            <w:r>
              <w:rPr>
                <w:sz w:val="24"/>
                <w:szCs w:val="24"/>
              </w:rPr>
              <w:t>World</w:t>
            </w:r>
            <w:r>
              <w:rPr>
                <w:spacing w:val="-6"/>
                <w:sz w:val="24"/>
                <w:szCs w:val="24"/>
              </w:rPr>
              <w:t xml:space="preserve"> </w:t>
            </w:r>
            <w:r>
              <w:rPr>
                <w:sz w:val="24"/>
                <w:szCs w:val="24"/>
              </w:rPr>
              <w:t>Health</w:t>
            </w:r>
            <w:r>
              <w:rPr>
                <w:spacing w:val="-11"/>
                <w:sz w:val="24"/>
                <w:szCs w:val="24"/>
              </w:rPr>
              <w:t xml:space="preserve"> </w:t>
            </w:r>
            <w:r>
              <w:rPr>
                <w:spacing w:val="-2"/>
                <w:sz w:val="24"/>
                <w:szCs w:val="24"/>
              </w:rPr>
              <w:t>Organization</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4"/>
                <w:sz w:val="24"/>
                <w:szCs w:val="24"/>
              </w:rPr>
              <w:t>LLOQ</w:t>
            </w:r>
          </w:p>
        </w:tc>
        <w:tc>
          <w:tcPr>
            <w:tcW w:w="4264" w:type="dxa"/>
          </w:tcPr>
          <w:p w:rsidR="005A19B5" w:rsidRDefault="00D046F1">
            <w:pPr>
              <w:pStyle w:val="TableParagraph"/>
              <w:spacing w:line="240" w:lineRule="auto"/>
              <w:ind w:left="115"/>
              <w:rPr>
                <w:sz w:val="24"/>
                <w:szCs w:val="24"/>
              </w:rPr>
            </w:pPr>
            <w:r>
              <w:rPr>
                <w:sz w:val="24"/>
                <w:szCs w:val="24"/>
              </w:rPr>
              <w:t>Lower Llimit</w:t>
            </w:r>
            <w:r>
              <w:rPr>
                <w:spacing w:val="7"/>
                <w:sz w:val="24"/>
                <w:szCs w:val="24"/>
              </w:rPr>
              <w:t xml:space="preserve"> </w:t>
            </w:r>
            <w:r>
              <w:rPr>
                <w:sz w:val="24"/>
                <w:szCs w:val="24"/>
              </w:rPr>
              <w:t>of</w:t>
            </w:r>
            <w:r>
              <w:rPr>
                <w:spacing w:val="40"/>
                <w:sz w:val="24"/>
                <w:szCs w:val="24"/>
              </w:rPr>
              <w:t xml:space="preserve"> </w:t>
            </w:r>
            <w:r>
              <w:rPr>
                <w:spacing w:val="-2"/>
                <w:sz w:val="24"/>
                <w:szCs w:val="24"/>
              </w:rPr>
              <w:t>Quantification</w:t>
            </w:r>
          </w:p>
        </w:tc>
      </w:tr>
      <w:tr w:rsidR="005A19B5">
        <w:trPr>
          <w:trHeight w:val="273"/>
        </w:trPr>
        <w:tc>
          <w:tcPr>
            <w:tcW w:w="4269" w:type="dxa"/>
          </w:tcPr>
          <w:p w:rsidR="005A19B5" w:rsidRDefault="00D046F1">
            <w:pPr>
              <w:pStyle w:val="TableParagraph"/>
              <w:spacing w:line="240" w:lineRule="auto"/>
              <w:ind w:left="119"/>
              <w:rPr>
                <w:sz w:val="24"/>
                <w:szCs w:val="24"/>
              </w:rPr>
            </w:pPr>
            <w:r>
              <w:rPr>
                <w:spacing w:val="-4"/>
                <w:sz w:val="24"/>
                <w:szCs w:val="24"/>
              </w:rPr>
              <w:t>ULOQ</w:t>
            </w:r>
          </w:p>
        </w:tc>
        <w:tc>
          <w:tcPr>
            <w:tcW w:w="4264" w:type="dxa"/>
          </w:tcPr>
          <w:p w:rsidR="005A19B5" w:rsidRDefault="00D046F1">
            <w:pPr>
              <w:pStyle w:val="TableParagraph"/>
              <w:spacing w:line="240" w:lineRule="auto"/>
              <w:ind w:left="115"/>
              <w:rPr>
                <w:sz w:val="24"/>
                <w:szCs w:val="24"/>
              </w:rPr>
            </w:pPr>
            <w:r>
              <w:rPr>
                <w:sz w:val="24"/>
                <w:szCs w:val="24"/>
              </w:rPr>
              <w:t>Upper Limit</w:t>
            </w:r>
            <w:r>
              <w:rPr>
                <w:spacing w:val="9"/>
                <w:sz w:val="24"/>
                <w:szCs w:val="24"/>
              </w:rPr>
              <w:t xml:space="preserve"> </w:t>
            </w:r>
            <w:r>
              <w:rPr>
                <w:sz w:val="24"/>
                <w:szCs w:val="24"/>
              </w:rPr>
              <w:t>of</w:t>
            </w:r>
            <w:r>
              <w:rPr>
                <w:spacing w:val="42"/>
                <w:sz w:val="24"/>
                <w:szCs w:val="24"/>
              </w:rPr>
              <w:t xml:space="preserve"> </w:t>
            </w:r>
            <w:r>
              <w:rPr>
                <w:spacing w:val="-2"/>
                <w:sz w:val="24"/>
                <w:szCs w:val="24"/>
              </w:rPr>
              <w:t>Quantification</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5"/>
                <w:sz w:val="24"/>
                <w:szCs w:val="24"/>
              </w:rPr>
              <w:t>RSD</w:t>
            </w:r>
          </w:p>
        </w:tc>
        <w:tc>
          <w:tcPr>
            <w:tcW w:w="4264" w:type="dxa"/>
          </w:tcPr>
          <w:p w:rsidR="005A19B5" w:rsidRDefault="00D046F1">
            <w:pPr>
              <w:pStyle w:val="TableParagraph"/>
              <w:spacing w:line="240" w:lineRule="auto"/>
              <w:ind w:left="115"/>
              <w:rPr>
                <w:sz w:val="24"/>
                <w:szCs w:val="24"/>
              </w:rPr>
            </w:pPr>
            <w:r>
              <w:rPr>
                <w:sz w:val="24"/>
                <w:szCs w:val="24"/>
              </w:rPr>
              <w:t>Relative</w:t>
            </w:r>
            <w:r>
              <w:rPr>
                <w:spacing w:val="-3"/>
                <w:sz w:val="24"/>
                <w:szCs w:val="24"/>
              </w:rPr>
              <w:t xml:space="preserve"> </w:t>
            </w:r>
            <w:r>
              <w:rPr>
                <w:sz w:val="24"/>
                <w:szCs w:val="24"/>
              </w:rPr>
              <w:t>Standard</w:t>
            </w:r>
            <w:r>
              <w:rPr>
                <w:spacing w:val="1"/>
                <w:sz w:val="24"/>
                <w:szCs w:val="24"/>
              </w:rPr>
              <w:t xml:space="preserve"> </w:t>
            </w:r>
            <w:r>
              <w:rPr>
                <w:spacing w:val="-2"/>
                <w:sz w:val="24"/>
                <w:szCs w:val="24"/>
              </w:rPr>
              <w:t>Deviation</w:t>
            </w:r>
          </w:p>
        </w:tc>
      </w:tr>
      <w:tr w:rsidR="005A19B5">
        <w:trPr>
          <w:trHeight w:val="277"/>
        </w:trPr>
        <w:tc>
          <w:tcPr>
            <w:tcW w:w="4269" w:type="dxa"/>
          </w:tcPr>
          <w:p w:rsidR="005A19B5" w:rsidRDefault="00D046F1">
            <w:pPr>
              <w:pStyle w:val="TableParagraph"/>
              <w:spacing w:line="240" w:lineRule="auto"/>
              <w:ind w:left="119"/>
              <w:rPr>
                <w:sz w:val="24"/>
                <w:szCs w:val="24"/>
              </w:rPr>
            </w:pPr>
            <w:r>
              <w:rPr>
                <w:spacing w:val="-5"/>
                <w:sz w:val="24"/>
                <w:szCs w:val="24"/>
              </w:rPr>
              <w:t>CV</w:t>
            </w:r>
          </w:p>
        </w:tc>
        <w:tc>
          <w:tcPr>
            <w:tcW w:w="4264" w:type="dxa"/>
          </w:tcPr>
          <w:p w:rsidR="005A19B5" w:rsidRDefault="00D046F1">
            <w:pPr>
              <w:pStyle w:val="TableParagraph"/>
              <w:spacing w:line="240" w:lineRule="auto"/>
              <w:ind w:left="115"/>
              <w:rPr>
                <w:sz w:val="24"/>
                <w:szCs w:val="24"/>
              </w:rPr>
            </w:pPr>
            <w:r>
              <w:rPr>
                <w:sz w:val="24"/>
                <w:szCs w:val="24"/>
              </w:rPr>
              <w:t>Coefficient</w:t>
            </w:r>
            <w:r>
              <w:rPr>
                <w:spacing w:val="-2"/>
                <w:sz w:val="24"/>
                <w:szCs w:val="24"/>
              </w:rPr>
              <w:t xml:space="preserve"> </w:t>
            </w:r>
            <w:r>
              <w:rPr>
                <w:sz w:val="24"/>
                <w:szCs w:val="24"/>
              </w:rPr>
              <w:t>of</w:t>
            </w:r>
            <w:r>
              <w:rPr>
                <w:spacing w:val="-13"/>
                <w:sz w:val="24"/>
                <w:szCs w:val="24"/>
              </w:rPr>
              <w:t xml:space="preserve"> </w:t>
            </w:r>
            <w:r>
              <w:rPr>
                <w:spacing w:val="-2"/>
                <w:sz w:val="24"/>
                <w:szCs w:val="24"/>
              </w:rPr>
              <w:t>Variation</w:t>
            </w:r>
          </w:p>
        </w:tc>
      </w:tr>
      <w:tr w:rsidR="005A19B5">
        <w:trPr>
          <w:trHeight w:val="277"/>
        </w:trPr>
        <w:tc>
          <w:tcPr>
            <w:tcW w:w="4269" w:type="dxa"/>
          </w:tcPr>
          <w:p w:rsidR="005A19B5" w:rsidRDefault="00D046F1">
            <w:pPr>
              <w:pStyle w:val="TableParagraph"/>
              <w:spacing w:line="240" w:lineRule="auto"/>
              <w:ind w:left="119"/>
              <w:rPr>
                <w:sz w:val="24"/>
                <w:szCs w:val="24"/>
              </w:rPr>
            </w:pPr>
            <w:r>
              <w:rPr>
                <w:spacing w:val="-5"/>
                <w:sz w:val="24"/>
                <w:szCs w:val="24"/>
              </w:rPr>
              <w:t>LOD</w:t>
            </w:r>
          </w:p>
        </w:tc>
        <w:tc>
          <w:tcPr>
            <w:tcW w:w="4264" w:type="dxa"/>
          </w:tcPr>
          <w:p w:rsidR="005A19B5" w:rsidRDefault="00D046F1">
            <w:pPr>
              <w:pStyle w:val="TableParagraph"/>
              <w:spacing w:line="240" w:lineRule="auto"/>
              <w:ind w:left="115"/>
              <w:rPr>
                <w:sz w:val="24"/>
                <w:szCs w:val="24"/>
              </w:rPr>
            </w:pPr>
            <w:r>
              <w:rPr>
                <w:sz w:val="24"/>
                <w:szCs w:val="24"/>
              </w:rPr>
              <w:t>Limit</w:t>
            </w:r>
            <w:r>
              <w:rPr>
                <w:spacing w:val="-3"/>
                <w:sz w:val="24"/>
                <w:szCs w:val="24"/>
              </w:rPr>
              <w:t xml:space="preserve"> </w:t>
            </w:r>
            <w:r>
              <w:rPr>
                <w:sz w:val="24"/>
                <w:szCs w:val="24"/>
              </w:rPr>
              <w:t>of</w:t>
            </w:r>
            <w:r>
              <w:rPr>
                <w:spacing w:val="-20"/>
                <w:sz w:val="24"/>
                <w:szCs w:val="24"/>
              </w:rPr>
              <w:t xml:space="preserve"> </w:t>
            </w:r>
            <w:r>
              <w:rPr>
                <w:spacing w:val="-2"/>
                <w:sz w:val="24"/>
                <w:szCs w:val="24"/>
              </w:rPr>
              <w:t>Detection</w:t>
            </w:r>
          </w:p>
        </w:tc>
      </w:tr>
      <w:tr w:rsidR="005A19B5">
        <w:trPr>
          <w:trHeight w:val="272"/>
        </w:trPr>
        <w:tc>
          <w:tcPr>
            <w:tcW w:w="4269" w:type="dxa"/>
          </w:tcPr>
          <w:p w:rsidR="005A19B5" w:rsidRDefault="00D046F1">
            <w:pPr>
              <w:pStyle w:val="TableParagraph"/>
              <w:spacing w:line="240" w:lineRule="auto"/>
              <w:ind w:left="119"/>
              <w:rPr>
                <w:sz w:val="24"/>
                <w:szCs w:val="24"/>
              </w:rPr>
            </w:pPr>
            <w:r>
              <w:rPr>
                <w:spacing w:val="-5"/>
                <w:sz w:val="24"/>
                <w:szCs w:val="24"/>
              </w:rPr>
              <w:t>LOQ</w:t>
            </w:r>
          </w:p>
        </w:tc>
        <w:tc>
          <w:tcPr>
            <w:tcW w:w="4264" w:type="dxa"/>
          </w:tcPr>
          <w:p w:rsidR="005A19B5" w:rsidRDefault="00D046F1">
            <w:pPr>
              <w:pStyle w:val="TableParagraph"/>
              <w:spacing w:line="240" w:lineRule="auto"/>
              <w:ind w:left="115"/>
              <w:rPr>
                <w:sz w:val="24"/>
                <w:szCs w:val="24"/>
              </w:rPr>
            </w:pPr>
            <w:r>
              <w:rPr>
                <w:sz w:val="24"/>
                <w:szCs w:val="24"/>
              </w:rPr>
              <w:t>Limit</w:t>
            </w:r>
            <w:r>
              <w:rPr>
                <w:spacing w:val="-3"/>
                <w:sz w:val="24"/>
                <w:szCs w:val="24"/>
              </w:rPr>
              <w:t xml:space="preserve"> </w:t>
            </w:r>
            <w:r>
              <w:rPr>
                <w:sz w:val="24"/>
                <w:szCs w:val="24"/>
              </w:rPr>
              <w:t>of</w:t>
            </w:r>
            <w:r>
              <w:rPr>
                <w:spacing w:val="-20"/>
                <w:sz w:val="24"/>
                <w:szCs w:val="24"/>
              </w:rPr>
              <w:t xml:space="preserve"> </w:t>
            </w:r>
            <w:r>
              <w:rPr>
                <w:spacing w:val="-2"/>
                <w:sz w:val="24"/>
                <w:szCs w:val="24"/>
              </w:rPr>
              <w:t>Quantification</w:t>
            </w:r>
          </w:p>
        </w:tc>
      </w:tr>
      <w:tr w:rsidR="005A19B5">
        <w:trPr>
          <w:trHeight w:val="550"/>
        </w:trPr>
        <w:tc>
          <w:tcPr>
            <w:tcW w:w="4269" w:type="dxa"/>
          </w:tcPr>
          <w:p w:rsidR="005A19B5" w:rsidRDefault="00D046F1">
            <w:pPr>
              <w:pStyle w:val="TableParagraph"/>
              <w:spacing w:line="240" w:lineRule="auto"/>
              <w:ind w:left="119"/>
              <w:rPr>
                <w:spacing w:val="-2"/>
                <w:sz w:val="24"/>
                <w:szCs w:val="24"/>
              </w:rPr>
            </w:pPr>
            <w:r>
              <w:rPr>
                <w:spacing w:val="-2"/>
                <w:sz w:val="24"/>
                <w:szCs w:val="24"/>
              </w:rPr>
              <w:t>IUPAC</w:t>
            </w:r>
          </w:p>
          <w:p w:rsidR="005A19B5" w:rsidRDefault="005A19B5">
            <w:pPr>
              <w:pStyle w:val="TableParagraph"/>
              <w:spacing w:line="240" w:lineRule="auto"/>
              <w:ind w:left="119"/>
              <w:rPr>
                <w:spacing w:val="-2"/>
                <w:sz w:val="24"/>
                <w:szCs w:val="24"/>
              </w:rPr>
            </w:pPr>
          </w:p>
          <w:p w:rsidR="005A19B5" w:rsidRDefault="005A19B5">
            <w:pPr>
              <w:pStyle w:val="TableParagraph"/>
              <w:spacing w:line="240" w:lineRule="auto"/>
              <w:ind w:left="119"/>
              <w:rPr>
                <w:spacing w:val="-2"/>
                <w:sz w:val="24"/>
                <w:szCs w:val="24"/>
              </w:rPr>
            </w:pPr>
          </w:p>
          <w:p w:rsidR="005A19B5" w:rsidRDefault="00D046F1">
            <w:pPr>
              <w:pStyle w:val="TableParagraph"/>
              <w:spacing w:line="240" w:lineRule="auto"/>
              <w:ind w:left="119"/>
              <w:rPr>
                <w:spacing w:val="-2"/>
                <w:sz w:val="24"/>
                <w:szCs w:val="24"/>
                <w:lang w:val="en-IN"/>
              </w:rPr>
            </w:pPr>
            <w:r>
              <w:rPr>
                <w:spacing w:val="-2"/>
                <w:sz w:val="24"/>
                <w:szCs w:val="24"/>
                <w:lang w:val="en-IN"/>
              </w:rPr>
              <w:t>CAS</w:t>
            </w:r>
          </w:p>
        </w:tc>
        <w:tc>
          <w:tcPr>
            <w:tcW w:w="4264" w:type="dxa"/>
          </w:tcPr>
          <w:p w:rsidR="005A19B5" w:rsidRDefault="00D046F1">
            <w:pPr>
              <w:pStyle w:val="TableParagraph"/>
              <w:spacing w:line="240" w:lineRule="auto"/>
              <w:ind w:left="115"/>
              <w:rPr>
                <w:spacing w:val="-2"/>
                <w:sz w:val="24"/>
                <w:szCs w:val="24"/>
              </w:rPr>
            </w:pPr>
            <w:r>
              <w:rPr>
                <w:sz w:val="24"/>
                <w:szCs w:val="24"/>
              </w:rPr>
              <w:t>International</w:t>
            </w:r>
            <w:r>
              <w:rPr>
                <w:spacing w:val="23"/>
                <w:sz w:val="24"/>
                <w:szCs w:val="24"/>
              </w:rPr>
              <w:t xml:space="preserve"> </w:t>
            </w:r>
            <w:r>
              <w:rPr>
                <w:sz w:val="24"/>
                <w:szCs w:val="24"/>
              </w:rPr>
              <w:t>Union of</w:t>
            </w:r>
            <w:r>
              <w:rPr>
                <w:spacing w:val="-4"/>
                <w:sz w:val="24"/>
                <w:szCs w:val="24"/>
              </w:rPr>
              <w:t xml:space="preserve"> </w:t>
            </w:r>
            <w:r>
              <w:rPr>
                <w:sz w:val="24"/>
                <w:szCs w:val="24"/>
              </w:rPr>
              <w:t>Pure and</w:t>
            </w:r>
            <w:r>
              <w:rPr>
                <w:spacing w:val="30"/>
                <w:sz w:val="24"/>
                <w:szCs w:val="24"/>
              </w:rPr>
              <w:t xml:space="preserve"> </w:t>
            </w:r>
            <w:r>
              <w:rPr>
                <w:sz w:val="24"/>
                <w:szCs w:val="24"/>
              </w:rPr>
              <w:t xml:space="preserve">Applied </w:t>
            </w:r>
            <w:r>
              <w:rPr>
                <w:spacing w:val="-2"/>
                <w:sz w:val="24"/>
                <w:szCs w:val="24"/>
              </w:rPr>
              <w:t>Chemistry</w:t>
            </w:r>
          </w:p>
          <w:p w:rsidR="005A19B5" w:rsidRDefault="005A19B5">
            <w:pPr>
              <w:pStyle w:val="TableParagraph"/>
              <w:spacing w:line="240" w:lineRule="auto"/>
              <w:ind w:left="115"/>
              <w:rPr>
                <w:spacing w:val="-2"/>
                <w:sz w:val="24"/>
                <w:szCs w:val="24"/>
              </w:rPr>
            </w:pPr>
          </w:p>
          <w:p w:rsidR="005A19B5" w:rsidRDefault="00D046F1">
            <w:pPr>
              <w:pStyle w:val="TableParagraph"/>
              <w:spacing w:line="240" w:lineRule="auto"/>
              <w:ind w:left="115"/>
              <w:rPr>
                <w:spacing w:val="-2"/>
                <w:sz w:val="24"/>
                <w:szCs w:val="24"/>
              </w:rPr>
            </w:pPr>
            <w:r>
              <w:rPr>
                <w:spacing w:val="-4"/>
                <w:sz w:val="24"/>
                <w:szCs w:val="24"/>
              </w:rPr>
              <w:t>Chemical</w:t>
            </w:r>
            <w:r>
              <w:rPr>
                <w:spacing w:val="-5"/>
                <w:sz w:val="24"/>
                <w:szCs w:val="24"/>
              </w:rPr>
              <w:t xml:space="preserve"> </w:t>
            </w:r>
            <w:r>
              <w:rPr>
                <w:spacing w:val="-4"/>
                <w:sz w:val="24"/>
                <w:szCs w:val="24"/>
              </w:rPr>
              <w:t>Abstracts</w:t>
            </w:r>
            <w:r>
              <w:rPr>
                <w:spacing w:val="-21"/>
                <w:sz w:val="24"/>
                <w:szCs w:val="24"/>
              </w:rPr>
              <w:t xml:space="preserve"> </w:t>
            </w:r>
            <w:r>
              <w:rPr>
                <w:spacing w:val="-4"/>
                <w:sz w:val="24"/>
                <w:szCs w:val="24"/>
              </w:rPr>
              <w:t>Service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FDA</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z w:val="24"/>
                <w:szCs w:val="24"/>
              </w:rPr>
              <w:t>Food</w:t>
            </w:r>
            <w:r>
              <w:rPr>
                <w:spacing w:val="-14"/>
                <w:sz w:val="24"/>
                <w:szCs w:val="24"/>
              </w:rPr>
              <w:t xml:space="preserve"> </w:t>
            </w:r>
            <w:r>
              <w:rPr>
                <w:sz w:val="24"/>
                <w:szCs w:val="24"/>
              </w:rPr>
              <w:t>and</w:t>
            </w:r>
            <w:r>
              <w:rPr>
                <w:spacing w:val="-9"/>
                <w:sz w:val="24"/>
                <w:szCs w:val="24"/>
              </w:rPr>
              <w:t xml:space="preserve"> </w:t>
            </w:r>
            <w:r>
              <w:rPr>
                <w:sz w:val="24"/>
                <w:szCs w:val="24"/>
              </w:rPr>
              <w:t>Drug</w:t>
            </w:r>
            <w:r>
              <w:rPr>
                <w:spacing w:val="-9"/>
                <w:sz w:val="24"/>
                <w:szCs w:val="24"/>
              </w:rPr>
              <w:t xml:space="preserve"> </w:t>
            </w:r>
            <w:r>
              <w:rPr>
                <w:spacing w:val="-2"/>
                <w:sz w:val="24"/>
                <w:szCs w:val="24"/>
              </w:rPr>
              <w:t>Administration</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3"/>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BCS</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2"/>
                <w:sz w:val="24"/>
                <w:szCs w:val="24"/>
              </w:rPr>
              <w:t>Biopharmaceutics</w:t>
            </w:r>
            <w:r>
              <w:rPr>
                <w:spacing w:val="-14"/>
                <w:sz w:val="24"/>
                <w:szCs w:val="24"/>
              </w:rPr>
              <w:t xml:space="preserve"> </w:t>
            </w:r>
            <w:r>
              <w:rPr>
                <w:spacing w:val="-2"/>
                <w:sz w:val="24"/>
                <w:szCs w:val="24"/>
              </w:rPr>
              <w:t>Classification</w:t>
            </w:r>
            <w:r>
              <w:rPr>
                <w:spacing w:val="-18"/>
                <w:sz w:val="24"/>
                <w:szCs w:val="24"/>
              </w:rPr>
              <w:t xml:space="preserve"> </w:t>
            </w:r>
            <w:r>
              <w:rPr>
                <w:spacing w:val="-2"/>
                <w:sz w:val="24"/>
                <w:szCs w:val="24"/>
              </w:rPr>
              <w:t>System</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4"/>
                <w:sz w:val="24"/>
                <w:szCs w:val="24"/>
              </w:rPr>
              <w:t>DMSO</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2"/>
                <w:sz w:val="24"/>
                <w:szCs w:val="24"/>
              </w:rPr>
              <w:t>Dimethyl</w:t>
            </w:r>
            <w:r>
              <w:rPr>
                <w:spacing w:val="-13"/>
                <w:sz w:val="24"/>
                <w:szCs w:val="24"/>
              </w:rPr>
              <w:t xml:space="preserve"> </w:t>
            </w:r>
            <w:r>
              <w:rPr>
                <w:spacing w:val="-2"/>
                <w:sz w:val="24"/>
                <w:szCs w:val="24"/>
              </w:rPr>
              <w:t>sulfoxide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4"/>
                <w:sz w:val="24"/>
                <w:szCs w:val="24"/>
              </w:rPr>
              <w:t>RAAS</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Renin-Angiotensin-</w:t>
            </w:r>
            <w:r>
              <w:rPr>
                <w:spacing w:val="35"/>
                <w:sz w:val="24"/>
                <w:szCs w:val="24"/>
              </w:rPr>
              <w:t xml:space="preserve"> </w:t>
            </w:r>
            <w:r>
              <w:rPr>
                <w:spacing w:val="-2"/>
                <w:sz w:val="24"/>
                <w:szCs w:val="24"/>
              </w:rPr>
              <w:t>Aldosterone-System</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4"/>
                <w:sz w:val="24"/>
                <w:szCs w:val="24"/>
              </w:rPr>
              <w:t>DAPA</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Dapagliflozin</w:t>
            </w:r>
            <w:r>
              <w:rPr>
                <w:spacing w:val="-12"/>
                <w:sz w:val="24"/>
                <w:szCs w:val="24"/>
              </w:rPr>
              <w:t xml:space="preserve"> </w:t>
            </w:r>
            <w:r>
              <w:rPr>
                <w:sz w:val="24"/>
                <w:szCs w:val="24"/>
              </w:rPr>
              <w:t>Propanediol</w:t>
            </w:r>
            <w:r>
              <w:rPr>
                <w:spacing w:val="23"/>
                <w:sz w:val="24"/>
                <w:szCs w:val="24"/>
              </w:rPr>
              <w:t xml:space="preserve"> </w:t>
            </w:r>
            <w:r>
              <w:rPr>
                <w:spacing w:val="-2"/>
                <w:sz w:val="24"/>
                <w:szCs w:val="24"/>
              </w:rPr>
              <w:t>Monohydrate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4"/>
                <w:sz w:val="24"/>
                <w:szCs w:val="24"/>
              </w:rPr>
              <w:t>EPLE</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Eplerenone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ACN</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Acetonitrile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QbD</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Quality</w:t>
            </w:r>
            <w:r>
              <w:rPr>
                <w:spacing w:val="-10"/>
                <w:sz w:val="24"/>
                <w:szCs w:val="24"/>
              </w:rPr>
              <w:t xml:space="preserve"> </w:t>
            </w:r>
            <w:r>
              <w:rPr>
                <w:sz w:val="24"/>
                <w:szCs w:val="24"/>
              </w:rPr>
              <w:t>by</w:t>
            </w:r>
            <w:r>
              <w:rPr>
                <w:spacing w:val="-10"/>
                <w:sz w:val="24"/>
                <w:szCs w:val="24"/>
              </w:rPr>
              <w:t xml:space="preserve"> </w:t>
            </w:r>
            <w:r>
              <w:rPr>
                <w:spacing w:val="-2"/>
                <w:sz w:val="24"/>
                <w:szCs w:val="24"/>
              </w:rPr>
              <w:t>Design</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8"/>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MET</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Metformin</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BDS</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Base</w:t>
            </w:r>
            <w:r>
              <w:rPr>
                <w:spacing w:val="-6"/>
                <w:sz w:val="24"/>
                <w:szCs w:val="24"/>
              </w:rPr>
              <w:t xml:space="preserve"> </w:t>
            </w:r>
            <w:r>
              <w:rPr>
                <w:sz w:val="24"/>
                <w:szCs w:val="24"/>
              </w:rPr>
              <w:t>Deactivated</w:t>
            </w:r>
            <w:r>
              <w:rPr>
                <w:spacing w:val="-4"/>
                <w:sz w:val="24"/>
                <w:szCs w:val="24"/>
              </w:rPr>
              <w:t xml:space="preserve"> </w:t>
            </w:r>
            <w:r>
              <w:rPr>
                <w:spacing w:val="-2"/>
                <w:sz w:val="24"/>
                <w:szCs w:val="24"/>
              </w:rPr>
              <w:t>Silica</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OPA</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Ortho</w:t>
            </w:r>
            <w:r>
              <w:rPr>
                <w:spacing w:val="-16"/>
                <w:sz w:val="24"/>
                <w:szCs w:val="24"/>
              </w:rPr>
              <w:t xml:space="preserve"> </w:t>
            </w:r>
            <w:r>
              <w:rPr>
                <w:sz w:val="24"/>
                <w:szCs w:val="24"/>
              </w:rPr>
              <w:t>Phosphoric</w:t>
            </w:r>
            <w:r>
              <w:rPr>
                <w:spacing w:val="-3"/>
                <w:sz w:val="24"/>
                <w:szCs w:val="24"/>
              </w:rPr>
              <w:t xml:space="preserve"> </w:t>
            </w:r>
            <w:r>
              <w:rPr>
                <w:spacing w:val="-4"/>
                <w:sz w:val="24"/>
                <w:szCs w:val="24"/>
              </w:rPr>
              <w:t>Acid</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545"/>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4"/>
                <w:sz w:val="24"/>
                <w:szCs w:val="24"/>
              </w:rPr>
              <w:t>LC-</w:t>
            </w:r>
            <w:r>
              <w:rPr>
                <w:spacing w:val="-5"/>
                <w:sz w:val="24"/>
                <w:szCs w:val="24"/>
              </w:rPr>
              <w:t>MS</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tabs>
                <w:tab w:val="left" w:pos="1943"/>
              </w:tabs>
              <w:spacing w:line="240" w:lineRule="auto"/>
              <w:ind w:left="115" w:right="167"/>
              <w:rPr>
                <w:sz w:val="24"/>
                <w:szCs w:val="24"/>
              </w:rPr>
            </w:pPr>
            <w:r>
              <w:rPr>
                <w:spacing w:val="-2"/>
                <w:sz w:val="24"/>
                <w:szCs w:val="24"/>
              </w:rPr>
              <w:t>Liquid</w:t>
            </w:r>
            <w:r>
              <w:rPr>
                <w:spacing w:val="-2"/>
                <w:sz w:val="24"/>
                <w:szCs w:val="24"/>
                <w:lang w:val="en-IN"/>
              </w:rPr>
              <w:t xml:space="preserve"> </w:t>
            </w:r>
            <w:r>
              <w:rPr>
                <w:spacing w:val="-6"/>
                <w:sz w:val="24"/>
                <w:szCs w:val="24"/>
              </w:rPr>
              <w:t xml:space="preserve">Chromatography-Mass </w:t>
            </w:r>
            <w:r>
              <w:rPr>
                <w:spacing w:val="-2"/>
                <w:sz w:val="24"/>
                <w:szCs w:val="24"/>
              </w:rPr>
              <w:t>Spectrometry</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552"/>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4"/>
                <w:sz w:val="24"/>
                <w:szCs w:val="24"/>
              </w:rPr>
              <w:t>UPLC</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tabs>
                <w:tab w:val="left" w:pos="1454"/>
                <w:tab w:val="left" w:pos="3513"/>
              </w:tabs>
              <w:spacing w:line="240" w:lineRule="auto"/>
              <w:ind w:left="115"/>
              <w:rPr>
                <w:sz w:val="24"/>
                <w:szCs w:val="24"/>
              </w:rPr>
            </w:pPr>
            <w:r>
              <w:rPr>
                <w:spacing w:val="-2"/>
                <w:sz w:val="24"/>
                <w:szCs w:val="24"/>
              </w:rPr>
              <w:t>Ultra</w:t>
            </w:r>
            <w:r>
              <w:rPr>
                <w:spacing w:val="-2"/>
                <w:sz w:val="24"/>
                <w:szCs w:val="24"/>
                <w:lang w:val="en-IN"/>
              </w:rPr>
              <w:t xml:space="preserve"> </w:t>
            </w:r>
            <w:r>
              <w:rPr>
                <w:spacing w:val="-2"/>
                <w:sz w:val="24"/>
                <w:szCs w:val="24"/>
              </w:rPr>
              <w:t>Performance</w:t>
            </w:r>
            <w:r>
              <w:rPr>
                <w:spacing w:val="-2"/>
                <w:sz w:val="24"/>
                <w:szCs w:val="24"/>
                <w:lang w:val="en-IN"/>
              </w:rPr>
              <w:t xml:space="preserve"> </w:t>
            </w:r>
            <w:r>
              <w:rPr>
                <w:spacing w:val="-2"/>
                <w:sz w:val="24"/>
                <w:szCs w:val="24"/>
              </w:rPr>
              <w:t>Liquid</w:t>
            </w:r>
          </w:p>
          <w:p w:rsidR="005A19B5" w:rsidRDefault="00D046F1">
            <w:pPr>
              <w:pStyle w:val="TableParagraph"/>
              <w:spacing w:line="240" w:lineRule="auto"/>
              <w:ind w:left="115"/>
              <w:rPr>
                <w:sz w:val="24"/>
                <w:szCs w:val="24"/>
              </w:rPr>
            </w:pPr>
            <w:r>
              <w:rPr>
                <w:spacing w:val="-2"/>
                <w:sz w:val="24"/>
                <w:szCs w:val="24"/>
              </w:rPr>
              <w:t>Chromatography</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z w:val="24"/>
                <w:szCs w:val="24"/>
              </w:rPr>
              <w:t>AR</w:t>
            </w:r>
            <w:r>
              <w:rPr>
                <w:spacing w:val="-10"/>
                <w:sz w:val="24"/>
                <w:szCs w:val="24"/>
              </w:rPr>
              <w:t xml:space="preserve"> </w:t>
            </w:r>
            <w:r>
              <w:rPr>
                <w:spacing w:val="-2"/>
                <w:sz w:val="24"/>
                <w:szCs w:val="24"/>
              </w:rPr>
              <w:t>Grade</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Analytical</w:t>
            </w:r>
            <w:r>
              <w:rPr>
                <w:spacing w:val="-16"/>
                <w:sz w:val="24"/>
                <w:szCs w:val="24"/>
              </w:rPr>
              <w:t xml:space="preserve"> </w:t>
            </w:r>
            <w:r>
              <w:rPr>
                <w:sz w:val="24"/>
                <w:szCs w:val="24"/>
              </w:rPr>
              <w:t>Reagent</w:t>
            </w:r>
            <w:r>
              <w:rPr>
                <w:spacing w:val="8"/>
                <w:sz w:val="24"/>
                <w:szCs w:val="24"/>
              </w:rPr>
              <w:t xml:space="preserve"> </w:t>
            </w:r>
            <w:r>
              <w:rPr>
                <w:spacing w:val="-4"/>
                <w:sz w:val="24"/>
                <w:szCs w:val="24"/>
              </w:rPr>
              <w:t>Grade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4"/>
                <w:sz w:val="24"/>
                <w:szCs w:val="24"/>
              </w:rPr>
              <w:t>PVDF</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Polyvinylidene</w:t>
            </w:r>
            <w:r>
              <w:rPr>
                <w:spacing w:val="-16"/>
                <w:sz w:val="24"/>
                <w:szCs w:val="24"/>
              </w:rPr>
              <w:t xml:space="preserve"> </w:t>
            </w:r>
            <w:r>
              <w:rPr>
                <w:sz w:val="24"/>
                <w:szCs w:val="24"/>
              </w:rPr>
              <w:t>Fluoride</w:t>
            </w:r>
            <w:r>
              <w:rPr>
                <w:spacing w:val="-10"/>
                <w:sz w:val="24"/>
                <w:szCs w:val="24"/>
              </w:rPr>
              <w:t xml:space="preserve"> </w:t>
            </w:r>
            <w:r>
              <w:rPr>
                <w:spacing w:val="-2"/>
                <w:sz w:val="24"/>
                <w:szCs w:val="24"/>
              </w:rPr>
              <w:t>Filter</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SST</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77"/>
              <w:rPr>
                <w:sz w:val="24"/>
                <w:szCs w:val="24"/>
              </w:rPr>
            </w:pPr>
            <w:r>
              <w:rPr>
                <w:sz w:val="24"/>
                <w:szCs w:val="24"/>
              </w:rPr>
              <w:t>System</w:t>
            </w:r>
            <w:r>
              <w:rPr>
                <w:spacing w:val="-18"/>
                <w:sz w:val="24"/>
                <w:szCs w:val="24"/>
              </w:rPr>
              <w:t xml:space="preserve"> </w:t>
            </w:r>
            <w:r>
              <w:rPr>
                <w:sz w:val="24"/>
                <w:szCs w:val="24"/>
              </w:rPr>
              <w:t>Suitability</w:t>
            </w:r>
            <w:r>
              <w:rPr>
                <w:spacing w:val="-14"/>
                <w:sz w:val="24"/>
                <w:szCs w:val="24"/>
              </w:rPr>
              <w:t xml:space="preserve"> </w:t>
            </w:r>
            <w:r>
              <w:rPr>
                <w:spacing w:val="-4"/>
                <w:sz w:val="24"/>
                <w:szCs w:val="24"/>
              </w:rPr>
              <w:t>Test</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2"/>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RT</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Retention</w:t>
            </w:r>
            <w:r>
              <w:rPr>
                <w:spacing w:val="1"/>
                <w:sz w:val="24"/>
                <w:szCs w:val="24"/>
              </w:rPr>
              <w:t xml:space="preserve"> </w:t>
            </w:r>
            <w:r>
              <w:rPr>
                <w:spacing w:val="-4"/>
                <w:sz w:val="24"/>
                <w:szCs w:val="24"/>
              </w:rPr>
              <w:t>Time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Rs</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Resolution</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10"/>
                <w:sz w:val="24"/>
                <w:szCs w:val="24"/>
              </w:rPr>
              <w:t>%</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Percentage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3"/>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°C</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Degree</w:t>
            </w:r>
            <w:r>
              <w:rPr>
                <w:spacing w:val="-2"/>
                <w:sz w:val="24"/>
                <w:szCs w:val="24"/>
              </w:rPr>
              <w:t xml:space="preserve"> Celsius</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6"/>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2"/>
                <w:sz w:val="24"/>
                <w:szCs w:val="24"/>
              </w:rPr>
              <w:t>µg/mL.</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Microgram</w:t>
            </w:r>
            <w:r>
              <w:rPr>
                <w:spacing w:val="-12"/>
                <w:sz w:val="24"/>
                <w:szCs w:val="24"/>
              </w:rPr>
              <w:t xml:space="preserve"> </w:t>
            </w:r>
            <w:r>
              <w:rPr>
                <w:sz w:val="24"/>
                <w:szCs w:val="24"/>
              </w:rPr>
              <w:t>Per</w:t>
            </w:r>
            <w:r>
              <w:rPr>
                <w:spacing w:val="8"/>
                <w:sz w:val="24"/>
                <w:szCs w:val="24"/>
              </w:rPr>
              <w:t xml:space="preserve"> </w:t>
            </w:r>
            <w:r>
              <w:rPr>
                <w:spacing w:val="-2"/>
                <w:sz w:val="24"/>
                <w:szCs w:val="24"/>
              </w:rPr>
              <w:t>Millilitre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3"/>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µg</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Microlitre</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6"/>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Pka</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pacing w:val="-2"/>
                <w:sz w:val="24"/>
                <w:szCs w:val="24"/>
              </w:rPr>
              <w:t>Dissociation</w:t>
            </w:r>
            <w:r>
              <w:rPr>
                <w:spacing w:val="2"/>
                <w:sz w:val="24"/>
                <w:szCs w:val="24"/>
              </w:rPr>
              <w:t xml:space="preserve"> </w:t>
            </w:r>
            <w:r>
              <w:rPr>
                <w:spacing w:val="-2"/>
                <w:sz w:val="24"/>
                <w:szCs w:val="24"/>
              </w:rPr>
              <w:t>Constant</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3"/>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z w:val="24"/>
                <w:szCs w:val="24"/>
              </w:rPr>
              <w:t>Log</w:t>
            </w:r>
            <w:r>
              <w:rPr>
                <w:spacing w:val="2"/>
                <w:sz w:val="24"/>
                <w:szCs w:val="24"/>
              </w:rPr>
              <w:t xml:space="preserve"> </w:t>
            </w:r>
            <w:r>
              <w:rPr>
                <w:spacing w:val="-10"/>
                <w:sz w:val="24"/>
                <w:szCs w:val="24"/>
              </w:rPr>
              <w:t>P</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Partition</w:t>
            </w:r>
            <w:r>
              <w:rPr>
                <w:spacing w:val="-11"/>
                <w:sz w:val="24"/>
                <w:szCs w:val="24"/>
              </w:rPr>
              <w:t xml:space="preserve"> </w:t>
            </w:r>
            <w:r>
              <w:rPr>
                <w:sz w:val="24"/>
                <w:szCs w:val="24"/>
              </w:rPr>
              <w:t>Co-</w:t>
            </w:r>
            <w:r>
              <w:rPr>
                <w:spacing w:val="-2"/>
                <w:sz w:val="24"/>
                <w:szCs w:val="24"/>
              </w:rPr>
              <w:t>efficient</w:t>
            </w:r>
          </w:p>
        </w:tc>
      </w:tr>
      <w:tr w:rsidR="005A19B5">
        <w:tblPrEx>
          <w:tblBorders>
            <w:top w:val="single" w:sz="24" w:space="0" w:color="BC0000"/>
            <w:left w:val="single" w:sz="24" w:space="0" w:color="BC0000"/>
            <w:bottom w:val="single" w:sz="24" w:space="0" w:color="BC0000"/>
            <w:right w:val="single" w:sz="24" w:space="0" w:color="BC0000"/>
            <w:insideH w:val="single" w:sz="24" w:space="0" w:color="BC0000"/>
            <w:insideV w:val="single" w:sz="24" w:space="0" w:color="BC0000"/>
          </w:tblBorders>
        </w:tblPrEx>
        <w:trPr>
          <w:trHeight w:val="277"/>
        </w:trPr>
        <w:tc>
          <w:tcPr>
            <w:tcW w:w="4269"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9"/>
              <w:rPr>
                <w:sz w:val="24"/>
                <w:szCs w:val="24"/>
              </w:rPr>
            </w:pPr>
            <w:r>
              <w:rPr>
                <w:spacing w:val="-5"/>
                <w:sz w:val="24"/>
                <w:szCs w:val="24"/>
              </w:rPr>
              <w:t>Tf</w:t>
            </w:r>
          </w:p>
        </w:tc>
        <w:tc>
          <w:tcPr>
            <w:tcW w:w="4264" w:type="dxa"/>
            <w:tcBorders>
              <w:top w:val="single" w:sz="4" w:space="0" w:color="000000"/>
              <w:left w:val="single" w:sz="4" w:space="0" w:color="000000"/>
              <w:bottom w:val="single" w:sz="4" w:space="0" w:color="000000"/>
              <w:right w:val="single" w:sz="4" w:space="0" w:color="000000"/>
            </w:tcBorders>
          </w:tcPr>
          <w:p w:rsidR="005A19B5" w:rsidRDefault="00D046F1">
            <w:pPr>
              <w:pStyle w:val="TableParagraph"/>
              <w:spacing w:line="240" w:lineRule="auto"/>
              <w:ind w:left="115"/>
              <w:rPr>
                <w:sz w:val="24"/>
                <w:szCs w:val="24"/>
              </w:rPr>
            </w:pPr>
            <w:r>
              <w:rPr>
                <w:sz w:val="24"/>
                <w:szCs w:val="24"/>
              </w:rPr>
              <w:t>Tailing</w:t>
            </w:r>
            <w:r>
              <w:rPr>
                <w:spacing w:val="-14"/>
                <w:sz w:val="24"/>
                <w:szCs w:val="24"/>
              </w:rPr>
              <w:t xml:space="preserve"> </w:t>
            </w:r>
            <w:r>
              <w:rPr>
                <w:spacing w:val="-2"/>
                <w:sz w:val="24"/>
                <w:szCs w:val="24"/>
              </w:rPr>
              <w:t>Factor</w:t>
            </w:r>
          </w:p>
        </w:tc>
      </w:tr>
    </w:tbl>
    <w:p w:rsidR="005A19B5" w:rsidRDefault="00D046F1">
      <w:pPr>
        <w:spacing w:line="240" w:lineRule="auto"/>
        <w:rPr>
          <w:rFonts w:ascii="Times New Roman" w:hAnsi="Times New Roman" w:cs="Times New Roman"/>
          <w:b/>
          <w:bCs/>
          <w:sz w:val="24"/>
          <w:szCs w:val="24"/>
        </w:rPr>
        <w:sectPr w:rsidR="005A19B5">
          <w:headerReference w:type="default" r:id="rId65"/>
          <w:pgSz w:w="11906" w:h="16838"/>
          <w:pgMar w:top="431" w:right="238" w:bottom="238" w:left="238" w:header="346" w:footer="403" w:gutter="0"/>
          <w:pgBorders>
            <w:top w:val="thinThickSmallGap" w:sz="24" w:space="1" w:color="C00000"/>
            <w:bottom w:val="thickThinSmallGap" w:sz="24" w:space="1" w:color="C00000"/>
          </w:pgBorders>
          <w:cols w:space="708"/>
          <w:docGrid w:linePitch="360"/>
        </w:sectPr>
      </w:pPr>
      <w:r>
        <w:rPr>
          <w:rFonts w:ascii="Times New Roman" w:hAnsi="Times New Roman" w:cs="Times New Roman"/>
          <w:b/>
          <w:bCs/>
          <w:sz w:val="24"/>
          <w:szCs w:val="24"/>
        </w:rPr>
        <w:t xml:space="preserve"> </w:t>
      </w:r>
    </w:p>
    <w:p w:rsidR="005A19B5" w:rsidRDefault="00D046F1">
      <w:pPr>
        <w:spacing w:line="240" w:lineRule="auto"/>
        <w:rPr>
          <w:rFonts w:ascii="Times New Roman" w:hAnsi="Times New Roman" w:cs="Times New Roman"/>
          <w:b/>
          <w:bCs/>
          <w:sz w:val="28"/>
          <w:szCs w:val="28"/>
        </w:rPr>
      </w:pPr>
      <w:r>
        <w:rPr>
          <w:rFonts w:ascii="Times New Roman" w:hAnsi="Times New Roman" w:cs="Times New Roman"/>
          <w:b/>
          <w:bCs/>
          <w:sz w:val="28"/>
          <w:szCs w:val="28"/>
        </w:rPr>
        <w:t>REFERENCES</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1.Olokoba, A. B., Obateru, O. A., &amp; Olokoba, L. B. (2012). Type 2 diabetes mellitus: A review of current trends. Oman Medical Journal, 27(4), 269–273.</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2.Provenzano, M., Puchades, M. J., Garofalo, C., Jongs, N., D’Marco, L., Andreucci, M., De Nicola, L., &amp; Gorriz, J. L. (2022). Albuminuria-lowering effect of dapagliflozin, eplerenone, and their combination in patients with chronic kidney disease: A random</w:t>
      </w:r>
      <w:r>
        <w:rPr>
          <w:rFonts w:ascii="Times New Roman" w:hAnsi="Times New Roman"/>
          <w:sz w:val="24"/>
          <w:szCs w:val="24"/>
        </w:rPr>
        <w:t>ized crossover clinical trial. Journal of the American Society of Nephrology, 33(8), 1569–1580.</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3.Soulié, M., Stephan, Y., Durand, M., Lima-Posada, I., Palacios-Ramírez, R., Nicol, L., Lopez-Andres, N., Mulder, P., &amp; Jaisser, F. (2024). Benefit of combinat</w:t>
      </w:r>
      <w:r>
        <w:rPr>
          <w:rFonts w:ascii="Times New Roman" w:hAnsi="Times New Roman"/>
          <w:sz w:val="24"/>
          <w:szCs w:val="24"/>
        </w:rPr>
        <w:t>ion therapy with dapagliflozin and eplerenone on cardiac function and fibrosis in rats with non-diabetic chronic kidney disease. Scientific Reports, 14(1), 23955.</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4.CDSCO. (2024). FDC of dapagliflozin and eplerenone. Retrieved August 28, 2025, from https:/</w:t>
      </w:r>
      <w:r>
        <w:rPr>
          <w:rFonts w:ascii="Times New Roman" w:hAnsi="Times New Roman"/>
          <w:sz w:val="24"/>
          <w:szCs w:val="24"/>
        </w:rPr>
        <w:t>/www.cdsco.gov.in/opencms/resources/UploadCDSCOWeb/2018/UploadCTApprovals/FDC_MA_24_000133_Exemed.pdf</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5.Rajamahanti, S. G. (2017). Analytical method development and validation of a few drugs by RP-HPLC in pharmaceutical dosage forms (PhD thesis). Andhra Un</w:t>
      </w:r>
      <w:r>
        <w:rPr>
          <w:rFonts w:ascii="Times New Roman" w:hAnsi="Times New Roman"/>
          <w:sz w:val="24"/>
          <w:szCs w:val="24"/>
        </w:rPr>
        <w:t>iversity.</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6.Braun, R. D. (2012). Introduction to instrumental analysis (2nd ed.). PharmaMed Press/BSP Books.</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7.Bose, A. (2014). HPLC calibration process parameters in terms of system suitability test. Austin Chromatography, 1(2), 1–4.</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8.Patil, P. S., &amp; Kav</w:t>
      </w:r>
      <w:r>
        <w:rPr>
          <w:rFonts w:ascii="Times New Roman" w:hAnsi="Times New Roman"/>
          <w:sz w:val="24"/>
          <w:szCs w:val="24"/>
        </w:rPr>
        <w:t>ita, D. (2022). High-performance liquid chromatography (HPLC) method development and validation. International Journal of Pharmaceutical Sciences Review and Research, 74(2), 23–29.</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9.International Council for Harmonisation (ICH). (2022). Validation of anal</w:t>
      </w:r>
      <w:r>
        <w:rPr>
          <w:rFonts w:ascii="Times New Roman" w:hAnsi="Times New Roman"/>
          <w:sz w:val="24"/>
          <w:szCs w:val="24"/>
        </w:rPr>
        <w:t>ytical procedures: Text and methodology Q2(R2).Retrieved</w:t>
      </w:r>
      <w:r>
        <w:rPr>
          <w:rFonts w:ascii="Times New Roman" w:hAnsi="Times New Roman"/>
          <w:sz w:val="24"/>
          <w:szCs w:val="24"/>
        </w:rPr>
        <w:t xml:space="preserve"> </w:t>
      </w:r>
      <w:r>
        <w:rPr>
          <w:rFonts w:ascii="Times New Roman" w:hAnsi="Times New Roman"/>
          <w:sz w:val="24"/>
          <w:szCs w:val="24"/>
        </w:rPr>
        <w:t>from https://database.ich.org/sites/default/files/ICH_Q2-R2_Document_Step2_Guideline_2022_0324.pdf</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10.Vidushi, Y., Meenakshi, B., &amp; Bharkatiya, M. (2017). A review on HPLC method development and vali</w:t>
      </w:r>
      <w:r>
        <w:rPr>
          <w:rFonts w:ascii="Times New Roman" w:hAnsi="Times New Roman"/>
          <w:sz w:val="24"/>
          <w:szCs w:val="24"/>
        </w:rPr>
        <w:t>dation. Research Journal of Life Sciences, Bioinformatics, Pharmaceutical and Chemical Sciences, 2(6), 166–178.</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11.DrugBank. (2025). Dapagliflozin propanediol monohydrate. Retrieved September 2, 2025, from https://go.drugbank.com/drugs/DB06292</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12.DrugBank.</w:t>
      </w:r>
      <w:r>
        <w:rPr>
          <w:rFonts w:ascii="Times New Roman" w:hAnsi="Times New Roman"/>
          <w:sz w:val="24"/>
          <w:szCs w:val="24"/>
        </w:rPr>
        <w:t xml:space="preserve"> (2025). Eplerenone. Retrieved September 3, 2025, from https://go.drugbank.com/drugs/DB00700</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13.PubChem. (2025). Eplerenone. Retrieved September 3, 2025, from https://pubchem.ncbi.nlm.nih.gov/compound/Eplerenone</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14.United States Pharmacopeia. (2024). Unite</w:t>
      </w:r>
      <w:r>
        <w:rPr>
          <w:rFonts w:ascii="Times New Roman" w:hAnsi="Times New Roman"/>
          <w:sz w:val="24"/>
          <w:szCs w:val="24"/>
        </w:rPr>
        <w:t>d States pharmacopeia and national formulary (pp. 1364–1365).</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Mante, G. V., Gupta, K. R., &amp; Hemke, A. T. (2017). Estimation of dapagliflozin from its tablet formulation by UV-spectrophotometry. Pharmaceutical Methods, 8(2), 102–107.</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16.Vadla, S., Putta</w:t>
      </w:r>
      <w:r>
        <w:rPr>
          <w:rFonts w:ascii="Times New Roman" w:hAnsi="Times New Roman"/>
          <w:sz w:val="24"/>
          <w:szCs w:val="24"/>
        </w:rPr>
        <w:t>, V., Nadipudi, S., Bilakanti, S., &amp; Kudumula, N. (2023). Estimation method for dapagliflozin in bulk and marketed dosage form. International Journal of Pharmaceutical and Phytopharmacological Research, 13(4), 1–6.</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17.Debata, J., Kumar, S., Jha, S. K., &amp; K</w:t>
      </w:r>
      <w:r>
        <w:rPr>
          <w:rFonts w:ascii="Times New Roman" w:hAnsi="Times New Roman"/>
          <w:sz w:val="24"/>
          <w:szCs w:val="24"/>
        </w:rPr>
        <w:t>han, A. (2017). A new RP-HPLC method development and validation of dapagliflozin. International Journal of Drug Development and Research, 9(2), 48–51.</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 xml:space="preserve">18.Mante, G. V., Hemke, A. T., &amp; Umekar, M. J. (2018). RP-HPLC method for estimation of dapagliflozin. </w:t>
      </w:r>
      <w:r>
        <w:rPr>
          <w:rFonts w:ascii="Times New Roman" w:hAnsi="Times New Roman"/>
          <w:sz w:val="24"/>
          <w:szCs w:val="24"/>
        </w:rPr>
        <w:t>International Journal of ChemTech Research, 11(1), 242–248.</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19.Manoharan, G., Ismaiel, A. M., &amp; Ahmed, Z. M. (2018). Stability-indicating RP-HPLC method development. Chemical Research Journal, 3(2), 159–164.</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20.Verma, M. V., Patel, C. J., &amp; Patel, M. M. (2</w:t>
      </w:r>
      <w:r>
        <w:rPr>
          <w:rFonts w:ascii="Times New Roman" w:hAnsi="Times New Roman"/>
          <w:sz w:val="24"/>
          <w:szCs w:val="24"/>
        </w:rPr>
        <w:t xml:space="preserve">017). Development and stability indicating HPLC method. </w:t>
      </w:r>
    </w:p>
    <w:p w:rsidR="005A19B5" w:rsidRDefault="005A19B5">
      <w:pPr>
        <w:tabs>
          <w:tab w:val="left" w:pos="720"/>
          <w:tab w:val="left" w:pos="2595"/>
        </w:tabs>
        <w:spacing w:line="240" w:lineRule="auto"/>
        <w:jc w:val="both"/>
        <w:rPr>
          <w:rFonts w:ascii="Times New Roman" w:hAnsi="Times New Roman"/>
          <w:sz w:val="24"/>
          <w:szCs w:val="24"/>
        </w:rPr>
      </w:pPr>
    </w:p>
    <w:p w:rsidR="005A19B5" w:rsidRDefault="005A19B5">
      <w:pPr>
        <w:tabs>
          <w:tab w:val="left" w:pos="720"/>
          <w:tab w:val="left" w:pos="2595"/>
        </w:tabs>
        <w:spacing w:line="240" w:lineRule="auto"/>
        <w:jc w:val="both"/>
        <w:rPr>
          <w:rFonts w:ascii="Times New Roman" w:hAnsi="Times New Roman"/>
          <w:sz w:val="24"/>
          <w:szCs w:val="24"/>
        </w:rPr>
      </w:pP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International Journal of Applied Pharmaceutics, 9(5), 33–41.</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21.Rao, B. R., Rao, V. V., &amp; Venkateswarlu, B. S. (2019). RP-HPLC method for simultaneous estimation of dapagliflozin and saxagliptin in</w:t>
      </w:r>
      <w:r>
        <w:rPr>
          <w:rFonts w:ascii="Times New Roman" w:hAnsi="Times New Roman"/>
          <w:sz w:val="24"/>
          <w:szCs w:val="24"/>
        </w:rPr>
        <w:t xml:space="preserve"> bulk samples. Journal of Pharmaceutical Sciences and Research, 11(1), 254–257.</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22.Deepan, T., &amp; Dhanaraju, M. D. (2018). Stability indicating HPLC method for the simultaneous determination of dapagliflozin and saxagliptin. Current Issues in Pharmacy and M</w:t>
      </w:r>
      <w:r>
        <w:rPr>
          <w:rFonts w:ascii="Times New Roman" w:hAnsi="Times New Roman"/>
          <w:sz w:val="24"/>
          <w:szCs w:val="24"/>
        </w:rPr>
        <w:t>edical Sciences, 31(1), 39–43.</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23.Sharif, S., Bashir, R., Adnan, A., Mansoor, S., Ahmad, I., Ch, A. R., &amp; Tahir, M. S. (2020). Stability indicating, pH and pKa dependent HPLC–DAD method for simultaneous determination of SGLT2 inhibitors. Chromatographia, 8</w:t>
      </w:r>
      <w:r>
        <w:rPr>
          <w:rFonts w:ascii="Times New Roman" w:hAnsi="Times New Roman"/>
          <w:sz w:val="24"/>
          <w:szCs w:val="24"/>
        </w:rPr>
        <w:t>3(12), 1453–1465.</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24.Siddique, W., Zulcaif, Umar, H., Usmani, S. J., Waqas, M., Gul, M., &amp; Gul, M. (2025). Method development and validation of metformin HCl and dapagliflozin by RP-HPLC. Acta Chromatographica, 37(2), 176–182.</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25.Kladi, E., Zerva, M., &amp; Do</w:t>
      </w:r>
      <w:r>
        <w:rPr>
          <w:rFonts w:ascii="Times New Roman" w:hAnsi="Times New Roman"/>
          <w:sz w:val="24"/>
          <w:szCs w:val="24"/>
        </w:rPr>
        <w:t>tsikas, Y. (2024). A novel HPLC method for the simultaneous determination of empagliflozin and dapagliflozin. Archives of Pharmacy, 74(2), 267–280.</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26.Prajapati, P., Rana, B., Pulusu, V. S., &amp; Shah, S. (2024). Simultaneous chromatographic estimation of vil</w:t>
      </w:r>
      <w:r>
        <w:rPr>
          <w:rFonts w:ascii="Times New Roman" w:hAnsi="Times New Roman"/>
          <w:sz w:val="24"/>
          <w:szCs w:val="24"/>
        </w:rPr>
        <w:t>dagliptin and dapagliflozin. Journal of AOAC International, 107(1), 212–222.</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27.Indian Pharmacopoeia Commission. (2022). Indian pharmacopoeia (Vol. 2, pp. 2250–2251). Ghaziabad, India.</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28.British Pharmacopoeia Commission. (2024). British pharmacopoeia.</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29.</w:t>
      </w:r>
      <w:r>
        <w:rPr>
          <w:rFonts w:ascii="Times New Roman" w:hAnsi="Times New Roman"/>
          <w:sz w:val="24"/>
          <w:szCs w:val="24"/>
        </w:rPr>
        <w:t xml:space="preserve">Shailaja, B., Swarna, K., Afreen, M., &amp; Kumar, A. (2015). A rapid assay method development and validation for </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estimation of eplerenone. International Journal of Pharmacy and Pharmaceutical Sciences, 7(9), 327–330.</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30.Manasa, P., Jaffer, S. K., Ashwini, M.</w:t>
      </w:r>
      <w:r>
        <w:rPr>
          <w:rFonts w:ascii="Times New Roman" w:hAnsi="Times New Roman"/>
          <w:sz w:val="24"/>
          <w:szCs w:val="24"/>
        </w:rPr>
        <w:t>, &amp; Kumar, A. A. (2015). A simple UV assay method development for estimation of eplerenone. International Journal of Pharmacy and Pharmaceutical Sciences, 7(10), 348–351.</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31.Rane, V. P., Patil, K. R., Sangshetti, J. N., Yeole, R. D., &amp; Shinde, D. B. (2009)</w:t>
      </w:r>
      <w:r>
        <w:rPr>
          <w:rFonts w:ascii="Times New Roman" w:hAnsi="Times New Roman"/>
          <w:sz w:val="24"/>
          <w:szCs w:val="24"/>
        </w:rPr>
        <w:t>. Stability-indicating RP-HPLC method for analysis of eplerenone. Acta Chromatographica, 21(4), 619–629.</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32.Gide, P., Sonawane, S., &amp; Chitnis, A. (2012). Development and validation of RP-HPLC method for estimation of eplerenone in spiked human plasma. Jour</w:t>
      </w:r>
      <w:r>
        <w:rPr>
          <w:rFonts w:ascii="Times New Roman" w:hAnsi="Times New Roman"/>
          <w:sz w:val="24"/>
          <w:szCs w:val="24"/>
        </w:rPr>
        <w:t>nal of Pharmaceutical Analysis, 2(5), 390–393.</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33.Zhang, J. Y., Fast, D. M., &amp; Breau, A. P. (2003). Development and validation of LC–MS/MS assay for eplerenone in plasma. Journal of Chromatography B, 787(2), 333–344.</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34.Du, M., Pan, C., Chen, J., Song, M.,</w:t>
      </w:r>
      <w:r>
        <w:rPr>
          <w:rFonts w:ascii="Times New Roman" w:hAnsi="Times New Roman"/>
          <w:sz w:val="24"/>
          <w:szCs w:val="24"/>
        </w:rPr>
        <w:t xml:space="preserve"> Zhu, T., &amp; Hang, T. (2016). Stability-indicating UPLC method for impurities in eplerenone. Journal of Separation Science, 39(15), 2907–2918.</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 xml:space="preserve">35.Zhang, J. Y., Fast, D. M., &amp; Breau, A. P. (2003). SPE–LC-MS/MS assay for eplerenone in human urine. Journal of </w:t>
      </w:r>
      <w:r>
        <w:rPr>
          <w:rFonts w:ascii="Times New Roman" w:hAnsi="Times New Roman"/>
          <w:sz w:val="24"/>
          <w:szCs w:val="24"/>
        </w:rPr>
        <w:t>Pharmaceutical and Biomedical Analysis, 31(1), 103–115.</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 xml:space="preserve">36.Kumar, D. V., Srinivas, S., &amp; Kumar, A. A. (2015). RP-HPLC method development and validation for estimation of eplerenone in tablets. International Journal of Pharmacy and Pharmaceutical Sciences, </w:t>
      </w:r>
      <w:r>
        <w:rPr>
          <w:rFonts w:ascii="Times New Roman" w:hAnsi="Times New Roman"/>
          <w:sz w:val="24"/>
          <w:szCs w:val="24"/>
        </w:rPr>
        <w:t>360–364.</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37.Sangshetti, J. N., Shinde, D., &amp; Ma, B. A. (2009). Stability-indicating RP-HPLC method for eplerenone. Acta Chromatographica, 21(4), 619–629.</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38.Sonawane, S., &amp; Gide, P. (2011). Experimental design approach for forced degradation studies of epl</w:t>
      </w:r>
      <w:r>
        <w:rPr>
          <w:rFonts w:ascii="Times New Roman" w:hAnsi="Times New Roman"/>
          <w:sz w:val="24"/>
          <w:szCs w:val="24"/>
        </w:rPr>
        <w:t>erenone. Journal of Liquid Chromatography &amp; Related Technologies, 34(17), 2020–2031.</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39.Patel, K. S., Bendale, A., Luhar, S. V., &amp; Narkhede, S. B. (2016). RP-HPLC method for simultaneous estimation of eplerenone and torsemide. Journal of Pharmaceutical Sci</w:t>
      </w:r>
      <w:r>
        <w:rPr>
          <w:rFonts w:ascii="Times New Roman" w:hAnsi="Times New Roman"/>
          <w:sz w:val="24"/>
          <w:szCs w:val="24"/>
        </w:rPr>
        <w:t>ence and Bio-Scientific Research, 6(3), 283–290.</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40.Hinge, M. A., &amp; Patel, D. (2022). Optimization of HPLC method using central composite design. Brazilian Journal of Pharmaceutical Sciences, 58, e20219.</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41.Thosar, S., Gokhale, R., &amp; Tolbert, D. (2003). Im</w:t>
      </w:r>
      <w:r>
        <w:rPr>
          <w:rFonts w:ascii="Times New Roman" w:hAnsi="Times New Roman"/>
          <w:sz w:val="24"/>
          <w:szCs w:val="24"/>
        </w:rPr>
        <w:t>mediate release eplerenone compositions (U.S. Patent No. 6,558,707).</w:t>
      </w:r>
    </w:p>
    <w:p w:rsidR="005A19B5" w:rsidRDefault="005A19B5">
      <w:pPr>
        <w:tabs>
          <w:tab w:val="left" w:pos="720"/>
          <w:tab w:val="left" w:pos="2595"/>
        </w:tabs>
        <w:spacing w:line="240" w:lineRule="auto"/>
        <w:jc w:val="both"/>
        <w:rPr>
          <w:rFonts w:ascii="Times New Roman" w:hAnsi="Times New Roman"/>
          <w:sz w:val="24"/>
          <w:szCs w:val="24"/>
        </w:rPr>
      </w:pPr>
    </w:p>
    <w:p w:rsidR="005A19B5" w:rsidRDefault="005A19B5">
      <w:pPr>
        <w:tabs>
          <w:tab w:val="left" w:pos="720"/>
          <w:tab w:val="left" w:pos="2595"/>
        </w:tabs>
        <w:spacing w:line="240" w:lineRule="auto"/>
        <w:jc w:val="both"/>
        <w:rPr>
          <w:rFonts w:ascii="Times New Roman" w:hAnsi="Times New Roman"/>
          <w:sz w:val="24"/>
          <w:szCs w:val="24"/>
        </w:rPr>
      </w:pP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42.Bian, Z. (2008). Eplerenone pharmaceutical composition (China Patent No. CN101152187A).</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 xml:space="preserve">43.Shah, V., Redasani, V., &amp; Ghongade, A. (2023). Pharmaceutical composition comprising </w:t>
      </w:r>
      <w:r>
        <w:rPr>
          <w:rFonts w:ascii="Times New Roman" w:hAnsi="Times New Roman"/>
          <w:sz w:val="24"/>
          <w:szCs w:val="24"/>
        </w:rPr>
        <w:t>dapagliflozin (U.S. Patent No. 11,660,308 B2).</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 xml:space="preserve">44.Staric, R., &amp; Berglez, S. (2019). Formulations containing amorphous dapagliflozin (U.S. Patent No. </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US20190175543A1).</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45.Chivukula, K. R. (2020). Co-crystals of SGLT2 inhibitors and pharmaceutical compositi</w:t>
      </w:r>
      <w:r>
        <w:rPr>
          <w:rFonts w:ascii="Times New Roman" w:hAnsi="Times New Roman"/>
          <w:sz w:val="24"/>
          <w:szCs w:val="24"/>
        </w:rPr>
        <w:t>ons (U.S. Patent No. 10,738,038 B2).</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46.Joshi, I., Jawarkar, S., &amp; Sawale, A. (2022). Formulation and evaluation of pulsatile drug release tablets. International Journal of Creative Research Thoughts, 10(5), 872–885.</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47.TCI Chemicals. (2026). Eplerenone. R</w:t>
      </w:r>
      <w:r>
        <w:rPr>
          <w:rFonts w:ascii="Times New Roman" w:hAnsi="Times New Roman"/>
          <w:sz w:val="24"/>
          <w:szCs w:val="24"/>
        </w:rPr>
        <w:t>etrieved January 1, 2026, from https://www.tcichemicals.com/IN/en/p/E0905</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48.Hinge, M., Patel, D., &amp; Patel, A. (2019). Development and validation of UV spectrophotometric method for estimation of torsemide and eplerenone. International Journal of Pharmaceu</w:t>
      </w:r>
      <w:r>
        <w:rPr>
          <w:rFonts w:ascii="Times New Roman" w:hAnsi="Times New Roman"/>
          <w:sz w:val="24"/>
          <w:szCs w:val="24"/>
        </w:rPr>
        <w:t>tical Sciences Review and Research, 56(2), 63–67.</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49.Indian Pharmacopoeia Commission. (2022). Indian pharmacopoeia (Vol. 1, p. 618). Ghaziabad, India.</w:t>
      </w:r>
    </w:p>
    <w:p w:rsidR="005A19B5" w:rsidRDefault="00D046F1">
      <w:pPr>
        <w:tabs>
          <w:tab w:val="left" w:pos="720"/>
          <w:tab w:val="left" w:pos="2595"/>
        </w:tabs>
        <w:spacing w:line="240" w:lineRule="auto"/>
        <w:jc w:val="both"/>
        <w:rPr>
          <w:rFonts w:ascii="Times New Roman" w:hAnsi="Times New Roman"/>
          <w:sz w:val="24"/>
          <w:szCs w:val="24"/>
        </w:rPr>
      </w:pPr>
      <w:r>
        <w:rPr>
          <w:rFonts w:ascii="Times New Roman" w:hAnsi="Times New Roman"/>
          <w:sz w:val="24"/>
          <w:szCs w:val="24"/>
        </w:rPr>
        <w:t>50.Kaczmarek, M., Przerada, S., Hrakovsky, J., &amp; Dzik, J. (2022). Pharmaceutical composition comprising d</w:t>
      </w:r>
      <w:r>
        <w:rPr>
          <w:rFonts w:ascii="Times New Roman" w:hAnsi="Times New Roman"/>
          <w:sz w:val="24"/>
          <w:szCs w:val="24"/>
        </w:rPr>
        <w:t>apagliflozin (WO Patent No. WO2021165316A1).</w:t>
      </w:r>
    </w:p>
    <w:sectPr w:rsidR="005A19B5">
      <w:pgSz w:w="11906" w:h="16838"/>
      <w:pgMar w:top="431" w:right="238" w:bottom="238" w:left="238" w:header="346" w:footer="403" w:gutter="0"/>
      <w:pgBorders>
        <w:top w:val="thinThickSmallGap" w:sz="24" w:space="1" w:color="C00000"/>
        <w:bottom w:val="thickThinSmallGap" w:sz="24" w:space="1" w:color="C00000"/>
      </w:pgBorder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6F1" w:rsidRDefault="00D046F1">
      <w:pPr>
        <w:spacing w:line="240" w:lineRule="auto"/>
      </w:pPr>
      <w:r>
        <w:separator/>
      </w:r>
    </w:p>
  </w:endnote>
  <w:endnote w:type="continuationSeparator" w:id="0">
    <w:p w:rsidR="00D046F1" w:rsidRDefault="00D046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Times New Roman"/>
    <w:charset w:val="00"/>
    <w:family w:val="auto"/>
    <w:pitch w:val="default"/>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等线">
    <w:altName w:val="Arial Unicode MS"/>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Footer"/>
    </w:pPr>
    <w:r>
      <w:rPr>
        <w:noProof/>
        <w:lang w:eastAsia="en-IN"/>
      </w:rPr>
      <mc:AlternateContent>
        <mc:Choice Requires="wps">
          <w:drawing>
            <wp:anchor distT="45720" distB="45720" distL="114300" distR="114300" simplePos="0" relativeHeight="251650048" behindDoc="0" locked="0" layoutInCell="1" allowOverlap="1">
              <wp:simplePos x="0" y="0"/>
              <wp:positionH relativeFrom="column">
                <wp:posOffset>-101600</wp:posOffset>
              </wp:positionH>
              <wp:positionV relativeFrom="paragraph">
                <wp:posOffset>266700</wp:posOffset>
              </wp:positionV>
              <wp:extent cx="5534025" cy="534670"/>
              <wp:effectExtent l="0" t="0" r="9525" b="0"/>
              <wp:wrapSquare wrapText="bothSides"/>
              <wp:docPr id="1130369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534670"/>
                      </a:xfrm>
                      <a:prstGeom prst="rect">
                        <a:avLst/>
                      </a:prstGeom>
                      <a:solidFill>
                        <a:srgbClr val="FFFFFF"/>
                      </a:solidFill>
                      <a:ln w="9525">
                        <a:noFill/>
                        <a:miter lim="800000"/>
                      </a:ln>
                    </wps:spPr>
                    <wps:txbx>
                      <w:txbxContent>
                        <w:p w:rsidR="005A19B5" w:rsidRDefault="00D046F1">
                          <w:pPr>
                            <w:ind w:firstLine="720"/>
                            <w:jc w:val="center"/>
                            <w:rPr>
                              <w:rFonts w:ascii="Times New Roman" w:hAnsi="Times New Roman" w:cs="Times New Roman"/>
                            </w:rPr>
                          </w:pPr>
                          <w:r>
                            <w:rPr>
                              <w:rStyle w:val="fontstyle01"/>
                              <w:rFonts w:ascii="Times New Roman" w:hAnsi="Times New Roman" w:cs="Times New Roman"/>
                              <w:b/>
                            </w:rPr>
                            <w:fldChar w:fldCharType="begin"/>
                          </w:r>
                          <w:r>
                            <w:rPr>
                              <w:rStyle w:val="fontstyle01"/>
                              <w:rFonts w:ascii="Times New Roman" w:hAnsi="Times New Roman" w:cs="Times New Roman"/>
                              <w:b/>
                            </w:rPr>
                            <w:instrText xml:space="preserve"> PAGE   \* MERGEFORMAT </w:instrText>
                          </w:r>
                          <w:r>
                            <w:rPr>
                              <w:rStyle w:val="fontstyle01"/>
                              <w:rFonts w:ascii="Times New Roman" w:hAnsi="Times New Roman" w:cs="Times New Roman"/>
                              <w:b/>
                            </w:rPr>
                            <w:fldChar w:fldCharType="separate"/>
                          </w:r>
                          <w:r w:rsidR="005E2918">
                            <w:rPr>
                              <w:rStyle w:val="fontstyle01"/>
                              <w:rFonts w:ascii="Times New Roman" w:hAnsi="Times New Roman" w:cs="Times New Roman"/>
                              <w:b/>
                              <w:noProof/>
                            </w:rPr>
                            <w:t>1</w:t>
                          </w:r>
                          <w:r>
                            <w:rPr>
                              <w:rStyle w:val="fontstyle01"/>
                              <w:rFonts w:ascii="Times New Roman" w:hAnsi="Times New Roman" w:cs="Times New Roman"/>
                              <w:b/>
                            </w:rPr>
                            <w:fldChar w:fldCharType="end"/>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8pt;margin-top:21pt;width:435.75pt;height:42.1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" stroked="f">
              <v:textbox>
                <w:txbxContent>
                  <w:p w:rsidR="005A19B5" w:rsidRDefault="00D046F1">
                    <w:pPr>
                      <w:ind w:firstLine="720"/>
                      <w:jc w:val="center"/>
                      <w:rPr>
                        <w:rFonts w:ascii="Times New Roman" w:hAnsi="Times New Roman" w:cs="Times New Roman"/>
                      </w:rPr>
                    </w:pPr>
                    <w:r>
                      <w:rPr>
                        <w:rStyle w:val="fontstyle01"/>
                        <w:rFonts w:ascii="Times New Roman" w:hAnsi="Times New Roman" w:cs="Times New Roman"/>
                        <w:b/>
                      </w:rPr>
                      <w:fldChar w:fldCharType="begin"/>
                    </w:r>
                    <w:r>
                      <w:rPr>
                        <w:rStyle w:val="fontstyle01"/>
                        <w:rFonts w:ascii="Times New Roman" w:hAnsi="Times New Roman" w:cs="Times New Roman"/>
                        <w:b/>
                      </w:rPr>
                      <w:instrText xml:space="preserve"> PAGE   \* MERGEFORMAT </w:instrText>
                    </w:r>
                    <w:r>
                      <w:rPr>
                        <w:rStyle w:val="fontstyle01"/>
                        <w:rFonts w:ascii="Times New Roman" w:hAnsi="Times New Roman" w:cs="Times New Roman"/>
                        <w:b/>
                      </w:rPr>
                      <w:fldChar w:fldCharType="separate"/>
                    </w:r>
                    <w:r w:rsidR="005E2918">
                      <w:rPr>
                        <w:rStyle w:val="fontstyle01"/>
                        <w:rFonts w:ascii="Times New Roman" w:hAnsi="Times New Roman" w:cs="Times New Roman"/>
                        <w:b/>
                        <w:noProof/>
                      </w:rPr>
                      <w:t>1</w:t>
                    </w:r>
                    <w:r>
                      <w:rPr>
                        <w:rStyle w:val="fontstyle01"/>
                        <w:rFonts w:ascii="Times New Roman" w:hAnsi="Times New Roman" w:cs="Times New Roman"/>
                        <w:b/>
                      </w:rP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6F1" w:rsidRDefault="00D046F1">
      <w:pPr>
        <w:spacing w:after="0"/>
      </w:pPr>
      <w:r>
        <w:separator/>
      </w:r>
    </w:p>
  </w:footnote>
  <w:footnote w:type="continuationSeparator" w:id="0">
    <w:p w:rsidR="00D046F1" w:rsidRDefault="00D046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Header"/>
    </w:pPr>
    <w:r>
      <w:rPr>
        <w:noProof/>
        <w:lang w:eastAsia="en-IN"/>
      </w:rPr>
      <mc:AlternateContent>
        <mc:Choice Requires="wps">
          <w:drawing>
            <wp:anchor distT="45720" distB="45720" distL="114300" distR="114300" simplePos="0" relativeHeight="251648000" behindDoc="0" locked="0" layoutInCell="1" allowOverlap="1">
              <wp:simplePos x="0" y="0"/>
              <wp:positionH relativeFrom="column">
                <wp:posOffset>2908300</wp:posOffset>
              </wp:positionH>
              <wp:positionV relativeFrom="paragraph">
                <wp:posOffset>-329565</wp:posOffset>
              </wp:positionV>
              <wp:extent cx="2409825" cy="28765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229pt;margin-top:-25.95pt;height:22.65pt;width:189.75pt;mso-wrap-distance-bottom:3.6pt;mso-wrap-distance-left:9pt;mso-wrap-distance-right:9pt;mso-wrap-distance-top:3.6pt;z-index:251659264;mso-width-relative:page;mso-height-relative:page;" fillcolor="#FFFFFF" filled="t" stroked="f" coordsize="21600,21600" o:gfxdata="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3N89kAAAAKAQAADwAAAAAAAAABACAAAAAiAAAAZHJzL2Rvd25yZXYueG1sUEsBAhQA&#10;FAAAAAgAh07iQFVIKrIqAgAAUwQAAA4AAAAAAAAAAQAgAAAAKAEAAGRycy9lMm9Eb2MueG1sUEsF&#10;BgAAAAAGAAYAWQEAAMQFAAAAAA==&#10;">
              <v:fill on="t" focussize="0,0"/>
              <v:stroke on="f" miterlimit="8" joinstyle="miter"/>
              <v:imagedata o:title=""/>
              <o:lock v:ext="edit" aspectratio="f"/>
              <v:textbox>
                <w:txbxContent>
                  <w:p w14:paraId="1B749C01">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49024" behindDoc="0" locked="0" layoutInCell="1" allowOverlap="1">
              <wp:simplePos x="0" y="0"/>
              <wp:positionH relativeFrom="column">
                <wp:posOffset>0</wp:posOffset>
              </wp:positionH>
              <wp:positionV relativeFrom="paragraph">
                <wp:posOffset>-326390</wp:posOffset>
              </wp:positionV>
              <wp:extent cx="2430780" cy="287655"/>
              <wp:effectExtent l="0" t="0" r="762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0pt;margin-top:-25.7pt;height:22.65pt;width:191.4pt;mso-wrap-distance-bottom:3.6pt;mso-wrap-distance-left:9pt;mso-wrap-distance-right:9pt;mso-wrap-distance-top:3.6pt;z-index:251659264;mso-width-relative:page;mso-height-relative:page;" fillcolor="#FFFFFF" filled="t" stroked="f" coordsize="21600,21600" o:gfxdata="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ZcJF1gAAAAcBAAAPAAAAAAAAAAEAIAAAACIAAABkcnMvZG93bnJldi54bWxQSwECFAAUAAAA&#10;CACHTuJAX7gP1SkCAABRBAAADgAAAAAAAAABACAAAAAlAQAAZHJzL2Uyb0RvYy54bWxQSwUGAAAA&#10;AAYABgBZAQAAwAUAAAAA&#10;">
              <v:fill on="t" focussize="0,0"/>
              <v:stroke on="f" miterlimit="8" joinstyle="miter"/>
              <v:imagedata o:title=""/>
              <o:lock v:ext="edit" aspectratio="f"/>
              <v:textbox>
                <w:txbxContent>
                  <w:p w14:paraId="3D61E1BC">
                    <w:pPr>
                      <w:rPr>
                        <w:rFonts w:ascii="Times New Roman" w:hAnsi="Times New Roman" w:cs="Times New Roman"/>
                        <w:b/>
                        <w:bCs/>
                        <w:sz w:val="24"/>
                        <w:szCs w:val="24"/>
                      </w:rPr>
                    </w:pP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Header"/>
    </w:pPr>
    <w:r>
      <w:rPr>
        <w:noProof/>
        <w:lang w:eastAsia="en-IN"/>
      </w:rPr>
      <mc:AlternateContent>
        <mc:Choice Requires="wps">
          <w:drawing>
            <wp:anchor distT="45720" distB="45720" distL="114300" distR="114300" simplePos="0" relativeHeight="251651072" behindDoc="0" locked="0" layoutInCell="1" allowOverlap="1">
              <wp:simplePos x="0" y="0"/>
              <wp:positionH relativeFrom="column">
                <wp:posOffset>2994025</wp:posOffset>
              </wp:positionH>
              <wp:positionV relativeFrom="paragraph">
                <wp:posOffset>-329565</wp:posOffset>
              </wp:positionV>
              <wp:extent cx="2326005" cy="287655"/>
              <wp:effectExtent l="0" t="0" r="0" b="0"/>
              <wp:wrapSquare wrapText="bothSides"/>
              <wp:docPr id="1876034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235.75pt;margin-top:-25.95pt;height:22.65pt;width:183.15pt;mso-wrap-distance-bottom:3.6pt;mso-wrap-distance-left:9pt;mso-wrap-distance-right:9pt;mso-wrap-distance-top:3.6pt;z-index:251659264;mso-width-relative:page;mso-height-relative:page;" fillcolor="#FFFFFF" filled="t" stroked="f" coordsize="21600,21600" o:gfxdata="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ZUqb2AAAAAoBAAAPAAAAAAAAAAEAIAAAACIAAABkcnMvZG93bnJldi54bWxQ&#10;SwECFAAUAAAACACHTuJAXG6pQTACAABaBAAADgAAAAAAAAABACAAAAAnAQAAZHJzL2Uyb0RvYy54&#10;bWxQSwUGAAAAAAYABgBZAQAAyQUAAAAA&#10;">
              <v:fill on="t" focussize="0,0"/>
              <v:stroke on="f" miterlimit="8" joinstyle="miter"/>
              <v:imagedata o:title=""/>
              <o:lock v:ext="edit" aspectratio="f"/>
              <v:textbox>
                <w:txbxContent>
                  <w:p w14:paraId="2EC5B0C9">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2096" behindDoc="0" locked="0" layoutInCell="1" allowOverlap="1">
              <wp:simplePos x="0" y="0"/>
              <wp:positionH relativeFrom="column">
                <wp:posOffset>3175</wp:posOffset>
              </wp:positionH>
              <wp:positionV relativeFrom="paragraph">
                <wp:posOffset>-329565</wp:posOffset>
              </wp:positionV>
              <wp:extent cx="2181225" cy="287655"/>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0.25pt;margin-top:-25.95pt;height:22.65pt;width:171.75pt;mso-wrap-distance-bottom:3.6pt;mso-wrap-distance-left:9pt;mso-wrap-distance-right:9pt;mso-wrap-distance-top:3.6pt;z-index:251659264;mso-width-relative:page;mso-height-relative:page;" fillcolor="#FFFFFF" filled="t" stroked="f" coordsize="21600,21600" o:gfxdata="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L62s1QAAAAcBAAAPAAAAAAAAAAEAIAAAACIAAABkcnMvZG93bnJldi54bWxQSwECFAAUAAAACACH&#10;TuJAySlfZycCAABRBAAADgAAAAAAAAABACAAAAAkAQAAZHJzL2Uyb0RvYy54bWxQSwUGAAAAAAYA&#10;BgBZAQAAvQUAAAAA&#10;">
              <v:fill on="t" focussize="0,0"/>
              <v:stroke on="f" miterlimit="8" joinstyle="miter"/>
              <v:imagedata o:title=""/>
              <o:lock v:ext="edit" aspectratio="f"/>
              <v:textbox>
                <w:txbxContent>
                  <w:p w14:paraId="75B68B1A">
                    <w:pPr>
                      <w:rPr>
                        <w:rFonts w:ascii="Times New Roman" w:hAnsi="Times New Roman" w:cs="Times New Roman"/>
                        <w:b/>
                        <w:bCs/>
                        <w:sz w:val="24"/>
                        <w:szCs w:val="24"/>
                      </w:rPr>
                    </w:pP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Header"/>
    </w:pPr>
    <w:r>
      <w:rPr>
        <w:noProof/>
        <w:lang w:eastAsia="en-IN"/>
      </w:rPr>
      <mc:AlternateContent>
        <mc:Choice Requires="wps">
          <w:drawing>
            <wp:anchor distT="45720" distB="45720" distL="114300" distR="114300" simplePos="0" relativeHeight="251653120" behindDoc="0" locked="0" layoutInCell="1" allowOverlap="1">
              <wp:simplePos x="0" y="0"/>
              <wp:positionH relativeFrom="column">
                <wp:posOffset>2222500</wp:posOffset>
              </wp:positionH>
              <wp:positionV relativeFrom="paragraph">
                <wp:posOffset>-329565</wp:posOffset>
              </wp:positionV>
              <wp:extent cx="3097530" cy="287655"/>
              <wp:effectExtent l="0" t="0" r="7620" b="0"/>
              <wp:wrapSquare wrapText="bothSides"/>
              <wp:docPr id="175509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175pt;margin-top:-25.95pt;height:22.65pt;width:243.9pt;mso-wrap-distance-bottom:3.6pt;mso-wrap-distance-left:9pt;mso-wrap-distance-right:9pt;mso-wrap-distance-top:3.6pt;z-index:251659264;mso-width-relative:page;mso-height-relative:page;" fillcolor="#FFFFFF" filled="t" stroked="f" coordsize="21600,21600" o:gfxdata="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05xtgAAAAKAQAADwAAAAAAAAABACAAAAAiAAAAZHJzL2Rvd25yZXYueG1sUEsB&#10;AhQAFAAAAAgAh07iQFUQTSguAgAAWQQAAA4AAAAAAAAAAQAgAAAAJwEAAGRycy9lMm9Eb2MueG1s&#10;UEsFBgAAAAAGAAYAWQEAAMcFAAAAAA==&#10;">
              <v:fill on="t" focussize="0,0"/>
              <v:stroke on="f" miterlimit="8" joinstyle="miter"/>
              <v:imagedata o:title=""/>
              <o:lock v:ext="edit" aspectratio="f"/>
              <v:textbox>
                <w:txbxContent>
                  <w:p w14:paraId="028A657B">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4144" behindDoc="0" locked="0" layoutInCell="1" allowOverlap="1">
              <wp:simplePos x="0" y="0"/>
              <wp:positionH relativeFrom="column">
                <wp:posOffset>3175</wp:posOffset>
              </wp:positionH>
              <wp:positionV relativeFrom="paragraph">
                <wp:posOffset>-339090</wp:posOffset>
              </wp:positionV>
              <wp:extent cx="1876425" cy="28765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0.25pt;margin-top:-26.7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ncRd1gAAAAcBAAAPAAAAAAAAAAEAIAAAACIAAABkcnMvZG93bnJldi54bWxQSwECFAAUAAAACACH&#10;TuJAarjxhSYCAABSBAAADgAAAAAAAAABACAAAAAlAQAAZHJzL2Uyb0RvYy54bWxQSwUGAAAAAAYA&#10;BgBZAQAAvQUAAAAA&#10;">
              <v:fill on="t" focussize="0,0"/>
              <v:stroke on="f" miterlimit="8" joinstyle="miter"/>
              <v:imagedata o:title=""/>
              <o:lock v:ext="edit" aspectratio="f"/>
              <v:textbox>
                <w:txbxContent>
                  <w:p w14:paraId="7DF48A8D">
                    <w:pPr>
                      <w:rPr>
                        <w:rFonts w:ascii="Times New Roman" w:hAnsi="Times New Roman" w:cs="Times New Roman"/>
                        <w:b/>
                        <w:bCs/>
                        <w:sz w:val="24"/>
                        <w:szCs w:val="24"/>
                      </w:rPr>
                    </w:pPr>
                  </w:p>
                </w:txbxContent>
              </v:textbox>
              <w10:wrap type="squar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Header"/>
    </w:pPr>
    <w:r>
      <w:rPr>
        <w:noProof/>
        <w:lang w:eastAsia="en-IN"/>
      </w:rPr>
      <mc:AlternateContent>
        <mc:Choice Requires="wps">
          <w:drawing>
            <wp:anchor distT="45720" distB="45720" distL="114300" distR="114300" simplePos="0" relativeHeight="251655168" behindDoc="0" locked="0" layoutInCell="1" allowOverlap="1">
              <wp:simplePos x="0" y="0"/>
              <wp:positionH relativeFrom="column">
                <wp:posOffset>2257425</wp:posOffset>
              </wp:positionH>
              <wp:positionV relativeFrom="paragraph">
                <wp:posOffset>-326390</wp:posOffset>
              </wp:positionV>
              <wp:extent cx="3097530" cy="287655"/>
              <wp:effectExtent l="0" t="0" r="762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177.75pt;margin-top:-25.7pt;height:22.65pt;width:243.9pt;mso-wrap-distance-bottom:3.6pt;mso-wrap-distance-left:9pt;mso-wrap-distance-right:9pt;mso-wrap-distance-top:3.6pt;z-index:251659264;mso-width-relative:page;mso-height-relative:page;" fillcolor="#FFFFFF" filled="t" stroked="f" coordsize="21600,21600" o:gfxdata="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LePP2QAAAAoBAAAPAAAAAAAAAAEAIAAAACIAAABkcnMvZG93bnJldi54bWxQSwECFAAU&#10;AAAACACHTuJAp9+W4CkCAABSBAAADgAAAAAAAAABACAAAAAoAQAAZHJzL2Uyb0RvYy54bWxQSwUG&#10;AAAAAAYABgBZAQAAwwUAAAAA&#10;">
              <v:fill on="t" focussize="0,0"/>
              <v:stroke on="f" miterlimit="8" joinstyle="miter"/>
              <v:imagedata o:title=""/>
              <o:lock v:ext="edit" aspectratio="f"/>
              <v:textbox>
                <w:txbxContent>
                  <w:p w14:paraId="4FE44679">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6192" behindDoc="0" locked="0" layoutInCell="1" allowOverlap="1">
              <wp:simplePos x="0" y="0"/>
              <wp:positionH relativeFrom="column">
                <wp:posOffset>-104775</wp:posOffset>
              </wp:positionH>
              <wp:positionV relativeFrom="paragraph">
                <wp:posOffset>-326390</wp:posOffset>
              </wp:positionV>
              <wp:extent cx="1876425" cy="287655"/>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8.25pt;margin-top:-25.7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7tZb/YAAAACgEAAA8AAAAAAAAAAQAgAAAAIgAAAGRycy9kb3ducmV2LnhtbFBLAQIUABQAAAAI&#10;AIdO4kDyFFkDJgIAAFIEAAAOAAAAAAAAAAEAIAAAACcBAABkcnMvZTJvRG9jLnhtbFBLBQYAAAAA&#10;BgAGAFkBAAC/BQAAAAA=&#10;">
              <v:fill on="t" focussize="0,0"/>
              <v:stroke on="f" miterlimit="8" joinstyle="miter"/>
              <v:imagedata o:title=""/>
              <o:lock v:ext="edit" aspectratio="f"/>
              <v:textbox>
                <w:txbxContent>
                  <w:p w14:paraId="776D7924">
                    <w:pPr>
                      <w:rPr>
                        <w:rFonts w:ascii="Times New Roman" w:hAnsi="Times New Roman" w:cs="Times New Roman"/>
                        <w:b/>
                        <w:bCs/>
                        <w:sz w:val="24"/>
                        <w:szCs w:val="24"/>
                      </w:rPr>
                    </w:pPr>
                  </w:p>
                </w:txbxContent>
              </v:textbox>
              <w10:wrap type="squar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Header"/>
    </w:pPr>
    <w:r>
      <w:rPr>
        <w:noProof/>
        <w:lang w:eastAsia="en-IN"/>
      </w:rPr>
      <mc:AlternateContent>
        <mc:Choice Requires="wps">
          <w:drawing>
            <wp:anchor distT="45720" distB="45720" distL="114300" distR="114300" simplePos="0" relativeHeight="251666432" behindDoc="0" locked="0" layoutInCell="1" allowOverlap="1">
              <wp:simplePos x="0" y="0"/>
              <wp:positionH relativeFrom="column">
                <wp:posOffset>3241675</wp:posOffset>
              </wp:positionH>
              <wp:positionV relativeFrom="paragraph">
                <wp:posOffset>-329565</wp:posOffset>
              </wp:positionV>
              <wp:extent cx="2078355" cy="287655"/>
              <wp:effectExtent l="0" t="0" r="17145" b="17145"/>
              <wp:wrapSquare wrapText="bothSides"/>
              <wp:docPr id="760531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255.25pt;margin-top:-25.95pt;height:22.65pt;width:163.65pt;mso-wrap-distance-bottom:3.6pt;mso-wrap-distance-left:9pt;mso-wrap-distance-right:9pt;mso-wrap-distance-top:3.6pt;z-index:251662336;mso-width-relative:page;mso-height-relative:page;" fillcolor="#FFFFFF" filled="t" stroked="f" coordsize="21600,21600" o:gfxdata="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S9VddgAAAAKAQAADwAAAAAAAAABACAAAAAiAAAAZHJzL2Rvd25yZXYueG1sUEsB&#10;AhQAFAAAAAgAh07iQA0I558uAgAAWQQAAA4AAAAAAAAAAQAgAAAAJwEAAGRycy9lMm9Eb2MueG1s&#10;UEsFBgAAAAAGAAYAWQEAAMcFAAAAAA==&#10;">
              <v:fill on="t" focussize="0,0"/>
              <v:stroke on="f" miterlimit="8" joinstyle="miter"/>
              <v:imagedata o:title=""/>
              <o:lock v:ext="edit" aspectratio="f"/>
              <v:textbox>
                <w:txbxContent>
                  <w:p w14:paraId="13E4FB21">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67456" behindDoc="0" locked="0" layoutInCell="1" allowOverlap="1">
              <wp:simplePos x="0" y="0"/>
              <wp:positionH relativeFrom="column">
                <wp:posOffset>-57150</wp:posOffset>
              </wp:positionH>
              <wp:positionV relativeFrom="paragraph">
                <wp:posOffset>-326390</wp:posOffset>
              </wp:positionV>
              <wp:extent cx="1876425" cy="287655"/>
              <wp:effectExtent l="0" t="0" r="9525"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4.5pt;margin-top:-25.7pt;height:22.65pt;width:147.75pt;mso-wrap-distance-bottom:3.6pt;mso-wrap-distance-left:9pt;mso-wrap-distance-right:9pt;mso-wrap-distance-top:3.6pt;z-index:251662336;mso-width-relative:page;mso-height-relative:page;" fillcolor="#FFFFFF" filled="t" stroked="f" coordsize="21600,21600" o:gfxdata="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2JocbYAAAACQEAAA8AAAAAAAAAAQAgAAAAIgAAAGRycy9kb3ducmV2LnhtbFBLAQIUABQAAAAI&#10;AIdO4kBXsYUQJgIAAFIEAAAOAAAAAAAAAAEAIAAAACcBAABkcnMvZTJvRG9jLnhtbFBLBQYAAAAA&#10;BgAGAFkBAAC/BQAAAAA=&#10;">
              <v:fill on="t" focussize="0,0"/>
              <v:stroke on="f" miterlimit="8" joinstyle="miter"/>
              <v:imagedata o:title=""/>
              <o:lock v:ext="edit" aspectratio="f"/>
              <v:textbox>
                <w:txbxContent>
                  <w:p w14:paraId="6AE9F13C">
                    <w:pPr>
                      <w:rPr>
                        <w:rFonts w:ascii="Times New Roman" w:hAnsi="Times New Roman" w:cs="Times New Roman"/>
                        <w:b/>
                        <w:bCs/>
                        <w:sz w:val="24"/>
                        <w:szCs w:val="24"/>
                      </w:rPr>
                    </w:pPr>
                  </w:p>
                </w:txbxContent>
              </v:textbox>
              <w10:wrap type="squar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Header"/>
    </w:pPr>
    <w:r>
      <w:rPr>
        <w:noProof/>
        <w:lang w:eastAsia="en-IN"/>
      </w:rPr>
      <mc:AlternateContent>
        <mc:Choice Requires="wps">
          <w:drawing>
            <wp:anchor distT="45720" distB="45720" distL="114300" distR="114300" simplePos="0" relativeHeight="251657216" behindDoc="0" locked="0" layoutInCell="1" allowOverlap="1">
              <wp:simplePos x="0" y="0"/>
              <wp:positionH relativeFrom="column">
                <wp:posOffset>1969135</wp:posOffset>
              </wp:positionH>
              <wp:positionV relativeFrom="paragraph">
                <wp:posOffset>-377190</wp:posOffset>
              </wp:positionV>
              <wp:extent cx="3246120" cy="1404620"/>
              <wp:effectExtent l="0" t="0" r="0" b="8890"/>
              <wp:wrapSquare wrapText="bothSides"/>
              <wp:docPr id="1226463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404620"/>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Text Box 2" o:spid="_x0000_s1026" o:spt="202" type="#_x0000_t202" style="position:absolute;left:0pt;margin-left:155.05pt;margin-top:-29.7pt;height:110.6pt;width:255.6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yqUw7ZAAAACwEAAA8AAAAAAAAAAQAgAAAAIgAAAGRycy9kb3ducmV2LnhtbFBL&#10;AQIUABQAAAAIAIdO4kDMvRt0LgIAAFsEAAAOAAAAAAAAAAEAIAAAACgBAABkcnMvZTJvRG9jLnht&#10;bFBLBQYAAAAABgAGAFkBAADIBQAAAAA=&#10;">
              <v:fill on="t" focussize="0,0"/>
              <v:stroke on="f" miterlimit="8" joinstyle="miter"/>
              <v:imagedata o:title=""/>
              <o:lock v:ext="edit" aspectratio="f"/>
              <v:textbox style="mso-fit-shape-to-text:t;">
                <w:txbxContent>
                  <w:p w14:paraId="22071977">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8240" behindDoc="0" locked="0" layoutInCell="1" allowOverlap="1">
              <wp:simplePos x="0" y="0"/>
              <wp:positionH relativeFrom="column">
                <wp:posOffset>-104775</wp:posOffset>
              </wp:positionH>
              <wp:positionV relativeFrom="paragraph">
                <wp:posOffset>-345440</wp:posOffset>
              </wp:positionV>
              <wp:extent cx="1876425" cy="287655"/>
              <wp:effectExtent l="0" t="0" r="9525" b="0"/>
              <wp:wrapSquare wrapText="bothSides"/>
              <wp:docPr id="563247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WS3YAAAACgEAAA8AAAAAAAAAAQAgAAAAIgAAAGRycy9kb3ducmV2LnhtbFBLAQIU&#10;ABQAAAAIAIdO4kC3rzFhLAIAAFkEAAAOAAAAAAAAAAEAIAAAACcBAABkcnMvZTJvRG9jLnhtbFBL&#10;BQYAAAAABgAGAFkBAADFBQAAAAA=&#10;">
              <v:fill on="t" focussize="0,0"/>
              <v:stroke on="f" miterlimit="8" joinstyle="miter"/>
              <v:imagedata o:title=""/>
              <o:lock v:ext="edit" aspectratio="f"/>
              <v:textbox>
                <w:txbxContent>
                  <w:p w14:paraId="193A9D25">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59264" behindDoc="0" locked="0" layoutInCell="1" allowOverlap="1">
              <wp:simplePos x="0" y="0"/>
              <wp:positionH relativeFrom="column">
                <wp:posOffset>6632575</wp:posOffset>
              </wp:positionH>
              <wp:positionV relativeFrom="paragraph">
                <wp:posOffset>-348615</wp:posOffset>
              </wp:positionV>
              <wp:extent cx="2354580" cy="287655"/>
              <wp:effectExtent l="0" t="0" r="7620" b="0"/>
              <wp:wrapSquare wrapText="bothSides"/>
              <wp:docPr id="1697663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Iht0tkAAAAMAQAADwAAAAAAAAABACAAAAAiAAAAZHJzL2Rvd25yZXYueG1s&#10;UEsBAhQAFAAAAAgAh07iQI+GrKIwAgAAWgQAAA4AAAAAAAAAAQAgAAAAKAEAAGRycy9lMm9Eb2Mu&#10;eG1sUEsFBgAAAAAGAAYAWQEAAMoFAAAAAA==&#10;">
              <v:fill on="t" focussize="0,0"/>
              <v:stroke on="f" miterlimit="8" joinstyle="miter"/>
              <v:imagedata o:title=""/>
              <o:lock v:ext="edit" aspectratio="f"/>
              <v:textbox>
                <w:txbxContent>
                  <w:p w14:paraId="5F5A23E0">
                    <w:pPr>
                      <w:rPr>
                        <w:rFonts w:ascii="Times New Roman" w:hAnsi="Times New Roman" w:cs="Times New Roman"/>
                        <w:b/>
                        <w:bCs/>
                        <w:sz w:val="24"/>
                        <w:szCs w:val="24"/>
                      </w:rPr>
                    </w:pPr>
                  </w:p>
                </w:txbxContent>
              </v:textbox>
              <w10:wrap type="squar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Header"/>
    </w:pPr>
    <w:r>
      <w:rPr>
        <w:noProof/>
        <w:lang w:eastAsia="en-IN"/>
      </w:rPr>
      <mc:AlternateContent>
        <mc:Choice Requires="wps">
          <w:drawing>
            <wp:anchor distT="45720" distB="45720" distL="114300" distR="114300" simplePos="0" relativeHeight="251660288" behindDoc="0" locked="0" layoutInCell="1" allowOverlap="1">
              <wp:simplePos x="0" y="0"/>
              <wp:positionH relativeFrom="column">
                <wp:posOffset>2906395</wp:posOffset>
              </wp:positionH>
              <wp:positionV relativeFrom="paragraph">
                <wp:posOffset>-377190</wp:posOffset>
              </wp:positionV>
              <wp:extent cx="2308860" cy="1404620"/>
              <wp:effectExtent l="0" t="0" r="0" b="8890"/>
              <wp:wrapSquare wrapText="bothSides"/>
              <wp:docPr id="2132198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404620"/>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Text Box 2" o:spid="_x0000_s1026" o:spt="202" type="#_x0000_t202" style="position:absolute;left:0pt;margin-left:228.85pt;margin-top:-29.7pt;height:110.6pt;width:181.8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sST82gAAAAsBAAAPAAAAAAAAAAEAIAAAACIAAABkcnMvZG93bnJldi54&#10;bWxQSwECFAAUAAAACACHTuJA8oDqozECAABbBAAADgAAAAAAAAABACAAAAApAQAAZHJzL2Uyb0Rv&#10;Yy54bWxQSwUGAAAAAAYABgBZAQAAzAUAAAAA&#10;">
              <v:fill on="t" focussize="0,0"/>
              <v:stroke on="f" miterlimit="8" joinstyle="miter"/>
              <v:imagedata o:title=""/>
              <o:lock v:ext="edit" aspectratio="f"/>
              <v:textbox style="mso-fit-shape-to-text:t;">
                <w:txbxContent>
                  <w:p w14:paraId="0491A9B6">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61312" behindDoc="0" locked="0" layoutInCell="1" allowOverlap="1">
              <wp:simplePos x="0" y="0"/>
              <wp:positionH relativeFrom="column">
                <wp:posOffset>-104775</wp:posOffset>
              </wp:positionH>
              <wp:positionV relativeFrom="paragraph">
                <wp:posOffset>-345440</wp:posOffset>
              </wp:positionV>
              <wp:extent cx="1876425" cy="287655"/>
              <wp:effectExtent l="0" t="0" r="9525" b="0"/>
              <wp:wrapSquare wrapText="bothSides"/>
              <wp:docPr id="176069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WS3YAAAACgEAAA8AAAAAAAAAAQAgAAAAIgAAAGRycy9kb3ducmV2LnhtbFBLAQIU&#10;ABQAAAAIAIdO4kDLQry4LAIAAFoEAAAOAAAAAAAAAAEAIAAAACcBAABkcnMvZTJvRG9jLnhtbFBL&#10;BQYAAAAABgAGAFkBAADFBQAAAAA=&#10;">
              <v:fill on="t" focussize="0,0"/>
              <v:stroke on="f" miterlimit="8" joinstyle="miter"/>
              <v:imagedata o:title=""/>
              <o:lock v:ext="edit" aspectratio="f"/>
              <v:textbox>
                <w:txbxContent>
                  <w:p w14:paraId="1F995532">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62336" behindDoc="0" locked="0" layoutInCell="1" allowOverlap="1">
              <wp:simplePos x="0" y="0"/>
              <wp:positionH relativeFrom="column">
                <wp:posOffset>6632575</wp:posOffset>
              </wp:positionH>
              <wp:positionV relativeFrom="paragraph">
                <wp:posOffset>-348615</wp:posOffset>
              </wp:positionV>
              <wp:extent cx="2354580" cy="287655"/>
              <wp:effectExtent l="0" t="0" r="7620" b="0"/>
              <wp:wrapSquare wrapText="bothSides"/>
              <wp:docPr id="742194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Iht0tkAAAAMAQAADwAAAAAAAAABACAAAAAiAAAAZHJzL2Rvd25yZXYueG1s&#10;UEsBAhQAFAAAAAgAh07iQDLwRfcwAgAAWQQAAA4AAAAAAAAAAQAgAAAAKAEAAGRycy9lMm9Eb2Mu&#10;eG1sUEsFBgAAAAAGAAYAWQEAAMoFAAAAAA==&#10;">
              <v:fill on="t" focussize="0,0"/>
              <v:stroke on="f" miterlimit="8" joinstyle="miter"/>
              <v:imagedata o:title=""/>
              <o:lock v:ext="edit" aspectratio="f"/>
              <v:textbox>
                <w:txbxContent>
                  <w:p w14:paraId="5E8153C6">
                    <w:pPr>
                      <w:rPr>
                        <w:rFonts w:ascii="Times New Roman" w:hAnsi="Times New Roman" w:cs="Times New Roman"/>
                        <w:b/>
                        <w:bCs/>
                        <w:sz w:val="24"/>
                        <w:szCs w:val="24"/>
                      </w:rPr>
                    </w:pPr>
                  </w:p>
                </w:txbxContent>
              </v:textbox>
              <w10:wrap type="squar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9B5" w:rsidRDefault="00D046F1">
    <w:pPr>
      <w:pStyle w:val="Header"/>
    </w:pPr>
    <w:r>
      <w:rPr>
        <w:noProof/>
        <w:lang w:eastAsia="en-IN"/>
      </w:rPr>
      <mc:AlternateContent>
        <mc:Choice Requires="wps">
          <w:drawing>
            <wp:anchor distT="45720" distB="45720" distL="114300" distR="114300" simplePos="0" relativeHeight="251663360" behindDoc="0" locked="0" layoutInCell="1" allowOverlap="1">
              <wp:simplePos x="0" y="0"/>
              <wp:positionH relativeFrom="column">
                <wp:posOffset>2875915</wp:posOffset>
              </wp:positionH>
              <wp:positionV relativeFrom="paragraph">
                <wp:posOffset>-377190</wp:posOffset>
              </wp:positionV>
              <wp:extent cx="2341245" cy="1404620"/>
              <wp:effectExtent l="0" t="0" r="1905" b="88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404620"/>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Text Box 2" o:spid="_x0000_s1026" o:spt="202" type="#_x0000_t202" style="position:absolute;left:0pt;margin-left:226.45pt;margin-top:-29.7pt;height:110.6pt;width:184.35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hfAf9kAAAALAQAADwAAAAAAAAABACAAAAAiAAAAZHJzL2Rvd25yZXYueG1sUEsBAhQA&#10;FAAAAAgAh07iQPpEI/EqAgAAUwQAAA4AAAAAAAAAAQAgAAAAKAEAAGRycy9lMm9Eb2MueG1sUEsF&#10;BgAAAAAGAAYAWQEAAMQFAAAAAA==&#10;">
              <v:fill on="t" focussize="0,0"/>
              <v:stroke on="f" miterlimit="8" joinstyle="miter"/>
              <v:imagedata o:title=""/>
              <o:lock v:ext="edit" aspectratio="f"/>
              <v:textbox style="mso-fit-shape-to-text:t;">
                <w:txbxContent>
                  <w:p w14:paraId="710915E0">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64384" behindDoc="0" locked="0" layoutInCell="1" allowOverlap="1">
              <wp:simplePos x="0" y="0"/>
              <wp:positionH relativeFrom="column">
                <wp:posOffset>-104775</wp:posOffset>
              </wp:positionH>
              <wp:positionV relativeFrom="paragraph">
                <wp:posOffset>-345440</wp:posOffset>
              </wp:positionV>
              <wp:extent cx="1876425" cy="287655"/>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f3Fkt2AAAAAoBAAAPAAAAAAAAAAEAIAAAACIAAABkcnMvZG93bnJldi54bWxQSwECFAAUAAAA&#10;CACHTuJA7ZwmmCcCAABSBAAADgAAAAAAAAABACAAAAAnAQAAZHJzL2Uyb0RvYy54bWxQSwUGAAAA&#10;AAYABgBZAQAAwAUAAAAA&#10;">
              <v:fill on="t" focussize="0,0"/>
              <v:stroke on="f" miterlimit="8" joinstyle="miter"/>
              <v:imagedata o:title=""/>
              <o:lock v:ext="edit" aspectratio="f"/>
              <v:textbox>
                <w:txbxContent>
                  <w:p w14:paraId="04C8C2FF">
                    <w:pPr>
                      <w:rPr>
                        <w:rFonts w:ascii="Times New Roman" w:hAnsi="Times New Roman" w:cs="Times New Roman"/>
                        <w:b/>
                        <w:bCs/>
                        <w:sz w:val="24"/>
                        <w:szCs w:val="24"/>
                      </w:rPr>
                    </w:pPr>
                  </w:p>
                </w:txbxContent>
              </v:textbox>
              <w10:wrap type="square"/>
            </v:shape>
          </w:pict>
        </mc:Fallback>
      </mc:AlternateContent>
    </w:r>
    <w:r>
      <w:rPr>
        <w:noProof/>
        <w:lang w:eastAsia="en-IN"/>
      </w:rPr>
      <mc:AlternateContent>
        <mc:Choice Requires="wps">
          <w:drawing>
            <wp:anchor distT="45720" distB="45720" distL="114300" distR="114300" simplePos="0" relativeHeight="251665408" behindDoc="0" locked="0" layoutInCell="1" allowOverlap="1">
              <wp:simplePos x="0" y="0"/>
              <wp:positionH relativeFrom="column">
                <wp:posOffset>6632575</wp:posOffset>
              </wp:positionH>
              <wp:positionV relativeFrom="paragraph">
                <wp:posOffset>-348615</wp:posOffset>
              </wp:positionV>
              <wp:extent cx="2354580" cy="287655"/>
              <wp:effectExtent l="0" t="0" r="762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rsidR="005A19B5" w:rsidRDefault="005A19B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5="http://schemas.microsoft.com/office/word/2012/wordml">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QiG3S2QAAAAwBAAAPAAAAAAAAAAEAIAAAACIAAABkcnMvZG93bnJldi54bWxQSwECFAAU&#10;AAAACACHTuJAdQsYKSkCAABSBAAADgAAAAAAAAABACAAAAAoAQAAZHJzL2Uyb0RvYy54bWxQSwUG&#10;AAAAAAYABgBZAQAAwwUAAAAA&#10;">
              <v:fill on="t" focussize="0,0"/>
              <v:stroke on="f" miterlimit="8" joinstyle="miter"/>
              <v:imagedata o:title=""/>
              <o:lock v:ext="edit" aspectratio="f"/>
              <v:textbox>
                <w:txbxContent>
                  <w:p w14:paraId="416BA69D">
                    <w:pPr>
                      <w:rPr>
                        <w:rFonts w:ascii="Times New Roman" w:hAnsi="Times New Roman" w:cs="Times New Roman"/>
                        <w:b/>
                        <w:bCs/>
                        <w:sz w:val="24"/>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D22"/>
    <w:multiLevelType w:val="multilevel"/>
    <w:tmpl w:val="000E4D2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2971236"/>
    <w:multiLevelType w:val="multilevel"/>
    <w:tmpl w:val="029712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41F55CE"/>
    <w:multiLevelType w:val="multilevel"/>
    <w:tmpl w:val="041F55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7B67EF6"/>
    <w:multiLevelType w:val="multilevel"/>
    <w:tmpl w:val="07B67EF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8F1267E"/>
    <w:multiLevelType w:val="multilevel"/>
    <w:tmpl w:val="08F1267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A092273"/>
    <w:multiLevelType w:val="multilevel"/>
    <w:tmpl w:val="0A0922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14B05C4E"/>
    <w:multiLevelType w:val="multilevel"/>
    <w:tmpl w:val="14B05C4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1BA5509E"/>
    <w:multiLevelType w:val="multilevel"/>
    <w:tmpl w:val="1BA5509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1E416020"/>
    <w:multiLevelType w:val="multilevel"/>
    <w:tmpl w:val="1E41602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1F215A0D"/>
    <w:multiLevelType w:val="multilevel"/>
    <w:tmpl w:val="1F215A0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20382F9A"/>
    <w:multiLevelType w:val="multilevel"/>
    <w:tmpl w:val="20382F9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21282591"/>
    <w:multiLevelType w:val="multilevel"/>
    <w:tmpl w:val="2128259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24202B25"/>
    <w:multiLevelType w:val="multilevel"/>
    <w:tmpl w:val="24202B2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25294179"/>
    <w:multiLevelType w:val="multilevel"/>
    <w:tmpl w:val="2529417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nsid w:val="27A066A3"/>
    <w:multiLevelType w:val="multilevel"/>
    <w:tmpl w:val="27A066A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9666D92"/>
    <w:multiLevelType w:val="multilevel"/>
    <w:tmpl w:val="29666D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C625ACD"/>
    <w:multiLevelType w:val="multilevel"/>
    <w:tmpl w:val="2C625AC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2D5F63D0"/>
    <w:multiLevelType w:val="multilevel"/>
    <w:tmpl w:val="2D5F63D0"/>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nsid w:val="346C55BC"/>
    <w:multiLevelType w:val="multilevel"/>
    <w:tmpl w:val="346C55B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353020EE"/>
    <w:multiLevelType w:val="multilevel"/>
    <w:tmpl w:val="353020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379343E2"/>
    <w:multiLevelType w:val="multilevel"/>
    <w:tmpl w:val="379343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39CF00C8"/>
    <w:multiLevelType w:val="multilevel"/>
    <w:tmpl w:val="39CF00C8"/>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nsid w:val="3BCD5C99"/>
    <w:multiLevelType w:val="multilevel"/>
    <w:tmpl w:val="3BCD5C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3E876ED5"/>
    <w:multiLevelType w:val="multilevel"/>
    <w:tmpl w:val="3E876ED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40A24DBA"/>
    <w:multiLevelType w:val="multilevel"/>
    <w:tmpl w:val="40A24DBA"/>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2F20C60"/>
    <w:multiLevelType w:val="multilevel"/>
    <w:tmpl w:val="42F20C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44291A2B"/>
    <w:multiLevelType w:val="multilevel"/>
    <w:tmpl w:val="44291A2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45150069"/>
    <w:multiLevelType w:val="multilevel"/>
    <w:tmpl w:val="451500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480B0265"/>
    <w:multiLevelType w:val="multilevel"/>
    <w:tmpl w:val="480B0265"/>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4D236AC3"/>
    <w:multiLevelType w:val="multilevel"/>
    <w:tmpl w:val="4D236A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nsid w:val="51822D0C"/>
    <w:multiLevelType w:val="multilevel"/>
    <w:tmpl w:val="51822D0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nsid w:val="55665FDE"/>
    <w:multiLevelType w:val="multilevel"/>
    <w:tmpl w:val="55665F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5AB22BA3"/>
    <w:multiLevelType w:val="multilevel"/>
    <w:tmpl w:val="5AB22B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nsid w:val="5B6200DA"/>
    <w:multiLevelType w:val="multilevel"/>
    <w:tmpl w:val="5B6200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5C450F3F"/>
    <w:multiLevelType w:val="multilevel"/>
    <w:tmpl w:val="5C450F3F"/>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435042C"/>
    <w:multiLevelType w:val="multilevel"/>
    <w:tmpl w:val="6435042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nsid w:val="643B7AF3"/>
    <w:multiLevelType w:val="multilevel"/>
    <w:tmpl w:val="643B7AF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7">
    <w:nsid w:val="6859675F"/>
    <w:multiLevelType w:val="multilevel"/>
    <w:tmpl w:val="685967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nsid w:val="68C100C5"/>
    <w:multiLevelType w:val="multilevel"/>
    <w:tmpl w:val="68C100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nsid w:val="695D5649"/>
    <w:multiLevelType w:val="multilevel"/>
    <w:tmpl w:val="695D564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nsid w:val="6BD46F01"/>
    <w:multiLevelType w:val="multilevel"/>
    <w:tmpl w:val="6BD46F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70E011FC"/>
    <w:multiLevelType w:val="multilevel"/>
    <w:tmpl w:val="70E011F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2">
    <w:nsid w:val="769451A6"/>
    <w:multiLevelType w:val="multilevel"/>
    <w:tmpl w:val="769451A6"/>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B1D4CF0"/>
    <w:multiLevelType w:val="multilevel"/>
    <w:tmpl w:val="7B1D4C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nsid w:val="7BEB44FE"/>
    <w:multiLevelType w:val="multilevel"/>
    <w:tmpl w:val="7BEB44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40"/>
  </w:num>
  <w:num w:numId="2">
    <w:abstractNumId w:val="16"/>
  </w:num>
  <w:num w:numId="3">
    <w:abstractNumId w:val="19"/>
  </w:num>
  <w:num w:numId="4">
    <w:abstractNumId w:val="44"/>
  </w:num>
  <w:num w:numId="5">
    <w:abstractNumId w:val="9"/>
  </w:num>
  <w:num w:numId="6">
    <w:abstractNumId w:val="38"/>
  </w:num>
  <w:num w:numId="7">
    <w:abstractNumId w:val="6"/>
  </w:num>
  <w:num w:numId="8">
    <w:abstractNumId w:val="5"/>
  </w:num>
  <w:num w:numId="9">
    <w:abstractNumId w:val="32"/>
  </w:num>
  <w:num w:numId="10">
    <w:abstractNumId w:val="11"/>
  </w:num>
  <w:num w:numId="11">
    <w:abstractNumId w:val="1"/>
  </w:num>
  <w:num w:numId="12">
    <w:abstractNumId w:val="29"/>
  </w:num>
  <w:num w:numId="13">
    <w:abstractNumId w:val="12"/>
  </w:num>
  <w:num w:numId="14">
    <w:abstractNumId w:val="7"/>
  </w:num>
  <w:num w:numId="15">
    <w:abstractNumId w:val="39"/>
  </w:num>
  <w:num w:numId="16">
    <w:abstractNumId w:val="0"/>
  </w:num>
  <w:num w:numId="17">
    <w:abstractNumId w:val="20"/>
  </w:num>
  <w:num w:numId="18">
    <w:abstractNumId w:val="2"/>
  </w:num>
  <w:num w:numId="19">
    <w:abstractNumId w:val="23"/>
  </w:num>
  <w:num w:numId="20">
    <w:abstractNumId w:val="25"/>
  </w:num>
  <w:num w:numId="21">
    <w:abstractNumId w:val="10"/>
  </w:num>
  <w:num w:numId="22">
    <w:abstractNumId w:val="33"/>
  </w:num>
  <w:num w:numId="23">
    <w:abstractNumId w:val="3"/>
  </w:num>
  <w:num w:numId="24">
    <w:abstractNumId w:val="37"/>
  </w:num>
  <w:num w:numId="25">
    <w:abstractNumId w:val="43"/>
  </w:num>
  <w:num w:numId="26">
    <w:abstractNumId w:val="28"/>
  </w:num>
  <w:num w:numId="27">
    <w:abstractNumId w:val="22"/>
  </w:num>
  <w:num w:numId="28">
    <w:abstractNumId w:val="4"/>
  </w:num>
  <w:num w:numId="29">
    <w:abstractNumId w:val="36"/>
  </w:num>
  <w:num w:numId="30">
    <w:abstractNumId w:val="41"/>
  </w:num>
  <w:num w:numId="31">
    <w:abstractNumId w:val="13"/>
  </w:num>
  <w:num w:numId="32">
    <w:abstractNumId w:val="14"/>
  </w:num>
  <w:num w:numId="33">
    <w:abstractNumId w:val="42"/>
  </w:num>
  <w:num w:numId="34">
    <w:abstractNumId w:val="34"/>
  </w:num>
  <w:num w:numId="35">
    <w:abstractNumId w:val="24"/>
  </w:num>
  <w:num w:numId="36">
    <w:abstractNumId w:val="15"/>
  </w:num>
  <w:num w:numId="37">
    <w:abstractNumId w:val="30"/>
  </w:num>
  <w:num w:numId="38">
    <w:abstractNumId w:val="35"/>
  </w:num>
  <w:num w:numId="39">
    <w:abstractNumId w:val="18"/>
  </w:num>
  <w:num w:numId="40">
    <w:abstractNumId w:val="21"/>
  </w:num>
  <w:num w:numId="41">
    <w:abstractNumId w:val="17"/>
  </w:num>
  <w:num w:numId="42">
    <w:abstractNumId w:val="8"/>
  </w:num>
  <w:num w:numId="43">
    <w:abstractNumId w:val="26"/>
  </w:num>
  <w:num w:numId="44">
    <w:abstractNumId w:val="3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lignBordersAndEdge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20F"/>
    <w:rsid w:val="00006A33"/>
    <w:rsid w:val="000074C7"/>
    <w:rsid w:val="00011635"/>
    <w:rsid w:val="000162BA"/>
    <w:rsid w:val="00021C26"/>
    <w:rsid w:val="00064A7C"/>
    <w:rsid w:val="0008683E"/>
    <w:rsid w:val="000C1B47"/>
    <w:rsid w:val="000D0792"/>
    <w:rsid w:val="000D3B03"/>
    <w:rsid w:val="000D7713"/>
    <w:rsid w:val="000E0751"/>
    <w:rsid w:val="00106887"/>
    <w:rsid w:val="0013160A"/>
    <w:rsid w:val="00132A20"/>
    <w:rsid w:val="00175ECD"/>
    <w:rsid w:val="0018137C"/>
    <w:rsid w:val="001822B5"/>
    <w:rsid w:val="0018784E"/>
    <w:rsid w:val="00187DAD"/>
    <w:rsid w:val="00187FA4"/>
    <w:rsid w:val="00190305"/>
    <w:rsid w:val="001938CD"/>
    <w:rsid w:val="00196F49"/>
    <w:rsid w:val="001A196F"/>
    <w:rsid w:val="001A349A"/>
    <w:rsid w:val="001A7F6D"/>
    <w:rsid w:val="001C4D0E"/>
    <w:rsid w:val="001C7D10"/>
    <w:rsid w:val="001D391B"/>
    <w:rsid w:val="001E05EC"/>
    <w:rsid w:val="00204551"/>
    <w:rsid w:val="002049C4"/>
    <w:rsid w:val="00211C9E"/>
    <w:rsid w:val="00215CF9"/>
    <w:rsid w:val="00223B8C"/>
    <w:rsid w:val="00232F1F"/>
    <w:rsid w:val="00236505"/>
    <w:rsid w:val="00260ADC"/>
    <w:rsid w:val="002623E9"/>
    <w:rsid w:val="00270118"/>
    <w:rsid w:val="00282FFA"/>
    <w:rsid w:val="0029240B"/>
    <w:rsid w:val="002A036B"/>
    <w:rsid w:val="002A5C7A"/>
    <w:rsid w:val="002A7879"/>
    <w:rsid w:val="002B0F02"/>
    <w:rsid w:val="002B3F67"/>
    <w:rsid w:val="002B72CC"/>
    <w:rsid w:val="002D3150"/>
    <w:rsid w:val="002D4733"/>
    <w:rsid w:val="002D772D"/>
    <w:rsid w:val="002E7F7D"/>
    <w:rsid w:val="002F74BF"/>
    <w:rsid w:val="00301BB5"/>
    <w:rsid w:val="003325C7"/>
    <w:rsid w:val="00333424"/>
    <w:rsid w:val="00335275"/>
    <w:rsid w:val="00337BDC"/>
    <w:rsid w:val="00341D51"/>
    <w:rsid w:val="003437A5"/>
    <w:rsid w:val="00346901"/>
    <w:rsid w:val="003661AF"/>
    <w:rsid w:val="003702CF"/>
    <w:rsid w:val="0038434B"/>
    <w:rsid w:val="003B1B72"/>
    <w:rsid w:val="003C0EE4"/>
    <w:rsid w:val="003C5F01"/>
    <w:rsid w:val="003D5CF9"/>
    <w:rsid w:val="003E2E16"/>
    <w:rsid w:val="003E5CB0"/>
    <w:rsid w:val="003F500B"/>
    <w:rsid w:val="003F6B41"/>
    <w:rsid w:val="004213FC"/>
    <w:rsid w:val="00433F16"/>
    <w:rsid w:val="004366A5"/>
    <w:rsid w:val="00442B3B"/>
    <w:rsid w:val="00451ACB"/>
    <w:rsid w:val="004553FF"/>
    <w:rsid w:val="00456B44"/>
    <w:rsid w:val="00456DF6"/>
    <w:rsid w:val="00460A6C"/>
    <w:rsid w:val="00460B57"/>
    <w:rsid w:val="00462282"/>
    <w:rsid w:val="00465D35"/>
    <w:rsid w:val="004713E4"/>
    <w:rsid w:val="00473D9A"/>
    <w:rsid w:val="00484223"/>
    <w:rsid w:val="004845B4"/>
    <w:rsid w:val="00492F61"/>
    <w:rsid w:val="004A24B4"/>
    <w:rsid w:val="004A65BB"/>
    <w:rsid w:val="004C05D5"/>
    <w:rsid w:val="004D1FD0"/>
    <w:rsid w:val="004D5A28"/>
    <w:rsid w:val="004E7A2E"/>
    <w:rsid w:val="004F013F"/>
    <w:rsid w:val="00510DC0"/>
    <w:rsid w:val="00513E43"/>
    <w:rsid w:val="00515876"/>
    <w:rsid w:val="00520C48"/>
    <w:rsid w:val="00521145"/>
    <w:rsid w:val="00523A6E"/>
    <w:rsid w:val="00525FD8"/>
    <w:rsid w:val="0053259F"/>
    <w:rsid w:val="005426D5"/>
    <w:rsid w:val="00572AE3"/>
    <w:rsid w:val="005820FA"/>
    <w:rsid w:val="00591A13"/>
    <w:rsid w:val="00592CA0"/>
    <w:rsid w:val="005948E5"/>
    <w:rsid w:val="005A19B5"/>
    <w:rsid w:val="005A4C3C"/>
    <w:rsid w:val="005A594C"/>
    <w:rsid w:val="005B0067"/>
    <w:rsid w:val="005D6463"/>
    <w:rsid w:val="005E120F"/>
    <w:rsid w:val="005E2918"/>
    <w:rsid w:val="005F4898"/>
    <w:rsid w:val="0061167B"/>
    <w:rsid w:val="00623B95"/>
    <w:rsid w:val="00624613"/>
    <w:rsid w:val="0062580C"/>
    <w:rsid w:val="0063374C"/>
    <w:rsid w:val="00635B7D"/>
    <w:rsid w:val="00646B2F"/>
    <w:rsid w:val="00657E9B"/>
    <w:rsid w:val="00661D15"/>
    <w:rsid w:val="00682F9A"/>
    <w:rsid w:val="006901BF"/>
    <w:rsid w:val="006B6779"/>
    <w:rsid w:val="006C2662"/>
    <w:rsid w:val="006C4B10"/>
    <w:rsid w:val="006C5FD2"/>
    <w:rsid w:val="006E1EE1"/>
    <w:rsid w:val="006F7928"/>
    <w:rsid w:val="007031EC"/>
    <w:rsid w:val="00703EF1"/>
    <w:rsid w:val="00705FC3"/>
    <w:rsid w:val="00710B20"/>
    <w:rsid w:val="00714B71"/>
    <w:rsid w:val="00715608"/>
    <w:rsid w:val="00716073"/>
    <w:rsid w:val="00716E16"/>
    <w:rsid w:val="0073019F"/>
    <w:rsid w:val="00742837"/>
    <w:rsid w:val="007429AF"/>
    <w:rsid w:val="007437EB"/>
    <w:rsid w:val="00746FD3"/>
    <w:rsid w:val="0076162A"/>
    <w:rsid w:val="0077232E"/>
    <w:rsid w:val="00772404"/>
    <w:rsid w:val="00774604"/>
    <w:rsid w:val="00774DC9"/>
    <w:rsid w:val="007770B0"/>
    <w:rsid w:val="00787ADA"/>
    <w:rsid w:val="007905AF"/>
    <w:rsid w:val="0079249C"/>
    <w:rsid w:val="007B0415"/>
    <w:rsid w:val="007B102A"/>
    <w:rsid w:val="007D1FE2"/>
    <w:rsid w:val="007D25E5"/>
    <w:rsid w:val="007E1CA8"/>
    <w:rsid w:val="007E1E0F"/>
    <w:rsid w:val="007E71A6"/>
    <w:rsid w:val="007F53A4"/>
    <w:rsid w:val="0080534D"/>
    <w:rsid w:val="00814687"/>
    <w:rsid w:val="00814C68"/>
    <w:rsid w:val="0082043F"/>
    <w:rsid w:val="00821341"/>
    <w:rsid w:val="008235D4"/>
    <w:rsid w:val="00851E13"/>
    <w:rsid w:val="008558B4"/>
    <w:rsid w:val="008572CF"/>
    <w:rsid w:val="00875A7C"/>
    <w:rsid w:val="00890C44"/>
    <w:rsid w:val="00891B62"/>
    <w:rsid w:val="008A769D"/>
    <w:rsid w:val="008A7BA6"/>
    <w:rsid w:val="008B44C8"/>
    <w:rsid w:val="008B4FFA"/>
    <w:rsid w:val="008C3DB6"/>
    <w:rsid w:val="008E23A8"/>
    <w:rsid w:val="008E7B59"/>
    <w:rsid w:val="008F02F6"/>
    <w:rsid w:val="0090454A"/>
    <w:rsid w:val="009070B6"/>
    <w:rsid w:val="00937FAB"/>
    <w:rsid w:val="00941579"/>
    <w:rsid w:val="00966F47"/>
    <w:rsid w:val="00971018"/>
    <w:rsid w:val="00980187"/>
    <w:rsid w:val="00985BA8"/>
    <w:rsid w:val="00987C4B"/>
    <w:rsid w:val="009A0E3E"/>
    <w:rsid w:val="009A0E5B"/>
    <w:rsid w:val="009A1FD0"/>
    <w:rsid w:val="009A6B55"/>
    <w:rsid w:val="009A7838"/>
    <w:rsid w:val="009B171C"/>
    <w:rsid w:val="009B43AC"/>
    <w:rsid w:val="009C2793"/>
    <w:rsid w:val="009D1322"/>
    <w:rsid w:val="009D440C"/>
    <w:rsid w:val="009E1B8F"/>
    <w:rsid w:val="009E6054"/>
    <w:rsid w:val="009E711E"/>
    <w:rsid w:val="009F162B"/>
    <w:rsid w:val="009F329B"/>
    <w:rsid w:val="00A01C47"/>
    <w:rsid w:val="00A07F90"/>
    <w:rsid w:val="00A13989"/>
    <w:rsid w:val="00A246DA"/>
    <w:rsid w:val="00A40D41"/>
    <w:rsid w:val="00A41CF8"/>
    <w:rsid w:val="00A46D59"/>
    <w:rsid w:val="00A6072E"/>
    <w:rsid w:val="00A66CB5"/>
    <w:rsid w:val="00A72E80"/>
    <w:rsid w:val="00A73D51"/>
    <w:rsid w:val="00A777BE"/>
    <w:rsid w:val="00A86A62"/>
    <w:rsid w:val="00A97D86"/>
    <w:rsid w:val="00AB1FEC"/>
    <w:rsid w:val="00AB7EB3"/>
    <w:rsid w:val="00AC1D2A"/>
    <w:rsid w:val="00AC299B"/>
    <w:rsid w:val="00AC5DA2"/>
    <w:rsid w:val="00AD1C2E"/>
    <w:rsid w:val="00AE7BBD"/>
    <w:rsid w:val="00AF0AF0"/>
    <w:rsid w:val="00AF59C3"/>
    <w:rsid w:val="00B03713"/>
    <w:rsid w:val="00B129BB"/>
    <w:rsid w:val="00B22597"/>
    <w:rsid w:val="00B3002D"/>
    <w:rsid w:val="00B34F1F"/>
    <w:rsid w:val="00B81CAC"/>
    <w:rsid w:val="00B946FB"/>
    <w:rsid w:val="00BA6884"/>
    <w:rsid w:val="00BB33E4"/>
    <w:rsid w:val="00BB7F97"/>
    <w:rsid w:val="00BC2064"/>
    <w:rsid w:val="00BD31C4"/>
    <w:rsid w:val="00BD3A6B"/>
    <w:rsid w:val="00BD4359"/>
    <w:rsid w:val="00BD54C2"/>
    <w:rsid w:val="00BE0252"/>
    <w:rsid w:val="00BE6028"/>
    <w:rsid w:val="00BF2082"/>
    <w:rsid w:val="00BF751C"/>
    <w:rsid w:val="00C01D51"/>
    <w:rsid w:val="00C03C00"/>
    <w:rsid w:val="00C055FD"/>
    <w:rsid w:val="00C07CF2"/>
    <w:rsid w:val="00C21E25"/>
    <w:rsid w:val="00C22222"/>
    <w:rsid w:val="00C24148"/>
    <w:rsid w:val="00C32A0C"/>
    <w:rsid w:val="00C509EE"/>
    <w:rsid w:val="00C540EF"/>
    <w:rsid w:val="00C5507D"/>
    <w:rsid w:val="00C916E9"/>
    <w:rsid w:val="00CA1C1C"/>
    <w:rsid w:val="00CA767E"/>
    <w:rsid w:val="00CB6FD7"/>
    <w:rsid w:val="00CB7BE4"/>
    <w:rsid w:val="00CC3D86"/>
    <w:rsid w:val="00CE1019"/>
    <w:rsid w:val="00CE35AD"/>
    <w:rsid w:val="00CE4933"/>
    <w:rsid w:val="00CF78C4"/>
    <w:rsid w:val="00D0181C"/>
    <w:rsid w:val="00D046F1"/>
    <w:rsid w:val="00D1286B"/>
    <w:rsid w:val="00D14016"/>
    <w:rsid w:val="00D15E54"/>
    <w:rsid w:val="00D23590"/>
    <w:rsid w:val="00D23719"/>
    <w:rsid w:val="00D24727"/>
    <w:rsid w:val="00D315EE"/>
    <w:rsid w:val="00D62B68"/>
    <w:rsid w:val="00D6344F"/>
    <w:rsid w:val="00D70AC7"/>
    <w:rsid w:val="00D80C6C"/>
    <w:rsid w:val="00D83F3D"/>
    <w:rsid w:val="00DB0EB3"/>
    <w:rsid w:val="00DC0078"/>
    <w:rsid w:val="00DC6739"/>
    <w:rsid w:val="00DD0532"/>
    <w:rsid w:val="00DF18A2"/>
    <w:rsid w:val="00DF1A3A"/>
    <w:rsid w:val="00DF5251"/>
    <w:rsid w:val="00E0239D"/>
    <w:rsid w:val="00E06101"/>
    <w:rsid w:val="00E126A4"/>
    <w:rsid w:val="00E13846"/>
    <w:rsid w:val="00E31682"/>
    <w:rsid w:val="00E368C4"/>
    <w:rsid w:val="00E370CE"/>
    <w:rsid w:val="00E45270"/>
    <w:rsid w:val="00E5144F"/>
    <w:rsid w:val="00E873B5"/>
    <w:rsid w:val="00E94647"/>
    <w:rsid w:val="00E96642"/>
    <w:rsid w:val="00E968CC"/>
    <w:rsid w:val="00E97B3D"/>
    <w:rsid w:val="00EA3603"/>
    <w:rsid w:val="00EA3638"/>
    <w:rsid w:val="00EA6ED4"/>
    <w:rsid w:val="00EB2B1A"/>
    <w:rsid w:val="00EB2F32"/>
    <w:rsid w:val="00EC0DBE"/>
    <w:rsid w:val="00EC4BCD"/>
    <w:rsid w:val="00EC5AB8"/>
    <w:rsid w:val="00EC6D86"/>
    <w:rsid w:val="00ED47E1"/>
    <w:rsid w:val="00ED7BF9"/>
    <w:rsid w:val="00EE1CC3"/>
    <w:rsid w:val="00EF5664"/>
    <w:rsid w:val="00EF6F3D"/>
    <w:rsid w:val="00F10B7E"/>
    <w:rsid w:val="00F22255"/>
    <w:rsid w:val="00F24E9E"/>
    <w:rsid w:val="00F451BC"/>
    <w:rsid w:val="00F476B0"/>
    <w:rsid w:val="00F52492"/>
    <w:rsid w:val="00F66429"/>
    <w:rsid w:val="00F66F47"/>
    <w:rsid w:val="00F84FF8"/>
    <w:rsid w:val="00F85A96"/>
    <w:rsid w:val="00F879D3"/>
    <w:rsid w:val="00F96E0D"/>
    <w:rsid w:val="00FA57CD"/>
    <w:rsid w:val="00FB6D12"/>
    <w:rsid w:val="00FC1E93"/>
    <w:rsid w:val="00FE4848"/>
    <w:rsid w:val="00FF0745"/>
    <w:rsid w:val="00FF07B3"/>
    <w:rsid w:val="0393495F"/>
    <w:rsid w:val="11E3767B"/>
    <w:rsid w:val="144678D7"/>
    <w:rsid w:val="15001A96"/>
    <w:rsid w:val="19DD7B82"/>
    <w:rsid w:val="1C0D3CF2"/>
    <w:rsid w:val="25321BB8"/>
    <w:rsid w:val="2A667397"/>
    <w:rsid w:val="393206E7"/>
    <w:rsid w:val="3EFE4A10"/>
    <w:rsid w:val="47F30E12"/>
    <w:rsid w:val="4CD930F7"/>
    <w:rsid w:val="57382FC5"/>
    <w:rsid w:val="5BEB077B"/>
    <w:rsid w:val="6D413EDF"/>
    <w:rsid w:val="708B3573"/>
    <w:rsid w:val="728947DB"/>
    <w:rsid w:val="7BAF1DA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NewRomanPSMT" w:hAnsi="TimesNewRomanPSMT" w:hint="default"/>
      <w:color w:val="000000"/>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paragraph" w:customStyle="1" w:styleId="TableParagraph">
    <w:name w:val="Table Paragraph"/>
    <w:basedOn w:val="Normal"/>
    <w:uiPriority w:val="1"/>
    <w:qFormat/>
    <w:pPr>
      <w:widowControl w:val="0"/>
      <w:autoSpaceDE w:val="0"/>
      <w:autoSpaceDN w:val="0"/>
      <w:spacing w:after="0" w:line="275" w:lineRule="exact"/>
      <w:ind w:left="107"/>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4"/>
      <w:szCs w:val="24"/>
      <w:lang w:val="en-US"/>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ntstyle21">
    <w:name w:val="fontstyle21"/>
    <w:basedOn w:val="DefaultParagraphFont"/>
    <w:qFormat/>
    <w:rPr>
      <w:rFonts w:ascii="Times New Roman" w:hAnsi="Times New Roman" w:cs="Times New Roman" w:hint="default"/>
      <w:color w:val="000000"/>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eastAsiaTheme="minorHAnsi"/>
      <w:color w:val="000000"/>
      <w:sz w:val="24"/>
      <w:szCs w:val="24"/>
      <w:lang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qFormat/>
    <w:rPr>
      <w:rFonts w:ascii="TimesNewRomanPSMT" w:hAnsi="TimesNewRomanPSMT" w:hint="default"/>
      <w:color w:val="000000"/>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paragraph" w:customStyle="1" w:styleId="TableParagraph">
    <w:name w:val="Table Paragraph"/>
    <w:basedOn w:val="Normal"/>
    <w:uiPriority w:val="1"/>
    <w:qFormat/>
    <w:pPr>
      <w:widowControl w:val="0"/>
      <w:autoSpaceDE w:val="0"/>
      <w:autoSpaceDN w:val="0"/>
      <w:spacing w:after="0" w:line="275" w:lineRule="exact"/>
      <w:ind w:left="107"/>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4"/>
      <w:szCs w:val="24"/>
      <w:lang w:val="en-US"/>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ntstyle21">
    <w:name w:val="fontstyle21"/>
    <w:basedOn w:val="DefaultParagraphFont"/>
    <w:qFormat/>
    <w:rPr>
      <w:rFonts w:ascii="Times New Roman" w:hAnsi="Times New Roman" w:cs="Times New Roman" w:hint="default"/>
      <w:color w:val="000000"/>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eastAsiaTheme="minorHAnsi"/>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chart" Target="charts/chart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44.png"/><Relationship Id="rId19" Type="http://schemas.microsoft.com/office/2007/relationships/hdphoto" Target="media/hdphoto1.wdp"/><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6.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7.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E:\Insight%20projects\2025-26%20Projects\Ushma%20Jani-Sharda%20College\Data\trial%20in%20thesis\Data%20calculation-Ush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Insight%20projects\2025-26%20Projects\Ushma%20Jani-Sharda%20College\Data\trial%20in%20thesis\Data%20calculation-Ush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Dapagliflozin</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validation!$I$4:$I$8</c:f>
              <c:numCache>
                <c:formatCode>General</c:formatCode>
                <c:ptCount val="5"/>
                <c:pt idx="0">
                  <c:v>10</c:v>
                </c:pt>
                <c:pt idx="1">
                  <c:v>15</c:v>
                </c:pt>
                <c:pt idx="2">
                  <c:v>20</c:v>
                </c:pt>
                <c:pt idx="3">
                  <c:v>25</c:v>
                </c:pt>
                <c:pt idx="4">
                  <c:v>30</c:v>
                </c:pt>
              </c:numCache>
            </c:numRef>
          </c:xVal>
          <c:yVal>
            <c:numRef>
              <c:f>validation!$J$4:$J$8</c:f>
              <c:numCache>
                <c:formatCode>0.00</c:formatCode>
                <c:ptCount val="5"/>
                <c:pt idx="0">
                  <c:v>55587</c:v>
                </c:pt>
                <c:pt idx="1">
                  <c:v>82281.333333333299</c:v>
                </c:pt>
                <c:pt idx="2">
                  <c:v>111883.33333333299</c:v>
                </c:pt>
                <c:pt idx="3">
                  <c:v>137306</c:v>
                </c:pt>
                <c:pt idx="4">
                  <c:v>166461.66666666701</c:v>
                </c:pt>
              </c:numCache>
            </c:numRef>
          </c:yVal>
          <c:smooth val="0"/>
        </c:ser>
        <c:dLbls>
          <c:showLegendKey val="0"/>
          <c:showVal val="0"/>
          <c:showCatName val="0"/>
          <c:showSerName val="0"/>
          <c:showPercent val="0"/>
          <c:showBubbleSize val="0"/>
        </c:dLbls>
        <c:axId val="161876800"/>
        <c:axId val="161877376"/>
      </c:scatterChart>
      <c:valAx>
        <c:axId val="161876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Concnetration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1877376"/>
        <c:crosses val="autoZero"/>
        <c:crossBetween val="midCat"/>
      </c:valAx>
      <c:valAx>
        <c:axId val="16187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Area</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1876800"/>
        <c:crosses val="autoZero"/>
        <c:crossBetween val="midCat"/>
      </c:valAx>
      <c:spPr>
        <a:noFill/>
        <a:ln>
          <a:noFill/>
        </a:ln>
        <a:effectLst/>
      </c:spPr>
    </c:plotArea>
    <c:plotVisOnly val="1"/>
    <c:dispBlanksAs val="gap"/>
    <c:showDLblsOverMax val="0"/>
    <c:extLst>
      <c:ext uri="{0b15fc19-7d7d-44ad-8c2d-2c3a37ce22c3}">
        <chartProps xmlns="https://web.wps.cn/et/2018/main" chartId="{a4c20628-2e5c-4ffd-a174-6ff2d0001e27}"/>
      </c:ext>
    </c:extLst>
  </c:chart>
  <c:spPr>
    <a:solidFill>
      <a:schemeClr val="bg1"/>
    </a:solidFill>
    <a:ln w="9525" cap="flat" cmpd="sng" algn="ctr">
      <a:solidFill>
        <a:schemeClr val="tx1"/>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Eplerenone</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validation!$AA$4:$AA$8</c:f>
              <c:numCache>
                <c:formatCode>General</c:formatCode>
                <c:ptCount val="5"/>
                <c:pt idx="0">
                  <c:v>25</c:v>
                </c:pt>
                <c:pt idx="1">
                  <c:v>37.5</c:v>
                </c:pt>
                <c:pt idx="2">
                  <c:v>50</c:v>
                </c:pt>
                <c:pt idx="3">
                  <c:v>62.5</c:v>
                </c:pt>
                <c:pt idx="4">
                  <c:v>75</c:v>
                </c:pt>
              </c:numCache>
            </c:numRef>
          </c:xVal>
          <c:yVal>
            <c:numRef>
              <c:f>validation!$AB$4:$AB$8</c:f>
              <c:numCache>
                <c:formatCode>0.00</c:formatCode>
                <c:ptCount val="5"/>
                <c:pt idx="0">
                  <c:v>68450.333333333299</c:v>
                </c:pt>
                <c:pt idx="1">
                  <c:v>100577</c:v>
                </c:pt>
                <c:pt idx="2">
                  <c:v>137406.32999999999</c:v>
                </c:pt>
                <c:pt idx="3">
                  <c:v>169586</c:v>
                </c:pt>
                <c:pt idx="4">
                  <c:v>199353.66666666701</c:v>
                </c:pt>
              </c:numCache>
            </c:numRef>
          </c:yVal>
          <c:smooth val="0"/>
        </c:ser>
        <c:dLbls>
          <c:showLegendKey val="0"/>
          <c:showVal val="0"/>
          <c:showCatName val="0"/>
          <c:showSerName val="0"/>
          <c:showPercent val="0"/>
          <c:showBubbleSize val="0"/>
        </c:dLbls>
        <c:axId val="161879104"/>
        <c:axId val="161879680"/>
      </c:scatterChart>
      <c:valAx>
        <c:axId val="161879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Concentration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1879680"/>
        <c:crosses val="autoZero"/>
        <c:crossBetween val="midCat"/>
      </c:valAx>
      <c:valAx>
        <c:axId val="16187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Area</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1879104"/>
        <c:crosses val="autoZero"/>
        <c:crossBetween val="midCat"/>
      </c:valAx>
      <c:spPr>
        <a:noFill/>
        <a:ln>
          <a:noFill/>
        </a:ln>
        <a:effectLst/>
      </c:spPr>
    </c:plotArea>
    <c:plotVisOnly val="1"/>
    <c:dispBlanksAs val="gap"/>
    <c:showDLblsOverMax val="0"/>
    <c:extLst>
      <c:ext uri="{0b15fc19-7d7d-44ad-8c2d-2c3a37ce22c3}">
        <chartProps xmlns="https://web.wps.cn/et/2018/main" chartId="{eda61f75-0e9b-458f-8a48-305cb1a2fbfa}"/>
      </c:ext>
    </c:extLst>
  </c:chart>
  <c:spPr>
    <a:solidFill>
      <a:schemeClr val="bg1"/>
    </a:solidFill>
    <a:ln w="9525" cap="flat" cmpd="sng" algn="ctr">
      <a:solidFill>
        <a:schemeClr val="tx1"/>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27A690-90EC-43D3-8727-DBC01F428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17116</Words>
  <Characters>97564</Characters>
  <Application>Microsoft Office Word</Application>
  <DocSecurity>0</DocSecurity>
  <Lines>813</Lines>
  <Paragraphs>228</Paragraphs>
  <ScaleCrop>false</ScaleCrop>
  <Company/>
  <LinksUpToDate>false</LinksUpToDate>
  <CharactersWithSpaces>114452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SHIVANI JANI</dc:creator>
  <cp:lastModifiedBy>qwert</cp:lastModifiedBy>
  <cp:revision>4</cp:revision>
  <cp:lastPrinted>2026-03-23T03:14:00Z</cp:lastPrinted>
  <dcterms:created xsi:type="dcterms:W3CDTF">2026-03-24T04:21:00Z</dcterms:created>
  <dcterms:modified xsi:type="dcterms:W3CDTF">2026-04-06T18:19:00Z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469D09028A2244A5BDC39C2E97EFA410_13</vt:lpwstr>
  </property>
</Properties>
</file>