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EE80B" w14:textId="2D3C8464" w:rsidR="00EC0196" w:rsidRPr="008504A7" w:rsidRDefault="009975BC" w:rsidP="00BF18F4">
      <w:pPr>
        <w:pStyle w:val="NormalWeb"/>
        <w:rPr>
          <w:b/>
          <w:bCs/>
        </w:rPr>
      </w:pPr>
      <w:r w:rsidRPr="008504A7">
        <w:rPr>
          <w:b/>
          <w:bCs/>
        </w:rPr>
        <w:t>Determinants of Cardiometabolic Risk in Diabetes: Roles of Adiposity, Disease Duration, and Atherogenic Indices in an Urban Nigerian Population</w:t>
      </w:r>
    </w:p>
    <w:p w14:paraId="2E35B59E" w14:textId="77777777" w:rsidR="00BF18F4" w:rsidRPr="008504A7" w:rsidRDefault="00BF18F4">
      <w:pPr>
        <w:rPr>
          <w:rStyle w:val="Strong"/>
          <w:rFonts w:ascii="Times New Roman" w:hAnsi="Times New Roman" w:cs="Times New Roman"/>
          <w:sz w:val="24"/>
          <w:szCs w:val="24"/>
        </w:rPr>
      </w:pPr>
      <w:bookmarkStart w:id="0" w:name="_GoBack"/>
      <w:bookmarkEnd w:id="0"/>
    </w:p>
    <w:p w14:paraId="58BBF12C" w14:textId="79326E28" w:rsidR="00BF18F4" w:rsidRDefault="008504A7">
      <w:pPr>
        <w:rPr>
          <w:rStyle w:val="Strong"/>
          <w:rFonts w:ascii="Times New Roman" w:hAnsi="Times New Roman" w:cs="Times New Roman"/>
          <w:sz w:val="24"/>
          <w:szCs w:val="24"/>
        </w:rPr>
      </w:pPr>
      <w:r>
        <w:rPr>
          <w:rStyle w:val="Strong"/>
          <w:rFonts w:ascii="Times New Roman" w:hAnsi="Times New Roman" w:cs="Times New Roman"/>
          <w:sz w:val="24"/>
          <w:szCs w:val="24"/>
        </w:rPr>
        <w:t>Abstract</w:t>
      </w:r>
    </w:p>
    <w:p w14:paraId="2DE6CF4A"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Background:</w:t>
      </w:r>
      <w:r w:rsidRPr="00C8355D">
        <w:rPr>
          <w:rFonts w:ascii="Times New Roman" w:eastAsia="Times New Roman" w:hAnsi="Times New Roman" w:cs="Times New Roman"/>
          <w:sz w:val="24"/>
          <w:szCs w:val="24"/>
        </w:rPr>
        <w:t xml:space="preserve"> Type 2 diabetes mellitus (T2DM) is a growing public health concern in sub-Saharan Africa, with urban Nigerian populations experiencing rising cardiometabolic risk. Central adiposity and atherogenic lipid indices have emerged as key determinants; however, their combined effects with diabetes duration remain insufficiently characterized.</w:t>
      </w:r>
    </w:p>
    <w:p w14:paraId="0AAB09F3"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Objective:</w:t>
      </w:r>
      <w:r w:rsidRPr="00C8355D">
        <w:rPr>
          <w:rFonts w:ascii="Times New Roman" w:eastAsia="Times New Roman" w:hAnsi="Times New Roman" w:cs="Times New Roman"/>
          <w:sz w:val="24"/>
          <w:szCs w:val="24"/>
        </w:rPr>
        <w:t xml:space="preserve"> To evaluate the interplay between adiposity, diabetes duration, and atherogenic indices in predicting cardiometabolic risk among adults with T2DM in an urban Nigerian setting.</w:t>
      </w:r>
    </w:p>
    <w:p w14:paraId="5EA96E5E"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Methods:</w:t>
      </w:r>
      <w:r w:rsidRPr="00C8355D">
        <w:rPr>
          <w:rFonts w:ascii="Times New Roman" w:eastAsia="Times New Roman" w:hAnsi="Times New Roman" w:cs="Times New Roman"/>
          <w:sz w:val="24"/>
          <w:szCs w:val="24"/>
        </w:rPr>
        <w:t xml:space="preserve"> A cross-sectional analytical study was conducted among adult diabetic patients attending a tertiary hospital clinic in Port Harcourt. Sociodemographic, anthropometric, and biochemical data were collected. Adiposity indices (BMI), lipid parameters, and derived atherogenic indices (AIP, atherogenic coefficient, </w:t>
      </w:r>
      <w:proofErr w:type="spellStart"/>
      <w:r w:rsidRPr="00C8355D">
        <w:rPr>
          <w:rFonts w:ascii="Times New Roman" w:eastAsia="Times New Roman" w:hAnsi="Times New Roman" w:cs="Times New Roman"/>
          <w:sz w:val="24"/>
          <w:szCs w:val="24"/>
        </w:rPr>
        <w:t>Castelli’s</w:t>
      </w:r>
      <w:proofErr w:type="spellEnd"/>
      <w:r w:rsidRPr="00C8355D">
        <w:rPr>
          <w:rFonts w:ascii="Times New Roman" w:eastAsia="Times New Roman" w:hAnsi="Times New Roman" w:cs="Times New Roman"/>
          <w:sz w:val="24"/>
          <w:szCs w:val="24"/>
        </w:rPr>
        <w:t xml:space="preserve"> indices, </w:t>
      </w:r>
      <w:proofErr w:type="spellStart"/>
      <w:r w:rsidRPr="00C8355D">
        <w:rPr>
          <w:rFonts w:ascii="Times New Roman" w:eastAsia="Times New Roman" w:hAnsi="Times New Roman" w:cs="Times New Roman"/>
          <w:sz w:val="24"/>
          <w:szCs w:val="24"/>
        </w:rPr>
        <w:t>TyG</w:t>
      </w:r>
      <w:proofErr w:type="spellEnd"/>
      <w:r w:rsidRPr="00C8355D">
        <w:rPr>
          <w:rFonts w:ascii="Times New Roman" w:eastAsia="Times New Roman" w:hAnsi="Times New Roman" w:cs="Times New Roman"/>
          <w:sz w:val="24"/>
          <w:szCs w:val="24"/>
        </w:rPr>
        <w:t>) were computed. Statistical analyses included ANOVA, chi-square tests, and multiple linear regression models, with significance set at p&lt;0.05.</w:t>
      </w:r>
    </w:p>
    <w:p w14:paraId="24FBE3BE"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Results:</w:t>
      </w:r>
      <w:r w:rsidRPr="00C8355D">
        <w:rPr>
          <w:rFonts w:ascii="Times New Roman" w:eastAsia="Times New Roman" w:hAnsi="Times New Roman" w:cs="Times New Roman"/>
          <w:sz w:val="24"/>
          <w:szCs w:val="24"/>
        </w:rPr>
        <w:t xml:space="preserve"> BMI and occupational status were significantly associated with diabetes duration. Overweight and obesity were linked to adverse lipid profiles, elevated triglycerides, reduced HDL, and higher atherogenic indices. Cardiometabolic risk peaked at 5–10 years of diabetes duration. Regression analyses demonstrated strong predictive performance across models (R² up to 0.96), with lipid parameters (HDL, VLDL, TG/CHOL, non-HDL) and fasting blood glucose as dominant predictors, while BMI and duration showed variable effects.</w:t>
      </w:r>
    </w:p>
    <w:p w14:paraId="6E5CB076"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Conclusion:</w:t>
      </w:r>
      <w:r w:rsidRPr="00C8355D">
        <w:rPr>
          <w:rFonts w:ascii="Times New Roman" w:eastAsia="Times New Roman" w:hAnsi="Times New Roman" w:cs="Times New Roman"/>
          <w:sz w:val="24"/>
          <w:szCs w:val="24"/>
        </w:rPr>
        <w:t xml:space="preserve"> Cardiometabolic risk in urban Nigerian T2DM patients is driven predominantly by </w:t>
      </w:r>
      <w:proofErr w:type="spellStart"/>
      <w:r w:rsidRPr="00C8355D">
        <w:rPr>
          <w:rFonts w:ascii="Times New Roman" w:eastAsia="Times New Roman" w:hAnsi="Times New Roman" w:cs="Times New Roman"/>
          <w:sz w:val="24"/>
          <w:szCs w:val="24"/>
        </w:rPr>
        <w:t>dyslipidaemia</w:t>
      </w:r>
      <w:proofErr w:type="spellEnd"/>
      <w:r w:rsidRPr="00C8355D">
        <w:rPr>
          <w:rFonts w:ascii="Times New Roman" w:eastAsia="Times New Roman" w:hAnsi="Times New Roman" w:cs="Times New Roman"/>
          <w:sz w:val="24"/>
          <w:szCs w:val="24"/>
        </w:rPr>
        <w:t xml:space="preserve"> and </w:t>
      </w:r>
      <w:proofErr w:type="spellStart"/>
      <w:r w:rsidRPr="00C8355D">
        <w:rPr>
          <w:rFonts w:ascii="Times New Roman" w:eastAsia="Times New Roman" w:hAnsi="Times New Roman" w:cs="Times New Roman"/>
          <w:sz w:val="24"/>
          <w:szCs w:val="24"/>
        </w:rPr>
        <w:t>glycaemic</w:t>
      </w:r>
      <w:proofErr w:type="spellEnd"/>
      <w:r w:rsidRPr="00C8355D">
        <w:rPr>
          <w:rFonts w:ascii="Times New Roman" w:eastAsia="Times New Roman" w:hAnsi="Times New Roman" w:cs="Times New Roman"/>
          <w:sz w:val="24"/>
          <w:szCs w:val="24"/>
        </w:rPr>
        <w:t xml:space="preserve"> burden, with central adiposity and disease duration exerting complementary influences. Integrative risk models may improve early detection and targeted management.</w:t>
      </w:r>
    </w:p>
    <w:p w14:paraId="1EB8DE08" w14:textId="1203E603" w:rsidR="00EA574A" w:rsidRPr="00C8355D" w:rsidRDefault="00C8355D">
      <w:pPr>
        <w:rPr>
          <w:rStyle w:val="Strong"/>
          <w:rFonts w:ascii="Times New Roman" w:hAnsi="Times New Roman" w:cs="Times New Roman"/>
          <w:i/>
          <w:iCs/>
          <w:sz w:val="20"/>
          <w:szCs w:val="20"/>
        </w:rPr>
      </w:pPr>
      <w:r w:rsidRPr="00C8355D">
        <w:rPr>
          <w:rStyle w:val="Strong"/>
          <w:i/>
          <w:iCs/>
          <w:sz w:val="18"/>
          <w:szCs w:val="18"/>
        </w:rPr>
        <w:t xml:space="preserve">Keywords: </w:t>
      </w:r>
      <w:r w:rsidRPr="00C8355D">
        <w:rPr>
          <w:i/>
          <w:iCs/>
          <w:sz w:val="18"/>
          <w:szCs w:val="18"/>
        </w:rPr>
        <w:t xml:space="preserve">Type 2 diabetes mellitus; Central adiposity; Atherogenic indices; Cardiometabolic risk; Diabetes duration; </w:t>
      </w:r>
      <w:proofErr w:type="spellStart"/>
      <w:r w:rsidRPr="00C8355D">
        <w:rPr>
          <w:i/>
          <w:iCs/>
          <w:sz w:val="18"/>
          <w:szCs w:val="18"/>
        </w:rPr>
        <w:t>Dyslipidaemia</w:t>
      </w:r>
      <w:proofErr w:type="spellEnd"/>
      <w:r w:rsidRPr="00C8355D">
        <w:rPr>
          <w:i/>
          <w:iCs/>
          <w:sz w:val="18"/>
          <w:szCs w:val="18"/>
        </w:rPr>
        <w:t>; Insulin resistance; Nigeria</w:t>
      </w:r>
    </w:p>
    <w:p w14:paraId="40A82B9D" w14:textId="0E9DF5D6" w:rsidR="00EA574A" w:rsidRDefault="00EA574A">
      <w:pPr>
        <w:rPr>
          <w:rStyle w:val="Strong"/>
          <w:rFonts w:ascii="Times New Roman" w:hAnsi="Times New Roman" w:cs="Times New Roman"/>
          <w:sz w:val="24"/>
          <w:szCs w:val="24"/>
        </w:rPr>
      </w:pPr>
    </w:p>
    <w:p w14:paraId="5CECD760" w14:textId="050F6667" w:rsidR="00EA574A" w:rsidRDefault="00EA574A">
      <w:pPr>
        <w:rPr>
          <w:rStyle w:val="Strong"/>
          <w:rFonts w:ascii="Times New Roman" w:hAnsi="Times New Roman" w:cs="Times New Roman"/>
          <w:sz w:val="24"/>
          <w:szCs w:val="24"/>
        </w:rPr>
      </w:pPr>
    </w:p>
    <w:p w14:paraId="3AD83FCE" w14:textId="15149921" w:rsidR="00EA574A" w:rsidRDefault="00EA574A">
      <w:pPr>
        <w:rPr>
          <w:rStyle w:val="Strong"/>
          <w:rFonts w:ascii="Times New Roman" w:hAnsi="Times New Roman" w:cs="Times New Roman"/>
          <w:sz w:val="24"/>
          <w:szCs w:val="24"/>
        </w:rPr>
      </w:pPr>
    </w:p>
    <w:p w14:paraId="524351EA" w14:textId="7BAA706C" w:rsidR="00EA574A" w:rsidRDefault="00EA574A">
      <w:pPr>
        <w:rPr>
          <w:rStyle w:val="Strong"/>
          <w:rFonts w:ascii="Times New Roman" w:hAnsi="Times New Roman" w:cs="Times New Roman"/>
          <w:sz w:val="24"/>
          <w:szCs w:val="24"/>
        </w:rPr>
      </w:pPr>
    </w:p>
    <w:p w14:paraId="7A676DCB" w14:textId="6D2B3377" w:rsidR="00EA574A" w:rsidRDefault="00EA574A">
      <w:pP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Introduction</w:t>
      </w:r>
    </w:p>
    <w:p w14:paraId="0CA4F02A"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Type 2 diabetes mellitus (T2DM) is an expanding public health challenge in sub-Saharan Africa, with urban Nigerian populations experiencing a disproportionate rise in cardiometabolic complications. Emerging evidence indicates that adiposity—particularly central or visceral fat accumulation—is a major driver of cardiovascular risk in these settings. Anthropometric indices such as waist circumference (WC), waist–hip ratio (WHR), and waist–height ratio (</w:t>
      </w:r>
      <w:proofErr w:type="spellStart"/>
      <w:r w:rsidRPr="00001510">
        <w:rPr>
          <w:rFonts w:ascii="Times New Roman" w:eastAsia="Times New Roman" w:hAnsi="Times New Roman" w:cs="Times New Roman"/>
          <w:sz w:val="24"/>
          <w:szCs w:val="24"/>
        </w:rPr>
        <w:t>WHtR</w:t>
      </w:r>
      <w:proofErr w:type="spellEnd"/>
      <w:r w:rsidRPr="00001510">
        <w:rPr>
          <w:rFonts w:ascii="Times New Roman" w:eastAsia="Times New Roman" w:hAnsi="Times New Roman" w:cs="Times New Roman"/>
          <w:sz w:val="24"/>
          <w:szCs w:val="24"/>
        </w:rPr>
        <w:t xml:space="preserve">) demonstrate stronger and more consistent associations with hypertension and insulin resistance than body mass index (BMI), which shows only modest predictive utility for long-term cardiovascular disease (CVD) risk (Azeez, n.d.; Basil et al., 2024). Furthermore, visceral adiposity index (VAI) has been strongly linked to insulin resistance and adipokine imbalance, with notable sex differences suggesting a higher burden among female patients (Ayodele et al., 2024; </w:t>
      </w:r>
      <w:proofErr w:type="spellStart"/>
      <w:r w:rsidRPr="00001510">
        <w:rPr>
          <w:rFonts w:ascii="Times New Roman" w:eastAsia="Times New Roman" w:hAnsi="Times New Roman" w:cs="Times New Roman"/>
          <w:sz w:val="24"/>
          <w:szCs w:val="24"/>
        </w:rPr>
        <w:t>Bolarinwa</w:t>
      </w:r>
      <w:proofErr w:type="spellEnd"/>
      <w:r w:rsidRPr="00001510">
        <w:rPr>
          <w:rFonts w:ascii="Times New Roman" w:eastAsia="Times New Roman" w:hAnsi="Times New Roman" w:cs="Times New Roman"/>
          <w:sz w:val="24"/>
          <w:szCs w:val="24"/>
        </w:rPr>
        <w:t xml:space="preserve"> et al., 2018).</w:t>
      </w:r>
    </w:p>
    <w:p w14:paraId="2E9E3ED8"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 xml:space="preserve">Beyond adiposity, the duration of diabetes has emerged as an important determinant of cardiometabolic outcomes. Prolonged disease duration is associated with increased 10-year CVD risk and a higher likelihood of hypertension, reflecting the cumulative effects of chronic hyperglycemia and metabolic dysregulation (Mohammed et al., 2025; </w:t>
      </w:r>
      <w:proofErr w:type="spellStart"/>
      <w:r w:rsidRPr="00001510">
        <w:rPr>
          <w:rFonts w:ascii="Times New Roman" w:eastAsia="Times New Roman" w:hAnsi="Times New Roman" w:cs="Times New Roman"/>
          <w:sz w:val="24"/>
          <w:szCs w:val="24"/>
        </w:rPr>
        <w:t>Mba</w:t>
      </w:r>
      <w:proofErr w:type="spellEnd"/>
      <w:r w:rsidRPr="00001510">
        <w:rPr>
          <w:rFonts w:ascii="Times New Roman" w:eastAsia="Times New Roman" w:hAnsi="Times New Roman" w:cs="Times New Roman"/>
          <w:sz w:val="24"/>
          <w:szCs w:val="24"/>
        </w:rPr>
        <w:t xml:space="preserve"> et al., 2025). However, inconsistencies in the behavior of key biomarkers such as VAI, HOMA-IR, and glycated hemoglobin (HbA1c) across duration categories suggest that the relationship between disease chronicity and metabolic risk may be complex and influenced by treatment patterns and individual variability (</w:t>
      </w:r>
      <w:proofErr w:type="spellStart"/>
      <w:r w:rsidRPr="00001510">
        <w:rPr>
          <w:rFonts w:ascii="Times New Roman" w:eastAsia="Times New Roman" w:hAnsi="Times New Roman" w:cs="Times New Roman"/>
          <w:sz w:val="24"/>
          <w:szCs w:val="24"/>
        </w:rPr>
        <w:t>Bolarinwa</w:t>
      </w:r>
      <w:proofErr w:type="spellEnd"/>
      <w:r w:rsidRPr="00001510">
        <w:rPr>
          <w:rFonts w:ascii="Times New Roman" w:eastAsia="Times New Roman" w:hAnsi="Times New Roman" w:cs="Times New Roman"/>
          <w:sz w:val="24"/>
          <w:szCs w:val="24"/>
        </w:rPr>
        <w:t xml:space="preserve"> et al., 2018).</w:t>
      </w:r>
    </w:p>
    <w:p w14:paraId="07DDB82B"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 xml:space="preserve">In parallel, atherogenic lipid indices—including the atherogenic index of plasma (AIP), atherogenic coefficient (AQ), and low-density lipoprotein cholesterol (LDL-C)—have been increasingly recognized as robust predictors of insulin resistance and vascular risk. These indices not only correlate with hypertension and coronary artery disease (CAD) but also identify a substantial proportion of high-risk individuals within clinical populations (Ayodele et al., 2024; </w:t>
      </w:r>
      <w:proofErr w:type="spellStart"/>
      <w:r w:rsidRPr="00001510">
        <w:rPr>
          <w:rFonts w:ascii="Times New Roman" w:eastAsia="Times New Roman" w:hAnsi="Times New Roman" w:cs="Times New Roman"/>
          <w:sz w:val="24"/>
          <w:szCs w:val="24"/>
        </w:rPr>
        <w:t>Onwukwe</w:t>
      </w:r>
      <w:proofErr w:type="spellEnd"/>
      <w:r w:rsidRPr="00001510">
        <w:rPr>
          <w:rFonts w:ascii="Times New Roman" w:eastAsia="Times New Roman" w:hAnsi="Times New Roman" w:cs="Times New Roman"/>
          <w:sz w:val="24"/>
          <w:szCs w:val="24"/>
        </w:rPr>
        <w:t xml:space="preserve"> et al., 2022). Despite this growing body of evidence, most studies have examined these determinants in isolation, with limited integration of adiposity measures, disease duration, and lipid indices within a unified risk framework.</w:t>
      </w:r>
    </w:p>
    <w:p w14:paraId="5FEEF8F9"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This fragmentation highlights a critical research gap in the Nigerian context: the lack of comprehensive models that simultaneously evaluate the interplay between central adiposity, diabetes duration, and atherogenic lipid profiles in predicting cardiometabolic risk. Addressing this gap is essential for improving risk stratification and informing targeted interventions, particularly in resource-constrained urban settings where the burden of T2DM and its complications continues to rise.</w:t>
      </w:r>
    </w:p>
    <w:p w14:paraId="0BDA2378" w14:textId="7726F475" w:rsidR="0072583D" w:rsidRPr="008504A7" w:rsidRDefault="0072583D" w:rsidP="008C181D">
      <w:pPr>
        <w:spacing w:before="100" w:beforeAutospacing="1" w:after="100" w:afterAutospacing="1" w:line="240" w:lineRule="auto"/>
        <w:rPr>
          <w:rFonts w:ascii="Times New Roman" w:eastAsia="Times New Roman" w:hAnsi="Times New Roman" w:cs="Times New Roman"/>
          <w:b/>
          <w:bCs/>
          <w:sz w:val="24"/>
          <w:szCs w:val="24"/>
        </w:rPr>
      </w:pPr>
      <w:r w:rsidRPr="008504A7">
        <w:rPr>
          <w:rFonts w:ascii="Times New Roman" w:eastAsia="Times New Roman" w:hAnsi="Times New Roman" w:cs="Times New Roman"/>
          <w:b/>
          <w:bCs/>
          <w:sz w:val="24"/>
          <w:szCs w:val="24"/>
        </w:rPr>
        <w:t xml:space="preserve">Methodology </w:t>
      </w:r>
    </w:p>
    <w:p w14:paraId="20461B46" w14:textId="6CEEDB13"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t xml:space="preserve">This cross-sectional analytical study was conducted in Port Harcourt to investigate the relationships between adiposity, diabetes duration, and cardiometabolic risk among adults with diabetes mellitus. Participants were adults aged 18 years and above with a confirmed diagnosis of diabetes, recruited from </w:t>
      </w:r>
      <w:r w:rsidR="008504A7" w:rsidRPr="008504A7">
        <w:rPr>
          <w:rFonts w:ascii="Times New Roman" w:eastAsia="Times New Roman" w:hAnsi="Times New Roman" w:cs="Times New Roman"/>
          <w:sz w:val="24"/>
          <w:szCs w:val="24"/>
        </w:rPr>
        <w:t xml:space="preserve">the </w:t>
      </w:r>
      <w:r w:rsidR="0072583D" w:rsidRPr="008504A7">
        <w:rPr>
          <w:rFonts w:ascii="Times New Roman" w:eastAsia="Times New Roman" w:hAnsi="Times New Roman" w:cs="Times New Roman"/>
          <w:sz w:val="24"/>
          <w:szCs w:val="24"/>
        </w:rPr>
        <w:t>Metabolic Clinic of the Teaching Hospital</w:t>
      </w:r>
      <w:r w:rsidRPr="008C181D">
        <w:rPr>
          <w:rFonts w:ascii="Times New Roman" w:eastAsia="Times New Roman" w:hAnsi="Times New Roman" w:cs="Times New Roman"/>
          <w:sz w:val="24"/>
          <w:szCs w:val="24"/>
        </w:rPr>
        <w:t xml:space="preserve"> using a convenience sampling approach. Individuals with incomplete anthropometric or biochemical data were excluded from the analysis.</w:t>
      </w:r>
    </w:p>
    <w:p w14:paraId="3C9116D6" w14:textId="77777777"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lastRenderedPageBreak/>
        <w:t>Sociodemographic and clinical data, including age, sex, and occupational status (classified as business, civil service, or pensioners), were obtained using structured questionnaires. Duration of diabetes was self-reported and categorized into &lt;5 years, 5–10 years, and &gt;10 years. Anthropometric measurements were obtained using standard procedures. Body mass index (BMI) was calculated as weight in kilograms divided by height in meters squared and categorized into underweight, normal weight, overweight, and obese according to standard criteria.</w:t>
      </w:r>
    </w:p>
    <w:p w14:paraId="2525D162" w14:textId="77777777"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t>Fasting venous blood samples were collected after an overnight fast for the assessment of fasting blood glucose and lipid profile parameters, including total cholesterol, triglycerides, high-density lipoprotein (HDL), low-density lipoprotein (LDL), and very low-density lipoprotein (VLDL). Derived lipid measures included non-HDL cholesterol, triglyceride-to-cholesterol ratio, and HDL-to-LDL ratio. Cardiometabolic risk was further evaluated using established indices, including the atherogenic index of plasma, atherogenic coefficient, Castelli’s Risk Indices I and II, and the triglyceride–glucose index.</w:t>
      </w:r>
    </w:p>
    <w:p w14:paraId="36DE5493" w14:textId="77777777"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t xml:space="preserve">Data were </w:t>
      </w:r>
      <w:proofErr w:type="spellStart"/>
      <w:r w:rsidRPr="008C181D">
        <w:rPr>
          <w:rFonts w:ascii="Times New Roman" w:eastAsia="Times New Roman" w:hAnsi="Times New Roman" w:cs="Times New Roman"/>
          <w:sz w:val="24"/>
          <w:szCs w:val="24"/>
        </w:rPr>
        <w:t>analysed</w:t>
      </w:r>
      <w:proofErr w:type="spellEnd"/>
      <w:r w:rsidRPr="008C181D">
        <w:rPr>
          <w:rFonts w:ascii="Times New Roman" w:eastAsia="Times New Roman" w:hAnsi="Times New Roman" w:cs="Times New Roman"/>
          <w:sz w:val="24"/>
          <w:szCs w:val="24"/>
        </w:rPr>
        <w:t xml:space="preserve"> using appropriate statistical software. Continuous variables were summarized as mean ± standard deviation, while categorical variables were expressed as frequencies and percentages. Group comparisons across BMI categories and diabetes duration were performed using analysis of variance and chi-square tests, with post hoc analyses applied where necessary. Multiple linear regression models were constructed to identify independent predictors of cardiometabolic risk indices. Model performance was assessed using correlation coefficients, coefficients of determination, and standard error estimates. Statistical significance was set at p&lt;0.05. Ethical approval was obtained from the appropriate review board, and all participants provided written informed consent in accordance with the Declaration of Helsinki.</w:t>
      </w:r>
    </w:p>
    <w:p w14:paraId="78435611" w14:textId="30E6D602" w:rsidR="004927C3" w:rsidRPr="008504A7" w:rsidRDefault="004927C3">
      <w:pPr>
        <w:rPr>
          <w:rStyle w:val="Strong"/>
          <w:rFonts w:ascii="Times New Roman" w:hAnsi="Times New Roman" w:cs="Times New Roman"/>
          <w:sz w:val="24"/>
          <w:szCs w:val="24"/>
        </w:rPr>
      </w:pPr>
      <w:r w:rsidRPr="008504A7">
        <w:rPr>
          <w:rStyle w:val="Strong"/>
          <w:rFonts w:ascii="Times New Roman" w:hAnsi="Times New Roman" w:cs="Times New Roman"/>
          <w:sz w:val="24"/>
          <w:szCs w:val="24"/>
        </w:rPr>
        <w:t>Results</w:t>
      </w:r>
    </w:p>
    <w:p w14:paraId="78EB4069" w14:textId="7F79CA89" w:rsidR="004927C3" w:rsidRPr="008504A7" w:rsidRDefault="00616CEF">
      <w:pPr>
        <w:rPr>
          <w:rStyle w:val="Strong"/>
          <w:rFonts w:ascii="Times New Roman" w:hAnsi="Times New Roman" w:cs="Times New Roman"/>
          <w:sz w:val="24"/>
          <w:szCs w:val="24"/>
        </w:rPr>
      </w:pPr>
      <w:r w:rsidRPr="008504A7">
        <w:rPr>
          <w:rFonts w:ascii="Times New Roman" w:hAnsi="Times New Roman" w:cs="Times New Roman"/>
          <w:sz w:val="24"/>
          <w:szCs w:val="24"/>
        </w:rPr>
        <w:t>Table 1 presents the distribution of sex, job category, and BMI across durations of diabetes mellitus. Males constituted a higher proportion of participants, although sex was not significantly associated with disease duration. In contrast, job category showed a significant relationship, with business individuals predominating, while civil servants and pensioners varied across duration groups. BMI also demonstrated a strong association with duration, with overweight and obesity more common in early disease stages, and normal BMI more frequent in longer durations. Underweight was rare. Overall, the findings suggest that occupational status and BMI are important factors linked to the progression of diabetes.</w:t>
      </w:r>
    </w:p>
    <w:p w14:paraId="1BC6A1E9" w14:textId="6B9AF98F" w:rsidR="004927C3" w:rsidRPr="008504A7" w:rsidRDefault="00616CEF">
      <w:pPr>
        <w:rPr>
          <w:rStyle w:val="Strong"/>
          <w:rFonts w:ascii="Times New Roman" w:hAnsi="Times New Roman" w:cs="Times New Roman"/>
          <w:sz w:val="24"/>
          <w:szCs w:val="24"/>
        </w:rPr>
      </w:pPr>
      <w:r w:rsidRPr="008504A7">
        <w:rPr>
          <w:rFonts w:ascii="Times New Roman" w:hAnsi="Times New Roman" w:cs="Times New Roman"/>
          <w:sz w:val="24"/>
          <w:szCs w:val="24"/>
        </w:rPr>
        <w:t xml:space="preserve">Tables 2a–2b show significant variations in age and cardiometabolic parameters across BMI categories. Age differed across groups, with overweight individuals being older, while obese participants were relatively younger. Fasting blood glucose was highest in underweight and obese groups, indicating poorer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control at both extremes. Triglycerides and VLDL increased with BMI, while HDL levels were lower in higher BMI groups, reflecting elevated cardiovascular risk. Atherogenic indices, including </w:t>
      </w:r>
      <w:proofErr w:type="spellStart"/>
      <w:r w:rsidRPr="008504A7">
        <w:rPr>
          <w:rFonts w:ascii="Times New Roman" w:hAnsi="Times New Roman" w:cs="Times New Roman"/>
          <w:sz w:val="24"/>
          <w:szCs w:val="24"/>
        </w:rPr>
        <w:t>Castelli’s</w:t>
      </w:r>
      <w:proofErr w:type="spellEnd"/>
      <w:r w:rsidRPr="008504A7">
        <w:rPr>
          <w:rFonts w:ascii="Times New Roman" w:hAnsi="Times New Roman" w:cs="Times New Roman"/>
          <w:sz w:val="24"/>
          <w:szCs w:val="24"/>
        </w:rPr>
        <w:t xml:space="preserve"> indices and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differed significantly, with higher risk observed in overweight and obese individuals. Post hoc analysis confirmed these patterns, highlighting worsening lipid profiles and insulin resistance with increasing adiposity.</w:t>
      </w:r>
    </w:p>
    <w:p w14:paraId="42BDDCB8" w14:textId="3F2C0F32" w:rsidR="008F16A5" w:rsidRPr="008504A7" w:rsidRDefault="00616CEF">
      <w:pPr>
        <w:rPr>
          <w:rStyle w:val="Strong"/>
          <w:rFonts w:ascii="Times New Roman" w:hAnsi="Times New Roman" w:cs="Times New Roman"/>
          <w:sz w:val="24"/>
          <w:szCs w:val="24"/>
        </w:rPr>
      </w:pPr>
      <w:proofErr w:type="gramStart"/>
      <w:r w:rsidRPr="008504A7">
        <w:rPr>
          <w:rFonts w:ascii="Times New Roman" w:hAnsi="Times New Roman" w:cs="Times New Roman"/>
          <w:sz w:val="24"/>
          <w:szCs w:val="24"/>
        </w:rPr>
        <w:t>Tables</w:t>
      </w:r>
      <w:proofErr w:type="gramEnd"/>
      <w:r w:rsidRPr="008504A7">
        <w:rPr>
          <w:rFonts w:ascii="Times New Roman" w:hAnsi="Times New Roman" w:cs="Times New Roman"/>
          <w:sz w:val="24"/>
          <w:szCs w:val="24"/>
        </w:rPr>
        <w:t xml:space="preserve"> 3a–b highlight significant variations in demographic,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and </w:t>
      </w:r>
      <w:proofErr w:type="spellStart"/>
      <w:r w:rsidRPr="008504A7">
        <w:rPr>
          <w:rFonts w:ascii="Times New Roman" w:hAnsi="Times New Roman" w:cs="Times New Roman"/>
          <w:sz w:val="24"/>
          <w:szCs w:val="24"/>
        </w:rPr>
        <w:t>cardiometabolic</w:t>
      </w:r>
      <w:proofErr w:type="spellEnd"/>
      <w:r w:rsidRPr="008504A7">
        <w:rPr>
          <w:rFonts w:ascii="Times New Roman" w:hAnsi="Times New Roman" w:cs="Times New Roman"/>
          <w:sz w:val="24"/>
          <w:szCs w:val="24"/>
        </w:rPr>
        <w:t xml:space="preserve"> parameters across durations of diabetes mellitus. Age and BMI differed significantly, with BMI declining as disease duration increased. Fasting blood glucose and most lipid parameters peaked in the 5–10 years </w:t>
      </w:r>
      <w:r w:rsidRPr="008504A7">
        <w:rPr>
          <w:rFonts w:ascii="Times New Roman" w:hAnsi="Times New Roman" w:cs="Times New Roman"/>
          <w:sz w:val="24"/>
          <w:szCs w:val="24"/>
        </w:rPr>
        <w:lastRenderedPageBreak/>
        <w:t xml:space="preserve">group, indicating poorer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control and elevated cardiovascular risk during this period. Atherogenic indices, including </w:t>
      </w:r>
      <w:proofErr w:type="spellStart"/>
      <w:r w:rsidRPr="008504A7">
        <w:rPr>
          <w:rFonts w:ascii="Times New Roman" w:hAnsi="Times New Roman" w:cs="Times New Roman"/>
          <w:sz w:val="24"/>
          <w:szCs w:val="24"/>
        </w:rPr>
        <w:t>Castelli’s</w:t>
      </w:r>
      <w:proofErr w:type="spellEnd"/>
      <w:r w:rsidRPr="008504A7">
        <w:rPr>
          <w:rFonts w:ascii="Times New Roman" w:hAnsi="Times New Roman" w:cs="Times New Roman"/>
          <w:sz w:val="24"/>
          <w:szCs w:val="24"/>
        </w:rPr>
        <w:t xml:space="preserve"> indices and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were also highest in this group. Post hoc analysis confirmed these trends, showing worse metabolic and lipid profiles compared to &lt;5 years. In contrast, longer durations showed modest improvements in some parameters, suggesting partial stabilization over time.</w:t>
      </w:r>
    </w:p>
    <w:p w14:paraId="5825A7FB" w14:textId="37AA2B51" w:rsidR="008F16A5" w:rsidRPr="008504A7" w:rsidRDefault="008F16A5">
      <w:pPr>
        <w:rPr>
          <w:rStyle w:val="Strong"/>
          <w:rFonts w:ascii="Times New Roman" w:hAnsi="Times New Roman" w:cs="Times New Roman"/>
          <w:sz w:val="24"/>
          <w:szCs w:val="24"/>
        </w:rPr>
      </w:pPr>
    </w:p>
    <w:p w14:paraId="3CEE1A19" w14:textId="431E7220" w:rsidR="008F16A5" w:rsidRPr="008504A7" w:rsidRDefault="001A0C48">
      <w:pPr>
        <w:rPr>
          <w:rStyle w:val="Strong"/>
          <w:rFonts w:ascii="Times New Roman" w:hAnsi="Times New Roman" w:cs="Times New Roman"/>
          <w:sz w:val="24"/>
          <w:szCs w:val="24"/>
        </w:rPr>
      </w:pPr>
      <w:r w:rsidRPr="008504A7">
        <w:rPr>
          <w:rFonts w:ascii="Times New Roman" w:hAnsi="Times New Roman" w:cs="Times New Roman"/>
          <w:sz w:val="24"/>
          <w:szCs w:val="24"/>
        </w:rPr>
        <w:t>Tables 4a–4c present the multiple regression analysis for predictors of the atherogenic index of plasma. The model demonstrated an excellent fit (R = 0.968) with very high explanatory power (R² = 0.938; adjusted R² = 0.936) and a low standard error (0.07), indicating high precision. The model was highly significant (F = 786.29, p &lt; 0.0001), confirming strong joint effects of the predictors. Significant variables included sex, age, diabetes duration, BMI, and fasting blood glucose. Lipid parameters showed the strongest influence, with HDL and VLDL as negative predictors, and TG/CHOL and non-HDL as strong positive predictors, while LDL and HDL/LDL were not significant.</w:t>
      </w:r>
    </w:p>
    <w:p w14:paraId="69B89643" w14:textId="69697954" w:rsidR="008F16A5" w:rsidRPr="008504A7" w:rsidRDefault="008F16A5">
      <w:pPr>
        <w:rPr>
          <w:rStyle w:val="Strong"/>
          <w:rFonts w:ascii="Times New Roman" w:hAnsi="Times New Roman" w:cs="Times New Roman"/>
          <w:sz w:val="24"/>
          <w:szCs w:val="24"/>
        </w:rPr>
      </w:pPr>
    </w:p>
    <w:p w14:paraId="37D4BDB8" w14:textId="17884FC3" w:rsidR="007F6174" w:rsidRPr="008504A7" w:rsidRDefault="00A36DF2">
      <w:pPr>
        <w:rPr>
          <w:rStyle w:val="Strong"/>
          <w:rFonts w:ascii="Times New Roman" w:hAnsi="Times New Roman" w:cs="Times New Roman"/>
          <w:sz w:val="24"/>
          <w:szCs w:val="24"/>
        </w:rPr>
      </w:pPr>
      <w:r w:rsidRPr="008504A7">
        <w:rPr>
          <w:rFonts w:ascii="Times New Roman" w:hAnsi="Times New Roman" w:cs="Times New Roman"/>
          <w:sz w:val="24"/>
          <w:szCs w:val="24"/>
        </w:rPr>
        <w:t>Tables 5a–5c summarize the multiple regression analysis for predictors of the atherogenic coefficient. The model demonstrated a strong fit (R = 0.85) and high explanatory power (R² = 0.73; adjusted R² = 0.72), indicating that about 73% of the variation is explained by demographic, clinical, and lipid variables, with moderate precision (SEE = 2.29). The model was highly significant (F = 139.47, p &lt; 0.001), confirming the joint contribution of the predictors. Significant factors included age, job, BMI, fasting blood glucose, and several lipid indices. Notably, HDL showed a strong protective effect, while LDL, VLDL, HDL/LDL ratio, and non-HDL cholesterol increased risk, highlighting the dominant influence of lipid parameters.</w:t>
      </w:r>
    </w:p>
    <w:p w14:paraId="1BF55C24" w14:textId="2EDC8D79" w:rsidR="00F979BC" w:rsidRPr="008504A7" w:rsidRDefault="00F979BC">
      <w:pPr>
        <w:rPr>
          <w:rStyle w:val="Strong"/>
          <w:rFonts w:ascii="Times New Roman" w:hAnsi="Times New Roman" w:cs="Times New Roman"/>
          <w:sz w:val="24"/>
          <w:szCs w:val="24"/>
        </w:rPr>
      </w:pPr>
    </w:p>
    <w:p w14:paraId="179D863E" w14:textId="7AE00C30" w:rsidR="00850376" w:rsidRPr="008504A7" w:rsidRDefault="001B3DF3">
      <w:pPr>
        <w:rPr>
          <w:rStyle w:val="Strong"/>
          <w:rFonts w:ascii="Times New Roman" w:hAnsi="Times New Roman" w:cs="Times New Roman"/>
          <w:sz w:val="24"/>
          <w:szCs w:val="24"/>
        </w:rPr>
      </w:pPr>
      <w:r w:rsidRPr="008504A7">
        <w:rPr>
          <w:rFonts w:ascii="Times New Roman" w:hAnsi="Times New Roman" w:cs="Times New Roman"/>
          <w:sz w:val="24"/>
          <w:szCs w:val="24"/>
        </w:rPr>
        <w:t>Tables 6a–6c present the results of the multiple regression analysis for predictors of Castelli’s Risk Index 1. The model showed a strong fit (R = 0.85) and high explanatory power (R² = 0.73; adjusted R² = 0.72), indicating that about 73% of the variability in the outcome is explained by demographic, metabolic, and lipid factors, with a low standard error (2.29) reflecting good precision. The model was highly significant (F = 139.47, p &lt; 0.0001). Significant predictors included HDL, HDL/LDL ratio, NON-HDL, TG/CHOL, LDL, VLDL, age, BMI, fasting blood glucose, and job, while sex and diabetes duration were not significant.</w:t>
      </w:r>
    </w:p>
    <w:p w14:paraId="0A14A2BD" w14:textId="54B3EC93" w:rsidR="00850376" w:rsidRPr="008504A7" w:rsidRDefault="00850376">
      <w:pPr>
        <w:rPr>
          <w:rStyle w:val="Strong"/>
          <w:rFonts w:ascii="Times New Roman" w:hAnsi="Times New Roman" w:cs="Times New Roman"/>
          <w:sz w:val="24"/>
          <w:szCs w:val="24"/>
        </w:rPr>
      </w:pPr>
    </w:p>
    <w:p w14:paraId="2CBABD00" w14:textId="00C78B8A" w:rsidR="001C423E" w:rsidRPr="008504A7" w:rsidRDefault="001B3DF3">
      <w:pPr>
        <w:rPr>
          <w:rFonts w:ascii="Times New Roman" w:hAnsi="Times New Roman" w:cs="Times New Roman"/>
          <w:sz w:val="24"/>
          <w:szCs w:val="24"/>
        </w:rPr>
      </w:pPr>
      <w:r w:rsidRPr="008504A7">
        <w:rPr>
          <w:rFonts w:ascii="Times New Roman" w:hAnsi="Times New Roman" w:cs="Times New Roman"/>
          <w:sz w:val="24"/>
          <w:szCs w:val="24"/>
        </w:rPr>
        <w:t xml:space="preserve">Tables 7a–7c present the results of the multiple regression analysis for predictors of Castelli’s Risk Index 2. The model showed a strong fit, with a high correlation (R = 0.85) and substantial explanatory power (R² = 0.73; adjusted R² = 0.72), along with a relatively low standard error (2.14), indicating good predictive performance. The ANOVA results demonstrated that the overall regression model was highly significant (F = 138.30, p &lt; 0.0001), confirming that the included variables jointly contributed meaningfully to variations in Castelli’s Risk Index 2. Examination of the regression coefficients revealed that HDL, LDL, HDL/LDL ratio, TG/CHOL, VLDL, age, BMI, fasting blood glucose, and job were significant predictors. In </w:t>
      </w:r>
      <w:r w:rsidRPr="008504A7">
        <w:rPr>
          <w:rFonts w:ascii="Times New Roman" w:hAnsi="Times New Roman" w:cs="Times New Roman"/>
          <w:sz w:val="24"/>
          <w:szCs w:val="24"/>
        </w:rPr>
        <w:lastRenderedPageBreak/>
        <w:t>contrast, sex, diabetes duration, and Non-HDL did not show significant associations. Overall, these findings underscore the dominant role of lipid and metabolic parameters, alongside selected demographic factors, in determining cardiovascular risk as measured by Castelli’s Risk Index 2.</w:t>
      </w:r>
    </w:p>
    <w:p w14:paraId="536C63D9" w14:textId="003F6DCD" w:rsidR="001C423E" w:rsidRPr="008504A7" w:rsidRDefault="001C423E">
      <w:pPr>
        <w:rPr>
          <w:rFonts w:ascii="Times New Roman" w:hAnsi="Times New Roman" w:cs="Times New Roman"/>
          <w:sz w:val="24"/>
          <w:szCs w:val="24"/>
        </w:rPr>
      </w:pPr>
    </w:p>
    <w:p w14:paraId="1E4F24B0" w14:textId="320CAAA4" w:rsidR="00850376" w:rsidRPr="008504A7" w:rsidRDefault="003176D4">
      <w:pPr>
        <w:rPr>
          <w:rStyle w:val="Strong"/>
          <w:rFonts w:ascii="Times New Roman" w:hAnsi="Times New Roman" w:cs="Times New Roman"/>
          <w:sz w:val="24"/>
          <w:szCs w:val="24"/>
        </w:rPr>
      </w:pPr>
      <w:r w:rsidRPr="008504A7">
        <w:rPr>
          <w:rFonts w:ascii="Times New Roman" w:hAnsi="Times New Roman" w:cs="Times New Roman"/>
          <w:sz w:val="24"/>
          <w:szCs w:val="24"/>
        </w:rPr>
        <w:t xml:space="preserve">Tables 8a–8c summarize the multiple regression analysis examining predictors of the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index. The model demonstrated an excellent fit, with a strong correlation (R = 0.978) and a very high proportion of explained variance (R² = 0.96; adjusted R² = 0.9</w:t>
      </w:r>
      <w:r w:rsidR="001B3DF3" w:rsidRPr="008504A7">
        <w:rPr>
          <w:rFonts w:ascii="Times New Roman" w:hAnsi="Times New Roman" w:cs="Times New Roman"/>
          <w:sz w:val="24"/>
          <w:szCs w:val="24"/>
        </w:rPr>
        <w:t>6</w:t>
      </w:r>
      <w:r w:rsidRPr="008504A7">
        <w:rPr>
          <w:rFonts w:ascii="Times New Roman" w:hAnsi="Times New Roman" w:cs="Times New Roman"/>
          <w:sz w:val="24"/>
          <w:szCs w:val="24"/>
        </w:rPr>
        <w:t xml:space="preserve">), alongside a minimal standard error (0.0667), indicating exceptional predictive accuracy. The ANOVA results confirmed that the overall regression model was highly significant (F = 1125.79, p &lt; 0.0001), with the predictors collectively accounting for a substantial share of the variability in the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index. Analysis of the regression coefficients revealed that fasting blood glucose and the TG/CHOL ratio were the most influential positive predictors. Additional significant positive contributors included HDL, NON-HDL, LDL, age, diabetes duration, and sex. In contrast, HDL/LDL ratio and VLDL were significantly associated with lower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values. Job category and BMI did not show significant associations. Overall, the findings highlight the dominant role of lipid and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parameters in determining the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index.</w:t>
      </w:r>
    </w:p>
    <w:p w14:paraId="5B1CDC13" w14:textId="7D33AE79" w:rsidR="00850376" w:rsidRDefault="00850376">
      <w:pPr>
        <w:rPr>
          <w:rStyle w:val="Strong"/>
        </w:rPr>
      </w:pPr>
    </w:p>
    <w:p w14:paraId="42B95589" w14:textId="7CAA7C67" w:rsidR="00850376" w:rsidRDefault="00850376">
      <w:pPr>
        <w:rPr>
          <w:rStyle w:val="Strong"/>
        </w:rPr>
      </w:pPr>
    </w:p>
    <w:p w14:paraId="337369B7" w14:textId="6DAB5357" w:rsidR="000D6385" w:rsidRDefault="000D6385">
      <w:pPr>
        <w:rPr>
          <w:rStyle w:val="Strong"/>
        </w:rPr>
      </w:pPr>
    </w:p>
    <w:p w14:paraId="60A923D8" w14:textId="53D0FD65" w:rsidR="000D6385" w:rsidRDefault="000D6385">
      <w:pPr>
        <w:rPr>
          <w:rStyle w:val="Strong"/>
        </w:rPr>
      </w:pPr>
    </w:p>
    <w:p w14:paraId="1395E310" w14:textId="78348858" w:rsidR="000D6385" w:rsidRDefault="000D6385">
      <w:pPr>
        <w:rPr>
          <w:rStyle w:val="Strong"/>
        </w:rPr>
      </w:pPr>
    </w:p>
    <w:p w14:paraId="125F8644" w14:textId="75AEA090" w:rsidR="000D6385" w:rsidRDefault="000D6385">
      <w:pPr>
        <w:rPr>
          <w:rStyle w:val="Strong"/>
        </w:rPr>
      </w:pPr>
    </w:p>
    <w:p w14:paraId="4752A78D" w14:textId="48F2B426" w:rsidR="000D6385" w:rsidRDefault="000D6385">
      <w:pPr>
        <w:rPr>
          <w:rStyle w:val="Strong"/>
        </w:rPr>
      </w:pPr>
    </w:p>
    <w:p w14:paraId="21F5ED2C" w14:textId="729882E1" w:rsidR="000D6385" w:rsidRDefault="000D6385">
      <w:pPr>
        <w:rPr>
          <w:rStyle w:val="Strong"/>
        </w:rPr>
      </w:pPr>
    </w:p>
    <w:p w14:paraId="5FE1E008" w14:textId="77777777" w:rsidR="000D6385" w:rsidRDefault="000D6385">
      <w:pPr>
        <w:rPr>
          <w:rStyle w:val="Strong"/>
        </w:rPr>
      </w:pPr>
    </w:p>
    <w:p w14:paraId="0F678FE5" w14:textId="77777777" w:rsidR="00850376" w:rsidRDefault="00850376">
      <w:pPr>
        <w:rPr>
          <w:rStyle w:val="Strong"/>
        </w:rPr>
      </w:pPr>
    </w:p>
    <w:p w14:paraId="798E0A80" w14:textId="77777777" w:rsidR="00F979BC" w:rsidRDefault="00F979BC">
      <w:pPr>
        <w:rPr>
          <w:rStyle w:val="Strong"/>
        </w:rPr>
      </w:pPr>
    </w:p>
    <w:p w14:paraId="39FA4480" w14:textId="71BB2E9A" w:rsidR="00DE7256" w:rsidRDefault="002E3BBE">
      <w:r>
        <w:rPr>
          <w:rStyle w:val="Strong"/>
        </w:rPr>
        <w:br w:type="page"/>
      </w:r>
      <w:r w:rsidR="004927C3">
        <w:rPr>
          <w:rStyle w:val="Strong"/>
        </w:rPr>
        <w:lastRenderedPageBreak/>
        <w:t>Table 1:</w:t>
      </w:r>
      <w:r w:rsidR="004927C3">
        <w:t xml:space="preserve"> Distribution of socio-demographic characteristics and body mass index (BMI) across duration of diabetes mellitus among study participants.</w:t>
      </w:r>
    </w:p>
    <w:tbl>
      <w:tblPr>
        <w:tblStyle w:val="TableGrid"/>
        <w:tblW w:w="10349" w:type="dxa"/>
        <w:tblInd w:w="-8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1134"/>
        <w:gridCol w:w="1134"/>
        <w:gridCol w:w="1134"/>
        <w:gridCol w:w="1134"/>
        <w:gridCol w:w="1134"/>
        <w:gridCol w:w="711"/>
        <w:gridCol w:w="993"/>
      </w:tblGrid>
      <w:tr w:rsidR="00EB68D3" w:rsidRPr="004D572E" w14:paraId="3D7C1A2D" w14:textId="77777777" w:rsidTr="00712C4E">
        <w:trPr>
          <w:trHeight w:val="330"/>
        </w:trPr>
        <w:tc>
          <w:tcPr>
            <w:tcW w:w="2975" w:type="dxa"/>
          </w:tcPr>
          <w:p w14:paraId="3E05D8F6" w14:textId="77777777" w:rsidR="00EB68D3" w:rsidRPr="004D572E" w:rsidRDefault="00EB68D3">
            <w:pPr>
              <w:rPr>
                <w:rFonts w:ascii="Times New Roman" w:hAnsi="Times New Roman" w:cs="Times New Roman"/>
                <w:sz w:val="18"/>
                <w:szCs w:val="18"/>
              </w:rPr>
            </w:pPr>
          </w:p>
        </w:tc>
        <w:tc>
          <w:tcPr>
            <w:tcW w:w="5670" w:type="dxa"/>
            <w:gridSpan w:val="5"/>
          </w:tcPr>
          <w:p w14:paraId="05888441" w14:textId="24B03DFC" w:rsidR="00EB68D3" w:rsidRPr="004D572E" w:rsidRDefault="00EB68D3" w:rsidP="00EB68D3">
            <w:pPr>
              <w:jc w:val="center"/>
              <w:rPr>
                <w:rFonts w:ascii="Times New Roman" w:hAnsi="Times New Roman" w:cs="Times New Roman"/>
                <w:b/>
                <w:bCs/>
                <w:sz w:val="18"/>
                <w:szCs w:val="18"/>
              </w:rPr>
            </w:pPr>
            <w:r w:rsidRPr="004D572E">
              <w:rPr>
                <w:rFonts w:ascii="Times New Roman" w:hAnsi="Times New Roman" w:cs="Times New Roman"/>
                <w:b/>
                <w:bCs/>
                <w:sz w:val="18"/>
                <w:szCs w:val="18"/>
              </w:rPr>
              <w:t>DURATION OF DIABETES MELLITUS</w:t>
            </w:r>
          </w:p>
        </w:tc>
        <w:tc>
          <w:tcPr>
            <w:tcW w:w="711" w:type="dxa"/>
          </w:tcPr>
          <w:p w14:paraId="614657E6" w14:textId="77777777" w:rsidR="00EB68D3" w:rsidRPr="004D572E" w:rsidRDefault="00EB68D3">
            <w:pPr>
              <w:rPr>
                <w:rFonts w:ascii="Times New Roman" w:hAnsi="Times New Roman" w:cs="Times New Roman"/>
                <w:sz w:val="18"/>
                <w:szCs w:val="18"/>
              </w:rPr>
            </w:pPr>
          </w:p>
        </w:tc>
        <w:tc>
          <w:tcPr>
            <w:tcW w:w="993" w:type="dxa"/>
          </w:tcPr>
          <w:p w14:paraId="62A70BC9" w14:textId="77777777" w:rsidR="00EB68D3" w:rsidRPr="004D572E" w:rsidRDefault="00EB68D3">
            <w:pPr>
              <w:rPr>
                <w:rFonts w:ascii="Times New Roman" w:hAnsi="Times New Roman" w:cs="Times New Roman"/>
                <w:sz w:val="18"/>
                <w:szCs w:val="18"/>
              </w:rPr>
            </w:pPr>
          </w:p>
        </w:tc>
      </w:tr>
      <w:tr w:rsidR="0034244E" w:rsidRPr="004D572E" w14:paraId="7D80CCD5" w14:textId="77777777" w:rsidTr="00712C4E">
        <w:trPr>
          <w:trHeight w:val="143"/>
        </w:trPr>
        <w:tc>
          <w:tcPr>
            <w:tcW w:w="2975" w:type="dxa"/>
            <w:tcBorders>
              <w:bottom w:val="single" w:sz="4" w:space="0" w:color="auto"/>
            </w:tcBorders>
          </w:tcPr>
          <w:p w14:paraId="5D05095C" w14:textId="77777777" w:rsidR="006975E8" w:rsidRPr="004D572E" w:rsidRDefault="006975E8" w:rsidP="006975E8">
            <w:pPr>
              <w:rPr>
                <w:rFonts w:ascii="Times New Roman" w:hAnsi="Times New Roman" w:cs="Times New Roman"/>
                <w:sz w:val="18"/>
                <w:szCs w:val="18"/>
              </w:rPr>
            </w:pPr>
          </w:p>
        </w:tc>
        <w:tc>
          <w:tcPr>
            <w:tcW w:w="1134" w:type="dxa"/>
            <w:tcBorders>
              <w:bottom w:val="single" w:sz="4" w:space="0" w:color="auto"/>
            </w:tcBorders>
            <w:vAlign w:val="bottom"/>
          </w:tcPr>
          <w:p w14:paraId="25450689" w14:textId="7906D52E"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&lt;5 years</w:t>
            </w:r>
          </w:p>
        </w:tc>
        <w:tc>
          <w:tcPr>
            <w:tcW w:w="1134" w:type="dxa"/>
            <w:tcBorders>
              <w:bottom w:val="single" w:sz="4" w:space="0" w:color="auto"/>
            </w:tcBorders>
            <w:vAlign w:val="bottom"/>
          </w:tcPr>
          <w:p w14:paraId="64186FC3" w14:textId="162D3223"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5-10 years</w:t>
            </w:r>
          </w:p>
        </w:tc>
        <w:tc>
          <w:tcPr>
            <w:tcW w:w="1134" w:type="dxa"/>
            <w:tcBorders>
              <w:bottom w:val="single" w:sz="4" w:space="0" w:color="auto"/>
            </w:tcBorders>
            <w:vAlign w:val="bottom"/>
          </w:tcPr>
          <w:p w14:paraId="18847C4F" w14:textId="5EE915E5"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11-15 years</w:t>
            </w:r>
          </w:p>
        </w:tc>
        <w:tc>
          <w:tcPr>
            <w:tcW w:w="1134" w:type="dxa"/>
            <w:tcBorders>
              <w:bottom w:val="single" w:sz="4" w:space="0" w:color="auto"/>
            </w:tcBorders>
            <w:vAlign w:val="bottom"/>
          </w:tcPr>
          <w:p w14:paraId="2DA1AED4" w14:textId="2EF9E056"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&gt;15 years</w:t>
            </w:r>
          </w:p>
        </w:tc>
        <w:tc>
          <w:tcPr>
            <w:tcW w:w="1134" w:type="dxa"/>
            <w:tcBorders>
              <w:bottom w:val="single" w:sz="4" w:space="0" w:color="auto"/>
            </w:tcBorders>
          </w:tcPr>
          <w:p w14:paraId="2EBCC379" w14:textId="4219BF86"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Total</w:t>
            </w:r>
          </w:p>
        </w:tc>
        <w:tc>
          <w:tcPr>
            <w:tcW w:w="711" w:type="dxa"/>
            <w:tcBorders>
              <w:bottom w:val="single" w:sz="4" w:space="0" w:color="auto"/>
            </w:tcBorders>
          </w:tcPr>
          <w:p w14:paraId="1AA3C53D" w14:textId="532DFF7D" w:rsidR="006975E8" w:rsidRPr="004D572E" w:rsidRDefault="0027300A" w:rsidP="006975E8">
            <w:pPr>
              <w:rPr>
                <w:rFonts w:ascii="Times New Roman" w:hAnsi="Times New Roman" w:cs="Times New Roman"/>
                <w:b/>
                <w:bCs/>
                <w:i/>
                <w:iCs/>
                <w:sz w:val="18"/>
                <w:szCs w:val="18"/>
              </w:rPr>
            </w:pPr>
            <w:r w:rsidRPr="004D572E">
              <w:rPr>
                <w:rFonts w:ascii="Times New Roman" w:hAnsi="Times New Roman" w:cs="Times New Roman"/>
                <w:b/>
                <w:bCs/>
                <w:i/>
                <w:iCs/>
                <w:sz w:val="18"/>
                <w:szCs w:val="18"/>
              </w:rPr>
              <w:t>Χ</w:t>
            </w:r>
            <w:r w:rsidRPr="004D572E">
              <w:rPr>
                <w:rFonts w:ascii="Times New Roman" w:hAnsi="Times New Roman" w:cs="Times New Roman"/>
                <w:b/>
                <w:bCs/>
                <w:i/>
                <w:iCs/>
                <w:sz w:val="18"/>
                <w:szCs w:val="18"/>
                <w:vertAlign w:val="superscript"/>
              </w:rPr>
              <w:t>2</w:t>
            </w:r>
          </w:p>
        </w:tc>
        <w:tc>
          <w:tcPr>
            <w:tcW w:w="993" w:type="dxa"/>
            <w:tcBorders>
              <w:bottom w:val="single" w:sz="4" w:space="0" w:color="auto"/>
            </w:tcBorders>
          </w:tcPr>
          <w:p w14:paraId="17D26531" w14:textId="39073148"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sz w:val="18"/>
                <w:szCs w:val="18"/>
              </w:rPr>
              <w:t>p-value</w:t>
            </w:r>
          </w:p>
        </w:tc>
      </w:tr>
      <w:tr w:rsidR="0034244E" w:rsidRPr="004D572E" w14:paraId="51AD2338" w14:textId="77777777" w:rsidTr="00712C4E">
        <w:trPr>
          <w:trHeight w:val="330"/>
        </w:trPr>
        <w:tc>
          <w:tcPr>
            <w:tcW w:w="2975" w:type="dxa"/>
            <w:tcBorders>
              <w:top w:val="single" w:sz="4" w:space="0" w:color="auto"/>
              <w:bottom w:val="nil"/>
            </w:tcBorders>
          </w:tcPr>
          <w:p w14:paraId="09429DAB" w14:textId="41CE4644" w:rsidR="00DE7256" w:rsidRPr="004D572E" w:rsidRDefault="006975E8">
            <w:pPr>
              <w:rPr>
                <w:rFonts w:ascii="Times New Roman" w:hAnsi="Times New Roman" w:cs="Times New Roman"/>
                <w:b/>
                <w:bCs/>
                <w:color w:val="264A60"/>
                <w:sz w:val="18"/>
                <w:szCs w:val="18"/>
              </w:rPr>
            </w:pPr>
            <w:r w:rsidRPr="004D572E">
              <w:rPr>
                <w:rFonts w:ascii="Times New Roman" w:hAnsi="Times New Roman" w:cs="Times New Roman"/>
                <w:b/>
                <w:bCs/>
                <w:color w:val="264A60"/>
                <w:sz w:val="18"/>
                <w:szCs w:val="18"/>
              </w:rPr>
              <w:t>Sex</w:t>
            </w:r>
          </w:p>
          <w:p w14:paraId="23130F5D" w14:textId="3866D2D4" w:rsidR="006975E8" w:rsidRPr="004D572E" w:rsidRDefault="006975E8">
            <w:pPr>
              <w:rPr>
                <w:rFonts w:ascii="Times New Roman" w:hAnsi="Times New Roman" w:cs="Times New Roman"/>
                <w:color w:val="264A60"/>
                <w:sz w:val="18"/>
                <w:szCs w:val="18"/>
              </w:rPr>
            </w:pPr>
            <w:r w:rsidRPr="004D572E">
              <w:rPr>
                <w:rFonts w:ascii="Times New Roman" w:hAnsi="Times New Roman" w:cs="Times New Roman"/>
                <w:color w:val="264A60"/>
                <w:sz w:val="18"/>
                <w:szCs w:val="18"/>
              </w:rPr>
              <w:t>Male</w:t>
            </w:r>
          </w:p>
          <w:p w14:paraId="513F04E2" w14:textId="36C02D62" w:rsidR="006975E8" w:rsidRPr="004D572E" w:rsidRDefault="006975E8">
            <w:pPr>
              <w:rPr>
                <w:rFonts w:ascii="Times New Roman" w:hAnsi="Times New Roman" w:cs="Times New Roman"/>
                <w:sz w:val="18"/>
                <w:szCs w:val="18"/>
              </w:rPr>
            </w:pPr>
            <w:r w:rsidRPr="004D572E">
              <w:rPr>
                <w:rFonts w:ascii="Times New Roman" w:hAnsi="Times New Roman" w:cs="Times New Roman"/>
                <w:color w:val="264A60"/>
                <w:sz w:val="18"/>
                <w:szCs w:val="18"/>
              </w:rPr>
              <w:t xml:space="preserve">Female </w:t>
            </w:r>
          </w:p>
        </w:tc>
        <w:tc>
          <w:tcPr>
            <w:tcW w:w="1134" w:type="dxa"/>
            <w:tcBorders>
              <w:top w:val="single" w:sz="4" w:space="0" w:color="auto"/>
              <w:bottom w:val="nil"/>
            </w:tcBorders>
          </w:tcPr>
          <w:p w14:paraId="3EA8FE7C" w14:textId="77777777" w:rsidR="00DE7256" w:rsidRPr="004D572E" w:rsidRDefault="00DE7256">
            <w:pPr>
              <w:rPr>
                <w:rFonts w:ascii="Times New Roman" w:hAnsi="Times New Roman" w:cs="Times New Roman"/>
                <w:sz w:val="18"/>
                <w:szCs w:val="18"/>
              </w:rPr>
            </w:pPr>
          </w:p>
          <w:p w14:paraId="1C22D3F5"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98 (67.1%)</w:t>
            </w:r>
          </w:p>
          <w:p w14:paraId="79AB3587" w14:textId="26EC4EF4"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48 (32.9%)</w:t>
            </w:r>
          </w:p>
        </w:tc>
        <w:tc>
          <w:tcPr>
            <w:tcW w:w="1134" w:type="dxa"/>
            <w:tcBorders>
              <w:top w:val="single" w:sz="4" w:space="0" w:color="auto"/>
              <w:bottom w:val="nil"/>
            </w:tcBorders>
          </w:tcPr>
          <w:p w14:paraId="7A449C26" w14:textId="77777777" w:rsidR="00DE7256" w:rsidRPr="004D572E" w:rsidRDefault="00DE7256">
            <w:pPr>
              <w:rPr>
                <w:rFonts w:ascii="Times New Roman" w:hAnsi="Times New Roman" w:cs="Times New Roman"/>
                <w:sz w:val="18"/>
                <w:szCs w:val="18"/>
              </w:rPr>
            </w:pPr>
          </w:p>
          <w:p w14:paraId="35F338A1"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146 (61.1%)</w:t>
            </w:r>
          </w:p>
          <w:p w14:paraId="38317DAB" w14:textId="757B33F4"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93 (38.9%)</w:t>
            </w:r>
          </w:p>
        </w:tc>
        <w:tc>
          <w:tcPr>
            <w:tcW w:w="1134" w:type="dxa"/>
            <w:tcBorders>
              <w:top w:val="single" w:sz="4" w:space="0" w:color="auto"/>
              <w:bottom w:val="nil"/>
            </w:tcBorders>
          </w:tcPr>
          <w:p w14:paraId="697161B9" w14:textId="77777777" w:rsidR="00DE7256" w:rsidRPr="004D572E" w:rsidRDefault="00DE7256">
            <w:pPr>
              <w:rPr>
                <w:rFonts w:ascii="Times New Roman" w:hAnsi="Times New Roman" w:cs="Times New Roman"/>
                <w:sz w:val="18"/>
                <w:szCs w:val="18"/>
              </w:rPr>
            </w:pPr>
          </w:p>
          <w:p w14:paraId="5BB8562D"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87 (64.9%)</w:t>
            </w:r>
          </w:p>
          <w:p w14:paraId="5DAEEC40" w14:textId="49CEF129"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47 (35.1%)</w:t>
            </w:r>
          </w:p>
        </w:tc>
        <w:tc>
          <w:tcPr>
            <w:tcW w:w="1134" w:type="dxa"/>
            <w:tcBorders>
              <w:top w:val="single" w:sz="4" w:space="0" w:color="auto"/>
              <w:bottom w:val="nil"/>
            </w:tcBorders>
          </w:tcPr>
          <w:p w14:paraId="72807572" w14:textId="77777777" w:rsidR="00DE7256" w:rsidRPr="004D572E" w:rsidRDefault="00DE7256">
            <w:pPr>
              <w:rPr>
                <w:rFonts w:ascii="Times New Roman" w:hAnsi="Times New Roman" w:cs="Times New Roman"/>
                <w:sz w:val="18"/>
                <w:szCs w:val="18"/>
              </w:rPr>
            </w:pPr>
          </w:p>
          <w:p w14:paraId="18445725"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75 (62.0%)</w:t>
            </w:r>
          </w:p>
          <w:p w14:paraId="1AAA3901" w14:textId="4A8D58B9"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46 (38.0%)</w:t>
            </w:r>
          </w:p>
        </w:tc>
        <w:tc>
          <w:tcPr>
            <w:tcW w:w="1134" w:type="dxa"/>
            <w:tcBorders>
              <w:top w:val="single" w:sz="4" w:space="0" w:color="auto"/>
              <w:bottom w:val="nil"/>
            </w:tcBorders>
          </w:tcPr>
          <w:p w14:paraId="68409493" w14:textId="77777777" w:rsidR="00DE7256" w:rsidRPr="004D572E" w:rsidRDefault="00DE7256">
            <w:pPr>
              <w:rPr>
                <w:rFonts w:ascii="Times New Roman" w:hAnsi="Times New Roman" w:cs="Times New Roman"/>
                <w:sz w:val="18"/>
                <w:szCs w:val="18"/>
              </w:rPr>
            </w:pPr>
          </w:p>
          <w:p w14:paraId="4D203CAA"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406 (63.4%)</w:t>
            </w:r>
          </w:p>
          <w:p w14:paraId="0F59A878" w14:textId="672B1FD4"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234 (36.6%)</w:t>
            </w:r>
          </w:p>
        </w:tc>
        <w:tc>
          <w:tcPr>
            <w:tcW w:w="711" w:type="dxa"/>
            <w:tcBorders>
              <w:top w:val="single" w:sz="4" w:space="0" w:color="auto"/>
              <w:bottom w:val="nil"/>
            </w:tcBorders>
          </w:tcPr>
          <w:p w14:paraId="7DA0B38B" w14:textId="704A316B" w:rsidR="00DE7256"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1.66</w:t>
            </w:r>
          </w:p>
        </w:tc>
        <w:tc>
          <w:tcPr>
            <w:tcW w:w="993" w:type="dxa"/>
            <w:tcBorders>
              <w:top w:val="single" w:sz="4" w:space="0" w:color="auto"/>
              <w:bottom w:val="nil"/>
            </w:tcBorders>
          </w:tcPr>
          <w:p w14:paraId="1914E54B" w14:textId="462A6EDE" w:rsidR="00DE7256"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0.65</w:t>
            </w:r>
          </w:p>
        </w:tc>
      </w:tr>
      <w:tr w:rsidR="0034244E" w:rsidRPr="004D572E" w14:paraId="12A15DAC" w14:textId="77777777" w:rsidTr="00712C4E">
        <w:trPr>
          <w:trHeight w:val="318"/>
        </w:trPr>
        <w:tc>
          <w:tcPr>
            <w:tcW w:w="2975" w:type="dxa"/>
            <w:tcBorders>
              <w:top w:val="nil"/>
            </w:tcBorders>
          </w:tcPr>
          <w:p w14:paraId="3D18D35F" w14:textId="67E56450" w:rsidR="00DE7256" w:rsidRPr="004D572E" w:rsidRDefault="006E5DF7">
            <w:pPr>
              <w:rPr>
                <w:rFonts w:ascii="Times New Roman" w:hAnsi="Times New Roman" w:cs="Times New Roman"/>
                <w:b/>
                <w:bCs/>
                <w:color w:val="264A60"/>
                <w:sz w:val="18"/>
                <w:szCs w:val="18"/>
              </w:rPr>
            </w:pPr>
            <w:r w:rsidRPr="004D572E">
              <w:rPr>
                <w:rFonts w:ascii="Times New Roman" w:hAnsi="Times New Roman" w:cs="Times New Roman"/>
                <w:b/>
                <w:bCs/>
                <w:color w:val="264A60"/>
                <w:sz w:val="18"/>
                <w:szCs w:val="18"/>
              </w:rPr>
              <w:t>Job</w:t>
            </w:r>
            <w:r w:rsidR="008B06C1" w:rsidRPr="004D572E">
              <w:rPr>
                <w:rFonts w:ascii="Times New Roman" w:hAnsi="Times New Roman" w:cs="Times New Roman"/>
                <w:b/>
                <w:bCs/>
                <w:color w:val="264A60"/>
                <w:sz w:val="18"/>
                <w:szCs w:val="18"/>
              </w:rPr>
              <w:t xml:space="preserve"> Description</w:t>
            </w:r>
          </w:p>
          <w:p w14:paraId="04CFFC2A" w14:textId="1A67081E" w:rsidR="006E5DF7" w:rsidRPr="004D572E" w:rsidRDefault="006E5DF7">
            <w:pPr>
              <w:rPr>
                <w:rFonts w:ascii="Times New Roman" w:hAnsi="Times New Roman" w:cs="Times New Roman"/>
                <w:color w:val="264A60"/>
                <w:sz w:val="18"/>
                <w:szCs w:val="18"/>
              </w:rPr>
            </w:pPr>
            <w:r w:rsidRPr="004D572E">
              <w:rPr>
                <w:rFonts w:ascii="Times New Roman" w:hAnsi="Times New Roman" w:cs="Times New Roman"/>
                <w:color w:val="264A60"/>
                <w:sz w:val="18"/>
                <w:szCs w:val="18"/>
              </w:rPr>
              <w:t>Business</w:t>
            </w:r>
          </w:p>
          <w:p w14:paraId="1F5174C4" w14:textId="77777777" w:rsidR="006E5DF7" w:rsidRPr="004D572E" w:rsidRDefault="006E5DF7">
            <w:pPr>
              <w:rPr>
                <w:rFonts w:ascii="Times New Roman" w:hAnsi="Times New Roman" w:cs="Times New Roman"/>
                <w:color w:val="264A60"/>
                <w:sz w:val="18"/>
                <w:szCs w:val="18"/>
              </w:rPr>
            </w:pPr>
            <w:r w:rsidRPr="004D572E">
              <w:rPr>
                <w:rFonts w:ascii="Times New Roman" w:hAnsi="Times New Roman" w:cs="Times New Roman"/>
                <w:color w:val="264A60"/>
                <w:sz w:val="18"/>
                <w:szCs w:val="18"/>
              </w:rPr>
              <w:t>clergy + artisans</w:t>
            </w:r>
          </w:p>
          <w:p w14:paraId="7E5B5E60" w14:textId="77777777" w:rsidR="006E5DF7" w:rsidRPr="004D572E" w:rsidRDefault="006E5DF7">
            <w:pPr>
              <w:rPr>
                <w:rFonts w:ascii="Times New Roman" w:hAnsi="Times New Roman" w:cs="Times New Roman"/>
                <w:color w:val="264A60"/>
                <w:sz w:val="18"/>
                <w:szCs w:val="18"/>
              </w:rPr>
            </w:pPr>
            <w:r w:rsidRPr="004D572E">
              <w:rPr>
                <w:rFonts w:ascii="Times New Roman" w:hAnsi="Times New Roman" w:cs="Times New Roman"/>
                <w:color w:val="264A60"/>
                <w:sz w:val="18"/>
                <w:szCs w:val="18"/>
              </w:rPr>
              <w:t>civil servant</w:t>
            </w:r>
          </w:p>
          <w:p w14:paraId="7A2D054A" w14:textId="0D812861" w:rsidR="006E5DF7" w:rsidRPr="004D572E" w:rsidRDefault="006E5DF7">
            <w:pPr>
              <w:rPr>
                <w:rFonts w:ascii="Times New Roman" w:hAnsi="Times New Roman" w:cs="Times New Roman"/>
                <w:sz w:val="18"/>
                <w:szCs w:val="18"/>
              </w:rPr>
            </w:pPr>
            <w:r w:rsidRPr="004D572E">
              <w:rPr>
                <w:rFonts w:ascii="Times New Roman" w:hAnsi="Times New Roman" w:cs="Times New Roman"/>
                <w:color w:val="264A60"/>
                <w:sz w:val="18"/>
                <w:szCs w:val="18"/>
              </w:rPr>
              <w:t xml:space="preserve">Pensioner </w:t>
            </w:r>
          </w:p>
        </w:tc>
        <w:tc>
          <w:tcPr>
            <w:tcW w:w="1134" w:type="dxa"/>
            <w:tcBorders>
              <w:top w:val="nil"/>
            </w:tcBorders>
          </w:tcPr>
          <w:p w14:paraId="63F3AA5D" w14:textId="77777777" w:rsidR="00DE7256" w:rsidRPr="004D572E" w:rsidRDefault="00DE7256">
            <w:pPr>
              <w:rPr>
                <w:rFonts w:ascii="Times New Roman" w:hAnsi="Times New Roman" w:cs="Times New Roman"/>
                <w:sz w:val="18"/>
                <w:szCs w:val="18"/>
              </w:rPr>
            </w:pPr>
          </w:p>
          <w:p w14:paraId="78BB387A"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63 (43.2%)</w:t>
            </w:r>
          </w:p>
          <w:p w14:paraId="206559BC"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9 (6.2%)</w:t>
            </w:r>
          </w:p>
          <w:p w14:paraId="7724DC81"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29 (19.9%)</w:t>
            </w:r>
          </w:p>
          <w:p w14:paraId="2C30E1F1" w14:textId="44ADC640"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45 (30.8%)</w:t>
            </w:r>
          </w:p>
        </w:tc>
        <w:tc>
          <w:tcPr>
            <w:tcW w:w="1134" w:type="dxa"/>
            <w:tcBorders>
              <w:top w:val="nil"/>
            </w:tcBorders>
          </w:tcPr>
          <w:p w14:paraId="4F3F0DA6" w14:textId="77777777" w:rsidR="00DE7256" w:rsidRPr="004D572E" w:rsidRDefault="00DE7256">
            <w:pPr>
              <w:rPr>
                <w:rFonts w:ascii="Times New Roman" w:hAnsi="Times New Roman" w:cs="Times New Roman"/>
                <w:sz w:val="18"/>
                <w:szCs w:val="18"/>
              </w:rPr>
            </w:pPr>
          </w:p>
          <w:p w14:paraId="074BE55A"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96 (40.2%)</w:t>
            </w:r>
          </w:p>
          <w:p w14:paraId="29C12537"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(5.4%)</w:t>
            </w:r>
          </w:p>
          <w:p w14:paraId="01C94A06"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66 (27.6%)</w:t>
            </w:r>
          </w:p>
          <w:p w14:paraId="6A58B057" w14:textId="56B88688"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64 (26.8%)</w:t>
            </w:r>
          </w:p>
        </w:tc>
        <w:tc>
          <w:tcPr>
            <w:tcW w:w="1134" w:type="dxa"/>
            <w:tcBorders>
              <w:top w:val="nil"/>
            </w:tcBorders>
          </w:tcPr>
          <w:p w14:paraId="0A6A8320" w14:textId="77777777" w:rsidR="00DE7256" w:rsidRPr="004D572E" w:rsidRDefault="00DE7256">
            <w:pPr>
              <w:rPr>
                <w:rFonts w:ascii="Times New Roman" w:hAnsi="Times New Roman" w:cs="Times New Roman"/>
                <w:sz w:val="18"/>
                <w:szCs w:val="18"/>
              </w:rPr>
            </w:pPr>
          </w:p>
          <w:p w14:paraId="0F8FCB48"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38 (28.4%)</w:t>
            </w:r>
          </w:p>
          <w:p w14:paraId="2C85DFDB"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23 (17.2%)</w:t>
            </w:r>
          </w:p>
          <w:p w14:paraId="5BA5039A"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47 (35.1%)</w:t>
            </w:r>
          </w:p>
          <w:p w14:paraId="6771F8FB" w14:textId="7F222D06"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26 (19.4%)</w:t>
            </w:r>
          </w:p>
        </w:tc>
        <w:tc>
          <w:tcPr>
            <w:tcW w:w="1134" w:type="dxa"/>
            <w:tcBorders>
              <w:top w:val="nil"/>
            </w:tcBorders>
          </w:tcPr>
          <w:p w14:paraId="54AB7F60" w14:textId="77777777" w:rsidR="00DE7256" w:rsidRPr="004D572E" w:rsidRDefault="00DE7256">
            <w:pPr>
              <w:rPr>
                <w:rFonts w:ascii="Times New Roman" w:hAnsi="Times New Roman" w:cs="Times New Roman"/>
                <w:sz w:val="18"/>
                <w:szCs w:val="18"/>
              </w:rPr>
            </w:pPr>
          </w:p>
          <w:p w14:paraId="30948AEF"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68 (56.2%)</w:t>
            </w:r>
          </w:p>
          <w:p w14:paraId="42BA825F"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 (2.5%)</w:t>
            </w:r>
          </w:p>
          <w:p w14:paraId="4F36EA47"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(10.7%)</w:t>
            </w:r>
          </w:p>
          <w:p w14:paraId="1A69AD4C" w14:textId="66B7B181"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37 (30.6%)</w:t>
            </w:r>
          </w:p>
        </w:tc>
        <w:tc>
          <w:tcPr>
            <w:tcW w:w="1134" w:type="dxa"/>
            <w:tcBorders>
              <w:top w:val="nil"/>
            </w:tcBorders>
          </w:tcPr>
          <w:p w14:paraId="7813DE50" w14:textId="77777777" w:rsidR="00DE7256" w:rsidRPr="004D572E" w:rsidRDefault="00DE7256">
            <w:pPr>
              <w:rPr>
                <w:rFonts w:ascii="Times New Roman" w:hAnsi="Times New Roman" w:cs="Times New Roman"/>
                <w:sz w:val="18"/>
                <w:szCs w:val="18"/>
              </w:rPr>
            </w:pPr>
          </w:p>
          <w:p w14:paraId="7E184A30" w14:textId="77777777" w:rsidR="00F50E9B" w:rsidRPr="004D572E" w:rsidRDefault="00F50E9B">
            <w:pPr>
              <w:rPr>
                <w:rFonts w:ascii="Times New Roman" w:hAnsi="Times New Roman" w:cs="Times New Roman"/>
                <w:color w:val="010205"/>
                <w:sz w:val="18"/>
                <w:szCs w:val="18"/>
              </w:rPr>
            </w:pPr>
            <w:r w:rsidRPr="004D572E">
              <w:rPr>
                <w:rFonts w:ascii="Times New Roman" w:hAnsi="Times New Roman" w:cs="Times New Roman"/>
                <w:color w:val="010205"/>
                <w:sz w:val="18"/>
                <w:szCs w:val="18"/>
              </w:rPr>
              <w:t>265 (41.4%)</w:t>
            </w:r>
          </w:p>
          <w:p w14:paraId="47AF4E05" w14:textId="77777777" w:rsidR="00F50E9B" w:rsidRPr="004D572E" w:rsidRDefault="00F50E9B">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48 (7.5%)</w:t>
            </w:r>
          </w:p>
          <w:p w14:paraId="628FA4B5" w14:textId="77777777" w:rsidR="00F50E9B" w:rsidRPr="004D572E" w:rsidRDefault="00F50E9B">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155 (24.2%)</w:t>
            </w:r>
          </w:p>
          <w:p w14:paraId="6329F69A" w14:textId="2CE41F2A" w:rsidR="00F50E9B" w:rsidRPr="004D572E" w:rsidRDefault="00F50E9B">
            <w:pPr>
              <w:rPr>
                <w:rFonts w:ascii="Times New Roman" w:hAnsi="Times New Roman" w:cs="Times New Roman"/>
                <w:sz w:val="18"/>
                <w:szCs w:val="18"/>
              </w:rPr>
            </w:pPr>
            <w:r w:rsidRPr="004D572E">
              <w:rPr>
                <w:rFonts w:ascii="Times New Roman" w:hAnsi="Times New Roman" w:cs="Times New Roman"/>
                <w:color w:val="010205"/>
                <w:sz w:val="18"/>
                <w:szCs w:val="18"/>
              </w:rPr>
              <w:t>172 (26.9%)</w:t>
            </w:r>
          </w:p>
        </w:tc>
        <w:tc>
          <w:tcPr>
            <w:tcW w:w="711" w:type="dxa"/>
            <w:tcBorders>
              <w:top w:val="nil"/>
            </w:tcBorders>
          </w:tcPr>
          <w:p w14:paraId="5BE66269" w14:textId="6E646BC4" w:rsidR="00DE7256" w:rsidRPr="004D572E" w:rsidRDefault="00F50E9B">
            <w:pPr>
              <w:rPr>
                <w:rFonts w:ascii="Times New Roman" w:hAnsi="Times New Roman" w:cs="Times New Roman"/>
                <w:sz w:val="18"/>
                <w:szCs w:val="18"/>
              </w:rPr>
            </w:pPr>
            <w:r w:rsidRPr="004D572E">
              <w:rPr>
                <w:rFonts w:ascii="Times New Roman" w:hAnsi="Times New Roman" w:cs="Times New Roman"/>
                <w:color w:val="010205"/>
                <w:sz w:val="18"/>
                <w:szCs w:val="18"/>
              </w:rPr>
              <w:t>56.68</w:t>
            </w:r>
          </w:p>
        </w:tc>
        <w:tc>
          <w:tcPr>
            <w:tcW w:w="993" w:type="dxa"/>
            <w:tcBorders>
              <w:top w:val="nil"/>
            </w:tcBorders>
          </w:tcPr>
          <w:p w14:paraId="305A48A3" w14:textId="650553B5" w:rsidR="00DE7256" w:rsidRPr="004D572E" w:rsidRDefault="008B06C1">
            <w:pPr>
              <w:rPr>
                <w:rFonts w:ascii="Times New Roman" w:hAnsi="Times New Roman" w:cs="Times New Roman"/>
                <w:sz w:val="18"/>
                <w:szCs w:val="18"/>
              </w:rPr>
            </w:pPr>
            <w:r w:rsidRPr="004D572E">
              <w:rPr>
                <w:rFonts w:ascii="Times New Roman" w:hAnsi="Times New Roman" w:cs="Times New Roman"/>
                <w:sz w:val="18"/>
                <w:szCs w:val="18"/>
              </w:rPr>
              <w:t>&lt;0.001</w:t>
            </w:r>
          </w:p>
        </w:tc>
      </w:tr>
      <w:tr w:rsidR="0034244E" w:rsidRPr="004D572E" w14:paraId="6F047E71" w14:textId="77777777" w:rsidTr="00712C4E">
        <w:trPr>
          <w:trHeight w:val="330"/>
        </w:trPr>
        <w:tc>
          <w:tcPr>
            <w:tcW w:w="2975" w:type="dxa"/>
          </w:tcPr>
          <w:p w14:paraId="452CC430" w14:textId="77777777" w:rsidR="00DE7256" w:rsidRPr="004D572E" w:rsidRDefault="00F50E9B">
            <w:pPr>
              <w:rPr>
                <w:rFonts w:ascii="Times New Roman" w:hAnsi="Times New Roman" w:cs="Times New Roman"/>
                <w:b/>
                <w:bCs/>
                <w:color w:val="264A60"/>
                <w:sz w:val="18"/>
                <w:szCs w:val="18"/>
              </w:rPr>
            </w:pPr>
            <w:r w:rsidRPr="004D572E">
              <w:rPr>
                <w:rFonts w:ascii="Times New Roman" w:hAnsi="Times New Roman" w:cs="Times New Roman"/>
                <w:b/>
                <w:bCs/>
                <w:color w:val="264A60"/>
                <w:sz w:val="18"/>
                <w:szCs w:val="18"/>
              </w:rPr>
              <w:t>BMI</w:t>
            </w:r>
          </w:p>
          <w:p w14:paraId="6F602554" w14:textId="77777777" w:rsidR="00F50E9B" w:rsidRPr="004D572E" w:rsidRDefault="00F50E9B">
            <w:pPr>
              <w:rPr>
                <w:rFonts w:ascii="Times New Roman" w:hAnsi="Times New Roman" w:cs="Times New Roman"/>
                <w:color w:val="264A60"/>
                <w:sz w:val="18"/>
                <w:szCs w:val="18"/>
              </w:rPr>
            </w:pPr>
            <w:r w:rsidRPr="004D572E">
              <w:rPr>
                <w:rFonts w:ascii="Times New Roman" w:hAnsi="Times New Roman" w:cs="Times New Roman"/>
                <w:color w:val="264A60"/>
                <w:sz w:val="18"/>
                <w:szCs w:val="18"/>
              </w:rPr>
              <w:t>&lt;20.0 kg/m2 (under-weight)</w:t>
            </w:r>
          </w:p>
          <w:p w14:paraId="3C6E6B47" w14:textId="77777777" w:rsidR="00F50E9B" w:rsidRPr="004D572E" w:rsidRDefault="00F50E9B">
            <w:pPr>
              <w:rPr>
                <w:rFonts w:ascii="Times New Roman" w:hAnsi="Times New Roman" w:cs="Times New Roman"/>
                <w:color w:val="264A60"/>
                <w:sz w:val="18"/>
                <w:szCs w:val="18"/>
              </w:rPr>
            </w:pPr>
            <w:r w:rsidRPr="004D572E">
              <w:rPr>
                <w:rFonts w:ascii="Times New Roman" w:hAnsi="Times New Roman" w:cs="Times New Roman"/>
                <w:color w:val="264A60"/>
                <w:sz w:val="18"/>
                <w:szCs w:val="18"/>
              </w:rPr>
              <w:t>20.1 - 25.0 kg/m2 (ideal body weight)</w:t>
            </w:r>
          </w:p>
          <w:p w14:paraId="220CE505" w14:textId="77777777" w:rsidR="00F50E9B" w:rsidRPr="004D572E" w:rsidRDefault="00F50E9B">
            <w:pPr>
              <w:rPr>
                <w:rFonts w:ascii="Times New Roman" w:hAnsi="Times New Roman" w:cs="Times New Roman"/>
                <w:color w:val="264A60"/>
                <w:sz w:val="18"/>
                <w:szCs w:val="18"/>
              </w:rPr>
            </w:pPr>
            <w:r w:rsidRPr="004D572E">
              <w:rPr>
                <w:rFonts w:ascii="Times New Roman" w:hAnsi="Times New Roman" w:cs="Times New Roman"/>
                <w:color w:val="264A60"/>
                <w:sz w:val="18"/>
                <w:szCs w:val="18"/>
              </w:rPr>
              <w:t>25.1 - 30.0 kg/m2 (over weight)</w:t>
            </w:r>
          </w:p>
          <w:p w14:paraId="53935BC3" w14:textId="34815948" w:rsidR="00F50E9B" w:rsidRPr="004D572E" w:rsidRDefault="00F50E9B">
            <w:pPr>
              <w:rPr>
                <w:rFonts w:ascii="Times New Roman" w:hAnsi="Times New Roman" w:cs="Times New Roman"/>
                <w:sz w:val="18"/>
                <w:szCs w:val="18"/>
              </w:rPr>
            </w:pPr>
            <w:r w:rsidRPr="004D572E">
              <w:rPr>
                <w:rFonts w:ascii="Times New Roman" w:hAnsi="Times New Roman" w:cs="Times New Roman"/>
                <w:color w:val="264A60"/>
                <w:sz w:val="18"/>
                <w:szCs w:val="18"/>
              </w:rPr>
              <w:t>&gt;30.0 kg/m2 (obese)</w:t>
            </w:r>
          </w:p>
        </w:tc>
        <w:tc>
          <w:tcPr>
            <w:tcW w:w="1134" w:type="dxa"/>
          </w:tcPr>
          <w:p w14:paraId="73D02589" w14:textId="77777777" w:rsidR="00DE7256" w:rsidRPr="004D572E" w:rsidRDefault="00DE7256">
            <w:pPr>
              <w:rPr>
                <w:rFonts w:ascii="Times New Roman" w:hAnsi="Times New Roman" w:cs="Times New Roman"/>
                <w:sz w:val="18"/>
                <w:szCs w:val="18"/>
              </w:rPr>
            </w:pPr>
          </w:p>
          <w:p w14:paraId="1188D62A"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(8.9%)</w:t>
            </w:r>
          </w:p>
          <w:p w14:paraId="137A7A88"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10 (6.8%)</w:t>
            </w:r>
          </w:p>
          <w:p w14:paraId="30D0CAB8"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71 (48.6%)</w:t>
            </w:r>
          </w:p>
          <w:p w14:paraId="57341E3B" w14:textId="0E8B2063"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52 (35.6%)</w:t>
            </w:r>
          </w:p>
        </w:tc>
        <w:tc>
          <w:tcPr>
            <w:tcW w:w="1134" w:type="dxa"/>
          </w:tcPr>
          <w:p w14:paraId="753FB7E7" w14:textId="77777777" w:rsidR="00DE7256" w:rsidRPr="004D572E" w:rsidRDefault="00DE7256">
            <w:pPr>
              <w:rPr>
                <w:rFonts w:ascii="Times New Roman" w:hAnsi="Times New Roman" w:cs="Times New Roman"/>
                <w:sz w:val="18"/>
                <w:szCs w:val="18"/>
              </w:rPr>
            </w:pPr>
          </w:p>
          <w:p w14:paraId="44473F4C"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0 (0.0%)</w:t>
            </w:r>
          </w:p>
          <w:p w14:paraId="5739BAD2"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19 (7.9%)</w:t>
            </w:r>
          </w:p>
          <w:p w14:paraId="4F5EB762" w14:textId="28EC64AD"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158(66.1%)</w:t>
            </w:r>
          </w:p>
          <w:p w14:paraId="0578A7D6" w14:textId="4C033A83" w:rsidR="0034244E" w:rsidRPr="004D572E" w:rsidRDefault="0034244E">
            <w:pPr>
              <w:rPr>
                <w:rFonts w:ascii="Times New Roman" w:hAnsi="Times New Roman" w:cs="Times New Roman"/>
                <w:sz w:val="18"/>
                <w:szCs w:val="18"/>
              </w:rPr>
            </w:pPr>
            <w:r w:rsidRPr="004D572E">
              <w:rPr>
                <w:rFonts w:ascii="Times New Roman" w:hAnsi="Times New Roman" w:cs="Times New Roman"/>
                <w:color w:val="010205"/>
                <w:sz w:val="18"/>
                <w:szCs w:val="18"/>
              </w:rPr>
              <w:t>62 (25.9%)</w:t>
            </w:r>
          </w:p>
        </w:tc>
        <w:tc>
          <w:tcPr>
            <w:tcW w:w="1134" w:type="dxa"/>
          </w:tcPr>
          <w:p w14:paraId="614A6EB7" w14:textId="77777777" w:rsidR="00DE7256" w:rsidRPr="004D572E" w:rsidRDefault="00DE7256">
            <w:pPr>
              <w:rPr>
                <w:rFonts w:ascii="Times New Roman" w:hAnsi="Times New Roman" w:cs="Times New Roman"/>
                <w:sz w:val="18"/>
                <w:szCs w:val="18"/>
              </w:rPr>
            </w:pPr>
          </w:p>
          <w:p w14:paraId="687A8BB3" w14:textId="5697FDAE"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0 (0.0%)</w:t>
            </w:r>
          </w:p>
          <w:p w14:paraId="1FEBF350" w14:textId="51F5DA2B"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57 (42.5%)</w:t>
            </w:r>
          </w:p>
          <w:p w14:paraId="5FBF8567" w14:textId="63E37A45"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46 (34.3%)</w:t>
            </w:r>
          </w:p>
          <w:p w14:paraId="00CB6D86" w14:textId="65ADC26B" w:rsidR="0034244E" w:rsidRPr="004D572E" w:rsidRDefault="00A243C0">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31 (23.1%)</w:t>
            </w:r>
          </w:p>
        </w:tc>
        <w:tc>
          <w:tcPr>
            <w:tcW w:w="1134" w:type="dxa"/>
          </w:tcPr>
          <w:p w14:paraId="458EBF46" w14:textId="77777777" w:rsidR="00DE7256" w:rsidRPr="004D572E" w:rsidRDefault="00DE7256">
            <w:pPr>
              <w:rPr>
                <w:rFonts w:ascii="Times New Roman" w:hAnsi="Times New Roman" w:cs="Times New Roman"/>
                <w:sz w:val="18"/>
                <w:szCs w:val="18"/>
              </w:rPr>
            </w:pPr>
          </w:p>
          <w:p w14:paraId="1FA84D23" w14:textId="0128D650"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0 (0.0%)</w:t>
            </w:r>
          </w:p>
          <w:p w14:paraId="16B270A4" w14:textId="58573712"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70 (57.9%)</w:t>
            </w:r>
          </w:p>
          <w:p w14:paraId="24E88CED" w14:textId="37EE160F"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36 (29.8%)</w:t>
            </w:r>
          </w:p>
          <w:p w14:paraId="17356AAD" w14:textId="61CF383F" w:rsidR="0034244E"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15 (12.4%)</w:t>
            </w:r>
          </w:p>
        </w:tc>
        <w:tc>
          <w:tcPr>
            <w:tcW w:w="1134" w:type="dxa"/>
          </w:tcPr>
          <w:p w14:paraId="4C18EBF6" w14:textId="77777777" w:rsidR="00DE7256" w:rsidRPr="004D572E" w:rsidRDefault="00DE7256">
            <w:pPr>
              <w:rPr>
                <w:rFonts w:ascii="Times New Roman" w:hAnsi="Times New Roman" w:cs="Times New Roman"/>
                <w:sz w:val="18"/>
                <w:szCs w:val="18"/>
              </w:rPr>
            </w:pPr>
          </w:p>
          <w:p w14:paraId="5E396234"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(2.0%)</w:t>
            </w:r>
          </w:p>
          <w:p w14:paraId="69EB9C25" w14:textId="4D6AD646"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156(24.4%)</w:t>
            </w:r>
          </w:p>
          <w:p w14:paraId="22004B41"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311(48.6%)</w:t>
            </w:r>
          </w:p>
          <w:p w14:paraId="774A1CC7" w14:textId="1792DBA3" w:rsidR="0034244E"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160(25.0%)</w:t>
            </w:r>
          </w:p>
        </w:tc>
        <w:tc>
          <w:tcPr>
            <w:tcW w:w="711" w:type="dxa"/>
          </w:tcPr>
          <w:p w14:paraId="713EF0E5" w14:textId="736436F9" w:rsidR="00DE7256"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206.68</w:t>
            </w:r>
          </w:p>
        </w:tc>
        <w:tc>
          <w:tcPr>
            <w:tcW w:w="993" w:type="dxa"/>
          </w:tcPr>
          <w:p w14:paraId="16AC6752" w14:textId="43F4632B" w:rsidR="00DE7256"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&lt;0.0001</w:t>
            </w:r>
          </w:p>
        </w:tc>
      </w:tr>
    </w:tbl>
    <w:p w14:paraId="3AC2FCBF" w14:textId="3ABBAFDF" w:rsidR="00DE7256" w:rsidRDefault="00DE7256"/>
    <w:p w14:paraId="4D56E064" w14:textId="45CA72C5" w:rsidR="002447F0" w:rsidRDefault="002447F0"/>
    <w:p w14:paraId="0212F3FC" w14:textId="5C8C5723" w:rsidR="00346F05" w:rsidRDefault="00346F05"/>
    <w:p w14:paraId="0EF7B6A1" w14:textId="5025FAF4" w:rsidR="004D572E" w:rsidRDefault="004D572E"/>
    <w:p w14:paraId="5C1952E2" w14:textId="528D85B0" w:rsidR="004D572E" w:rsidRDefault="004D572E"/>
    <w:p w14:paraId="1A4E85C2" w14:textId="516E2EA1" w:rsidR="004D572E" w:rsidRDefault="004D572E"/>
    <w:p w14:paraId="0AFFB773" w14:textId="0F2D6BE8" w:rsidR="004D572E" w:rsidRDefault="004D572E"/>
    <w:p w14:paraId="5C914E70" w14:textId="4D7B1081" w:rsidR="004D572E" w:rsidRDefault="004D572E"/>
    <w:p w14:paraId="0534FB56" w14:textId="5C9AB6E1" w:rsidR="004D572E" w:rsidRDefault="004D572E"/>
    <w:p w14:paraId="3666CF1F" w14:textId="2124BBFE" w:rsidR="004D572E" w:rsidRDefault="004D572E"/>
    <w:p w14:paraId="194CD00C" w14:textId="32D62EDB" w:rsidR="004D572E" w:rsidRDefault="004D572E"/>
    <w:p w14:paraId="5DD060DF" w14:textId="1E2138A2" w:rsidR="004D572E" w:rsidRDefault="004D572E"/>
    <w:p w14:paraId="7B866EB9" w14:textId="6F52A12C" w:rsidR="004D572E" w:rsidRDefault="004D572E"/>
    <w:p w14:paraId="4FFDF976" w14:textId="5D581409" w:rsidR="004D572E" w:rsidRDefault="004D572E"/>
    <w:p w14:paraId="170573E4" w14:textId="473BA468" w:rsidR="004D572E" w:rsidRDefault="004D572E"/>
    <w:p w14:paraId="561EF48F" w14:textId="7C98F66D" w:rsidR="004D572E" w:rsidRDefault="004D572E"/>
    <w:p w14:paraId="1332A3B2" w14:textId="18BE8CF4" w:rsidR="004D572E" w:rsidRDefault="004D572E"/>
    <w:p w14:paraId="61322356" w14:textId="5B828B02" w:rsidR="004D572E" w:rsidRDefault="004D572E"/>
    <w:p w14:paraId="3A1BB3BA" w14:textId="53CAC4E7" w:rsidR="004D572E" w:rsidRDefault="004D572E"/>
    <w:p w14:paraId="681EE467" w14:textId="77777777" w:rsidR="004D572E" w:rsidRDefault="004D572E"/>
    <w:p w14:paraId="653DBEE3" w14:textId="3C10D01B" w:rsidR="00346F05" w:rsidRDefault="00DE6E0C">
      <w:r>
        <w:rPr>
          <w:rStyle w:val="Strong"/>
        </w:rPr>
        <w:t>Table 2</w:t>
      </w:r>
      <w:r w:rsidR="006550FA">
        <w:rPr>
          <w:rStyle w:val="Strong"/>
        </w:rPr>
        <w:t>a</w:t>
      </w:r>
      <w:r>
        <w:rPr>
          <w:rStyle w:val="Strong"/>
        </w:rPr>
        <w:t>:</w:t>
      </w:r>
      <w:r>
        <w:t xml:space="preserve"> Comparison of age and cardiometabolic parameters across body mass index (BMI) categories among study participants.</w:t>
      </w:r>
    </w:p>
    <w:tbl>
      <w:tblPr>
        <w:tblStyle w:val="TableGrid"/>
        <w:tblW w:w="1106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406"/>
        <w:gridCol w:w="1408"/>
        <w:gridCol w:w="1269"/>
        <w:gridCol w:w="1269"/>
        <w:gridCol w:w="1267"/>
        <w:gridCol w:w="848"/>
        <w:gridCol w:w="990"/>
      </w:tblGrid>
      <w:tr w:rsidR="004D572E" w:rsidRPr="004D572E" w14:paraId="47143BE3" w14:textId="77777777" w:rsidTr="004D572E">
        <w:trPr>
          <w:trHeight w:val="299"/>
          <w:jc w:val="center"/>
        </w:trPr>
        <w:tc>
          <w:tcPr>
            <w:tcW w:w="2628" w:type="dxa"/>
          </w:tcPr>
          <w:p w14:paraId="122A4931" w14:textId="77777777"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p>
        </w:tc>
        <w:tc>
          <w:tcPr>
            <w:tcW w:w="1347" w:type="dxa"/>
          </w:tcPr>
          <w:p w14:paraId="7B468E7A" w14:textId="1E301ED3"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&lt;20.0 kg/m2 (underweight)</w:t>
            </w:r>
          </w:p>
        </w:tc>
        <w:tc>
          <w:tcPr>
            <w:tcW w:w="1417" w:type="dxa"/>
          </w:tcPr>
          <w:p w14:paraId="5CD4C891" w14:textId="1225A3F1"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20.1 - 25.0 kg/m2 (ideal body weight)</w:t>
            </w:r>
          </w:p>
        </w:tc>
        <w:tc>
          <w:tcPr>
            <w:tcW w:w="1276" w:type="dxa"/>
          </w:tcPr>
          <w:p w14:paraId="6A1F5264" w14:textId="68577672"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25.1 - 30.0 kg/m2 (over weight)</w:t>
            </w:r>
          </w:p>
        </w:tc>
        <w:tc>
          <w:tcPr>
            <w:tcW w:w="1276" w:type="dxa"/>
          </w:tcPr>
          <w:p w14:paraId="4EA8BFDC" w14:textId="752A6B79"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&gt;30.0 kg/m2 (obese)</w:t>
            </w:r>
          </w:p>
        </w:tc>
        <w:tc>
          <w:tcPr>
            <w:tcW w:w="1275" w:type="dxa"/>
          </w:tcPr>
          <w:p w14:paraId="3AD54C97" w14:textId="5468C05E"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Total</w:t>
            </w:r>
          </w:p>
        </w:tc>
        <w:tc>
          <w:tcPr>
            <w:tcW w:w="851" w:type="dxa"/>
          </w:tcPr>
          <w:p w14:paraId="23E80563" w14:textId="09861CC7"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p>
        </w:tc>
        <w:tc>
          <w:tcPr>
            <w:tcW w:w="992" w:type="dxa"/>
          </w:tcPr>
          <w:p w14:paraId="17237A37" w14:textId="3CEEF262"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p>
        </w:tc>
      </w:tr>
      <w:tr w:rsidR="004D572E" w:rsidRPr="004D572E" w14:paraId="6B5E1C1D" w14:textId="77777777" w:rsidTr="004D572E">
        <w:trPr>
          <w:trHeight w:val="299"/>
          <w:jc w:val="center"/>
        </w:trPr>
        <w:tc>
          <w:tcPr>
            <w:tcW w:w="2628" w:type="dxa"/>
            <w:tcBorders>
              <w:bottom w:val="single" w:sz="4" w:space="0" w:color="auto"/>
            </w:tcBorders>
          </w:tcPr>
          <w:p w14:paraId="3754ED11" w14:textId="77777777" w:rsidR="00DE6E0C" w:rsidRPr="004D572E" w:rsidRDefault="00DE6E0C" w:rsidP="00DE6E0C">
            <w:pPr>
              <w:autoSpaceDE w:val="0"/>
              <w:autoSpaceDN w:val="0"/>
              <w:adjustRightInd w:val="0"/>
              <w:spacing w:line="400" w:lineRule="atLeast"/>
              <w:rPr>
                <w:rFonts w:ascii="Times New Roman" w:hAnsi="Times New Roman" w:cs="Times New Roman"/>
                <w:b/>
                <w:bCs/>
                <w:color w:val="000000" w:themeColor="text1"/>
                <w:sz w:val="24"/>
                <w:szCs w:val="24"/>
              </w:rPr>
            </w:pPr>
          </w:p>
        </w:tc>
        <w:tc>
          <w:tcPr>
            <w:tcW w:w="1347" w:type="dxa"/>
            <w:tcBorders>
              <w:bottom w:val="single" w:sz="4" w:space="0" w:color="auto"/>
            </w:tcBorders>
          </w:tcPr>
          <w:p w14:paraId="50177BB8" w14:textId="1822778F"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417" w:type="dxa"/>
            <w:tcBorders>
              <w:bottom w:val="single" w:sz="4" w:space="0" w:color="auto"/>
            </w:tcBorders>
          </w:tcPr>
          <w:p w14:paraId="2FF213D1" w14:textId="6ECB9796"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276" w:type="dxa"/>
            <w:tcBorders>
              <w:bottom w:val="single" w:sz="4" w:space="0" w:color="auto"/>
            </w:tcBorders>
          </w:tcPr>
          <w:p w14:paraId="74EF07D3" w14:textId="2D06073F"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276" w:type="dxa"/>
            <w:tcBorders>
              <w:bottom w:val="single" w:sz="4" w:space="0" w:color="auto"/>
            </w:tcBorders>
          </w:tcPr>
          <w:p w14:paraId="110C0DC2" w14:textId="42DCE384"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275" w:type="dxa"/>
            <w:tcBorders>
              <w:bottom w:val="single" w:sz="4" w:space="0" w:color="auto"/>
            </w:tcBorders>
          </w:tcPr>
          <w:p w14:paraId="167898BB" w14:textId="3D755AFB"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851" w:type="dxa"/>
            <w:tcBorders>
              <w:bottom w:val="single" w:sz="4" w:space="0" w:color="auto"/>
            </w:tcBorders>
          </w:tcPr>
          <w:p w14:paraId="2B87FBD3" w14:textId="790AC5B2" w:rsidR="00DE6E0C" w:rsidRPr="004D572E" w:rsidRDefault="00DE6E0C" w:rsidP="00DE6E0C">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Times New Roman" w:hAnsi="Times New Roman" w:cs="Times New Roman"/>
                <w:b/>
                <w:bCs/>
                <w:color w:val="000000" w:themeColor="text1"/>
                <w:sz w:val="24"/>
                <w:szCs w:val="24"/>
              </w:rPr>
              <w:t>F</w:t>
            </w:r>
          </w:p>
        </w:tc>
        <w:tc>
          <w:tcPr>
            <w:tcW w:w="992" w:type="dxa"/>
            <w:tcBorders>
              <w:bottom w:val="single" w:sz="4" w:space="0" w:color="auto"/>
            </w:tcBorders>
          </w:tcPr>
          <w:p w14:paraId="1AD4A8D8" w14:textId="35D57BAF" w:rsidR="00DE6E0C" w:rsidRPr="004D572E" w:rsidRDefault="00DE6E0C" w:rsidP="00DE6E0C">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Times New Roman" w:hAnsi="Times New Roman" w:cs="Times New Roman"/>
                <w:b/>
                <w:bCs/>
                <w:color w:val="000000" w:themeColor="text1"/>
                <w:sz w:val="24"/>
                <w:szCs w:val="24"/>
              </w:rPr>
              <w:t>p-value</w:t>
            </w:r>
          </w:p>
        </w:tc>
      </w:tr>
      <w:tr w:rsidR="00346F05" w14:paraId="502010CA" w14:textId="77777777" w:rsidTr="004D572E">
        <w:trPr>
          <w:trHeight w:val="289"/>
          <w:jc w:val="center"/>
        </w:trPr>
        <w:tc>
          <w:tcPr>
            <w:tcW w:w="2628" w:type="dxa"/>
            <w:tcBorders>
              <w:top w:val="single" w:sz="4" w:space="0" w:color="auto"/>
              <w:bottom w:val="nil"/>
            </w:tcBorders>
          </w:tcPr>
          <w:p w14:paraId="6E4A5E3C" w14:textId="14D776E9"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24"/>
                <w:szCs w:val="24"/>
              </w:rPr>
            </w:pPr>
            <w:r w:rsidRPr="004D572E">
              <w:rPr>
                <w:rFonts w:ascii="Times New Roman" w:hAnsi="Times New Roman" w:cs="Times New Roman"/>
                <w:color w:val="000000" w:themeColor="text1"/>
                <w:sz w:val="18"/>
                <w:szCs w:val="18"/>
              </w:rPr>
              <w:t>Age (years)</w:t>
            </w:r>
          </w:p>
        </w:tc>
        <w:tc>
          <w:tcPr>
            <w:tcW w:w="1347" w:type="dxa"/>
            <w:tcBorders>
              <w:top w:val="single" w:sz="4" w:space="0" w:color="auto"/>
              <w:bottom w:val="nil"/>
            </w:tcBorders>
          </w:tcPr>
          <w:p w14:paraId="360E1DC8" w14:textId="0433E832"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55.08</w:t>
            </w:r>
            <w:r>
              <w:rPr>
                <w:rFonts w:ascii="Arial" w:hAnsi="Arial" w:cs="Arial"/>
                <w:color w:val="010205"/>
                <w:sz w:val="18"/>
                <w:szCs w:val="18"/>
              </w:rPr>
              <w:t xml:space="preserve"> (</w:t>
            </w:r>
            <w:r w:rsidRPr="00BC3F40">
              <w:rPr>
                <w:rFonts w:ascii="Arial" w:hAnsi="Arial" w:cs="Arial"/>
                <w:color w:val="010205"/>
                <w:sz w:val="18"/>
                <w:szCs w:val="18"/>
              </w:rPr>
              <w:t>3.06</w:t>
            </w:r>
            <w:r>
              <w:rPr>
                <w:rFonts w:ascii="Arial" w:hAnsi="Arial" w:cs="Arial"/>
                <w:color w:val="010205"/>
                <w:sz w:val="18"/>
                <w:szCs w:val="18"/>
              </w:rPr>
              <w:t>)</w:t>
            </w:r>
          </w:p>
        </w:tc>
        <w:tc>
          <w:tcPr>
            <w:tcW w:w="1417" w:type="dxa"/>
            <w:tcBorders>
              <w:top w:val="single" w:sz="4" w:space="0" w:color="auto"/>
              <w:bottom w:val="nil"/>
            </w:tcBorders>
          </w:tcPr>
          <w:p w14:paraId="56995068" w14:textId="677FC0B4"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56.71</w:t>
            </w:r>
            <w:r>
              <w:rPr>
                <w:rFonts w:ascii="Arial" w:hAnsi="Arial" w:cs="Arial"/>
                <w:color w:val="010205"/>
                <w:sz w:val="18"/>
                <w:szCs w:val="18"/>
              </w:rPr>
              <w:t xml:space="preserve"> (0</w:t>
            </w:r>
            <w:r w:rsidRPr="00BC3F40">
              <w:rPr>
                <w:rFonts w:ascii="Arial" w:hAnsi="Arial" w:cs="Arial"/>
                <w:color w:val="010205"/>
                <w:sz w:val="18"/>
                <w:szCs w:val="18"/>
              </w:rPr>
              <w:t>.69</w:t>
            </w:r>
            <w:r>
              <w:rPr>
                <w:rFonts w:ascii="Arial" w:hAnsi="Arial" w:cs="Arial"/>
                <w:color w:val="010205"/>
                <w:sz w:val="18"/>
                <w:szCs w:val="18"/>
              </w:rPr>
              <w:t>)</w:t>
            </w:r>
          </w:p>
        </w:tc>
        <w:tc>
          <w:tcPr>
            <w:tcW w:w="1276" w:type="dxa"/>
            <w:tcBorders>
              <w:top w:val="single" w:sz="4" w:space="0" w:color="auto"/>
              <w:bottom w:val="nil"/>
            </w:tcBorders>
          </w:tcPr>
          <w:p w14:paraId="52AE7BF3" w14:textId="600C5445"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59.00</w:t>
            </w:r>
            <w:r>
              <w:rPr>
                <w:rFonts w:ascii="Arial" w:hAnsi="Arial" w:cs="Arial"/>
                <w:color w:val="010205"/>
                <w:sz w:val="18"/>
                <w:szCs w:val="18"/>
              </w:rPr>
              <w:t xml:space="preserve"> (0</w:t>
            </w:r>
            <w:r w:rsidRPr="00BC3F40">
              <w:rPr>
                <w:rFonts w:ascii="Arial" w:hAnsi="Arial" w:cs="Arial"/>
                <w:color w:val="010205"/>
                <w:sz w:val="18"/>
                <w:szCs w:val="18"/>
              </w:rPr>
              <w:t>.4</w:t>
            </w:r>
            <w:r>
              <w:rPr>
                <w:rFonts w:ascii="Arial" w:hAnsi="Arial" w:cs="Arial"/>
                <w:color w:val="010205"/>
                <w:sz w:val="18"/>
                <w:szCs w:val="18"/>
              </w:rPr>
              <w:t>2)</w:t>
            </w:r>
          </w:p>
        </w:tc>
        <w:tc>
          <w:tcPr>
            <w:tcW w:w="1276" w:type="dxa"/>
            <w:tcBorders>
              <w:top w:val="single" w:sz="4" w:space="0" w:color="auto"/>
              <w:bottom w:val="nil"/>
            </w:tcBorders>
          </w:tcPr>
          <w:p w14:paraId="0AD5EEC6" w14:textId="2160FDA5"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54.70</w:t>
            </w:r>
            <w:r>
              <w:rPr>
                <w:rFonts w:ascii="Arial" w:hAnsi="Arial" w:cs="Arial"/>
                <w:color w:val="010205"/>
                <w:sz w:val="18"/>
                <w:szCs w:val="18"/>
              </w:rPr>
              <w:t xml:space="preserve"> (0</w:t>
            </w:r>
            <w:r w:rsidRPr="00BC3F40">
              <w:rPr>
                <w:rFonts w:ascii="Arial" w:hAnsi="Arial" w:cs="Arial"/>
                <w:color w:val="010205"/>
                <w:sz w:val="18"/>
                <w:szCs w:val="18"/>
              </w:rPr>
              <w:t>.4</w:t>
            </w:r>
            <w:r>
              <w:rPr>
                <w:rFonts w:ascii="Arial" w:hAnsi="Arial" w:cs="Arial"/>
                <w:color w:val="010205"/>
                <w:sz w:val="18"/>
                <w:szCs w:val="18"/>
              </w:rPr>
              <w:t>9)</w:t>
            </w:r>
          </w:p>
        </w:tc>
        <w:tc>
          <w:tcPr>
            <w:tcW w:w="1275" w:type="dxa"/>
            <w:tcBorders>
              <w:top w:val="single" w:sz="4" w:space="0" w:color="auto"/>
              <w:bottom w:val="nil"/>
            </w:tcBorders>
          </w:tcPr>
          <w:p w14:paraId="4C35DF12" w14:textId="7799FEE5"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57.29</w:t>
            </w:r>
            <w:r>
              <w:rPr>
                <w:rFonts w:ascii="Arial" w:hAnsi="Arial" w:cs="Arial"/>
                <w:color w:val="010205"/>
                <w:sz w:val="18"/>
                <w:szCs w:val="18"/>
              </w:rPr>
              <w:t xml:space="preserve"> (0</w:t>
            </w:r>
            <w:r w:rsidRPr="00BC3F40">
              <w:rPr>
                <w:rFonts w:ascii="Arial" w:hAnsi="Arial" w:cs="Arial"/>
                <w:color w:val="010205"/>
                <w:sz w:val="18"/>
                <w:szCs w:val="18"/>
              </w:rPr>
              <w:t>.30</w:t>
            </w:r>
            <w:r>
              <w:rPr>
                <w:rFonts w:ascii="Arial" w:hAnsi="Arial" w:cs="Arial"/>
                <w:color w:val="010205"/>
                <w:sz w:val="18"/>
                <w:szCs w:val="18"/>
              </w:rPr>
              <w:t>)</w:t>
            </w:r>
          </w:p>
        </w:tc>
        <w:tc>
          <w:tcPr>
            <w:tcW w:w="851" w:type="dxa"/>
            <w:tcBorders>
              <w:top w:val="single" w:sz="4" w:space="0" w:color="auto"/>
              <w:bottom w:val="nil"/>
            </w:tcBorders>
          </w:tcPr>
          <w:p w14:paraId="49BB97C5" w14:textId="58328A84"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12.45</w:t>
            </w:r>
          </w:p>
        </w:tc>
        <w:tc>
          <w:tcPr>
            <w:tcW w:w="992" w:type="dxa"/>
            <w:tcBorders>
              <w:top w:val="single" w:sz="4" w:space="0" w:color="auto"/>
              <w:bottom w:val="nil"/>
            </w:tcBorders>
          </w:tcPr>
          <w:p w14:paraId="3CBA3F6D" w14:textId="25F8BC00"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&lt;0</w:t>
            </w:r>
            <w:r w:rsidRPr="00BC3F40">
              <w:rPr>
                <w:rFonts w:ascii="Arial" w:hAnsi="Arial" w:cs="Arial"/>
                <w:color w:val="010205"/>
                <w:sz w:val="18"/>
                <w:szCs w:val="18"/>
              </w:rPr>
              <w:t>.000</w:t>
            </w:r>
            <w:r>
              <w:rPr>
                <w:rFonts w:ascii="Arial" w:hAnsi="Arial" w:cs="Arial"/>
                <w:color w:val="010205"/>
                <w:sz w:val="18"/>
                <w:szCs w:val="18"/>
              </w:rPr>
              <w:t>1</w:t>
            </w:r>
          </w:p>
        </w:tc>
      </w:tr>
      <w:tr w:rsidR="00346F05" w14:paraId="747EACE4" w14:textId="77777777" w:rsidTr="004D572E">
        <w:trPr>
          <w:trHeight w:val="299"/>
          <w:jc w:val="center"/>
        </w:trPr>
        <w:tc>
          <w:tcPr>
            <w:tcW w:w="2628" w:type="dxa"/>
            <w:tcBorders>
              <w:top w:val="nil"/>
            </w:tcBorders>
          </w:tcPr>
          <w:p w14:paraId="1A713191" w14:textId="08C26858"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FBG (mmol/L)</w:t>
            </w:r>
          </w:p>
        </w:tc>
        <w:tc>
          <w:tcPr>
            <w:tcW w:w="1347" w:type="dxa"/>
            <w:tcBorders>
              <w:top w:val="nil"/>
            </w:tcBorders>
          </w:tcPr>
          <w:p w14:paraId="0387365C" w14:textId="1A09D7FC"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13.9</w:t>
            </w:r>
            <w:r>
              <w:rPr>
                <w:rFonts w:ascii="Arial" w:hAnsi="Arial" w:cs="Arial"/>
                <w:color w:val="010205"/>
                <w:sz w:val="18"/>
                <w:szCs w:val="18"/>
              </w:rPr>
              <w:t>8 (</w:t>
            </w:r>
            <w:r w:rsidRPr="00BC3F40">
              <w:rPr>
                <w:rFonts w:ascii="Arial" w:hAnsi="Arial" w:cs="Arial"/>
                <w:color w:val="010205"/>
                <w:sz w:val="18"/>
                <w:szCs w:val="18"/>
              </w:rPr>
              <w:t>1.9</w:t>
            </w:r>
            <w:r>
              <w:rPr>
                <w:rFonts w:ascii="Arial" w:hAnsi="Arial" w:cs="Arial"/>
                <w:color w:val="010205"/>
                <w:sz w:val="18"/>
                <w:szCs w:val="18"/>
              </w:rPr>
              <w:t>4)</w:t>
            </w:r>
          </w:p>
        </w:tc>
        <w:tc>
          <w:tcPr>
            <w:tcW w:w="1417" w:type="dxa"/>
            <w:tcBorders>
              <w:top w:val="nil"/>
            </w:tcBorders>
          </w:tcPr>
          <w:p w14:paraId="753D211D" w14:textId="75C4076E"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7.6</w:t>
            </w:r>
            <w:r>
              <w:rPr>
                <w:rFonts w:ascii="Arial" w:hAnsi="Arial" w:cs="Arial"/>
                <w:color w:val="010205"/>
                <w:sz w:val="18"/>
                <w:szCs w:val="18"/>
              </w:rPr>
              <w:t>3 (0</w:t>
            </w:r>
            <w:r w:rsidRPr="00BC3F40">
              <w:rPr>
                <w:rFonts w:ascii="Arial" w:hAnsi="Arial" w:cs="Arial"/>
                <w:color w:val="010205"/>
                <w:sz w:val="18"/>
                <w:szCs w:val="18"/>
              </w:rPr>
              <w:t>.18</w:t>
            </w:r>
            <w:r>
              <w:rPr>
                <w:rFonts w:ascii="Arial" w:hAnsi="Arial" w:cs="Arial"/>
                <w:color w:val="010205"/>
                <w:sz w:val="18"/>
                <w:szCs w:val="18"/>
              </w:rPr>
              <w:t>)</w:t>
            </w:r>
          </w:p>
        </w:tc>
        <w:tc>
          <w:tcPr>
            <w:tcW w:w="1276" w:type="dxa"/>
            <w:tcBorders>
              <w:top w:val="nil"/>
            </w:tcBorders>
          </w:tcPr>
          <w:p w14:paraId="452C507E" w14:textId="13A3ED90"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7.0</w:t>
            </w:r>
            <w:r>
              <w:rPr>
                <w:rFonts w:ascii="Arial" w:hAnsi="Arial" w:cs="Arial"/>
                <w:color w:val="010205"/>
                <w:sz w:val="18"/>
                <w:szCs w:val="18"/>
              </w:rPr>
              <w:t>5 (0</w:t>
            </w:r>
            <w:r w:rsidRPr="00BC3F40">
              <w:rPr>
                <w:rFonts w:ascii="Arial" w:hAnsi="Arial" w:cs="Arial"/>
                <w:color w:val="010205"/>
                <w:sz w:val="18"/>
                <w:szCs w:val="18"/>
              </w:rPr>
              <w:t>.</w:t>
            </w:r>
            <w:r>
              <w:rPr>
                <w:rFonts w:ascii="Arial" w:hAnsi="Arial" w:cs="Arial"/>
                <w:color w:val="010205"/>
                <w:sz w:val="18"/>
                <w:szCs w:val="18"/>
              </w:rPr>
              <w:t>20)</w:t>
            </w:r>
          </w:p>
        </w:tc>
        <w:tc>
          <w:tcPr>
            <w:tcW w:w="1276" w:type="dxa"/>
            <w:tcBorders>
              <w:top w:val="nil"/>
            </w:tcBorders>
          </w:tcPr>
          <w:p w14:paraId="5018CE76" w14:textId="6118864A"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9.23</w:t>
            </w:r>
            <w:r>
              <w:rPr>
                <w:rFonts w:ascii="Arial" w:hAnsi="Arial" w:cs="Arial"/>
                <w:color w:val="010205"/>
                <w:sz w:val="18"/>
                <w:szCs w:val="18"/>
              </w:rPr>
              <w:t xml:space="preserve"> (0</w:t>
            </w:r>
            <w:r w:rsidRPr="00BC3F40">
              <w:rPr>
                <w:rFonts w:ascii="Arial" w:hAnsi="Arial" w:cs="Arial"/>
                <w:color w:val="010205"/>
                <w:sz w:val="18"/>
                <w:szCs w:val="18"/>
              </w:rPr>
              <w:t>.34</w:t>
            </w:r>
            <w:r>
              <w:rPr>
                <w:rFonts w:ascii="Arial" w:hAnsi="Arial" w:cs="Arial"/>
                <w:color w:val="010205"/>
                <w:sz w:val="18"/>
                <w:szCs w:val="18"/>
              </w:rPr>
              <w:t>)</w:t>
            </w:r>
          </w:p>
        </w:tc>
        <w:tc>
          <w:tcPr>
            <w:tcW w:w="1275" w:type="dxa"/>
            <w:tcBorders>
              <w:top w:val="nil"/>
            </w:tcBorders>
          </w:tcPr>
          <w:p w14:paraId="62B552CA" w14:textId="207FD537"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7.8</w:t>
            </w:r>
            <w:r>
              <w:rPr>
                <w:rFonts w:ascii="Arial" w:hAnsi="Arial" w:cs="Arial"/>
                <w:color w:val="010205"/>
                <w:sz w:val="18"/>
                <w:szCs w:val="18"/>
              </w:rPr>
              <w:t>8 (0</w:t>
            </w:r>
            <w:r w:rsidRPr="00BC3F40">
              <w:rPr>
                <w:rFonts w:ascii="Arial" w:hAnsi="Arial" w:cs="Arial"/>
                <w:color w:val="010205"/>
                <w:sz w:val="18"/>
                <w:szCs w:val="18"/>
              </w:rPr>
              <w:t>.15</w:t>
            </w:r>
            <w:r>
              <w:rPr>
                <w:rFonts w:ascii="Arial" w:hAnsi="Arial" w:cs="Arial"/>
                <w:color w:val="010205"/>
                <w:sz w:val="18"/>
                <w:szCs w:val="18"/>
              </w:rPr>
              <w:t>)</w:t>
            </w:r>
          </w:p>
        </w:tc>
        <w:tc>
          <w:tcPr>
            <w:tcW w:w="851" w:type="dxa"/>
            <w:tcBorders>
              <w:top w:val="nil"/>
            </w:tcBorders>
          </w:tcPr>
          <w:p w14:paraId="61360BFD" w14:textId="7A501179"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25.72</w:t>
            </w:r>
          </w:p>
        </w:tc>
        <w:tc>
          <w:tcPr>
            <w:tcW w:w="992" w:type="dxa"/>
            <w:tcBorders>
              <w:top w:val="nil"/>
            </w:tcBorders>
          </w:tcPr>
          <w:p w14:paraId="7176C55E" w14:textId="6CBB560D" w:rsidR="00346F05" w:rsidRDefault="00346F05" w:rsidP="00346F05">
            <w:pPr>
              <w:autoSpaceDE w:val="0"/>
              <w:autoSpaceDN w:val="0"/>
              <w:adjustRightInd w:val="0"/>
              <w:spacing w:line="400" w:lineRule="atLeast"/>
              <w:rPr>
                <w:rFonts w:ascii="Times New Roman" w:hAnsi="Times New Roman" w:cs="Times New Roman"/>
                <w:sz w:val="24"/>
                <w:szCs w:val="24"/>
              </w:rPr>
            </w:pPr>
            <w:r w:rsidRPr="005A6639">
              <w:rPr>
                <w:rFonts w:ascii="Arial" w:hAnsi="Arial" w:cs="Arial"/>
                <w:color w:val="010205"/>
                <w:sz w:val="18"/>
                <w:szCs w:val="18"/>
              </w:rPr>
              <w:t>&lt;0</w:t>
            </w:r>
            <w:r w:rsidRPr="00BC3F40">
              <w:rPr>
                <w:rFonts w:ascii="Arial" w:hAnsi="Arial" w:cs="Arial"/>
                <w:color w:val="010205"/>
                <w:sz w:val="18"/>
                <w:szCs w:val="18"/>
              </w:rPr>
              <w:t>.000</w:t>
            </w:r>
            <w:r w:rsidRPr="005A6639">
              <w:rPr>
                <w:rFonts w:ascii="Arial" w:hAnsi="Arial" w:cs="Arial"/>
                <w:color w:val="010205"/>
                <w:sz w:val="18"/>
                <w:szCs w:val="18"/>
              </w:rPr>
              <w:t>1</w:t>
            </w:r>
          </w:p>
        </w:tc>
      </w:tr>
      <w:tr w:rsidR="00346F05" w14:paraId="69DDC7CD" w14:textId="77777777" w:rsidTr="004D572E">
        <w:trPr>
          <w:trHeight w:val="299"/>
          <w:jc w:val="center"/>
        </w:trPr>
        <w:tc>
          <w:tcPr>
            <w:tcW w:w="2628" w:type="dxa"/>
          </w:tcPr>
          <w:p w14:paraId="1F97D73B" w14:textId="3F3DDF0C"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24"/>
                <w:szCs w:val="24"/>
              </w:rPr>
            </w:pPr>
            <w:r w:rsidRPr="004D572E">
              <w:rPr>
                <w:rFonts w:ascii="Times New Roman" w:hAnsi="Times New Roman" w:cs="Times New Roman"/>
                <w:color w:val="000000" w:themeColor="text1"/>
                <w:sz w:val="18"/>
                <w:szCs w:val="18"/>
              </w:rPr>
              <w:t xml:space="preserve">Cholesterol </w:t>
            </w:r>
          </w:p>
        </w:tc>
        <w:tc>
          <w:tcPr>
            <w:tcW w:w="1347" w:type="dxa"/>
          </w:tcPr>
          <w:p w14:paraId="1F28C768" w14:textId="18DFB1C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5.4</w:t>
            </w:r>
            <w:r>
              <w:rPr>
                <w:rFonts w:ascii="Arial" w:hAnsi="Arial" w:cs="Arial"/>
                <w:color w:val="010205"/>
                <w:sz w:val="18"/>
                <w:szCs w:val="18"/>
              </w:rPr>
              <w:t>2 (0</w:t>
            </w:r>
            <w:r w:rsidRPr="00BC3F40">
              <w:rPr>
                <w:rFonts w:ascii="Arial" w:hAnsi="Arial" w:cs="Arial"/>
                <w:color w:val="010205"/>
                <w:sz w:val="18"/>
                <w:szCs w:val="18"/>
              </w:rPr>
              <w:t>.1</w:t>
            </w:r>
            <w:r>
              <w:rPr>
                <w:rFonts w:ascii="Arial" w:hAnsi="Arial" w:cs="Arial"/>
                <w:color w:val="010205"/>
                <w:sz w:val="18"/>
                <w:szCs w:val="18"/>
              </w:rPr>
              <w:t>8)</w:t>
            </w:r>
          </w:p>
        </w:tc>
        <w:tc>
          <w:tcPr>
            <w:tcW w:w="1417" w:type="dxa"/>
          </w:tcPr>
          <w:p w14:paraId="7A76AA82" w14:textId="280E7884"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w:t>
            </w:r>
            <w:r>
              <w:rPr>
                <w:rFonts w:ascii="Arial" w:hAnsi="Arial" w:cs="Arial"/>
                <w:color w:val="010205"/>
                <w:sz w:val="18"/>
                <w:szCs w:val="18"/>
              </w:rPr>
              <w:t>30 (0</w:t>
            </w:r>
            <w:r w:rsidRPr="00BC3F40">
              <w:rPr>
                <w:rFonts w:ascii="Arial" w:hAnsi="Arial" w:cs="Arial"/>
                <w:color w:val="010205"/>
                <w:sz w:val="18"/>
                <w:szCs w:val="18"/>
              </w:rPr>
              <w:t>.07</w:t>
            </w:r>
            <w:r>
              <w:rPr>
                <w:rFonts w:ascii="Arial" w:hAnsi="Arial" w:cs="Arial"/>
                <w:color w:val="010205"/>
                <w:sz w:val="18"/>
                <w:szCs w:val="18"/>
              </w:rPr>
              <w:t>)</w:t>
            </w:r>
          </w:p>
        </w:tc>
        <w:tc>
          <w:tcPr>
            <w:tcW w:w="1276" w:type="dxa"/>
          </w:tcPr>
          <w:p w14:paraId="3578333D" w14:textId="0598C25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5.34</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6)</w:t>
            </w:r>
          </w:p>
        </w:tc>
        <w:tc>
          <w:tcPr>
            <w:tcW w:w="1276" w:type="dxa"/>
          </w:tcPr>
          <w:p w14:paraId="5F52884B" w14:textId="58D043E4"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5.56</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9)</w:t>
            </w:r>
          </w:p>
        </w:tc>
        <w:tc>
          <w:tcPr>
            <w:tcW w:w="1275" w:type="dxa"/>
          </w:tcPr>
          <w:p w14:paraId="7C439CFA" w14:textId="14E27C10"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5.3</w:t>
            </w:r>
            <w:r>
              <w:rPr>
                <w:rFonts w:ascii="Arial" w:hAnsi="Arial" w:cs="Arial"/>
                <w:color w:val="010205"/>
                <w:sz w:val="18"/>
                <w:szCs w:val="18"/>
              </w:rPr>
              <w:t>9 (0</w:t>
            </w:r>
            <w:r w:rsidRPr="00BC3F40">
              <w:rPr>
                <w:rFonts w:ascii="Arial" w:hAnsi="Arial" w:cs="Arial"/>
                <w:color w:val="010205"/>
                <w:sz w:val="18"/>
                <w:szCs w:val="18"/>
              </w:rPr>
              <w:t>.04</w:t>
            </w:r>
            <w:r>
              <w:rPr>
                <w:rFonts w:ascii="Arial" w:hAnsi="Arial" w:cs="Arial"/>
                <w:color w:val="010205"/>
                <w:sz w:val="18"/>
                <w:szCs w:val="18"/>
              </w:rPr>
              <w:t>)</w:t>
            </w:r>
          </w:p>
        </w:tc>
        <w:tc>
          <w:tcPr>
            <w:tcW w:w="851" w:type="dxa"/>
          </w:tcPr>
          <w:p w14:paraId="48EA2D10" w14:textId="69E11DBE"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2.08</w:t>
            </w:r>
          </w:p>
        </w:tc>
        <w:tc>
          <w:tcPr>
            <w:tcW w:w="992" w:type="dxa"/>
          </w:tcPr>
          <w:p w14:paraId="5ACF9D98" w14:textId="7C3EE6F3"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.10</w:t>
            </w:r>
          </w:p>
        </w:tc>
      </w:tr>
      <w:tr w:rsidR="00346F05" w14:paraId="006E086D" w14:textId="77777777" w:rsidTr="004D572E">
        <w:trPr>
          <w:trHeight w:val="299"/>
          <w:jc w:val="center"/>
        </w:trPr>
        <w:tc>
          <w:tcPr>
            <w:tcW w:w="2628" w:type="dxa"/>
          </w:tcPr>
          <w:p w14:paraId="2424DED8" w14:textId="63CBCC9B"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 xml:space="preserve">Triglyceride </w:t>
            </w:r>
          </w:p>
        </w:tc>
        <w:tc>
          <w:tcPr>
            <w:tcW w:w="1347" w:type="dxa"/>
          </w:tcPr>
          <w:p w14:paraId="3585D505" w14:textId="5AD1AF73"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.95</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1)</w:t>
            </w:r>
          </w:p>
        </w:tc>
        <w:tc>
          <w:tcPr>
            <w:tcW w:w="1417" w:type="dxa"/>
          </w:tcPr>
          <w:p w14:paraId="6A49DE68" w14:textId="4589BAC7"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.96</w:t>
            </w:r>
            <w:r>
              <w:rPr>
                <w:rFonts w:ascii="Arial" w:hAnsi="Arial" w:cs="Arial"/>
                <w:color w:val="010205"/>
                <w:sz w:val="18"/>
                <w:szCs w:val="18"/>
              </w:rPr>
              <w:t xml:space="preserve"> (0</w:t>
            </w:r>
            <w:r w:rsidRPr="00BC3F40">
              <w:rPr>
                <w:rFonts w:ascii="Arial" w:hAnsi="Arial" w:cs="Arial"/>
                <w:color w:val="010205"/>
                <w:sz w:val="18"/>
                <w:szCs w:val="18"/>
              </w:rPr>
              <w:t>.02</w:t>
            </w:r>
            <w:r>
              <w:rPr>
                <w:rFonts w:ascii="Arial" w:hAnsi="Arial" w:cs="Arial"/>
                <w:color w:val="010205"/>
                <w:sz w:val="18"/>
                <w:szCs w:val="18"/>
              </w:rPr>
              <w:t>)</w:t>
            </w:r>
          </w:p>
        </w:tc>
        <w:tc>
          <w:tcPr>
            <w:tcW w:w="1276" w:type="dxa"/>
          </w:tcPr>
          <w:p w14:paraId="2EE62176" w14:textId="0A8100AF"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1.08</w:t>
            </w:r>
            <w:r>
              <w:rPr>
                <w:rFonts w:ascii="Arial" w:hAnsi="Arial" w:cs="Arial"/>
                <w:color w:val="010205"/>
                <w:sz w:val="18"/>
                <w:szCs w:val="18"/>
              </w:rPr>
              <w:t xml:space="preserve"> (0</w:t>
            </w:r>
            <w:r w:rsidRPr="00BC3F40">
              <w:rPr>
                <w:rFonts w:ascii="Arial" w:hAnsi="Arial" w:cs="Arial"/>
                <w:color w:val="010205"/>
                <w:sz w:val="18"/>
                <w:szCs w:val="18"/>
              </w:rPr>
              <w:t>.03</w:t>
            </w:r>
            <w:r>
              <w:rPr>
                <w:rFonts w:ascii="Arial" w:hAnsi="Arial" w:cs="Arial"/>
                <w:color w:val="010205"/>
                <w:sz w:val="18"/>
                <w:szCs w:val="18"/>
              </w:rPr>
              <w:t>)</w:t>
            </w:r>
          </w:p>
        </w:tc>
        <w:tc>
          <w:tcPr>
            <w:tcW w:w="1276" w:type="dxa"/>
          </w:tcPr>
          <w:p w14:paraId="4D9E7200" w14:textId="584C16A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1.20</w:t>
            </w:r>
            <w:r>
              <w:rPr>
                <w:rFonts w:ascii="Arial" w:hAnsi="Arial" w:cs="Arial"/>
                <w:color w:val="010205"/>
                <w:sz w:val="18"/>
                <w:szCs w:val="18"/>
              </w:rPr>
              <w:t xml:space="preserve"> (0</w:t>
            </w:r>
            <w:r w:rsidRPr="00BC3F40">
              <w:rPr>
                <w:rFonts w:ascii="Arial" w:hAnsi="Arial" w:cs="Arial"/>
                <w:color w:val="010205"/>
                <w:sz w:val="18"/>
                <w:szCs w:val="18"/>
              </w:rPr>
              <w:t>.05</w:t>
            </w:r>
            <w:r>
              <w:rPr>
                <w:rFonts w:ascii="Arial" w:hAnsi="Arial" w:cs="Arial"/>
                <w:color w:val="010205"/>
                <w:sz w:val="18"/>
                <w:szCs w:val="18"/>
              </w:rPr>
              <w:t>)</w:t>
            </w:r>
          </w:p>
        </w:tc>
        <w:tc>
          <w:tcPr>
            <w:tcW w:w="1275" w:type="dxa"/>
          </w:tcPr>
          <w:p w14:paraId="52884470" w14:textId="1FA059DB"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1.08</w:t>
            </w:r>
            <w:r>
              <w:rPr>
                <w:rFonts w:ascii="Arial" w:hAnsi="Arial" w:cs="Arial"/>
                <w:color w:val="010205"/>
                <w:sz w:val="18"/>
                <w:szCs w:val="18"/>
              </w:rPr>
              <w:t xml:space="preserve"> (0</w:t>
            </w:r>
            <w:r w:rsidRPr="00BC3F40">
              <w:rPr>
                <w:rFonts w:ascii="Arial" w:hAnsi="Arial" w:cs="Arial"/>
                <w:color w:val="010205"/>
                <w:sz w:val="18"/>
                <w:szCs w:val="18"/>
              </w:rPr>
              <w:t>.02</w:t>
            </w:r>
            <w:r>
              <w:rPr>
                <w:rFonts w:ascii="Arial" w:hAnsi="Arial" w:cs="Arial"/>
                <w:color w:val="010205"/>
                <w:sz w:val="18"/>
                <w:szCs w:val="18"/>
              </w:rPr>
              <w:t>)</w:t>
            </w:r>
          </w:p>
        </w:tc>
        <w:tc>
          <w:tcPr>
            <w:tcW w:w="851" w:type="dxa"/>
          </w:tcPr>
          <w:p w14:paraId="50B65FBE" w14:textId="5A774CAB"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5.96</w:t>
            </w:r>
          </w:p>
        </w:tc>
        <w:tc>
          <w:tcPr>
            <w:tcW w:w="992" w:type="dxa"/>
          </w:tcPr>
          <w:p w14:paraId="7F83DACE" w14:textId="2DC50F85"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.001</w:t>
            </w:r>
          </w:p>
        </w:tc>
      </w:tr>
      <w:tr w:rsidR="00346F05" w14:paraId="155952D0" w14:textId="77777777" w:rsidTr="004D572E">
        <w:trPr>
          <w:trHeight w:val="299"/>
          <w:jc w:val="center"/>
        </w:trPr>
        <w:tc>
          <w:tcPr>
            <w:tcW w:w="2628" w:type="dxa"/>
          </w:tcPr>
          <w:p w14:paraId="10815B17" w14:textId="10613576"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HDL-C</w:t>
            </w:r>
          </w:p>
        </w:tc>
        <w:tc>
          <w:tcPr>
            <w:tcW w:w="1347" w:type="dxa"/>
          </w:tcPr>
          <w:p w14:paraId="4D90495C" w14:textId="2951B14E"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1.0</w:t>
            </w:r>
            <w:r>
              <w:rPr>
                <w:rFonts w:ascii="Arial" w:hAnsi="Arial" w:cs="Arial"/>
                <w:color w:val="010205"/>
                <w:sz w:val="18"/>
                <w:szCs w:val="18"/>
              </w:rPr>
              <w:t>8 (0</w:t>
            </w:r>
            <w:r w:rsidRPr="00BC3F40">
              <w:rPr>
                <w:rFonts w:ascii="Arial" w:hAnsi="Arial" w:cs="Arial"/>
                <w:color w:val="010205"/>
                <w:sz w:val="18"/>
                <w:szCs w:val="18"/>
              </w:rPr>
              <w:t>.0</w:t>
            </w:r>
            <w:r>
              <w:rPr>
                <w:rFonts w:ascii="Arial" w:hAnsi="Arial" w:cs="Arial"/>
                <w:color w:val="010205"/>
                <w:sz w:val="18"/>
                <w:szCs w:val="18"/>
              </w:rPr>
              <w:t>3)</w:t>
            </w:r>
          </w:p>
        </w:tc>
        <w:tc>
          <w:tcPr>
            <w:tcW w:w="1417" w:type="dxa"/>
          </w:tcPr>
          <w:p w14:paraId="335B3D9E" w14:textId="4CD5F96A"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3)</w:t>
            </w:r>
          </w:p>
        </w:tc>
        <w:tc>
          <w:tcPr>
            <w:tcW w:w="1276" w:type="dxa"/>
          </w:tcPr>
          <w:p w14:paraId="4E579F27" w14:textId="013CA7B5"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w:t>
            </w:r>
            <w:r>
              <w:rPr>
                <w:rFonts w:ascii="Arial" w:hAnsi="Arial" w:cs="Arial"/>
                <w:color w:val="010205"/>
                <w:sz w:val="18"/>
                <w:szCs w:val="18"/>
              </w:rPr>
              <w:t>2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12818352" w14:textId="7E8224D0"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w:t>
            </w:r>
            <w:r>
              <w:rPr>
                <w:rFonts w:ascii="Arial" w:hAnsi="Arial" w:cs="Arial"/>
                <w:color w:val="010205"/>
                <w:sz w:val="18"/>
                <w:szCs w:val="18"/>
              </w:rPr>
              <w:t>8 (0</w:t>
            </w:r>
            <w:r w:rsidRPr="00BC3F40">
              <w:rPr>
                <w:rFonts w:ascii="Arial" w:hAnsi="Arial" w:cs="Arial"/>
                <w:color w:val="010205"/>
                <w:sz w:val="18"/>
                <w:szCs w:val="18"/>
              </w:rPr>
              <w:t>.02</w:t>
            </w:r>
            <w:r>
              <w:rPr>
                <w:rFonts w:ascii="Arial" w:hAnsi="Arial" w:cs="Arial"/>
                <w:color w:val="010205"/>
                <w:sz w:val="18"/>
                <w:szCs w:val="18"/>
              </w:rPr>
              <w:t>)</w:t>
            </w:r>
          </w:p>
        </w:tc>
        <w:tc>
          <w:tcPr>
            <w:tcW w:w="1275" w:type="dxa"/>
          </w:tcPr>
          <w:p w14:paraId="0D97A6B3" w14:textId="2DC4BB70"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w:t>
            </w:r>
            <w:r>
              <w:rPr>
                <w:rFonts w:ascii="Arial" w:hAnsi="Arial" w:cs="Arial"/>
                <w:color w:val="010205"/>
                <w:sz w:val="18"/>
                <w:szCs w:val="18"/>
              </w:rPr>
              <w:t>8 (0</w:t>
            </w:r>
            <w:r w:rsidRPr="00BC3F40">
              <w:rPr>
                <w:rFonts w:ascii="Arial" w:hAnsi="Arial" w:cs="Arial"/>
                <w:color w:val="010205"/>
                <w:sz w:val="18"/>
                <w:szCs w:val="18"/>
              </w:rPr>
              <w:t>.01</w:t>
            </w:r>
            <w:r>
              <w:rPr>
                <w:rFonts w:ascii="Arial" w:hAnsi="Arial" w:cs="Arial"/>
                <w:color w:val="010205"/>
                <w:sz w:val="18"/>
                <w:szCs w:val="18"/>
              </w:rPr>
              <w:t>)</w:t>
            </w:r>
          </w:p>
        </w:tc>
        <w:tc>
          <w:tcPr>
            <w:tcW w:w="851" w:type="dxa"/>
          </w:tcPr>
          <w:p w14:paraId="0DE2E690" w14:textId="7BF11B28"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13.0</w:t>
            </w:r>
            <w:r>
              <w:rPr>
                <w:rFonts w:ascii="Arial" w:hAnsi="Arial" w:cs="Arial"/>
                <w:color w:val="010205"/>
                <w:sz w:val="18"/>
                <w:szCs w:val="18"/>
              </w:rPr>
              <w:t>5</w:t>
            </w:r>
          </w:p>
        </w:tc>
        <w:tc>
          <w:tcPr>
            <w:tcW w:w="992" w:type="dxa"/>
          </w:tcPr>
          <w:p w14:paraId="54B3EB5E" w14:textId="6BABD66C"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&lt;0</w:t>
            </w:r>
            <w:r w:rsidRPr="00BC3F40">
              <w:rPr>
                <w:rFonts w:ascii="Arial" w:hAnsi="Arial" w:cs="Arial"/>
                <w:color w:val="010205"/>
                <w:sz w:val="18"/>
                <w:szCs w:val="18"/>
              </w:rPr>
              <w:t>.000</w:t>
            </w:r>
            <w:r>
              <w:rPr>
                <w:rFonts w:ascii="Arial" w:hAnsi="Arial" w:cs="Arial"/>
                <w:color w:val="010205"/>
                <w:sz w:val="18"/>
                <w:szCs w:val="18"/>
              </w:rPr>
              <w:t>1</w:t>
            </w:r>
          </w:p>
        </w:tc>
      </w:tr>
      <w:tr w:rsidR="00346F05" w14:paraId="20DB8CB8" w14:textId="77777777" w:rsidTr="004D572E">
        <w:trPr>
          <w:trHeight w:val="299"/>
          <w:jc w:val="center"/>
        </w:trPr>
        <w:tc>
          <w:tcPr>
            <w:tcW w:w="2628" w:type="dxa"/>
          </w:tcPr>
          <w:p w14:paraId="5CF7FD95" w14:textId="0C07D8BE"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LDL-C</w:t>
            </w:r>
          </w:p>
        </w:tc>
        <w:tc>
          <w:tcPr>
            <w:tcW w:w="1347" w:type="dxa"/>
          </w:tcPr>
          <w:p w14:paraId="30C815EC" w14:textId="25C18B87"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3.93</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6)</w:t>
            </w:r>
          </w:p>
        </w:tc>
        <w:tc>
          <w:tcPr>
            <w:tcW w:w="1417" w:type="dxa"/>
          </w:tcPr>
          <w:p w14:paraId="06FDBB94" w14:textId="01A4CF5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4.0</w:t>
            </w:r>
            <w:r>
              <w:rPr>
                <w:rFonts w:ascii="Arial" w:hAnsi="Arial" w:cs="Arial"/>
                <w:color w:val="010205"/>
                <w:sz w:val="18"/>
                <w:szCs w:val="18"/>
              </w:rPr>
              <w:t>3 (0</w:t>
            </w:r>
            <w:r w:rsidRPr="00BC3F40">
              <w:rPr>
                <w:rFonts w:ascii="Arial" w:hAnsi="Arial" w:cs="Arial"/>
                <w:color w:val="010205"/>
                <w:sz w:val="18"/>
                <w:szCs w:val="18"/>
              </w:rPr>
              <w:t>.06</w:t>
            </w:r>
            <w:r>
              <w:rPr>
                <w:rFonts w:ascii="Arial" w:hAnsi="Arial" w:cs="Arial"/>
                <w:color w:val="010205"/>
                <w:sz w:val="18"/>
                <w:szCs w:val="18"/>
              </w:rPr>
              <w:t>)</w:t>
            </w:r>
          </w:p>
        </w:tc>
        <w:tc>
          <w:tcPr>
            <w:tcW w:w="1276" w:type="dxa"/>
          </w:tcPr>
          <w:p w14:paraId="4F11E31F" w14:textId="67EB7563"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3.98</w:t>
            </w:r>
            <w:r>
              <w:rPr>
                <w:rFonts w:ascii="Arial" w:hAnsi="Arial" w:cs="Arial"/>
                <w:color w:val="010205"/>
                <w:sz w:val="18"/>
                <w:szCs w:val="18"/>
              </w:rPr>
              <w:t xml:space="preserve"> (0</w:t>
            </w:r>
            <w:r w:rsidRPr="00BC3F40">
              <w:rPr>
                <w:rFonts w:ascii="Arial" w:hAnsi="Arial" w:cs="Arial"/>
                <w:color w:val="010205"/>
                <w:sz w:val="18"/>
                <w:szCs w:val="18"/>
              </w:rPr>
              <w:t>.06</w:t>
            </w:r>
            <w:r>
              <w:rPr>
                <w:rFonts w:ascii="Arial" w:hAnsi="Arial" w:cs="Arial"/>
                <w:color w:val="010205"/>
                <w:sz w:val="18"/>
                <w:szCs w:val="18"/>
              </w:rPr>
              <w:t>)</w:t>
            </w:r>
          </w:p>
        </w:tc>
        <w:tc>
          <w:tcPr>
            <w:tcW w:w="1276" w:type="dxa"/>
          </w:tcPr>
          <w:p w14:paraId="7C430B9A" w14:textId="61FA3E59"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4.0</w:t>
            </w:r>
            <w:r>
              <w:rPr>
                <w:rFonts w:ascii="Arial" w:hAnsi="Arial" w:cs="Arial"/>
                <w:color w:val="010205"/>
                <w:sz w:val="18"/>
                <w:szCs w:val="18"/>
              </w:rPr>
              <w:t>2 (0</w:t>
            </w:r>
            <w:r w:rsidRPr="00BC3F40">
              <w:rPr>
                <w:rFonts w:ascii="Arial" w:hAnsi="Arial" w:cs="Arial"/>
                <w:color w:val="010205"/>
                <w:sz w:val="18"/>
                <w:szCs w:val="18"/>
              </w:rPr>
              <w:t>.08</w:t>
            </w:r>
            <w:r>
              <w:rPr>
                <w:rFonts w:ascii="Arial" w:hAnsi="Arial" w:cs="Arial"/>
                <w:color w:val="010205"/>
                <w:sz w:val="18"/>
                <w:szCs w:val="18"/>
              </w:rPr>
              <w:t>)</w:t>
            </w:r>
          </w:p>
        </w:tc>
        <w:tc>
          <w:tcPr>
            <w:tcW w:w="1275" w:type="dxa"/>
          </w:tcPr>
          <w:p w14:paraId="33211000" w14:textId="2F557501"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4.00</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4)</w:t>
            </w:r>
          </w:p>
        </w:tc>
        <w:tc>
          <w:tcPr>
            <w:tcW w:w="851" w:type="dxa"/>
          </w:tcPr>
          <w:p w14:paraId="166FAFFC" w14:textId="3A4DE80B"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.09</w:t>
            </w:r>
          </w:p>
        </w:tc>
        <w:tc>
          <w:tcPr>
            <w:tcW w:w="992" w:type="dxa"/>
          </w:tcPr>
          <w:p w14:paraId="55BF242C" w14:textId="59CBBCBF"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.96</w:t>
            </w:r>
          </w:p>
        </w:tc>
      </w:tr>
      <w:tr w:rsidR="00346F05" w14:paraId="07D86BC6" w14:textId="77777777" w:rsidTr="004D572E">
        <w:trPr>
          <w:trHeight w:val="299"/>
          <w:jc w:val="center"/>
        </w:trPr>
        <w:tc>
          <w:tcPr>
            <w:tcW w:w="2628" w:type="dxa"/>
          </w:tcPr>
          <w:p w14:paraId="2D1B07B3" w14:textId="68DBD89C"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VLDL-C</w:t>
            </w:r>
          </w:p>
        </w:tc>
        <w:tc>
          <w:tcPr>
            <w:tcW w:w="1347" w:type="dxa"/>
          </w:tcPr>
          <w:p w14:paraId="010327FD" w14:textId="3C40DFD3"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.43</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5)</w:t>
            </w:r>
          </w:p>
        </w:tc>
        <w:tc>
          <w:tcPr>
            <w:tcW w:w="1417" w:type="dxa"/>
          </w:tcPr>
          <w:p w14:paraId="7121B83C" w14:textId="3F6CE94D"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.43</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35A5DB82" w14:textId="612C0333"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.49</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36E2E1AB" w14:textId="277B3A29"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.5</w:t>
            </w:r>
            <w:r>
              <w:rPr>
                <w:rFonts w:ascii="Arial" w:hAnsi="Arial" w:cs="Arial"/>
                <w:color w:val="010205"/>
                <w:sz w:val="18"/>
                <w:szCs w:val="18"/>
              </w:rPr>
              <w:t>5 (0</w:t>
            </w:r>
            <w:r w:rsidRPr="00BC3F40">
              <w:rPr>
                <w:rFonts w:ascii="Arial" w:hAnsi="Arial" w:cs="Arial"/>
                <w:color w:val="010205"/>
                <w:sz w:val="18"/>
                <w:szCs w:val="18"/>
              </w:rPr>
              <w:t>.02</w:t>
            </w:r>
            <w:r>
              <w:rPr>
                <w:rFonts w:ascii="Arial" w:hAnsi="Arial" w:cs="Arial"/>
                <w:color w:val="010205"/>
                <w:sz w:val="18"/>
                <w:szCs w:val="18"/>
              </w:rPr>
              <w:t>)</w:t>
            </w:r>
          </w:p>
        </w:tc>
        <w:tc>
          <w:tcPr>
            <w:tcW w:w="1275" w:type="dxa"/>
          </w:tcPr>
          <w:p w14:paraId="38F835FD" w14:textId="61DFACD7"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.49</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851" w:type="dxa"/>
          </w:tcPr>
          <w:p w14:paraId="253BEEB9" w14:textId="7814C18D"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5.96</w:t>
            </w:r>
          </w:p>
        </w:tc>
        <w:tc>
          <w:tcPr>
            <w:tcW w:w="992" w:type="dxa"/>
          </w:tcPr>
          <w:p w14:paraId="0741F173" w14:textId="4F523A14"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.001</w:t>
            </w:r>
          </w:p>
        </w:tc>
      </w:tr>
      <w:tr w:rsidR="00346F05" w14:paraId="0732A6B1" w14:textId="77777777" w:rsidTr="004D572E">
        <w:trPr>
          <w:trHeight w:val="299"/>
          <w:jc w:val="center"/>
        </w:trPr>
        <w:tc>
          <w:tcPr>
            <w:tcW w:w="2628" w:type="dxa"/>
          </w:tcPr>
          <w:p w14:paraId="7DF4426D" w14:textId="56BDD42A"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HDL/LDL</w:t>
            </w:r>
          </w:p>
        </w:tc>
        <w:tc>
          <w:tcPr>
            <w:tcW w:w="1347" w:type="dxa"/>
          </w:tcPr>
          <w:p w14:paraId="1EA55DF7" w14:textId="0E63934A"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.28</w:t>
            </w:r>
            <w:r>
              <w:rPr>
                <w:rFonts w:ascii="Arial" w:hAnsi="Arial" w:cs="Arial"/>
                <w:color w:val="010205"/>
                <w:sz w:val="18"/>
                <w:szCs w:val="18"/>
              </w:rPr>
              <w:t xml:space="preserve"> (0</w:t>
            </w:r>
            <w:r w:rsidRPr="00BC3F40">
              <w:rPr>
                <w:rFonts w:ascii="Arial" w:hAnsi="Arial" w:cs="Arial"/>
                <w:color w:val="010205"/>
                <w:sz w:val="18"/>
                <w:szCs w:val="18"/>
              </w:rPr>
              <w:t>.02</w:t>
            </w:r>
            <w:r>
              <w:rPr>
                <w:rFonts w:ascii="Arial" w:hAnsi="Arial" w:cs="Arial"/>
                <w:color w:val="010205"/>
                <w:sz w:val="18"/>
                <w:szCs w:val="18"/>
              </w:rPr>
              <w:t>)</w:t>
            </w:r>
          </w:p>
        </w:tc>
        <w:tc>
          <w:tcPr>
            <w:tcW w:w="1417" w:type="dxa"/>
          </w:tcPr>
          <w:p w14:paraId="491284B4" w14:textId="7E2AE5E1"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w:t>
            </w:r>
            <w:r>
              <w:rPr>
                <w:rFonts w:ascii="Arial" w:hAnsi="Arial" w:cs="Arial"/>
                <w:color w:val="010205"/>
                <w:sz w:val="18"/>
                <w:szCs w:val="18"/>
              </w:rPr>
              <w:t>3 (0</w:t>
            </w:r>
            <w:r w:rsidRPr="00BC3F40">
              <w:rPr>
                <w:rFonts w:ascii="Arial" w:hAnsi="Arial" w:cs="Arial"/>
                <w:color w:val="010205"/>
                <w:sz w:val="18"/>
                <w:szCs w:val="18"/>
              </w:rPr>
              <w:t>.0</w:t>
            </w:r>
            <w:r>
              <w:rPr>
                <w:rFonts w:ascii="Arial" w:hAnsi="Arial" w:cs="Arial"/>
                <w:color w:val="010205"/>
                <w:sz w:val="18"/>
                <w:szCs w:val="18"/>
              </w:rPr>
              <w:t>1)</w:t>
            </w:r>
          </w:p>
        </w:tc>
        <w:tc>
          <w:tcPr>
            <w:tcW w:w="1276" w:type="dxa"/>
          </w:tcPr>
          <w:p w14:paraId="6679BB2A" w14:textId="2C41A76E"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.22</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1276" w:type="dxa"/>
          </w:tcPr>
          <w:p w14:paraId="670E28ED" w14:textId="6F206F16"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.26</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1275" w:type="dxa"/>
          </w:tcPr>
          <w:p w14:paraId="2544F0CE" w14:textId="2F550879"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w:t>
            </w:r>
            <w:r>
              <w:rPr>
                <w:rFonts w:ascii="Arial" w:hAnsi="Arial" w:cs="Arial"/>
                <w:color w:val="010205"/>
                <w:sz w:val="18"/>
                <w:szCs w:val="18"/>
              </w:rPr>
              <w:t>4 (0</w:t>
            </w:r>
            <w:r w:rsidRPr="00BC3F40">
              <w:rPr>
                <w:rFonts w:ascii="Arial" w:hAnsi="Arial" w:cs="Arial"/>
                <w:color w:val="010205"/>
                <w:sz w:val="18"/>
                <w:szCs w:val="18"/>
              </w:rPr>
              <w:t>.004</w:t>
            </w:r>
            <w:r>
              <w:rPr>
                <w:rFonts w:ascii="Arial" w:hAnsi="Arial" w:cs="Arial"/>
                <w:color w:val="010205"/>
                <w:sz w:val="18"/>
                <w:szCs w:val="18"/>
              </w:rPr>
              <w:t>)</w:t>
            </w:r>
          </w:p>
        </w:tc>
        <w:tc>
          <w:tcPr>
            <w:tcW w:w="851" w:type="dxa"/>
          </w:tcPr>
          <w:p w14:paraId="60D6C71B" w14:textId="208AF4D9"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5.48</w:t>
            </w:r>
          </w:p>
        </w:tc>
        <w:tc>
          <w:tcPr>
            <w:tcW w:w="992" w:type="dxa"/>
          </w:tcPr>
          <w:p w14:paraId="2AA14076" w14:textId="0DDFEBAC"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.001</w:t>
            </w:r>
          </w:p>
        </w:tc>
      </w:tr>
      <w:tr w:rsidR="00346F05" w14:paraId="1D6DABF1" w14:textId="77777777" w:rsidTr="004D572E">
        <w:trPr>
          <w:trHeight w:val="299"/>
          <w:jc w:val="center"/>
        </w:trPr>
        <w:tc>
          <w:tcPr>
            <w:tcW w:w="2628" w:type="dxa"/>
          </w:tcPr>
          <w:p w14:paraId="0B2ED69F" w14:textId="62EAA58C"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TG/CHOL</w:t>
            </w:r>
          </w:p>
        </w:tc>
        <w:tc>
          <w:tcPr>
            <w:tcW w:w="1347" w:type="dxa"/>
          </w:tcPr>
          <w:p w14:paraId="1EEC54AD" w14:textId="0139D239"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.17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2)</w:t>
            </w:r>
          </w:p>
        </w:tc>
        <w:tc>
          <w:tcPr>
            <w:tcW w:w="1417" w:type="dxa"/>
          </w:tcPr>
          <w:p w14:paraId="6B792C30" w14:textId="5E5083DA"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.18</w:t>
            </w:r>
            <w:r>
              <w:rPr>
                <w:rFonts w:ascii="Arial" w:hAnsi="Arial" w:cs="Arial"/>
                <w:color w:val="010205"/>
                <w:sz w:val="18"/>
                <w:szCs w:val="18"/>
              </w:rPr>
              <w:t xml:space="preserve"> (0</w:t>
            </w:r>
            <w:r w:rsidRPr="00BC3F40">
              <w:rPr>
                <w:rFonts w:ascii="Arial" w:hAnsi="Arial" w:cs="Arial"/>
                <w:color w:val="010205"/>
                <w:sz w:val="18"/>
                <w:szCs w:val="18"/>
              </w:rPr>
              <w:t>.00</w:t>
            </w:r>
            <w:r>
              <w:rPr>
                <w:rFonts w:ascii="Arial" w:hAnsi="Arial" w:cs="Arial"/>
                <w:color w:val="010205"/>
                <w:sz w:val="18"/>
                <w:szCs w:val="18"/>
              </w:rPr>
              <w:t>3)</w:t>
            </w:r>
          </w:p>
        </w:tc>
        <w:tc>
          <w:tcPr>
            <w:tcW w:w="1276" w:type="dxa"/>
          </w:tcPr>
          <w:p w14:paraId="22A1283F" w14:textId="70D019B6"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.20</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1276" w:type="dxa"/>
          </w:tcPr>
          <w:p w14:paraId="1B91C7A4" w14:textId="5AA9269E"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w:t>
            </w:r>
            <w:r>
              <w:rPr>
                <w:rFonts w:ascii="Arial" w:hAnsi="Arial" w:cs="Arial"/>
                <w:color w:val="010205"/>
                <w:sz w:val="18"/>
                <w:szCs w:val="18"/>
              </w:rPr>
              <w:t>2 (0</w:t>
            </w:r>
            <w:r w:rsidRPr="00BC3F40">
              <w:rPr>
                <w:rFonts w:ascii="Arial" w:hAnsi="Arial" w:cs="Arial"/>
                <w:color w:val="010205"/>
                <w:sz w:val="18"/>
                <w:szCs w:val="18"/>
              </w:rPr>
              <w:t>.0</w:t>
            </w:r>
            <w:r>
              <w:rPr>
                <w:rFonts w:ascii="Arial" w:hAnsi="Arial" w:cs="Arial"/>
                <w:color w:val="010205"/>
                <w:sz w:val="18"/>
                <w:szCs w:val="18"/>
              </w:rPr>
              <w:t>1)</w:t>
            </w:r>
          </w:p>
        </w:tc>
        <w:tc>
          <w:tcPr>
            <w:tcW w:w="1275" w:type="dxa"/>
          </w:tcPr>
          <w:p w14:paraId="42A48E62" w14:textId="584451E2"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.20</w:t>
            </w:r>
            <w:r>
              <w:rPr>
                <w:rFonts w:ascii="Arial" w:hAnsi="Arial" w:cs="Arial"/>
                <w:color w:val="010205"/>
                <w:sz w:val="18"/>
                <w:szCs w:val="18"/>
              </w:rPr>
              <w:t xml:space="preserve"> (0</w:t>
            </w:r>
            <w:r w:rsidRPr="00BC3F40">
              <w:rPr>
                <w:rFonts w:ascii="Arial" w:hAnsi="Arial" w:cs="Arial"/>
                <w:color w:val="010205"/>
                <w:sz w:val="18"/>
                <w:szCs w:val="18"/>
              </w:rPr>
              <w:t>.00</w:t>
            </w:r>
            <w:r>
              <w:rPr>
                <w:rFonts w:ascii="Arial" w:hAnsi="Arial" w:cs="Arial"/>
                <w:color w:val="010205"/>
                <w:sz w:val="18"/>
                <w:szCs w:val="18"/>
              </w:rPr>
              <w:t>4)</w:t>
            </w:r>
          </w:p>
        </w:tc>
        <w:tc>
          <w:tcPr>
            <w:tcW w:w="851" w:type="dxa"/>
          </w:tcPr>
          <w:p w14:paraId="3DF71B18" w14:textId="6260D9DC"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4.86</w:t>
            </w:r>
          </w:p>
        </w:tc>
        <w:tc>
          <w:tcPr>
            <w:tcW w:w="992" w:type="dxa"/>
          </w:tcPr>
          <w:p w14:paraId="4BD74B39" w14:textId="3892A57D"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.002</w:t>
            </w:r>
          </w:p>
        </w:tc>
      </w:tr>
      <w:tr w:rsidR="00346F05" w14:paraId="563B7003" w14:textId="77777777" w:rsidTr="004D572E">
        <w:trPr>
          <w:trHeight w:val="299"/>
          <w:jc w:val="center"/>
        </w:trPr>
        <w:tc>
          <w:tcPr>
            <w:tcW w:w="2628" w:type="dxa"/>
          </w:tcPr>
          <w:p w14:paraId="24186E8E" w14:textId="114B89BF"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NON-HDL</w:t>
            </w:r>
          </w:p>
        </w:tc>
        <w:tc>
          <w:tcPr>
            <w:tcW w:w="1347" w:type="dxa"/>
          </w:tcPr>
          <w:p w14:paraId="5855F9E7" w14:textId="419C505B"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4.3</w:t>
            </w:r>
            <w:r>
              <w:rPr>
                <w:rFonts w:ascii="Arial" w:hAnsi="Arial" w:cs="Arial"/>
                <w:color w:val="010205"/>
                <w:sz w:val="18"/>
                <w:szCs w:val="18"/>
              </w:rPr>
              <w:t>4 (0</w:t>
            </w:r>
            <w:r w:rsidRPr="00BC3F40">
              <w:rPr>
                <w:rFonts w:ascii="Arial" w:hAnsi="Arial" w:cs="Arial"/>
                <w:color w:val="010205"/>
                <w:sz w:val="18"/>
                <w:szCs w:val="18"/>
              </w:rPr>
              <w:t>.</w:t>
            </w:r>
            <w:r>
              <w:rPr>
                <w:rFonts w:ascii="Arial" w:hAnsi="Arial" w:cs="Arial"/>
                <w:color w:val="010205"/>
                <w:sz w:val="18"/>
                <w:szCs w:val="18"/>
              </w:rPr>
              <w:t>20)</w:t>
            </w:r>
          </w:p>
        </w:tc>
        <w:tc>
          <w:tcPr>
            <w:tcW w:w="1417" w:type="dxa"/>
          </w:tcPr>
          <w:p w14:paraId="7560F539" w14:textId="198D034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4.43</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7)</w:t>
            </w:r>
          </w:p>
        </w:tc>
        <w:tc>
          <w:tcPr>
            <w:tcW w:w="1276" w:type="dxa"/>
          </w:tcPr>
          <w:p w14:paraId="23AC7189" w14:textId="61BDD7F9"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4.5</w:t>
            </w:r>
            <w:r>
              <w:rPr>
                <w:rFonts w:ascii="Arial" w:hAnsi="Arial" w:cs="Arial"/>
                <w:color w:val="010205"/>
                <w:sz w:val="18"/>
                <w:szCs w:val="18"/>
              </w:rPr>
              <w:t>3 (0</w:t>
            </w:r>
            <w:r w:rsidRPr="00BC3F40">
              <w:rPr>
                <w:rFonts w:ascii="Arial" w:hAnsi="Arial" w:cs="Arial"/>
                <w:color w:val="010205"/>
                <w:sz w:val="18"/>
                <w:szCs w:val="18"/>
              </w:rPr>
              <w:t>.06</w:t>
            </w:r>
            <w:r>
              <w:rPr>
                <w:rFonts w:ascii="Arial" w:hAnsi="Arial" w:cs="Arial"/>
                <w:color w:val="010205"/>
                <w:sz w:val="18"/>
                <w:szCs w:val="18"/>
              </w:rPr>
              <w:t>)</w:t>
            </w:r>
          </w:p>
        </w:tc>
        <w:tc>
          <w:tcPr>
            <w:tcW w:w="1276" w:type="dxa"/>
          </w:tcPr>
          <w:p w14:paraId="298C68EA" w14:textId="4DA0E11C"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4.58</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9)</w:t>
            </w:r>
          </w:p>
        </w:tc>
        <w:tc>
          <w:tcPr>
            <w:tcW w:w="1275" w:type="dxa"/>
          </w:tcPr>
          <w:p w14:paraId="0AA1B22D" w14:textId="438F3E3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4.51</w:t>
            </w:r>
            <w:r>
              <w:rPr>
                <w:rFonts w:ascii="Arial" w:hAnsi="Arial" w:cs="Arial"/>
                <w:color w:val="010205"/>
                <w:sz w:val="18"/>
                <w:szCs w:val="18"/>
              </w:rPr>
              <w:t xml:space="preserve"> (0</w:t>
            </w:r>
            <w:r w:rsidRPr="00BC3F40">
              <w:rPr>
                <w:rFonts w:ascii="Arial" w:hAnsi="Arial" w:cs="Arial"/>
                <w:color w:val="010205"/>
                <w:sz w:val="18"/>
                <w:szCs w:val="18"/>
              </w:rPr>
              <w:t>.04</w:t>
            </w:r>
            <w:r>
              <w:rPr>
                <w:rFonts w:ascii="Arial" w:hAnsi="Arial" w:cs="Arial"/>
                <w:color w:val="010205"/>
                <w:sz w:val="18"/>
                <w:szCs w:val="18"/>
              </w:rPr>
              <w:t>)</w:t>
            </w:r>
          </w:p>
        </w:tc>
        <w:tc>
          <w:tcPr>
            <w:tcW w:w="851" w:type="dxa"/>
          </w:tcPr>
          <w:p w14:paraId="783D21AA" w14:textId="6CE37AB5"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.65</w:t>
            </w:r>
          </w:p>
        </w:tc>
        <w:tc>
          <w:tcPr>
            <w:tcW w:w="992" w:type="dxa"/>
          </w:tcPr>
          <w:p w14:paraId="5C41753C" w14:textId="6DE76AD6"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.58</w:t>
            </w:r>
          </w:p>
        </w:tc>
      </w:tr>
      <w:tr w:rsidR="00346F05" w14:paraId="5B083470" w14:textId="77777777" w:rsidTr="004D572E">
        <w:trPr>
          <w:trHeight w:val="299"/>
          <w:jc w:val="center"/>
        </w:trPr>
        <w:tc>
          <w:tcPr>
            <w:tcW w:w="2628" w:type="dxa"/>
          </w:tcPr>
          <w:p w14:paraId="16BEA08A" w14:textId="31551D3B"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index of plasma</w:t>
            </w:r>
          </w:p>
        </w:tc>
        <w:tc>
          <w:tcPr>
            <w:tcW w:w="1347" w:type="dxa"/>
          </w:tcPr>
          <w:p w14:paraId="2A2191F2" w14:textId="350AA1B1"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w:t>
            </w:r>
            <w:r>
              <w:rPr>
                <w:rFonts w:ascii="Arial" w:hAnsi="Arial" w:cs="Arial"/>
                <w:color w:val="010205"/>
                <w:sz w:val="18"/>
                <w:szCs w:val="18"/>
              </w:rPr>
              <w:t>0</w:t>
            </w:r>
            <w:r w:rsidRPr="00BC3F40">
              <w:rPr>
                <w:rFonts w:ascii="Arial" w:hAnsi="Arial" w:cs="Arial"/>
                <w:color w:val="010205"/>
                <w:sz w:val="18"/>
                <w:szCs w:val="18"/>
              </w:rPr>
              <w:t>.</w:t>
            </w:r>
            <w:r>
              <w:rPr>
                <w:rFonts w:ascii="Arial" w:hAnsi="Arial" w:cs="Arial"/>
                <w:color w:val="010205"/>
                <w:sz w:val="18"/>
                <w:szCs w:val="18"/>
              </w:rPr>
              <w:t>1</w:t>
            </w:r>
            <w:r w:rsidRPr="00BC3F40">
              <w:rPr>
                <w:rFonts w:ascii="Arial" w:hAnsi="Arial" w:cs="Arial"/>
                <w:color w:val="010205"/>
                <w:sz w:val="18"/>
                <w:szCs w:val="18"/>
              </w:rPr>
              <w:t>0</w:t>
            </w:r>
            <w:r>
              <w:rPr>
                <w:rFonts w:ascii="Arial" w:hAnsi="Arial" w:cs="Arial"/>
                <w:color w:val="010205"/>
                <w:sz w:val="18"/>
                <w:szCs w:val="18"/>
              </w:rPr>
              <w:t xml:space="preserve"> (0</w:t>
            </w:r>
            <w:r w:rsidRPr="00BC3F40">
              <w:rPr>
                <w:rFonts w:ascii="Arial" w:hAnsi="Arial" w:cs="Arial"/>
                <w:color w:val="010205"/>
                <w:sz w:val="18"/>
                <w:szCs w:val="18"/>
              </w:rPr>
              <w:t>.07</w:t>
            </w:r>
            <w:r>
              <w:rPr>
                <w:rFonts w:ascii="Arial" w:hAnsi="Arial" w:cs="Arial"/>
                <w:color w:val="010205"/>
                <w:sz w:val="18"/>
                <w:szCs w:val="18"/>
              </w:rPr>
              <w:t>)</w:t>
            </w:r>
          </w:p>
        </w:tc>
        <w:tc>
          <w:tcPr>
            <w:tcW w:w="1417" w:type="dxa"/>
          </w:tcPr>
          <w:p w14:paraId="64E8B326" w14:textId="1D31CC04"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2)</w:t>
            </w:r>
          </w:p>
        </w:tc>
        <w:tc>
          <w:tcPr>
            <w:tcW w:w="1276" w:type="dxa"/>
          </w:tcPr>
          <w:p w14:paraId="4E2DA886" w14:textId="7A3E8C86"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.09</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2)</w:t>
            </w:r>
          </w:p>
        </w:tc>
        <w:tc>
          <w:tcPr>
            <w:tcW w:w="1276" w:type="dxa"/>
          </w:tcPr>
          <w:p w14:paraId="48A6EFDA" w14:textId="4E9C3148"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.05</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3)</w:t>
            </w:r>
          </w:p>
        </w:tc>
        <w:tc>
          <w:tcPr>
            <w:tcW w:w="1275" w:type="dxa"/>
          </w:tcPr>
          <w:p w14:paraId="474C4980" w14:textId="2EBFFA5F"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7 (0</w:t>
            </w:r>
            <w:r w:rsidRPr="00BC3F40">
              <w:rPr>
                <w:rFonts w:ascii="Arial" w:hAnsi="Arial" w:cs="Arial"/>
                <w:color w:val="010205"/>
                <w:sz w:val="18"/>
                <w:szCs w:val="18"/>
              </w:rPr>
              <w:t>.01</w:t>
            </w:r>
            <w:r>
              <w:rPr>
                <w:rFonts w:ascii="Arial" w:hAnsi="Arial" w:cs="Arial"/>
                <w:color w:val="010205"/>
                <w:sz w:val="18"/>
                <w:szCs w:val="18"/>
              </w:rPr>
              <w:t>)</w:t>
            </w:r>
          </w:p>
        </w:tc>
        <w:tc>
          <w:tcPr>
            <w:tcW w:w="851" w:type="dxa"/>
          </w:tcPr>
          <w:p w14:paraId="54AC7C08" w14:textId="61FA81F6"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2.4</w:t>
            </w:r>
            <w:r>
              <w:rPr>
                <w:rFonts w:ascii="Arial" w:hAnsi="Arial" w:cs="Arial"/>
                <w:color w:val="010205"/>
                <w:sz w:val="18"/>
                <w:szCs w:val="18"/>
              </w:rPr>
              <w:t>8</w:t>
            </w:r>
          </w:p>
        </w:tc>
        <w:tc>
          <w:tcPr>
            <w:tcW w:w="992" w:type="dxa"/>
          </w:tcPr>
          <w:p w14:paraId="781F1226" w14:textId="62589BB3"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.06</w:t>
            </w:r>
          </w:p>
        </w:tc>
      </w:tr>
      <w:tr w:rsidR="00346F05" w14:paraId="72A898E2" w14:textId="77777777" w:rsidTr="004D572E">
        <w:trPr>
          <w:trHeight w:val="299"/>
          <w:jc w:val="center"/>
        </w:trPr>
        <w:tc>
          <w:tcPr>
            <w:tcW w:w="2628" w:type="dxa"/>
          </w:tcPr>
          <w:p w14:paraId="68F8B754" w14:textId="48FE02F9"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coefficient</w:t>
            </w:r>
          </w:p>
        </w:tc>
        <w:tc>
          <w:tcPr>
            <w:tcW w:w="1347" w:type="dxa"/>
          </w:tcPr>
          <w:p w14:paraId="289E134B" w14:textId="08B1296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4.10</w:t>
            </w:r>
            <w:r>
              <w:rPr>
                <w:rFonts w:ascii="Arial" w:hAnsi="Arial" w:cs="Arial"/>
                <w:color w:val="010205"/>
                <w:sz w:val="18"/>
                <w:szCs w:val="18"/>
              </w:rPr>
              <w:t xml:space="preserve"> (0</w:t>
            </w:r>
            <w:r w:rsidRPr="00BC3F40">
              <w:rPr>
                <w:rFonts w:ascii="Arial" w:hAnsi="Arial" w:cs="Arial"/>
                <w:color w:val="010205"/>
                <w:sz w:val="18"/>
                <w:szCs w:val="18"/>
              </w:rPr>
              <w:t>.26</w:t>
            </w:r>
            <w:r>
              <w:rPr>
                <w:rFonts w:ascii="Arial" w:hAnsi="Arial" w:cs="Arial"/>
                <w:color w:val="010205"/>
                <w:sz w:val="18"/>
                <w:szCs w:val="18"/>
              </w:rPr>
              <w:t>)</w:t>
            </w:r>
          </w:p>
        </w:tc>
        <w:tc>
          <w:tcPr>
            <w:tcW w:w="1417" w:type="dxa"/>
          </w:tcPr>
          <w:p w14:paraId="5356EECD" w14:textId="2936B09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6.53</w:t>
            </w:r>
            <w:r>
              <w:rPr>
                <w:rFonts w:ascii="Arial" w:hAnsi="Arial" w:cs="Arial"/>
                <w:color w:val="010205"/>
                <w:sz w:val="18"/>
                <w:szCs w:val="18"/>
              </w:rPr>
              <w:t xml:space="preserve"> (0</w:t>
            </w:r>
            <w:r w:rsidRPr="00BC3F40">
              <w:rPr>
                <w:rFonts w:ascii="Arial" w:hAnsi="Arial" w:cs="Arial"/>
                <w:color w:val="010205"/>
                <w:sz w:val="18"/>
                <w:szCs w:val="18"/>
              </w:rPr>
              <w:t>.37</w:t>
            </w:r>
            <w:r>
              <w:rPr>
                <w:rFonts w:ascii="Arial" w:hAnsi="Arial" w:cs="Arial"/>
                <w:color w:val="010205"/>
                <w:sz w:val="18"/>
                <w:szCs w:val="18"/>
              </w:rPr>
              <w:t>)</w:t>
            </w:r>
          </w:p>
        </w:tc>
        <w:tc>
          <w:tcPr>
            <w:tcW w:w="1276" w:type="dxa"/>
          </w:tcPr>
          <w:p w14:paraId="4913FE0C" w14:textId="25912448"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6.58</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7)</w:t>
            </w:r>
          </w:p>
        </w:tc>
        <w:tc>
          <w:tcPr>
            <w:tcW w:w="1276" w:type="dxa"/>
          </w:tcPr>
          <w:p w14:paraId="1F05E874" w14:textId="7A4FABFC"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w:t>
            </w:r>
            <w:r>
              <w:rPr>
                <w:rFonts w:ascii="Arial" w:hAnsi="Arial" w:cs="Arial"/>
                <w:color w:val="010205"/>
                <w:sz w:val="18"/>
                <w:szCs w:val="18"/>
              </w:rPr>
              <w:t>50 (0</w:t>
            </w:r>
            <w:r w:rsidRPr="00BC3F40">
              <w:rPr>
                <w:rFonts w:ascii="Arial" w:hAnsi="Arial" w:cs="Arial"/>
                <w:color w:val="010205"/>
                <w:sz w:val="18"/>
                <w:szCs w:val="18"/>
              </w:rPr>
              <w:t>.25</w:t>
            </w:r>
            <w:r>
              <w:rPr>
                <w:rFonts w:ascii="Arial" w:hAnsi="Arial" w:cs="Arial"/>
                <w:color w:val="010205"/>
                <w:sz w:val="18"/>
                <w:szCs w:val="18"/>
              </w:rPr>
              <w:t>)</w:t>
            </w:r>
          </w:p>
        </w:tc>
        <w:tc>
          <w:tcPr>
            <w:tcW w:w="1275" w:type="dxa"/>
          </w:tcPr>
          <w:p w14:paraId="40B378AA" w14:textId="369D6E15"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6.2</w:t>
            </w:r>
            <w:r>
              <w:rPr>
                <w:rFonts w:ascii="Arial" w:hAnsi="Arial" w:cs="Arial"/>
                <w:color w:val="010205"/>
                <w:sz w:val="18"/>
                <w:szCs w:val="18"/>
              </w:rPr>
              <w:t>5 (0</w:t>
            </w:r>
            <w:r w:rsidRPr="00BC3F40">
              <w:rPr>
                <w:rFonts w:ascii="Arial" w:hAnsi="Arial" w:cs="Arial"/>
                <w:color w:val="010205"/>
                <w:sz w:val="18"/>
                <w:szCs w:val="18"/>
              </w:rPr>
              <w:t>.17</w:t>
            </w:r>
            <w:r>
              <w:rPr>
                <w:rFonts w:ascii="Arial" w:hAnsi="Arial" w:cs="Arial"/>
                <w:color w:val="010205"/>
                <w:sz w:val="18"/>
                <w:szCs w:val="18"/>
              </w:rPr>
              <w:t>)</w:t>
            </w:r>
          </w:p>
        </w:tc>
        <w:tc>
          <w:tcPr>
            <w:tcW w:w="851" w:type="dxa"/>
          </w:tcPr>
          <w:p w14:paraId="4028F962" w14:textId="7C59F9FD"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3.5</w:t>
            </w:r>
            <w:r>
              <w:rPr>
                <w:rFonts w:ascii="Arial" w:hAnsi="Arial" w:cs="Arial"/>
                <w:color w:val="010205"/>
                <w:sz w:val="18"/>
                <w:szCs w:val="18"/>
              </w:rPr>
              <w:t>3</w:t>
            </w:r>
          </w:p>
        </w:tc>
        <w:tc>
          <w:tcPr>
            <w:tcW w:w="992" w:type="dxa"/>
          </w:tcPr>
          <w:p w14:paraId="7EF40674" w14:textId="22D8688E"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2</w:t>
            </w:r>
          </w:p>
        </w:tc>
      </w:tr>
      <w:tr w:rsidR="00346F05" w14:paraId="19B584ED" w14:textId="77777777" w:rsidTr="004D572E">
        <w:trPr>
          <w:trHeight w:val="299"/>
          <w:jc w:val="center"/>
        </w:trPr>
        <w:tc>
          <w:tcPr>
            <w:tcW w:w="2628" w:type="dxa"/>
          </w:tcPr>
          <w:p w14:paraId="1622F3F4" w14:textId="52CC2C6F"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lastRenderedPageBreak/>
              <w:t>Castelli's risk index 1</w:t>
            </w:r>
          </w:p>
        </w:tc>
        <w:tc>
          <w:tcPr>
            <w:tcW w:w="1347" w:type="dxa"/>
          </w:tcPr>
          <w:p w14:paraId="55F59E4C" w14:textId="10AC856B"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5.10</w:t>
            </w:r>
            <w:r>
              <w:rPr>
                <w:rFonts w:ascii="Arial" w:hAnsi="Arial" w:cs="Arial"/>
                <w:color w:val="010205"/>
                <w:sz w:val="18"/>
                <w:szCs w:val="18"/>
              </w:rPr>
              <w:t xml:space="preserve"> (0</w:t>
            </w:r>
            <w:r w:rsidRPr="00BC3F40">
              <w:rPr>
                <w:rFonts w:ascii="Arial" w:hAnsi="Arial" w:cs="Arial"/>
                <w:color w:val="010205"/>
                <w:sz w:val="18"/>
                <w:szCs w:val="18"/>
              </w:rPr>
              <w:t>.26</w:t>
            </w:r>
            <w:r>
              <w:rPr>
                <w:rFonts w:ascii="Arial" w:hAnsi="Arial" w:cs="Arial"/>
                <w:color w:val="010205"/>
                <w:sz w:val="18"/>
                <w:szCs w:val="18"/>
              </w:rPr>
              <w:t>)</w:t>
            </w:r>
          </w:p>
        </w:tc>
        <w:tc>
          <w:tcPr>
            <w:tcW w:w="1417" w:type="dxa"/>
          </w:tcPr>
          <w:p w14:paraId="4AC6AE76" w14:textId="460B4C21"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7.53</w:t>
            </w:r>
            <w:r>
              <w:rPr>
                <w:rFonts w:ascii="Arial" w:hAnsi="Arial" w:cs="Arial"/>
                <w:color w:val="010205"/>
                <w:sz w:val="18"/>
                <w:szCs w:val="18"/>
              </w:rPr>
              <w:t xml:space="preserve"> (0</w:t>
            </w:r>
            <w:r w:rsidRPr="00BC3F40">
              <w:rPr>
                <w:rFonts w:ascii="Arial" w:hAnsi="Arial" w:cs="Arial"/>
                <w:color w:val="010205"/>
                <w:sz w:val="18"/>
                <w:szCs w:val="18"/>
              </w:rPr>
              <w:t>.37</w:t>
            </w:r>
            <w:r>
              <w:rPr>
                <w:rFonts w:ascii="Arial" w:hAnsi="Arial" w:cs="Arial"/>
                <w:color w:val="010205"/>
                <w:sz w:val="18"/>
                <w:szCs w:val="18"/>
              </w:rPr>
              <w:t>)</w:t>
            </w:r>
          </w:p>
        </w:tc>
        <w:tc>
          <w:tcPr>
            <w:tcW w:w="1276" w:type="dxa"/>
          </w:tcPr>
          <w:p w14:paraId="431FD170" w14:textId="3BF387FA"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7.58</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7)</w:t>
            </w:r>
          </w:p>
        </w:tc>
        <w:tc>
          <w:tcPr>
            <w:tcW w:w="1276" w:type="dxa"/>
          </w:tcPr>
          <w:p w14:paraId="36B29718" w14:textId="3B71F3F3"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w:t>
            </w:r>
            <w:r>
              <w:rPr>
                <w:rFonts w:ascii="Arial" w:hAnsi="Arial" w:cs="Arial"/>
                <w:color w:val="010205"/>
                <w:sz w:val="18"/>
                <w:szCs w:val="18"/>
              </w:rPr>
              <w:t>0 (0</w:t>
            </w:r>
            <w:r w:rsidRPr="00BC3F40">
              <w:rPr>
                <w:rFonts w:ascii="Arial" w:hAnsi="Arial" w:cs="Arial"/>
                <w:color w:val="010205"/>
                <w:sz w:val="18"/>
                <w:szCs w:val="18"/>
              </w:rPr>
              <w:t>.25</w:t>
            </w:r>
            <w:r>
              <w:rPr>
                <w:rFonts w:ascii="Arial" w:hAnsi="Arial" w:cs="Arial"/>
                <w:color w:val="010205"/>
                <w:sz w:val="18"/>
                <w:szCs w:val="18"/>
              </w:rPr>
              <w:t>)</w:t>
            </w:r>
          </w:p>
        </w:tc>
        <w:tc>
          <w:tcPr>
            <w:tcW w:w="1275" w:type="dxa"/>
          </w:tcPr>
          <w:p w14:paraId="7C5B52A6" w14:textId="16AE631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7.2</w:t>
            </w:r>
            <w:r>
              <w:rPr>
                <w:rFonts w:ascii="Arial" w:hAnsi="Arial" w:cs="Arial"/>
                <w:color w:val="010205"/>
                <w:sz w:val="18"/>
                <w:szCs w:val="18"/>
              </w:rPr>
              <w:t>5 (0</w:t>
            </w:r>
            <w:r w:rsidRPr="00BC3F40">
              <w:rPr>
                <w:rFonts w:ascii="Arial" w:hAnsi="Arial" w:cs="Arial"/>
                <w:color w:val="010205"/>
                <w:sz w:val="18"/>
                <w:szCs w:val="18"/>
              </w:rPr>
              <w:t>.17</w:t>
            </w:r>
            <w:r>
              <w:rPr>
                <w:rFonts w:ascii="Arial" w:hAnsi="Arial" w:cs="Arial"/>
                <w:color w:val="010205"/>
                <w:sz w:val="18"/>
                <w:szCs w:val="18"/>
              </w:rPr>
              <w:t>)</w:t>
            </w:r>
          </w:p>
        </w:tc>
        <w:tc>
          <w:tcPr>
            <w:tcW w:w="851" w:type="dxa"/>
          </w:tcPr>
          <w:p w14:paraId="567EAFD3" w14:textId="632FDCFC"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3.5</w:t>
            </w:r>
            <w:r>
              <w:rPr>
                <w:rFonts w:ascii="Arial" w:hAnsi="Arial" w:cs="Arial"/>
                <w:color w:val="010205"/>
                <w:sz w:val="18"/>
                <w:szCs w:val="18"/>
              </w:rPr>
              <w:t>3</w:t>
            </w:r>
          </w:p>
        </w:tc>
        <w:tc>
          <w:tcPr>
            <w:tcW w:w="992" w:type="dxa"/>
          </w:tcPr>
          <w:p w14:paraId="552C25DD" w14:textId="3E3DA1BD"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2</w:t>
            </w:r>
          </w:p>
        </w:tc>
      </w:tr>
      <w:tr w:rsidR="00346F05" w14:paraId="6E20422B" w14:textId="77777777" w:rsidTr="004D572E">
        <w:trPr>
          <w:trHeight w:val="299"/>
          <w:jc w:val="center"/>
        </w:trPr>
        <w:tc>
          <w:tcPr>
            <w:tcW w:w="2628" w:type="dxa"/>
          </w:tcPr>
          <w:p w14:paraId="16CC6649" w14:textId="564A7ADA"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2</w:t>
            </w:r>
          </w:p>
        </w:tc>
        <w:tc>
          <w:tcPr>
            <w:tcW w:w="1347" w:type="dxa"/>
          </w:tcPr>
          <w:p w14:paraId="3A7CB033" w14:textId="2173508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3.71</w:t>
            </w:r>
            <w:r>
              <w:rPr>
                <w:rFonts w:ascii="Arial" w:hAnsi="Arial" w:cs="Arial"/>
                <w:color w:val="010205"/>
                <w:sz w:val="18"/>
                <w:szCs w:val="18"/>
              </w:rPr>
              <w:t xml:space="preserve"> (0</w:t>
            </w:r>
            <w:r w:rsidRPr="00BC3F40">
              <w:rPr>
                <w:rFonts w:ascii="Arial" w:hAnsi="Arial" w:cs="Arial"/>
                <w:color w:val="010205"/>
                <w:sz w:val="18"/>
                <w:szCs w:val="18"/>
              </w:rPr>
              <w:t>.22</w:t>
            </w:r>
            <w:r>
              <w:rPr>
                <w:rFonts w:ascii="Arial" w:hAnsi="Arial" w:cs="Arial"/>
                <w:color w:val="010205"/>
                <w:sz w:val="18"/>
                <w:szCs w:val="18"/>
              </w:rPr>
              <w:t>)</w:t>
            </w:r>
          </w:p>
        </w:tc>
        <w:tc>
          <w:tcPr>
            <w:tcW w:w="1417" w:type="dxa"/>
          </w:tcPr>
          <w:p w14:paraId="5C805869" w14:textId="2973B826"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5.95</w:t>
            </w:r>
            <w:r>
              <w:rPr>
                <w:rFonts w:ascii="Arial" w:hAnsi="Arial" w:cs="Arial"/>
                <w:color w:val="010205"/>
                <w:sz w:val="18"/>
                <w:szCs w:val="18"/>
              </w:rPr>
              <w:t xml:space="preserve"> (0</w:t>
            </w:r>
            <w:r w:rsidRPr="00BC3F40">
              <w:rPr>
                <w:rFonts w:ascii="Arial" w:hAnsi="Arial" w:cs="Arial"/>
                <w:color w:val="010205"/>
                <w:sz w:val="18"/>
                <w:szCs w:val="18"/>
              </w:rPr>
              <w:t>.3</w:t>
            </w:r>
            <w:r>
              <w:rPr>
                <w:rFonts w:ascii="Arial" w:hAnsi="Arial" w:cs="Arial"/>
                <w:color w:val="010205"/>
                <w:sz w:val="18"/>
                <w:szCs w:val="18"/>
              </w:rPr>
              <w:t>4)</w:t>
            </w:r>
          </w:p>
        </w:tc>
        <w:tc>
          <w:tcPr>
            <w:tcW w:w="1276" w:type="dxa"/>
          </w:tcPr>
          <w:p w14:paraId="42CCA3B7" w14:textId="761E9D2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5.85</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6)</w:t>
            </w:r>
          </w:p>
        </w:tc>
        <w:tc>
          <w:tcPr>
            <w:tcW w:w="1276" w:type="dxa"/>
          </w:tcPr>
          <w:p w14:paraId="3FB168B7" w14:textId="183E544B"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4.8</w:t>
            </w:r>
            <w:r>
              <w:rPr>
                <w:rFonts w:ascii="Arial" w:hAnsi="Arial" w:cs="Arial"/>
                <w:color w:val="010205"/>
                <w:sz w:val="18"/>
                <w:szCs w:val="18"/>
              </w:rPr>
              <w:t>3 (0</w:t>
            </w:r>
            <w:r w:rsidRPr="00BC3F40">
              <w:rPr>
                <w:rFonts w:ascii="Arial" w:hAnsi="Arial" w:cs="Arial"/>
                <w:color w:val="010205"/>
                <w:sz w:val="18"/>
                <w:szCs w:val="18"/>
              </w:rPr>
              <w:t>.22</w:t>
            </w:r>
            <w:r>
              <w:rPr>
                <w:rFonts w:ascii="Arial" w:hAnsi="Arial" w:cs="Arial"/>
                <w:color w:val="010205"/>
                <w:sz w:val="18"/>
                <w:szCs w:val="18"/>
              </w:rPr>
              <w:t>)</w:t>
            </w:r>
          </w:p>
        </w:tc>
        <w:tc>
          <w:tcPr>
            <w:tcW w:w="1275" w:type="dxa"/>
          </w:tcPr>
          <w:p w14:paraId="140B0807" w14:textId="3D90969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5.58</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6)</w:t>
            </w:r>
          </w:p>
        </w:tc>
        <w:tc>
          <w:tcPr>
            <w:tcW w:w="851" w:type="dxa"/>
          </w:tcPr>
          <w:p w14:paraId="063FBC54" w14:textId="5D72A29B"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3.7</w:t>
            </w:r>
            <w:r>
              <w:rPr>
                <w:rFonts w:ascii="Arial" w:hAnsi="Arial" w:cs="Arial"/>
                <w:color w:val="010205"/>
                <w:sz w:val="18"/>
                <w:szCs w:val="18"/>
              </w:rPr>
              <w:t>3</w:t>
            </w:r>
          </w:p>
        </w:tc>
        <w:tc>
          <w:tcPr>
            <w:tcW w:w="992" w:type="dxa"/>
          </w:tcPr>
          <w:p w14:paraId="56289671" w14:textId="11D4F113"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.01</w:t>
            </w:r>
          </w:p>
        </w:tc>
      </w:tr>
      <w:tr w:rsidR="00346F05" w14:paraId="1723ADC6" w14:textId="77777777" w:rsidTr="004D572E">
        <w:trPr>
          <w:trHeight w:val="299"/>
          <w:jc w:val="center"/>
        </w:trPr>
        <w:tc>
          <w:tcPr>
            <w:tcW w:w="2628" w:type="dxa"/>
          </w:tcPr>
          <w:p w14:paraId="6ACB0E90" w14:textId="57B8A691"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TC/LDL</w:t>
            </w:r>
          </w:p>
        </w:tc>
        <w:tc>
          <w:tcPr>
            <w:tcW w:w="1347" w:type="dxa"/>
          </w:tcPr>
          <w:p w14:paraId="0AFA9F6E" w14:textId="285DC1E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1.38</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417" w:type="dxa"/>
          </w:tcPr>
          <w:p w14:paraId="4BC2EED7" w14:textId="5F13A6A2"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1.33</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10518A92" w14:textId="5600C303"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w:t>
            </w:r>
            <w:r>
              <w:rPr>
                <w:rFonts w:ascii="Arial" w:hAnsi="Arial" w:cs="Arial"/>
                <w:color w:val="010205"/>
                <w:sz w:val="18"/>
                <w:szCs w:val="18"/>
              </w:rPr>
              <w:t>70 (0</w:t>
            </w:r>
            <w:r w:rsidRPr="00BC3F40">
              <w:rPr>
                <w:rFonts w:ascii="Arial" w:hAnsi="Arial" w:cs="Arial"/>
                <w:color w:val="010205"/>
                <w:sz w:val="18"/>
                <w:szCs w:val="18"/>
              </w:rPr>
              <w:t>.</w:t>
            </w:r>
            <w:r>
              <w:rPr>
                <w:rFonts w:ascii="Arial" w:hAnsi="Arial" w:cs="Arial"/>
                <w:color w:val="010205"/>
                <w:sz w:val="18"/>
                <w:szCs w:val="18"/>
              </w:rPr>
              <w:t>20)</w:t>
            </w:r>
          </w:p>
        </w:tc>
        <w:tc>
          <w:tcPr>
            <w:tcW w:w="1276" w:type="dxa"/>
          </w:tcPr>
          <w:p w14:paraId="233DBC10" w14:textId="7799008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w:t>
            </w:r>
            <w:r>
              <w:rPr>
                <w:rFonts w:ascii="Arial" w:hAnsi="Arial" w:cs="Arial"/>
                <w:color w:val="010205"/>
                <w:sz w:val="18"/>
                <w:szCs w:val="18"/>
              </w:rPr>
              <w:t>1 (0</w:t>
            </w:r>
            <w:r w:rsidRPr="00BC3F40">
              <w:rPr>
                <w:rFonts w:ascii="Arial" w:hAnsi="Arial" w:cs="Arial"/>
                <w:color w:val="010205"/>
                <w:sz w:val="18"/>
                <w:szCs w:val="18"/>
              </w:rPr>
              <w:t>.01</w:t>
            </w:r>
            <w:r>
              <w:rPr>
                <w:rFonts w:ascii="Arial" w:hAnsi="Arial" w:cs="Arial"/>
                <w:color w:val="010205"/>
                <w:sz w:val="18"/>
                <w:szCs w:val="18"/>
              </w:rPr>
              <w:t>)</w:t>
            </w:r>
          </w:p>
        </w:tc>
        <w:tc>
          <w:tcPr>
            <w:tcW w:w="1275" w:type="dxa"/>
          </w:tcPr>
          <w:p w14:paraId="12646E0F" w14:textId="45699E0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1.53</w:t>
            </w:r>
            <w:r>
              <w:rPr>
                <w:rFonts w:ascii="Arial" w:hAnsi="Arial" w:cs="Arial"/>
                <w:color w:val="010205"/>
                <w:sz w:val="18"/>
                <w:szCs w:val="18"/>
              </w:rPr>
              <w:t xml:space="preserve"> (0</w:t>
            </w:r>
            <w:r w:rsidRPr="00BC3F40">
              <w:rPr>
                <w:rFonts w:ascii="Arial" w:hAnsi="Arial" w:cs="Arial"/>
                <w:color w:val="010205"/>
                <w:sz w:val="18"/>
                <w:szCs w:val="18"/>
              </w:rPr>
              <w:t>.</w:t>
            </w:r>
            <w:r>
              <w:rPr>
                <w:rFonts w:ascii="Arial" w:hAnsi="Arial" w:cs="Arial"/>
                <w:color w:val="010205"/>
                <w:sz w:val="18"/>
                <w:szCs w:val="18"/>
              </w:rPr>
              <w:t>10)</w:t>
            </w:r>
          </w:p>
        </w:tc>
        <w:tc>
          <w:tcPr>
            <w:tcW w:w="851" w:type="dxa"/>
          </w:tcPr>
          <w:p w14:paraId="31DEEA6D" w14:textId="3131146F"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.99</w:t>
            </w:r>
          </w:p>
        </w:tc>
        <w:tc>
          <w:tcPr>
            <w:tcW w:w="992" w:type="dxa"/>
          </w:tcPr>
          <w:p w14:paraId="4FD41B2F" w14:textId="42E9B872"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.39</w:t>
            </w:r>
          </w:p>
        </w:tc>
      </w:tr>
      <w:tr w:rsidR="00346F05" w14:paraId="05CF68BC" w14:textId="77777777" w:rsidTr="004D572E">
        <w:trPr>
          <w:trHeight w:val="299"/>
          <w:jc w:val="center"/>
        </w:trPr>
        <w:tc>
          <w:tcPr>
            <w:tcW w:w="2628" w:type="dxa"/>
          </w:tcPr>
          <w:p w14:paraId="6DE3A698" w14:textId="531CD8D3"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TC/TG</w:t>
            </w:r>
          </w:p>
        </w:tc>
        <w:tc>
          <w:tcPr>
            <w:tcW w:w="1347" w:type="dxa"/>
          </w:tcPr>
          <w:p w14:paraId="517B1366" w14:textId="2E1ACC73"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6.82</w:t>
            </w:r>
            <w:r>
              <w:rPr>
                <w:rFonts w:ascii="Arial" w:hAnsi="Arial" w:cs="Arial"/>
                <w:color w:val="010205"/>
                <w:sz w:val="18"/>
                <w:szCs w:val="18"/>
              </w:rPr>
              <w:t xml:space="preserve"> (0</w:t>
            </w:r>
            <w:r w:rsidRPr="00BC3F40">
              <w:rPr>
                <w:rFonts w:ascii="Arial" w:hAnsi="Arial" w:cs="Arial"/>
                <w:color w:val="010205"/>
                <w:sz w:val="18"/>
                <w:szCs w:val="18"/>
              </w:rPr>
              <w:t>.85</w:t>
            </w:r>
            <w:r>
              <w:rPr>
                <w:rFonts w:ascii="Arial" w:hAnsi="Arial" w:cs="Arial"/>
                <w:color w:val="010205"/>
                <w:sz w:val="18"/>
                <w:szCs w:val="18"/>
              </w:rPr>
              <w:t>)</w:t>
            </w:r>
          </w:p>
        </w:tc>
        <w:tc>
          <w:tcPr>
            <w:tcW w:w="1417" w:type="dxa"/>
          </w:tcPr>
          <w:p w14:paraId="79A40565" w14:textId="066BDC72"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5.82</w:t>
            </w:r>
            <w:r>
              <w:rPr>
                <w:rFonts w:ascii="Arial" w:hAnsi="Arial" w:cs="Arial"/>
                <w:color w:val="010205"/>
                <w:sz w:val="18"/>
                <w:szCs w:val="18"/>
              </w:rPr>
              <w:t xml:space="preserve"> (0</w:t>
            </w:r>
            <w:r w:rsidRPr="00BC3F40">
              <w:rPr>
                <w:rFonts w:ascii="Arial" w:hAnsi="Arial" w:cs="Arial"/>
                <w:color w:val="010205"/>
                <w:sz w:val="18"/>
                <w:szCs w:val="18"/>
              </w:rPr>
              <w:t>.11</w:t>
            </w:r>
            <w:r>
              <w:rPr>
                <w:rFonts w:ascii="Arial" w:hAnsi="Arial" w:cs="Arial"/>
                <w:color w:val="010205"/>
                <w:sz w:val="18"/>
                <w:szCs w:val="18"/>
              </w:rPr>
              <w:t>)</w:t>
            </w:r>
          </w:p>
        </w:tc>
        <w:tc>
          <w:tcPr>
            <w:tcW w:w="1276" w:type="dxa"/>
          </w:tcPr>
          <w:p w14:paraId="246FEFA0" w14:textId="48425FB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6.26</w:t>
            </w:r>
            <w:r>
              <w:rPr>
                <w:rFonts w:ascii="Arial" w:hAnsi="Arial" w:cs="Arial"/>
                <w:color w:val="010205"/>
                <w:sz w:val="18"/>
                <w:szCs w:val="18"/>
              </w:rPr>
              <w:t xml:space="preserve"> (0</w:t>
            </w:r>
            <w:r w:rsidRPr="00BC3F40">
              <w:rPr>
                <w:rFonts w:ascii="Arial" w:hAnsi="Arial" w:cs="Arial"/>
                <w:color w:val="010205"/>
                <w:sz w:val="18"/>
                <w:szCs w:val="18"/>
              </w:rPr>
              <w:t>.20</w:t>
            </w:r>
            <w:r>
              <w:rPr>
                <w:rFonts w:ascii="Arial" w:hAnsi="Arial" w:cs="Arial"/>
                <w:color w:val="010205"/>
                <w:sz w:val="18"/>
                <w:szCs w:val="18"/>
              </w:rPr>
              <w:t>)</w:t>
            </w:r>
          </w:p>
        </w:tc>
        <w:tc>
          <w:tcPr>
            <w:tcW w:w="1276" w:type="dxa"/>
          </w:tcPr>
          <w:p w14:paraId="75489162" w14:textId="75686375"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6.2</w:t>
            </w:r>
            <w:r>
              <w:rPr>
                <w:rFonts w:ascii="Arial" w:hAnsi="Arial" w:cs="Arial"/>
                <w:color w:val="010205"/>
                <w:sz w:val="18"/>
                <w:szCs w:val="18"/>
              </w:rPr>
              <w:t>4 (0</w:t>
            </w:r>
            <w:r w:rsidRPr="00BC3F40">
              <w:rPr>
                <w:rFonts w:ascii="Arial" w:hAnsi="Arial" w:cs="Arial"/>
                <w:color w:val="010205"/>
                <w:sz w:val="18"/>
                <w:szCs w:val="18"/>
              </w:rPr>
              <w:t>.30</w:t>
            </w:r>
            <w:r>
              <w:rPr>
                <w:rFonts w:ascii="Arial" w:hAnsi="Arial" w:cs="Arial"/>
                <w:color w:val="010205"/>
                <w:sz w:val="18"/>
                <w:szCs w:val="18"/>
              </w:rPr>
              <w:t>)</w:t>
            </w:r>
          </w:p>
        </w:tc>
        <w:tc>
          <w:tcPr>
            <w:tcW w:w="1275" w:type="dxa"/>
          </w:tcPr>
          <w:p w14:paraId="7BFE48A5" w14:textId="0E2E4CCE"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6.16</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3)</w:t>
            </w:r>
          </w:p>
        </w:tc>
        <w:tc>
          <w:tcPr>
            <w:tcW w:w="851" w:type="dxa"/>
          </w:tcPr>
          <w:p w14:paraId="6535DF72" w14:textId="1B55CA41"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.88</w:t>
            </w:r>
          </w:p>
        </w:tc>
        <w:tc>
          <w:tcPr>
            <w:tcW w:w="992" w:type="dxa"/>
          </w:tcPr>
          <w:p w14:paraId="5EC9FBD8" w14:textId="453CD51D"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.45</w:t>
            </w:r>
          </w:p>
        </w:tc>
      </w:tr>
      <w:tr w:rsidR="00346F05" w14:paraId="041EE2D5" w14:textId="77777777" w:rsidTr="004D572E">
        <w:trPr>
          <w:trHeight w:val="299"/>
          <w:jc w:val="center"/>
        </w:trPr>
        <w:tc>
          <w:tcPr>
            <w:tcW w:w="2628" w:type="dxa"/>
          </w:tcPr>
          <w:p w14:paraId="472CD11E" w14:textId="41F04FB8"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TC/HDL</w:t>
            </w:r>
          </w:p>
        </w:tc>
        <w:tc>
          <w:tcPr>
            <w:tcW w:w="1347" w:type="dxa"/>
          </w:tcPr>
          <w:p w14:paraId="1D5F400C" w14:textId="725F2E6C"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5.10</w:t>
            </w:r>
            <w:r>
              <w:rPr>
                <w:rFonts w:ascii="Arial" w:hAnsi="Arial" w:cs="Arial"/>
                <w:color w:val="010205"/>
                <w:sz w:val="18"/>
                <w:szCs w:val="18"/>
              </w:rPr>
              <w:t xml:space="preserve"> (0</w:t>
            </w:r>
            <w:r w:rsidRPr="00BC3F40">
              <w:rPr>
                <w:rFonts w:ascii="Arial" w:hAnsi="Arial" w:cs="Arial"/>
                <w:color w:val="010205"/>
                <w:sz w:val="18"/>
                <w:szCs w:val="18"/>
              </w:rPr>
              <w:t>.26</w:t>
            </w:r>
            <w:r>
              <w:rPr>
                <w:rFonts w:ascii="Arial" w:hAnsi="Arial" w:cs="Arial"/>
                <w:color w:val="010205"/>
                <w:sz w:val="18"/>
                <w:szCs w:val="18"/>
              </w:rPr>
              <w:t>)</w:t>
            </w:r>
          </w:p>
        </w:tc>
        <w:tc>
          <w:tcPr>
            <w:tcW w:w="1417" w:type="dxa"/>
          </w:tcPr>
          <w:p w14:paraId="6A28BF29" w14:textId="46107004"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7.53</w:t>
            </w:r>
            <w:r>
              <w:rPr>
                <w:rFonts w:ascii="Arial" w:hAnsi="Arial" w:cs="Arial"/>
                <w:color w:val="010205"/>
                <w:sz w:val="18"/>
                <w:szCs w:val="18"/>
              </w:rPr>
              <w:t xml:space="preserve"> (0</w:t>
            </w:r>
            <w:r w:rsidRPr="00BC3F40">
              <w:rPr>
                <w:rFonts w:ascii="Arial" w:hAnsi="Arial" w:cs="Arial"/>
                <w:color w:val="010205"/>
                <w:sz w:val="18"/>
                <w:szCs w:val="18"/>
              </w:rPr>
              <w:t>.37</w:t>
            </w:r>
            <w:r>
              <w:rPr>
                <w:rFonts w:ascii="Arial" w:hAnsi="Arial" w:cs="Arial"/>
                <w:color w:val="010205"/>
                <w:sz w:val="18"/>
                <w:szCs w:val="18"/>
              </w:rPr>
              <w:t>)</w:t>
            </w:r>
          </w:p>
        </w:tc>
        <w:tc>
          <w:tcPr>
            <w:tcW w:w="1276" w:type="dxa"/>
          </w:tcPr>
          <w:p w14:paraId="383A6794" w14:textId="140A1214"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7.58</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7)</w:t>
            </w:r>
          </w:p>
        </w:tc>
        <w:tc>
          <w:tcPr>
            <w:tcW w:w="1276" w:type="dxa"/>
          </w:tcPr>
          <w:p w14:paraId="33A470E2" w14:textId="1121AC4F"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w:t>
            </w:r>
            <w:r>
              <w:rPr>
                <w:rFonts w:ascii="Arial" w:hAnsi="Arial" w:cs="Arial"/>
                <w:color w:val="010205"/>
                <w:sz w:val="18"/>
                <w:szCs w:val="18"/>
              </w:rPr>
              <w:t>0 (0</w:t>
            </w:r>
            <w:r w:rsidRPr="00BC3F40">
              <w:rPr>
                <w:rFonts w:ascii="Arial" w:hAnsi="Arial" w:cs="Arial"/>
                <w:color w:val="010205"/>
                <w:sz w:val="18"/>
                <w:szCs w:val="18"/>
              </w:rPr>
              <w:t>.25</w:t>
            </w:r>
            <w:r>
              <w:rPr>
                <w:rFonts w:ascii="Arial" w:hAnsi="Arial" w:cs="Arial"/>
                <w:color w:val="010205"/>
                <w:sz w:val="18"/>
                <w:szCs w:val="18"/>
              </w:rPr>
              <w:t>)</w:t>
            </w:r>
          </w:p>
        </w:tc>
        <w:tc>
          <w:tcPr>
            <w:tcW w:w="1275" w:type="dxa"/>
          </w:tcPr>
          <w:p w14:paraId="468B58F4" w14:textId="66F86F16"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7.2</w:t>
            </w:r>
            <w:r>
              <w:rPr>
                <w:rFonts w:ascii="Arial" w:hAnsi="Arial" w:cs="Arial"/>
                <w:color w:val="010205"/>
                <w:sz w:val="18"/>
                <w:szCs w:val="18"/>
              </w:rPr>
              <w:t>5 (0</w:t>
            </w:r>
            <w:r w:rsidRPr="00BC3F40">
              <w:rPr>
                <w:rFonts w:ascii="Arial" w:hAnsi="Arial" w:cs="Arial"/>
                <w:color w:val="010205"/>
                <w:sz w:val="18"/>
                <w:szCs w:val="18"/>
              </w:rPr>
              <w:t>.17</w:t>
            </w:r>
            <w:r>
              <w:rPr>
                <w:rFonts w:ascii="Arial" w:hAnsi="Arial" w:cs="Arial"/>
                <w:color w:val="010205"/>
                <w:sz w:val="18"/>
                <w:szCs w:val="18"/>
              </w:rPr>
              <w:t>)</w:t>
            </w:r>
          </w:p>
        </w:tc>
        <w:tc>
          <w:tcPr>
            <w:tcW w:w="851" w:type="dxa"/>
          </w:tcPr>
          <w:p w14:paraId="6AE07416" w14:textId="49C88789"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3.5</w:t>
            </w:r>
            <w:r>
              <w:rPr>
                <w:rFonts w:ascii="Arial" w:hAnsi="Arial" w:cs="Arial"/>
                <w:color w:val="010205"/>
                <w:sz w:val="18"/>
                <w:szCs w:val="18"/>
              </w:rPr>
              <w:t>3</w:t>
            </w:r>
          </w:p>
        </w:tc>
        <w:tc>
          <w:tcPr>
            <w:tcW w:w="992" w:type="dxa"/>
          </w:tcPr>
          <w:p w14:paraId="3FD25BF7" w14:textId="2D046FFB"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2</w:t>
            </w:r>
          </w:p>
        </w:tc>
      </w:tr>
      <w:tr w:rsidR="00346F05" w14:paraId="7BA72BE4" w14:textId="77777777" w:rsidTr="004D572E">
        <w:trPr>
          <w:trHeight w:val="299"/>
          <w:jc w:val="center"/>
        </w:trPr>
        <w:tc>
          <w:tcPr>
            <w:tcW w:w="2628" w:type="dxa"/>
          </w:tcPr>
          <w:p w14:paraId="11595D01" w14:textId="15440306"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TG/HDL</w:t>
            </w:r>
          </w:p>
        </w:tc>
        <w:tc>
          <w:tcPr>
            <w:tcW w:w="1347" w:type="dxa"/>
          </w:tcPr>
          <w:p w14:paraId="2C51B0A1" w14:textId="5A8E7229"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w:t>
            </w:r>
            <w:r>
              <w:rPr>
                <w:rFonts w:ascii="Arial" w:hAnsi="Arial" w:cs="Arial"/>
                <w:color w:val="010205"/>
                <w:sz w:val="18"/>
                <w:szCs w:val="18"/>
              </w:rPr>
              <w:t>2 (0</w:t>
            </w:r>
            <w:r w:rsidRPr="00BC3F40">
              <w:rPr>
                <w:rFonts w:ascii="Arial" w:hAnsi="Arial" w:cs="Arial"/>
                <w:color w:val="010205"/>
                <w:sz w:val="18"/>
                <w:szCs w:val="18"/>
              </w:rPr>
              <w:t>.11</w:t>
            </w:r>
            <w:r>
              <w:rPr>
                <w:rFonts w:ascii="Arial" w:hAnsi="Arial" w:cs="Arial"/>
                <w:color w:val="010205"/>
                <w:sz w:val="18"/>
                <w:szCs w:val="18"/>
              </w:rPr>
              <w:t>)</w:t>
            </w:r>
          </w:p>
        </w:tc>
        <w:tc>
          <w:tcPr>
            <w:tcW w:w="1417" w:type="dxa"/>
          </w:tcPr>
          <w:p w14:paraId="54F1CBFB" w14:textId="526E0BCE"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1.3</w:t>
            </w:r>
            <w:r>
              <w:rPr>
                <w:rFonts w:ascii="Arial" w:hAnsi="Arial" w:cs="Arial"/>
                <w:color w:val="010205"/>
                <w:sz w:val="18"/>
                <w:szCs w:val="18"/>
              </w:rPr>
              <w:t>8 (0</w:t>
            </w:r>
            <w:r w:rsidRPr="00BC3F40">
              <w:rPr>
                <w:rFonts w:ascii="Arial" w:hAnsi="Arial" w:cs="Arial"/>
                <w:color w:val="010205"/>
                <w:sz w:val="18"/>
                <w:szCs w:val="18"/>
              </w:rPr>
              <w:t>.09</w:t>
            </w:r>
            <w:r>
              <w:rPr>
                <w:rFonts w:ascii="Arial" w:hAnsi="Arial" w:cs="Arial"/>
                <w:color w:val="010205"/>
                <w:sz w:val="18"/>
                <w:szCs w:val="18"/>
              </w:rPr>
              <w:t>)</w:t>
            </w:r>
          </w:p>
        </w:tc>
        <w:tc>
          <w:tcPr>
            <w:tcW w:w="1276" w:type="dxa"/>
          </w:tcPr>
          <w:p w14:paraId="5B2B3E90" w14:textId="502BB93E"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5)</w:t>
            </w:r>
          </w:p>
        </w:tc>
        <w:tc>
          <w:tcPr>
            <w:tcW w:w="1276" w:type="dxa"/>
          </w:tcPr>
          <w:p w14:paraId="250C071C" w14:textId="1C9B61AF"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w:t>
            </w:r>
            <w:r>
              <w:rPr>
                <w:rFonts w:ascii="Arial" w:hAnsi="Arial" w:cs="Arial"/>
                <w:color w:val="010205"/>
                <w:sz w:val="18"/>
                <w:szCs w:val="18"/>
              </w:rPr>
              <w:t>5 (0</w:t>
            </w:r>
            <w:r w:rsidRPr="00BC3F40">
              <w:rPr>
                <w:rFonts w:ascii="Arial" w:hAnsi="Arial" w:cs="Arial"/>
                <w:color w:val="010205"/>
                <w:sz w:val="18"/>
                <w:szCs w:val="18"/>
              </w:rPr>
              <w:t>.0</w:t>
            </w:r>
            <w:r>
              <w:rPr>
                <w:rFonts w:ascii="Arial" w:hAnsi="Arial" w:cs="Arial"/>
                <w:color w:val="010205"/>
                <w:sz w:val="18"/>
                <w:szCs w:val="18"/>
              </w:rPr>
              <w:t>9)</w:t>
            </w:r>
          </w:p>
        </w:tc>
        <w:tc>
          <w:tcPr>
            <w:tcW w:w="1275" w:type="dxa"/>
          </w:tcPr>
          <w:p w14:paraId="59798D1E" w14:textId="767358B5"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1.43</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4)</w:t>
            </w:r>
          </w:p>
        </w:tc>
        <w:tc>
          <w:tcPr>
            <w:tcW w:w="851" w:type="dxa"/>
          </w:tcPr>
          <w:p w14:paraId="2727B0D6" w14:textId="1E48C887"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1.56</w:t>
            </w:r>
          </w:p>
        </w:tc>
        <w:tc>
          <w:tcPr>
            <w:tcW w:w="992" w:type="dxa"/>
          </w:tcPr>
          <w:p w14:paraId="38B7BBAA" w14:textId="69419C70"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.19</w:t>
            </w:r>
          </w:p>
        </w:tc>
      </w:tr>
      <w:tr w:rsidR="00346F05" w14:paraId="544F9C43" w14:textId="77777777" w:rsidTr="004D572E">
        <w:trPr>
          <w:trHeight w:val="299"/>
          <w:jc w:val="center"/>
        </w:trPr>
        <w:tc>
          <w:tcPr>
            <w:tcW w:w="2628" w:type="dxa"/>
          </w:tcPr>
          <w:p w14:paraId="1A31672A" w14:textId="363D4E20"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TYG</w:t>
            </w:r>
          </w:p>
        </w:tc>
        <w:tc>
          <w:tcPr>
            <w:tcW w:w="1347" w:type="dxa"/>
          </w:tcPr>
          <w:p w14:paraId="744F7C9D" w14:textId="4EEE54D5"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.99</w:t>
            </w:r>
            <w:r>
              <w:rPr>
                <w:rFonts w:ascii="Arial" w:hAnsi="Arial" w:cs="Arial"/>
                <w:color w:val="010205"/>
                <w:sz w:val="18"/>
                <w:szCs w:val="18"/>
              </w:rPr>
              <w:t xml:space="preserve"> (0</w:t>
            </w:r>
            <w:r w:rsidRPr="00BC3F40">
              <w:rPr>
                <w:rFonts w:ascii="Arial" w:hAnsi="Arial" w:cs="Arial"/>
                <w:color w:val="010205"/>
                <w:sz w:val="18"/>
                <w:szCs w:val="18"/>
              </w:rPr>
              <w:t>.15</w:t>
            </w:r>
            <w:r>
              <w:rPr>
                <w:rFonts w:ascii="Arial" w:hAnsi="Arial" w:cs="Arial"/>
                <w:color w:val="010205"/>
                <w:sz w:val="18"/>
                <w:szCs w:val="18"/>
              </w:rPr>
              <w:t>)</w:t>
            </w:r>
          </w:p>
        </w:tc>
        <w:tc>
          <w:tcPr>
            <w:tcW w:w="1417" w:type="dxa"/>
          </w:tcPr>
          <w:p w14:paraId="286C8261" w14:textId="36002F5F"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w:t>
            </w:r>
            <w:r>
              <w:rPr>
                <w:rFonts w:ascii="Arial" w:hAnsi="Arial" w:cs="Arial"/>
                <w:color w:val="010205"/>
                <w:sz w:val="18"/>
                <w:szCs w:val="18"/>
              </w:rPr>
              <w:t>3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65D29A14" w14:textId="1DF260D9"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.7</w:t>
            </w:r>
            <w:r>
              <w:rPr>
                <w:rFonts w:ascii="Arial" w:hAnsi="Arial" w:cs="Arial"/>
                <w:color w:val="010205"/>
                <w:sz w:val="18"/>
                <w:szCs w:val="18"/>
              </w:rPr>
              <w:t>9 (0</w:t>
            </w:r>
            <w:r w:rsidRPr="00BC3F40">
              <w:rPr>
                <w:rFonts w:ascii="Arial" w:hAnsi="Arial" w:cs="Arial"/>
                <w:color w:val="010205"/>
                <w:sz w:val="18"/>
                <w:szCs w:val="18"/>
              </w:rPr>
              <w:t>.0</w:t>
            </w:r>
            <w:r>
              <w:rPr>
                <w:rFonts w:ascii="Arial" w:hAnsi="Arial" w:cs="Arial"/>
                <w:color w:val="010205"/>
                <w:sz w:val="18"/>
                <w:szCs w:val="18"/>
              </w:rPr>
              <w:t>2)</w:t>
            </w:r>
          </w:p>
        </w:tc>
        <w:tc>
          <w:tcPr>
            <w:tcW w:w="1276" w:type="dxa"/>
          </w:tcPr>
          <w:p w14:paraId="5B6DDF1C" w14:textId="5CCFB511"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w:t>
            </w:r>
            <w:r>
              <w:rPr>
                <w:rFonts w:ascii="Arial" w:hAnsi="Arial" w:cs="Arial"/>
                <w:color w:val="010205"/>
                <w:sz w:val="18"/>
                <w:szCs w:val="18"/>
              </w:rPr>
              <w:t>3 (0</w:t>
            </w:r>
            <w:r w:rsidRPr="00BC3F40">
              <w:rPr>
                <w:rFonts w:ascii="Arial" w:hAnsi="Arial" w:cs="Arial"/>
                <w:color w:val="010205"/>
                <w:sz w:val="18"/>
                <w:szCs w:val="18"/>
              </w:rPr>
              <w:t>.0</w:t>
            </w:r>
            <w:r>
              <w:rPr>
                <w:rFonts w:ascii="Arial" w:hAnsi="Arial" w:cs="Arial"/>
                <w:color w:val="010205"/>
                <w:sz w:val="18"/>
                <w:szCs w:val="18"/>
              </w:rPr>
              <w:t>3)</w:t>
            </w:r>
          </w:p>
        </w:tc>
        <w:tc>
          <w:tcPr>
            <w:tcW w:w="1275" w:type="dxa"/>
          </w:tcPr>
          <w:p w14:paraId="211519F4" w14:textId="008D8B67"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.84</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851" w:type="dxa"/>
          </w:tcPr>
          <w:p w14:paraId="419164E1" w14:textId="151B53C6"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8.4</w:t>
            </w:r>
            <w:r>
              <w:rPr>
                <w:rFonts w:ascii="Arial" w:hAnsi="Arial" w:cs="Arial"/>
                <w:color w:val="010205"/>
                <w:sz w:val="18"/>
                <w:szCs w:val="18"/>
              </w:rPr>
              <w:t>9</w:t>
            </w:r>
          </w:p>
        </w:tc>
        <w:tc>
          <w:tcPr>
            <w:tcW w:w="992" w:type="dxa"/>
          </w:tcPr>
          <w:p w14:paraId="01D7F145" w14:textId="546999A9"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&lt;0</w:t>
            </w:r>
            <w:r w:rsidRPr="00BC3F40">
              <w:rPr>
                <w:rFonts w:ascii="Arial" w:hAnsi="Arial" w:cs="Arial"/>
                <w:color w:val="010205"/>
                <w:sz w:val="18"/>
                <w:szCs w:val="18"/>
              </w:rPr>
              <w:t>.000</w:t>
            </w:r>
            <w:r>
              <w:rPr>
                <w:rFonts w:ascii="Arial" w:hAnsi="Arial" w:cs="Arial"/>
                <w:color w:val="010205"/>
                <w:sz w:val="18"/>
                <w:szCs w:val="18"/>
              </w:rPr>
              <w:t>1</w:t>
            </w:r>
          </w:p>
        </w:tc>
      </w:tr>
    </w:tbl>
    <w:p w14:paraId="5A82E63A" w14:textId="77777777" w:rsidR="00BC3F40" w:rsidRPr="00BC3F40" w:rsidRDefault="00BC3F40" w:rsidP="00BC3F40">
      <w:pPr>
        <w:autoSpaceDE w:val="0"/>
        <w:autoSpaceDN w:val="0"/>
        <w:adjustRightInd w:val="0"/>
        <w:spacing w:after="0" w:line="240" w:lineRule="auto"/>
        <w:rPr>
          <w:rFonts w:ascii="Times New Roman" w:hAnsi="Times New Roman" w:cs="Times New Roman"/>
          <w:sz w:val="24"/>
          <w:szCs w:val="24"/>
        </w:rPr>
      </w:pPr>
    </w:p>
    <w:p w14:paraId="444B0965" w14:textId="49EE28D7" w:rsidR="00BC3F40" w:rsidRP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0DB44129" w14:textId="1CA85649" w:rsid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0102EC6A" w14:textId="68345355" w:rsid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3A6DBFE5" w14:textId="0F2009AB" w:rsid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04B8A4A5" w14:textId="5D84DEBD" w:rsidR="00D70636" w:rsidRDefault="00D70636" w:rsidP="00BC3F40">
      <w:pPr>
        <w:autoSpaceDE w:val="0"/>
        <w:autoSpaceDN w:val="0"/>
        <w:adjustRightInd w:val="0"/>
        <w:spacing w:after="0" w:line="400" w:lineRule="atLeast"/>
        <w:rPr>
          <w:rFonts w:ascii="Times New Roman" w:hAnsi="Times New Roman" w:cs="Times New Roman"/>
          <w:sz w:val="24"/>
          <w:szCs w:val="24"/>
        </w:rPr>
      </w:pPr>
    </w:p>
    <w:p w14:paraId="4D61F0EB" w14:textId="7CBD40C9" w:rsidR="00FA24E9" w:rsidRDefault="006550FA" w:rsidP="00BC3F40">
      <w:pPr>
        <w:autoSpaceDE w:val="0"/>
        <w:autoSpaceDN w:val="0"/>
        <w:adjustRightInd w:val="0"/>
        <w:spacing w:after="0" w:line="400" w:lineRule="atLeast"/>
        <w:rPr>
          <w:rFonts w:ascii="Times New Roman" w:hAnsi="Times New Roman" w:cs="Times New Roman"/>
          <w:sz w:val="24"/>
          <w:szCs w:val="24"/>
        </w:rPr>
      </w:pPr>
      <w:r>
        <w:rPr>
          <w:rStyle w:val="Strong"/>
        </w:rPr>
        <w:t>Table 2b:</w:t>
      </w:r>
      <w:r>
        <w:t xml:space="preserve"> Post hoc multiple comparison analysis of age and cardiometabolic parameters across body mass index (BMI) categories.</w:t>
      </w:r>
    </w:p>
    <w:tbl>
      <w:tblPr>
        <w:tblStyle w:val="TableGrid"/>
        <w:tblW w:w="96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1493"/>
        <w:gridCol w:w="1545"/>
        <w:gridCol w:w="1968"/>
        <w:gridCol w:w="1008"/>
        <w:gridCol w:w="1020"/>
      </w:tblGrid>
      <w:tr w:rsidR="004D572E" w:rsidRPr="004D572E" w14:paraId="2584F838" w14:textId="77777777" w:rsidTr="009C239E">
        <w:trPr>
          <w:trHeight w:val="232"/>
        </w:trPr>
        <w:tc>
          <w:tcPr>
            <w:tcW w:w="2583" w:type="dxa"/>
            <w:tcBorders>
              <w:top w:val="single" w:sz="4" w:space="0" w:color="auto"/>
              <w:bottom w:val="single" w:sz="4" w:space="0" w:color="auto"/>
            </w:tcBorders>
            <w:vAlign w:val="bottom"/>
          </w:tcPr>
          <w:p w14:paraId="1F785173"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Dependent Variable</w:t>
            </w:r>
          </w:p>
        </w:tc>
        <w:tc>
          <w:tcPr>
            <w:tcW w:w="1493" w:type="dxa"/>
            <w:tcBorders>
              <w:top w:val="single" w:sz="4" w:space="0" w:color="auto"/>
              <w:bottom w:val="single" w:sz="4" w:space="0" w:color="auto"/>
            </w:tcBorders>
            <w:vAlign w:val="bottom"/>
          </w:tcPr>
          <w:p w14:paraId="65D97773" w14:textId="11429888"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 xml:space="preserve">(I) </w:t>
            </w:r>
            <w:r w:rsidR="001B75FA" w:rsidRPr="004D572E">
              <w:rPr>
                <w:rFonts w:ascii="Times New Roman" w:hAnsi="Times New Roman" w:cs="Times New Roman"/>
                <w:color w:val="000000" w:themeColor="text1"/>
                <w:sz w:val="18"/>
                <w:szCs w:val="18"/>
              </w:rPr>
              <w:t>BMI CLASS</w:t>
            </w:r>
          </w:p>
        </w:tc>
        <w:tc>
          <w:tcPr>
            <w:tcW w:w="1545" w:type="dxa"/>
            <w:tcBorders>
              <w:top w:val="single" w:sz="4" w:space="0" w:color="auto"/>
              <w:bottom w:val="single" w:sz="4" w:space="0" w:color="auto"/>
            </w:tcBorders>
            <w:vAlign w:val="bottom"/>
          </w:tcPr>
          <w:p w14:paraId="62C86C57" w14:textId="443E497C"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 xml:space="preserve">(J) </w:t>
            </w:r>
            <w:r w:rsidR="001B75FA" w:rsidRPr="004D572E">
              <w:rPr>
                <w:rFonts w:ascii="Times New Roman" w:hAnsi="Times New Roman" w:cs="Times New Roman"/>
                <w:color w:val="000000" w:themeColor="text1"/>
                <w:sz w:val="18"/>
                <w:szCs w:val="18"/>
              </w:rPr>
              <w:t>BMI CLASS</w:t>
            </w:r>
          </w:p>
        </w:tc>
        <w:tc>
          <w:tcPr>
            <w:tcW w:w="1968" w:type="dxa"/>
            <w:tcBorders>
              <w:top w:val="single" w:sz="4" w:space="0" w:color="auto"/>
              <w:bottom w:val="single" w:sz="4" w:space="0" w:color="auto"/>
            </w:tcBorders>
            <w:vAlign w:val="bottom"/>
          </w:tcPr>
          <w:p w14:paraId="3DF11F38"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Mean Difference (I-J)</w:t>
            </w:r>
          </w:p>
        </w:tc>
        <w:tc>
          <w:tcPr>
            <w:tcW w:w="1008" w:type="dxa"/>
            <w:tcBorders>
              <w:top w:val="single" w:sz="4" w:space="0" w:color="auto"/>
              <w:bottom w:val="single" w:sz="4" w:space="0" w:color="auto"/>
            </w:tcBorders>
            <w:vAlign w:val="bottom"/>
          </w:tcPr>
          <w:p w14:paraId="66478A79"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Std. Error</w:t>
            </w:r>
          </w:p>
        </w:tc>
        <w:tc>
          <w:tcPr>
            <w:tcW w:w="1020" w:type="dxa"/>
            <w:tcBorders>
              <w:top w:val="single" w:sz="4" w:space="0" w:color="auto"/>
              <w:bottom w:val="single" w:sz="4" w:space="0" w:color="auto"/>
            </w:tcBorders>
            <w:vAlign w:val="bottom"/>
          </w:tcPr>
          <w:p w14:paraId="619829B5"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Sig.</w:t>
            </w:r>
          </w:p>
        </w:tc>
      </w:tr>
      <w:tr w:rsidR="004D572E" w:rsidRPr="004D572E" w14:paraId="601C12D0" w14:textId="77777777" w:rsidTr="009C239E">
        <w:trPr>
          <w:trHeight w:val="247"/>
        </w:trPr>
        <w:tc>
          <w:tcPr>
            <w:tcW w:w="2583" w:type="dxa"/>
            <w:tcBorders>
              <w:top w:val="single" w:sz="4" w:space="0" w:color="auto"/>
            </w:tcBorders>
          </w:tcPr>
          <w:p w14:paraId="793352A8" w14:textId="49332CC1" w:rsidR="00FA24E9" w:rsidRPr="004D572E" w:rsidRDefault="00FA24E9" w:rsidP="00FA24E9">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Age</w:t>
            </w:r>
          </w:p>
        </w:tc>
        <w:tc>
          <w:tcPr>
            <w:tcW w:w="1493" w:type="dxa"/>
            <w:tcBorders>
              <w:top w:val="single" w:sz="4" w:space="0" w:color="auto"/>
            </w:tcBorders>
          </w:tcPr>
          <w:p w14:paraId="40F700D3" w14:textId="3A924875"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Borders>
              <w:top w:val="single" w:sz="4" w:space="0" w:color="auto"/>
            </w:tcBorders>
          </w:tcPr>
          <w:p w14:paraId="5EE779FD" w14:textId="56D09BBB"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kg/m</w:t>
            </w:r>
            <w:r w:rsidRPr="004D572E">
              <w:rPr>
                <w:rFonts w:ascii="Times New Roman" w:hAnsi="Times New Roman" w:cs="Times New Roman"/>
                <w:color w:val="000000" w:themeColor="text1"/>
                <w:sz w:val="18"/>
                <w:szCs w:val="18"/>
                <w:vertAlign w:val="superscript"/>
              </w:rPr>
              <w:t>2</w:t>
            </w:r>
          </w:p>
        </w:tc>
        <w:tc>
          <w:tcPr>
            <w:tcW w:w="1968" w:type="dxa"/>
            <w:tcBorders>
              <w:top w:val="single" w:sz="4" w:space="0" w:color="auto"/>
            </w:tcBorders>
          </w:tcPr>
          <w:p w14:paraId="713FC8DB" w14:textId="53109379"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-2.29</w:t>
            </w:r>
          </w:p>
        </w:tc>
        <w:tc>
          <w:tcPr>
            <w:tcW w:w="1008" w:type="dxa"/>
            <w:tcBorders>
              <w:top w:val="single" w:sz="4" w:space="0" w:color="auto"/>
            </w:tcBorders>
          </w:tcPr>
          <w:p w14:paraId="3709739E" w14:textId="1EE0F163"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0.74</w:t>
            </w:r>
          </w:p>
        </w:tc>
        <w:tc>
          <w:tcPr>
            <w:tcW w:w="1020" w:type="dxa"/>
            <w:tcBorders>
              <w:top w:val="single" w:sz="4" w:space="0" w:color="auto"/>
            </w:tcBorders>
          </w:tcPr>
          <w:p w14:paraId="00A54A32" w14:textId="21BAF2A7"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0.002</w:t>
            </w:r>
          </w:p>
        </w:tc>
      </w:tr>
      <w:tr w:rsidR="004D572E" w:rsidRPr="004D572E" w14:paraId="07BEF465" w14:textId="77777777" w:rsidTr="009C239E">
        <w:trPr>
          <w:trHeight w:val="247"/>
        </w:trPr>
        <w:tc>
          <w:tcPr>
            <w:tcW w:w="2583" w:type="dxa"/>
          </w:tcPr>
          <w:p w14:paraId="300AADAD" w14:textId="77777777" w:rsidR="00FA24E9" w:rsidRPr="004D572E" w:rsidRDefault="00FA24E9" w:rsidP="00FA24E9">
            <w:pPr>
              <w:rPr>
                <w:rFonts w:ascii="Times New Roman" w:hAnsi="Times New Roman" w:cs="Times New Roman"/>
                <w:b/>
                <w:bCs/>
                <w:color w:val="000000" w:themeColor="text1"/>
                <w:sz w:val="18"/>
                <w:szCs w:val="18"/>
              </w:rPr>
            </w:pPr>
          </w:p>
        </w:tc>
        <w:tc>
          <w:tcPr>
            <w:tcW w:w="1493" w:type="dxa"/>
          </w:tcPr>
          <w:p w14:paraId="24B58B4F" w14:textId="77777777" w:rsidR="00FA24E9" w:rsidRPr="004D572E" w:rsidRDefault="00FA24E9" w:rsidP="00FA24E9">
            <w:pPr>
              <w:rPr>
                <w:rFonts w:ascii="Times New Roman" w:hAnsi="Times New Roman" w:cs="Times New Roman"/>
                <w:color w:val="000000" w:themeColor="text1"/>
                <w:sz w:val="18"/>
                <w:szCs w:val="18"/>
              </w:rPr>
            </w:pPr>
          </w:p>
        </w:tc>
        <w:tc>
          <w:tcPr>
            <w:tcW w:w="1545" w:type="dxa"/>
          </w:tcPr>
          <w:p w14:paraId="63AE17C9" w14:textId="4D3913D7"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kg/m</w:t>
            </w:r>
            <w:r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28D35BCD" w14:textId="1B0EE562"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w:t>
            </w:r>
          </w:p>
        </w:tc>
        <w:tc>
          <w:tcPr>
            <w:tcW w:w="1008" w:type="dxa"/>
          </w:tcPr>
          <w:p w14:paraId="4F75A2E2" w14:textId="36991B63"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0.84</w:t>
            </w:r>
          </w:p>
        </w:tc>
        <w:tc>
          <w:tcPr>
            <w:tcW w:w="1020" w:type="dxa"/>
          </w:tcPr>
          <w:p w14:paraId="6EF6A904" w14:textId="7E9C3F45"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0.02</w:t>
            </w:r>
          </w:p>
        </w:tc>
      </w:tr>
      <w:tr w:rsidR="004D572E" w:rsidRPr="004D572E" w14:paraId="73F6DF07" w14:textId="77777777" w:rsidTr="009C239E">
        <w:trPr>
          <w:trHeight w:val="110"/>
        </w:trPr>
        <w:tc>
          <w:tcPr>
            <w:tcW w:w="2583" w:type="dxa"/>
          </w:tcPr>
          <w:p w14:paraId="43B27692" w14:textId="3C789830" w:rsidR="009A0AED" w:rsidRPr="004D572E" w:rsidRDefault="009A0AED" w:rsidP="009A0AED">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FBG</w:t>
            </w:r>
          </w:p>
        </w:tc>
        <w:tc>
          <w:tcPr>
            <w:tcW w:w="1493" w:type="dxa"/>
          </w:tcPr>
          <w:p w14:paraId="307B9B80" w14:textId="122B7691"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11095CE3" w14:textId="3822576C"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&lt;20.0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2F3D2CB5" w14:textId="52178227"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-6.35</w:t>
            </w:r>
          </w:p>
        </w:tc>
        <w:tc>
          <w:tcPr>
            <w:tcW w:w="1008" w:type="dxa"/>
          </w:tcPr>
          <w:p w14:paraId="58E8F717" w14:textId="060EAAC1" w:rsidR="009A0AED" w:rsidRPr="004D572E" w:rsidRDefault="009A0AED"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1.04</w:t>
            </w:r>
          </w:p>
        </w:tc>
        <w:tc>
          <w:tcPr>
            <w:tcW w:w="1020" w:type="dxa"/>
          </w:tcPr>
          <w:p w14:paraId="7C5C174D" w14:textId="38F2C9D5"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w:t>
            </w:r>
            <w:r w:rsidR="009A0AED" w:rsidRPr="004D572E">
              <w:rPr>
                <w:rFonts w:ascii="Times New Roman" w:hAnsi="Times New Roman" w:cs="Times New Roman"/>
                <w:color w:val="000000" w:themeColor="text1"/>
                <w:sz w:val="18"/>
                <w:szCs w:val="18"/>
              </w:rPr>
              <w:t>.000</w:t>
            </w:r>
            <w:r w:rsidRPr="004D572E">
              <w:rPr>
                <w:rFonts w:ascii="Times New Roman" w:hAnsi="Times New Roman" w:cs="Times New Roman"/>
                <w:color w:val="000000" w:themeColor="text1"/>
                <w:sz w:val="18"/>
                <w:szCs w:val="18"/>
              </w:rPr>
              <w:t>1</w:t>
            </w:r>
          </w:p>
        </w:tc>
      </w:tr>
      <w:tr w:rsidR="004D572E" w:rsidRPr="004D572E" w14:paraId="11DF7C78" w14:textId="77777777" w:rsidTr="009C239E">
        <w:trPr>
          <w:trHeight w:val="232"/>
        </w:trPr>
        <w:tc>
          <w:tcPr>
            <w:tcW w:w="2583" w:type="dxa"/>
          </w:tcPr>
          <w:p w14:paraId="60D70BB3" w14:textId="77777777" w:rsidR="009A0AED" w:rsidRPr="004D572E" w:rsidRDefault="009A0AED" w:rsidP="009A0AED">
            <w:pPr>
              <w:rPr>
                <w:rFonts w:ascii="Times New Roman" w:hAnsi="Times New Roman" w:cs="Times New Roman"/>
                <w:b/>
                <w:bCs/>
                <w:color w:val="000000" w:themeColor="text1"/>
                <w:sz w:val="18"/>
                <w:szCs w:val="18"/>
              </w:rPr>
            </w:pPr>
          </w:p>
        </w:tc>
        <w:tc>
          <w:tcPr>
            <w:tcW w:w="1493" w:type="dxa"/>
          </w:tcPr>
          <w:p w14:paraId="34E8AB1E" w14:textId="77777777" w:rsidR="009A0AED" w:rsidRPr="004D572E" w:rsidRDefault="009A0AED" w:rsidP="009A0AED">
            <w:pPr>
              <w:rPr>
                <w:rFonts w:ascii="Times New Roman" w:hAnsi="Times New Roman" w:cs="Times New Roman"/>
                <w:color w:val="000000" w:themeColor="text1"/>
                <w:sz w:val="18"/>
                <w:szCs w:val="18"/>
              </w:rPr>
            </w:pPr>
          </w:p>
        </w:tc>
        <w:tc>
          <w:tcPr>
            <w:tcW w:w="1545" w:type="dxa"/>
          </w:tcPr>
          <w:p w14:paraId="5CF9769D" w14:textId="40197CFC"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69484145" w14:textId="6F13EA64"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-1.60</w:t>
            </w:r>
          </w:p>
        </w:tc>
        <w:tc>
          <w:tcPr>
            <w:tcW w:w="1008" w:type="dxa"/>
          </w:tcPr>
          <w:p w14:paraId="13FCE4E9" w14:textId="6A13F9A8" w:rsidR="009A0AED" w:rsidRPr="004D572E" w:rsidRDefault="009A0AED"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0.41</w:t>
            </w:r>
          </w:p>
        </w:tc>
        <w:tc>
          <w:tcPr>
            <w:tcW w:w="1020" w:type="dxa"/>
          </w:tcPr>
          <w:p w14:paraId="67E6873F" w14:textId="26B26B7D"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A61B4C7" w14:textId="77777777" w:rsidTr="009C239E">
        <w:trPr>
          <w:trHeight w:val="232"/>
        </w:trPr>
        <w:tc>
          <w:tcPr>
            <w:tcW w:w="2583" w:type="dxa"/>
          </w:tcPr>
          <w:p w14:paraId="45B6AF61" w14:textId="5DD1D2E7" w:rsidR="009A0AED" w:rsidRPr="004D572E" w:rsidRDefault="009A0AED" w:rsidP="009A0AED">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CHOLESTEROL</w:t>
            </w:r>
          </w:p>
        </w:tc>
        <w:tc>
          <w:tcPr>
            <w:tcW w:w="1493" w:type="dxa"/>
          </w:tcPr>
          <w:p w14:paraId="0C730764" w14:textId="4B4A8C09"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33EF3110" w14:textId="40A34C90"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7A3A1351" w14:textId="15A6DFC0"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r w:rsidR="000F7391" w:rsidRPr="004D572E">
              <w:rPr>
                <w:rFonts w:ascii="Times New Roman" w:hAnsi="Times New Roman" w:cs="Times New Roman"/>
                <w:color w:val="000000" w:themeColor="text1"/>
                <w:sz w:val="18"/>
                <w:szCs w:val="18"/>
              </w:rPr>
              <w:t>6</w:t>
            </w:r>
          </w:p>
        </w:tc>
        <w:tc>
          <w:tcPr>
            <w:tcW w:w="1008" w:type="dxa"/>
          </w:tcPr>
          <w:p w14:paraId="210408D5" w14:textId="31A2A035"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.11</w:t>
            </w:r>
          </w:p>
        </w:tc>
        <w:tc>
          <w:tcPr>
            <w:tcW w:w="1020" w:type="dxa"/>
          </w:tcPr>
          <w:p w14:paraId="32D39757" w14:textId="5175C013"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.024</w:t>
            </w:r>
          </w:p>
        </w:tc>
      </w:tr>
      <w:tr w:rsidR="004D572E" w:rsidRPr="004D572E" w14:paraId="7E3A1A94" w14:textId="77777777" w:rsidTr="009C239E">
        <w:trPr>
          <w:trHeight w:val="232"/>
        </w:trPr>
        <w:tc>
          <w:tcPr>
            <w:tcW w:w="2583" w:type="dxa"/>
          </w:tcPr>
          <w:p w14:paraId="11611DC6" w14:textId="1878E359" w:rsidR="009A0AED" w:rsidRPr="004D572E" w:rsidRDefault="009A0AED" w:rsidP="009A0AED">
            <w:pPr>
              <w:rPr>
                <w:rFonts w:ascii="Times New Roman" w:hAnsi="Times New Roman" w:cs="Times New Roman"/>
                <w:b/>
                <w:bCs/>
                <w:color w:val="000000" w:themeColor="text1"/>
                <w:sz w:val="18"/>
                <w:szCs w:val="18"/>
              </w:rPr>
            </w:pPr>
            <w:proofErr w:type="spellStart"/>
            <w:r w:rsidRPr="004D572E">
              <w:rPr>
                <w:rFonts w:ascii="Times New Roman" w:hAnsi="Times New Roman" w:cs="Times New Roman"/>
                <w:b/>
                <w:bCs/>
                <w:color w:val="000000" w:themeColor="text1"/>
                <w:sz w:val="18"/>
                <w:szCs w:val="18"/>
              </w:rPr>
              <w:t>Tg</w:t>
            </w:r>
            <w:proofErr w:type="spellEnd"/>
          </w:p>
        </w:tc>
        <w:tc>
          <w:tcPr>
            <w:tcW w:w="1493" w:type="dxa"/>
          </w:tcPr>
          <w:p w14:paraId="55BFE28F" w14:textId="25EB2631"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3D63798A" w14:textId="20B9DF3C"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2C3A8B0F" w14:textId="3CBC6AF7"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.12</w:t>
            </w:r>
          </w:p>
        </w:tc>
        <w:tc>
          <w:tcPr>
            <w:tcW w:w="1008" w:type="dxa"/>
          </w:tcPr>
          <w:p w14:paraId="5CF595D0" w14:textId="0335800D"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.05</w:t>
            </w:r>
          </w:p>
        </w:tc>
        <w:tc>
          <w:tcPr>
            <w:tcW w:w="1020" w:type="dxa"/>
          </w:tcPr>
          <w:p w14:paraId="548144D2" w14:textId="2D567597"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.017</w:t>
            </w:r>
          </w:p>
        </w:tc>
      </w:tr>
      <w:tr w:rsidR="004D572E" w:rsidRPr="004D572E" w14:paraId="4A348807" w14:textId="77777777" w:rsidTr="009C239E">
        <w:trPr>
          <w:trHeight w:val="247"/>
        </w:trPr>
        <w:tc>
          <w:tcPr>
            <w:tcW w:w="2583" w:type="dxa"/>
          </w:tcPr>
          <w:p w14:paraId="161AAE5B" w14:textId="6ACC23BE" w:rsidR="009A0AED" w:rsidRPr="004D572E" w:rsidRDefault="009A0AED" w:rsidP="009A0AED">
            <w:pPr>
              <w:rPr>
                <w:rFonts w:ascii="Times New Roman" w:hAnsi="Times New Roman" w:cs="Times New Roman"/>
                <w:b/>
                <w:bCs/>
                <w:color w:val="000000" w:themeColor="text1"/>
                <w:sz w:val="18"/>
                <w:szCs w:val="18"/>
              </w:rPr>
            </w:pPr>
          </w:p>
        </w:tc>
        <w:tc>
          <w:tcPr>
            <w:tcW w:w="1493" w:type="dxa"/>
          </w:tcPr>
          <w:p w14:paraId="189FA603" w14:textId="113CF693" w:rsidR="009A0AED" w:rsidRPr="004D572E" w:rsidRDefault="009A0AED" w:rsidP="009A0AED">
            <w:pPr>
              <w:rPr>
                <w:rFonts w:ascii="Times New Roman" w:hAnsi="Times New Roman" w:cs="Times New Roman"/>
                <w:color w:val="000000" w:themeColor="text1"/>
                <w:sz w:val="18"/>
                <w:szCs w:val="18"/>
              </w:rPr>
            </w:pPr>
          </w:p>
        </w:tc>
        <w:tc>
          <w:tcPr>
            <w:tcW w:w="1545" w:type="dxa"/>
          </w:tcPr>
          <w:p w14:paraId="3FB08979" w14:textId="38DFDD4B"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7296AC43" w14:textId="55E73660"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r w:rsidR="000F7391" w:rsidRPr="004D572E">
              <w:rPr>
                <w:rFonts w:ascii="Times New Roman" w:hAnsi="Times New Roman" w:cs="Times New Roman"/>
                <w:color w:val="000000" w:themeColor="text1"/>
                <w:sz w:val="18"/>
                <w:szCs w:val="18"/>
              </w:rPr>
              <w:t>5</w:t>
            </w:r>
          </w:p>
        </w:tc>
        <w:tc>
          <w:tcPr>
            <w:tcW w:w="1008" w:type="dxa"/>
          </w:tcPr>
          <w:p w14:paraId="195B8738" w14:textId="5F845D51"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6</w:t>
            </w:r>
          </w:p>
        </w:tc>
        <w:tc>
          <w:tcPr>
            <w:tcW w:w="1020" w:type="dxa"/>
          </w:tcPr>
          <w:p w14:paraId="675F3300" w14:textId="13726791"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143E5D83" w14:textId="77777777" w:rsidTr="009C239E">
        <w:trPr>
          <w:trHeight w:val="247"/>
        </w:trPr>
        <w:tc>
          <w:tcPr>
            <w:tcW w:w="2583" w:type="dxa"/>
          </w:tcPr>
          <w:p w14:paraId="0CC3B20F" w14:textId="02EC401D" w:rsidR="009A0AED" w:rsidRPr="004D572E" w:rsidRDefault="009A0AED" w:rsidP="009A0AED">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HDL</w:t>
            </w:r>
            <w:r w:rsidR="002B6803" w:rsidRPr="004D572E">
              <w:rPr>
                <w:rFonts w:ascii="Times New Roman" w:hAnsi="Times New Roman" w:cs="Times New Roman"/>
                <w:b/>
                <w:bCs/>
                <w:color w:val="000000" w:themeColor="text1"/>
                <w:sz w:val="18"/>
                <w:szCs w:val="18"/>
              </w:rPr>
              <w:t>-C</w:t>
            </w:r>
          </w:p>
        </w:tc>
        <w:tc>
          <w:tcPr>
            <w:tcW w:w="1493" w:type="dxa"/>
          </w:tcPr>
          <w:p w14:paraId="4A92A577" w14:textId="11534342"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76E2B306" w14:textId="6BA48F22"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&lt;20.0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71FAE37D" w14:textId="502A4BAD"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r w:rsidR="000F7391" w:rsidRPr="004D572E">
              <w:rPr>
                <w:rFonts w:ascii="Times New Roman" w:hAnsi="Times New Roman" w:cs="Times New Roman"/>
                <w:color w:val="000000" w:themeColor="text1"/>
                <w:sz w:val="18"/>
                <w:szCs w:val="18"/>
              </w:rPr>
              <w:t>1</w:t>
            </w:r>
          </w:p>
        </w:tc>
        <w:tc>
          <w:tcPr>
            <w:tcW w:w="1008" w:type="dxa"/>
          </w:tcPr>
          <w:p w14:paraId="40F62B6B" w14:textId="06C04CD7"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.08</w:t>
            </w:r>
          </w:p>
        </w:tc>
        <w:tc>
          <w:tcPr>
            <w:tcW w:w="1020" w:type="dxa"/>
          </w:tcPr>
          <w:p w14:paraId="3EEC8F33" w14:textId="26FBDDA6"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.01</w:t>
            </w:r>
          </w:p>
        </w:tc>
      </w:tr>
      <w:tr w:rsidR="004D572E" w:rsidRPr="004D572E" w14:paraId="39E33AD9" w14:textId="77777777" w:rsidTr="009C239E">
        <w:trPr>
          <w:trHeight w:val="247"/>
        </w:trPr>
        <w:tc>
          <w:tcPr>
            <w:tcW w:w="2583" w:type="dxa"/>
          </w:tcPr>
          <w:p w14:paraId="28CDCF91" w14:textId="77777777" w:rsidR="002B6803" w:rsidRPr="004D572E" w:rsidRDefault="002B6803" w:rsidP="002B6803">
            <w:pPr>
              <w:rPr>
                <w:rFonts w:ascii="Times New Roman" w:hAnsi="Times New Roman" w:cs="Times New Roman"/>
                <w:b/>
                <w:bCs/>
                <w:color w:val="000000" w:themeColor="text1"/>
                <w:sz w:val="18"/>
                <w:szCs w:val="18"/>
              </w:rPr>
            </w:pPr>
          </w:p>
        </w:tc>
        <w:tc>
          <w:tcPr>
            <w:tcW w:w="1493" w:type="dxa"/>
          </w:tcPr>
          <w:p w14:paraId="7AA0C0EB" w14:textId="77777777" w:rsidR="002B6803" w:rsidRPr="004D572E" w:rsidRDefault="002B6803" w:rsidP="002B6803">
            <w:pPr>
              <w:rPr>
                <w:rFonts w:ascii="Times New Roman" w:hAnsi="Times New Roman" w:cs="Times New Roman"/>
                <w:color w:val="000000" w:themeColor="text1"/>
                <w:sz w:val="18"/>
                <w:szCs w:val="18"/>
              </w:rPr>
            </w:pPr>
          </w:p>
        </w:tc>
        <w:tc>
          <w:tcPr>
            <w:tcW w:w="1545" w:type="dxa"/>
          </w:tcPr>
          <w:p w14:paraId="0415F002" w14:textId="5DBB5EA8"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58A54149" w14:textId="22512464"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.11</w:t>
            </w:r>
          </w:p>
        </w:tc>
        <w:tc>
          <w:tcPr>
            <w:tcW w:w="1008" w:type="dxa"/>
          </w:tcPr>
          <w:p w14:paraId="56C66F13" w14:textId="6A816711"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.03</w:t>
            </w:r>
          </w:p>
        </w:tc>
        <w:tc>
          <w:tcPr>
            <w:tcW w:w="1020" w:type="dxa"/>
          </w:tcPr>
          <w:p w14:paraId="15A018C7" w14:textId="3A6FD104"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.001</w:t>
            </w:r>
          </w:p>
        </w:tc>
      </w:tr>
      <w:tr w:rsidR="004D572E" w:rsidRPr="004D572E" w14:paraId="7B7DC113" w14:textId="77777777" w:rsidTr="009C239E">
        <w:trPr>
          <w:trHeight w:val="247"/>
        </w:trPr>
        <w:tc>
          <w:tcPr>
            <w:tcW w:w="2583" w:type="dxa"/>
          </w:tcPr>
          <w:p w14:paraId="39C0B191" w14:textId="14EEE8E6" w:rsidR="002B6803" w:rsidRPr="004D572E" w:rsidRDefault="002B6803" w:rsidP="002B6803">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VLDL-C</w:t>
            </w:r>
          </w:p>
        </w:tc>
        <w:tc>
          <w:tcPr>
            <w:tcW w:w="1493" w:type="dxa"/>
          </w:tcPr>
          <w:p w14:paraId="3068D334" w14:textId="6357F81F"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407B4F54" w14:textId="64CDC909"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59F1066" w14:textId="0A08D3B2"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.06</w:t>
            </w:r>
          </w:p>
        </w:tc>
        <w:tc>
          <w:tcPr>
            <w:tcW w:w="1008" w:type="dxa"/>
          </w:tcPr>
          <w:p w14:paraId="5244EC73" w14:textId="707D7A00"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.02</w:t>
            </w:r>
          </w:p>
        </w:tc>
        <w:tc>
          <w:tcPr>
            <w:tcW w:w="1020" w:type="dxa"/>
          </w:tcPr>
          <w:p w14:paraId="392FD7FC" w14:textId="6FC6BD86"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p>
        </w:tc>
      </w:tr>
      <w:tr w:rsidR="004D572E" w:rsidRPr="004D572E" w14:paraId="5655632A" w14:textId="77777777" w:rsidTr="009C239E">
        <w:trPr>
          <w:trHeight w:val="247"/>
        </w:trPr>
        <w:tc>
          <w:tcPr>
            <w:tcW w:w="2583" w:type="dxa"/>
          </w:tcPr>
          <w:p w14:paraId="753B2276" w14:textId="77777777" w:rsidR="002B6803" w:rsidRPr="004D572E" w:rsidRDefault="002B6803" w:rsidP="002B6803">
            <w:pPr>
              <w:rPr>
                <w:rFonts w:ascii="Times New Roman" w:hAnsi="Times New Roman" w:cs="Times New Roman"/>
                <w:b/>
                <w:bCs/>
                <w:color w:val="000000" w:themeColor="text1"/>
                <w:sz w:val="18"/>
                <w:szCs w:val="18"/>
              </w:rPr>
            </w:pPr>
          </w:p>
        </w:tc>
        <w:tc>
          <w:tcPr>
            <w:tcW w:w="1493" w:type="dxa"/>
          </w:tcPr>
          <w:p w14:paraId="78A60386" w14:textId="77777777" w:rsidR="002B6803" w:rsidRPr="004D572E" w:rsidRDefault="002B6803" w:rsidP="002B6803">
            <w:pPr>
              <w:rPr>
                <w:rFonts w:ascii="Times New Roman" w:hAnsi="Times New Roman" w:cs="Times New Roman"/>
                <w:color w:val="000000" w:themeColor="text1"/>
                <w:sz w:val="18"/>
                <w:szCs w:val="18"/>
              </w:rPr>
            </w:pPr>
          </w:p>
        </w:tc>
        <w:tc>
          <w:tcPr>
            <w:tcW w:w="1545" w:type="dxa"/>
          </w:tcPr>
          <w:p w14:paraId="13E212DC" w14:textId="29FDA520"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62FA3A0B" w14:textId="6765B261"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.11</w:t>
            </w:r>
          </w:p>
        </w:tc>
        <w:tc>
          <w:tcPr>
            <w:tcW w:w="1008" w:type="dxa"/>
          </w:tcPr>
          <w:p w14:paraId="349193B6" w14:textId="7FBA0B53"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3</w:t>
            </w:r>
          </w:p>
        </w:tc>
        <w:tc>
          <w:tcPr>
            <w:tcW w:w="1020" w:type="dxa"/>
          </w:tcPr>
          <w:p w14:paraId="4FDC6D2E" w14:textId="5F765C1C"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41B8755F" w14:textId="77777777" w:rsidTr="009C239E">
        <w:trPr>
          <w:trHeight w:val="247"/>
        </w:trPr>
        <w:tc>
          <w:tcPr>
            <w:tcW w:w="2583" w:type="dxa"/>
          </w:tcPr>
          <w:p w14:paraId="04854C27" w14:textId="6E058746" w:rsidR="002B6803" w:rsidRPr="004D572E" w:rsidRDefault="002B6803" w:rsidP="002B6803">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HDL/LDL</w:t>
            </w:r>
          </w:p>
        </w:tc>
        <w:tc>
          <w:tcPr>
            <w:tcW w:w="1493" w:type="dxa"/>
          </w:tcPr>
          <w:p w14:paraId="08C71657" w14:textId="29EED519"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58B0B47D" w14:textId="58AEEAE8"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0E08F1AF" w14:textId="6702BB0E"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.03</w:t>
            </w:r>
          </w:p>
        </w:tc>
        <w:tc>
          <w:tcPr>
            <w:tcW w:w="1008" w:type="dxa"/>
          </w:tcPr>
          <w:p w14:paraId="082C8AFD" w14:textId="38C84B61"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.01</w:t>
            </w:r>
          </w:p>
        </w:tc>
        <w:tc>
          <w:tcPr>
            <w:tcW w:w="1020" w:type="dxa"/>
          </w:tcPr>
          <w:p w14:paraId="2FDCB92B" w14:textId="7CD5F699"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.008</w:t>
            </w:r>
          </w:p>
        </w:tc>
      </w:tr>
      <w:tr w:rsidR="004D572E" w:rsidRPr="004D572E" w14:paraId="65E76640" w14:textId="77777777" w:rsidTr="009C239E">
        <w:trPr>
          <w:trHeight w:val="247"/>
        </w:trPr>
        <w:tc>
          <w:tcPr>
            <w:tcW w:w="2583" w:type="dxa"/>
          </w:tcPr>
          <w:p w14:paraId="76BA5267" w14:textId="6882357D" w:rsidR="002B6803" w:rsidRPr="004D572E" w:rsidRDefault="002B6803" w:rsidP="002B6803">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TG/CHOL</w:t>
            </w:r>
          </w:p>
        </w:tc>
        <w:tc>
          <w:tcPr>
            <w:tcW w:w="1493" w:type="dxa"/>
          </w:tcPr>
          <w:p w14:paraId="64F82BC2" w14:textId="0064E805"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1FB39283" w14:textId="09AD5DA4"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470867AF" w14:textId="5E7D5B4F"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.02</w:t>
            </w:r>
          </w:p>
        </w:tc>
        <w:tc>
          <w:tcPr>
            <w:tcW w:w="1008" w:type="dxa"/>
          </w:tcPr>
          <w:p w14:paraId="287E71FA" w14:textId="276E475B"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w:t>
            </w:r>
          </w:p>
        </w:tc>
        <w:tc>
          <w:tcPr>
            <w:tcW w:w="1020" w:type="dxa"/>
          </w:tcPr>
          <w:p w14:paraId="15E74FA7" w14:textId="37624438"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.006</w:t>
            </w:r>
          </w:p>
        </w:tc>
      </w:tr>
      <w:tr w:rsidR="004D572E" w:rsidRPr="004D572E" w14:paraId="0C04FFD2" w14:textId="77777777" w:rsidTr="009C239E">
        <w:trPr>
          <w:trHeight w:val="247"/>
        </w:trPr>
        <w:tc>
          <w:tcPr>
            <w:tcW w:w="2583" w:type="dxa"/>
          </w:tcPr>
          <w:p w14:paraId="2D193EE3" w14:textId="77777777" w:rsidR="002B6803" w:rsidRPr="004D572E" w:rsidRDefault="002B6803" w:rsidP="002B6803">
            <w:pPr>
              <w:rPr>
                <w:rFonts w:ascii="Times New Roman" w:hAnsi="Times New Roman" w:cs="Times New Roman"/>
                <w:color w:val="000000" w:themeColor="text1"/>
                <w:sz w:val="18"/>
                <w:szCs w:val="18"/>
              </w:rPr>
            </w:pPr>
          </w:p>
        </w:tc>
        <w:tc>
          <w:tcPr>
            <w:tcW w:w="1493" w:type="dxa"/>
          </w:tcPr>
          <w:p w14:paraId="3C8E4E33" w14:textId="77777777" w:rsidR="002B6803" w:rsidRPr="004D572E" w:rsidRDefault="002B6803" w:rsidP="002B6803">
            <w:pPr>
              <w:rPr>
                <w:rFonts w:ascii="Times New Roman" w:hAnsi="Times New Roman" w:cs="Times New Roman"/>
                <w:color w:val="000000" w:themeColor="text1"/>
                <w:sz w:val="18"/>
                <w:szCs w:val="18"/>
              </w:rPr>
            </w:pPr>
          </w:p>
        </w:tc>
        <w:tc>
          <w:tcPr>
            <w:tcW w:w="1545" w:type="dxa"/>
          </w:tcPr>
          <w:p w14:paraId="3A5ADC29" w14:textId="64D43F69"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4ABCDE5F" w14:textId="333F61B4"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.03</w:t>
            </w:r>
          </w:p>
        </w:tc>
        <w:tc>
          <w:tcPr>
            <w:tcW w:w="1008" w:type="dxa"/>
          </w:tcPr>
          <w:p w14:paraId="4AABB54F" w14:textId="1749D8A6"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w:t>
            </w:r>
          </w:p>
        </w:tc>
        <w:tc>
          <w:tcPr>
            <w:tcW w:w="1020" w:type="dxa"/>
          </w:tcPr>
          <w:p w14:paraId="38576686" w14:textId="736AAB0B"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FA86ADA" w14:textId="77777777" w:rsidTr="009C239E">
        <w:trPr>
          <w:trHeight w:val="247"/>
        </w:trPr>
        <w:tc>
          <w:tcPr>
            <w:tcW w:w="2583" w:type="dxa"/>
          </w:tcPr>
          <w:p w14:paraId="3E26EBBA" w14:textId="6C72873C"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index of plasma</w:t>
            </w:r>
          </w:p>
        </w:tc>
        <w:tc>
          <w:tcPr>
            <w:tcW w:w="1493" w:type="dxa"/>
          </w:tcPr>
          <w:p w14:paraId="762E0646" w14:textId="197FC092"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5EB3A51D" w14:textId="3163EB45"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&lt;20.0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2CD222C7" w14:textId="3BC1FC33" w:rsidR="00C17624" w:rsidRPr="004D572E" w:rsidRDefault="000F7391"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.17</w:t>
            </w:r>
          </w:p>
        </w:tc>
        <w:tc>
          <w:tcPr>
            <w:tcW w:w="1008" w:type="dxa"/>
          </w:tcPr>
          <w:p w14:paraId="148CEC96" w14:textId="19B19B38"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.08</w:t>
            </w:r>
          </w:p>
        </w:tc>
        <w:tc>
          <w:tcPr>
            <w:tcW w:w="1020" w:type="dxa"/>
          </w:tcPr>
          <w:p w14:paraId="7D5CE41F" w14:textId="5E30A940"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.04</w:t>
            </w:r>
          </w:p>
        </w:tc>
      </w:tr>
      <w:tr w:rsidR="004D572E" w:rsidRPr="004D572E" w14:paraId="4AD25AB2" w14:textId="77777777" w:rsidTr="009C239E">
        <w:trPr>
          <w:trHeight w:val="247"/>
        </w:trPr>
        <w:tc>
          <w:tcPr>
            <w:tcW w:w="2583" w:type="dxa"/>
          </w:tcPr>
          <w:p w14:paraId="66336811" w14:textId="084EBB1D"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coefficient</w:t>
            </w:r>
          </w:p>
        </w:tc>
        <w:tc>
          <w:tcPr>
            <w:tcW w:w="1493" w:type="dxa"/>
          </w:tcPr>
          <w:p w14:paraId="5D2C45D7" w14:textId="0F8E523C"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06803801" w14:textId="72FB09E6"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7FF12B3E" w14:textId="7B1E8A66"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w:t>
            </w:r>
            <w:r w:rsidR="000F7391" w:rsidRPr="004D572E">
              <w:rPr>
                <w:rFonts w:ascii="Times New Roman" w:hAnsi="Times New Roman" w:cs="Times New Roman"/>
                <w:color w:val="000000" w:themeColor="text1"/>
                <w:sz w:val="18"/>
                <w:szCs w:val="18"/>
              </w:rPr>
              <w:t>4</w:t>
            </w:r>
          </w:p>
        </w:tc>
        <w:tc>
          <w:tcPr>
            <w:tcW w:w="1008" w:type="dxa"/>
          </w:tcPr>
          <w:p w14:paraId="6214E228" w14:textId="138B0FE7"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.4</w:t>
            </w:r>
            <w:r w:rsidRPr="004D572E">
              <w:rPr>
                <w:rFonts w:ascii="Times New Roman" w:hAnsi="Times New Roman" w:cs="Times New Roman"/>
                <w:color w:val="000000" w:themeColor="text1"/>
                <w:sz w:val="18"/>
                <w:szCs w:val="18"/>
              </w:rPr>
              <w:t>9</w:t>
            </w:r>
          </w:p>
        </w:tc>
        <w:tc>
          <w:tcPr>
            <w:tcW w:w="1020" w:type="dxa"/>
          </w:tcPr>
          <w:p w14:paraId="56350374" w14:textId="0BD9D797"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.03</w:t>
            </w:r>
          </w:p>
        </w:tc>
      </w:tr>
      <w:tr w:rsidR="004D572E" w:rsidRPr="004D572E" w14:paraId="25333098" w14:textId="77777777" w:rsidTr="009C239E">
        <w:trPr>
          <w:trHeight w:val="247"/>
        </w:trPr>
        <w:tc>
          <w:tcPr>
            <w:tcW w:w="2583" w:type="dxa"/>
          </w:tcPr>
          <w:p w14:paraId="2DFD0C1A" w14:textId="4AB11EBA"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1</w:t>
            </w:r>
          </w:p>
        </w:tc>
        <w:tc>
          <w:tcPr>
            <w:tcW w:w="1493" w:type="dxa"/>
          </w:tcPr>
          <w:p w14:paraId="5FC61DAE" w14:textId="3268695C"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4E6D8D0D" w14:textId="5B5DBD85"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BC91AB1" w14:textId="258AFF0A"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w:t>
            </w:r>
            <w:r w:rsidR="000F7391" w:rsidRPr="004D572E">
              <w:rPr>
                <w:rFonts w:ascii="Times New Roman" w:hAnsi="Times New Roman" w:cs="Times New Roman"/>
                <w:color w:val="000000" w:themeColor="text1"/>
                <w:sz w:val="18"/>
                <w:szCs w:val="18"/>
              </w:rPr>
              <w:t>4</w:t>
            </w:r>
          </w:p>
        </w:tc>
        <w:tc>
          <w:tcPr>
            <w:tcW w:w="1008" w:type="dxa"/>
          </w:tcPr>
          <w:p w14:paraId="4D11D284" w14:textId="1986442B"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.4</w:t>
            </w:r>
            <w:r w:rsidRPr="004D572E">
              <w:rPr>
                <w:rFonts w:ascii="Times New Roman" w:hAnsi="Times New Roman" w:cs="Times New Roman"/>
                <w:color w:val="000000" w:themeColor="text1"/>
                <w:sz w:val="18"/>
                <w:szCs w:val="18"/>
              </w:rPr>
              <w:t>9</w:t>
            </w:r>
          </w:p>
        </w:tc>
        <w:tc>
          <w:tcPr>
            <w:tcW w:w="1020" w:type="dxa"/>
          </w:tcPr>
          <w:p w14:paraId="3FC5E01B" w14:textId="3F307F71"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.03</w:t>
            </w:r>
          </w:p>
        </w:tc>
      </w:tr>
      <w:tr w:rsidR="004D572E" w:rsidRPr="004D572E" w14:paraId="4810437E" w14:textId="77777777" w:rsidTr="009C239E">
        <w:trPr>
          <w:trHeight w:val="247"/>
        </w:trPr>
        <w:tc>
          <w:tcPr>
            <w:tcW w:w="2583" w:type="dxa"/>
          </w:tcPr>
          <w:p w14:paraId="3E712E94" w14:textId="6101F9E1"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lastRenderedPageBreak/>
              <w:t>Castelli's risk index 2</w:t>
            </w:r>
          </w:p>
        </w:tc>
        <w:tc>
          <w:tcPr>
            <w:tcW w:w="1493" w:type="dxa"/>
          </w:tcPr>
          <w:p w14:paraId="1714AE66" w14:textId="2309F031"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0F732F3D" w14:textId="11BD63E4"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0E7E2C5" w14:textId="75220AFD"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1.1</w:t>
            </w:r>
            <w:r w:rsidR="000F7391" w:rsidRPr="004D572E">
              <w:rPr>
                <w:rFonts w:ascii="Times New Roman" w:hAnsi="Times New Roman" w:cs="Times New Roman"/>
                <w:color w:val="000000" w:themeColor="text1"/>
                <w:sz w:val="18"/>
                <w:szCs w:val="18"/>
              </w:rPr>
              <w:t>3</w:t>
            </w:r>
          </w:p>
        </w:tc>
        <w:tc>
          <w:tcPr>
            <w:tcW w:w="1008" w:type="dxa"/>
          </w:tcPr>
          <w:p w14:paraId="6AF36E77" w14:textId="76B64A3A"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.45</w:t>
            </w:r>
          </w:p>
        </w:tc>
        <w:tc>
          <w:tcPr>
            <w:tcW w:w="1020" w:type="dxa"/>
          </w:tcPr>
          <w:p w14:paraId="17E1AF56" w14:textId="4295E5BF"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.01</w:t>
            </w:r>
          </w:p>
        </w:tc>
      </w:tr>
      <w:tr w:rsidR="004D572E" w:rsidRPr="004D572E" w14:paraId="351BBA15" w14:textId="77777777" w:rsidTr="009C239E">
        <w:trPr>
          <w:trHeight w:val="247"/>
        </w:trPr>
        <w:tc>
          <w:tcPr>
            <w:tcW w:w="2583" w:type="dxa"/>
          </w:tcPr>
          <w:p w14:paraId="1FED150F" w14:textId="2A1101C3"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TC/HDL</w:t>
            </w:r>
          </w:p>
        </w:tc>
        <w:tc>
          <w:tcPr>
            <w:tcW w:w="1493" w:type="dxa"/>
          </w:tcPr>
          <w:p w14:paraId="654D9CEA" w14:textId="447D0AEE"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6D89AD3F" w14:textId="4037790A"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5C84DD6" w14:textId="603B868F"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w:t>
            </w:r>
            <w:r w:rsidR="000F7391" w:rsidRPr="004D572E">
              <w:rPr>
                <w:rFonts w:ascii="Times New Roman" w:hAnsi="Times New Roman" w:cs="Times New Roman"/>
                <w:color w:val="000000" w:themeColor="text1"/>
                <w:sz w:val="18"/>
                <w:szCs w:val="18"/>
              </w:rPr>
              <w:t>4</w:t>
            </w:r>
          </w:p>
        </w:tc>
        <w:tc>
          <w:tcPr>
            <w:tcW w:w="1008" w:type="dxa"/>
          </w:tcPr>
          <w:p w14:paraId="005EDFA4" w14:textId="217648CB" w:rsidR="002A24E3" w:rsidRPr="004D572E" w:rsidRDefault="00585099" w:rsidP="002A24E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A24E3" w:rsidRPr="004D572E">
              <w:rPr>
                <w:rFonts w:ascii="Times New Roman" w:hAnsi="Times New Roman" w:cs="Times New Roman"/>
                <w:color w:val="000000" w:themeColor="text1"/>
                <w:sz w:val="18"/>
                <w:szCs w:val="18"/>
              </w:rPr>
              <w:t>.4</w:t>
            </w:r>
            <w:r w:rsidRPr="004D572E">
              <w:rPr>
                <w:rFonts w:ascii="Times New Roman" w:hAnsi="Times New Roman" w:cs="Times New Roman"/>
                <w:color w:val="000000" w:themeColor="text1"/>
                <w:sz w:val="18"/>
                <w:szCs w:val="18"/>
              </w:rPr>
              <w:t>9</w:t>
            </w:r>
          </w:p>
        </w:tc>
        <w:tc>
          <w:tcPr>
            <w:tcW w:w="1020" w:type="dxa"/>
          </w:tcPr>
          <w:p w14:paraId="52B64256" w14:textId="0B9BA61C" w:rsidR="002A24E3" w:rsidRPr="004D572E" w:rsidRDefault="00585099" w:rsidP="002A24E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A24E3" w:rsidRPr="004D572E">
              <w:rPr>
                <w:rFonts w:ascii="Times New Roman" w:hAnsi="Times New Roman" w:cs="Times New Roman"/>
                <w:color w:val="000000" w:themeColor="text1"/>
                <w:sz w:val="18"/>
                <w:szCs w:val="18"/>
              </w:rPr>
              <w:t>.03</w:t>
            </w:r>
          </w:p>
        </w:tc>
      </w:tr>
      <w:tr w:rsidR="004D572E" w:rsidRPr="004D572E" w14:paraId="060998CD" w14:textId="77777777" w:rsidTr="009C239E">
        <w:trPr>
          <w:trHeight w:val="247"/>
        </w:trPr>
        <w:tc>
          <w:tcPr>
            <w:tcW w:w="2583" w:type="dxa"/>
          </w:tcPr>
          <w:p w14:paraId="6F12AE45" w14:textId="48C8EAA4"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TYG</w:t>
            </w:r>
          </w:p>
        </w:tc>
        <w:tc>
          <w:tcPr>
            <w:tcW w:w="1493" w:type="dxa"/>
          </w:tcPr>
          <w:p w14:paraId="3AB485A0" w14:textId="37BFB784"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3A772F01" w14:textId="448AAD70"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 m</w:t>
            </w:r>
            <w:r w:rsidRPr="004D572E">
              <w:rPr>
                <w:rFonts w:ascii="Times New Roman" w:hAnsi="Times New Roman" w:cs="Times New Roman"/>
                <w:color w:val="000000" w:themeColor="text1"/>
                <w:sz w:val="18"/>
                <w:szCs w:val="18"/>
                <w:vertAlign w:val="superscript"/>
              </w:rPr>
              <w:t>2</w:t>
            </w:r>
          </w:p>
        </w:tc>
        <w:tc>
          <w:tcPr>
            <w:tcW w:w="1968" w:type="dxa"/>
          </w:tcPr>
          <w:p w14:paraId="09531814" w14:textId="48AB4286"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-0.10</w:t>
            </w:r>
          </w:p>
        </w:tc>
        <w:tc>
          <w:tcPr>
            <w:tcW w:w="1008" w:type="dxa"/>
          </w:tcPr>
          <w:p w14:paraId="53CF5B28" w14:textId="0970C0C4" w:rsidR="000F7391" w:rsidRPr="004D572E" w:rsidRDefault="00585099" w:rsidP="000F7391">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0F7391" w:rsidRPr="004D572E">
              <w:rPr>
                <w:rFonts w:ascii="Times New Roman" w:hAnsi="Times New Roman" w:cs="Times New Roman"/>
                <w:color w:val="000000" w:themeColor="text1"/>
                <w:sz w:val="18"/>
                <w:szCs w:val="18"/>
              </w:rPr>
              <w:t>.03</w:t>
            </w:r>
          </w:p>
        </w:tc>
        <w:tc>
          <w:tcPr>
            <w:tcW w:w="1020" w:type="dxa"/>
          </w:tcPr>
          <w:p w14:paraId="54E8E798" w14:textId="28DDC9F9" w:rsidR="000F7391" w:rsidRPr="004D572E" w:rsidRDefault="00585099" w:rsidP="000F7391">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0F7391" w:rsidRPr="004D572E">
              <w:rPr>
                <w:rFonts w:ascii="Times New Roman" w:hAnsi="Times New Roman" w:cs="Times New Roman"/>
                <w:color w:val="000000" w:themeColor="text1"/>
                <w:sz w:val="18"/>
                <w:szCs w:val="18"/>
              </w:rPr>
              <w:t>.003</w:t>
            </w:r>
          </w:p>
        </w:tc>
      </w:tr>
    </w:tbl>
    <w:p w14:paraId="4AB84CFC" w14:textId="1B6E2BFA" w:rsidR="00D70636" w:rsidRDefault="00D70636" w:rsidP="00BC3F40">
      <w:pPr>
        <w:autoSpaceDE w:val="0"/>
        <w:autoSpaceDN w:val="0"/>
        <w:adjustRightInd w:val="0"/>
        <w:spacing w:after="0" w:line="400" w:lineRule="atLeast"/>
        <w:rPr>
          <w:rFonts w:ascii="Times New Roman" w:hAnsi="Times New Roman" w:cs="Times New Roman"/>
          <w:sz w:val="24"/>
          <w:szCs w:val="24"/>
        </w:rPr>
      </w:pPr>
    </w:p>
    <w:p w14:paraId="572E0CA7" w14:textId="77777777" w:rsidR="00BC3F40" w:rsidRP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16DBC999" w14:textId="77777777" w:rsidR="00BC3F40" w:rsidRPr="00DE7256" w:rsidRDefault="00BC3F40" w:rsidP="00DE7256">
      <w:pPr>
        <w:autoSpaceDE w:val="0"/>
        <w:autoSpaceDN w:val="0"/>
        <w:adjustRightInd w:val="0"/>
        <w:spacing w:after="0" w:line="400" w:lineRule="atLeast"/>
        <w:rPr>
          <w:rFonts w:ascii="Times New Roman" w:hAnsi="Times New Roman" w:cs="Times New Roman"/>
          <w:sz w:val="24"/>
          <w:szCs w:val="24"/>
        </w:rPr>
      </w:pPr>
    </w:p>
    <w:p w14:paraId="00312DFE" w14:textId="21DA9009" w:rsidR="00DE7256" w:rsidRDefault="00DE7256" w:rsidP="00DE7256">
      <w:pPr>
        <w:autoSpaceDE w:val="0"/>
        <w:autoSpaceDN w:val="0"/>
        <w:adjustRightInd w:val="0"/>
        <w:spacing w:after="0" w:line="400" w:lineRule="atLeast"/>
        <w:rPr>
          <w:rFonts w:ascii="Times New Roman" w:hAnsi="Times New Roman" w:cs="Times New Roman"/>
          <w:sz w:val="24"/>
          <w:szCs w:val="24"/>
        </w:rPr>
      </w:pPr>
    </w:p>
    <w:p w14:paraId="58D47805" w14:textId="6A0D2DFB"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16A9F20B" w14:textId="10B74D24"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631719F2" w14:textId="084B37C7"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48A77F1F" w14:textId="5CC49A15"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7D57FEF4" w14:textId="33DCC2FD"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37313090" w14:textId="7520D72E"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7EBFBDF" w14:textId="032A4CBE"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8CEC761" w14:textId="7FC38A1C"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B965C03" w14:textId="22548F6C"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210EDBC8" w14:textId="52124E50"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235337EB" w14:textId="4A94F894"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5011272C" w14:textId="3D18A1EB"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542A47DF" w14:textId="77777777"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C381534" w14:textId="074F96FD" w:rsidR="00F30E70" w:rsidRDefault="00F30E70"/>
    <w:p w14:paraId="13601E89" w14:textId="3FD6137A" w:rsidR="009C239E" w:rsidRDefault="006550FA">
      <w:r>
        <w:rPr>
          <w:rStyle w:val="Strong"/>
        </w:rPr>
        <w:t>Table 3a:</w:t>
      </w:r>
      <w:r>
        <w:t xml:space="preserve"> Comparison of age, anthropometric indices, </w:t>
      </w:r>
      <w:proofErr w:type="spellStart"/>
      <w:r>
        <w:t>glycaemic</w:t>
      </w:r>
      <w:proofErr w:type="spellEnd"/>
      <w:r>
        <w:t xml:space="preserve"> status, lipid profile, and atherogenic indices across duration of diabetes mellitus among study participants.</w:t>
      </w:r>
    </w:p>
    <w:tbl>
      <w:tblPr>
        <w:tblStyle w:val="TableGrid"/>
        <w:tblW w:w="11057" w:type="dxa"/>
        <w:tblInd w:w="-7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1336"/>
        <w:gridCol w:w="1342"/>
        <w:gridCol w:w="1341"/>
        <w:gridCol w:w="1342"/>
        <w:gridCol w:w="1342"/>
        <w:gridCol w:w="746"/>
        <w:gridCol w:w="916"/>
      </w:tblGrid>
      <w:tr w:rsidR="004D572E" w:rsidRPr="004D572E" w14:paraId="07770957" w14:textId="77777777" w:rsidTr="004D572E">
        <w:trPr>
          <w:trHeight w:val="272"/>
        </w:trPr>
        <w:tc>
          <w:tcPr>
            <w:tcW w:w="2692" w:type="dxa"/>
          </w:tcPr>
          <w:p w14:paraId="6721705A" w14:textId="77777777" w:rsidR="00A86D34" w:rsidRPr="004D572E" w:rsidRDefault="00A86D34">
            <w:pPr>
              <w:rPr>
                <w:rFonts w:ascii="Times New Roman" w:hAnsi="Times New Roman" w:cs="Times New Roman"/>
                <w:b/>
                <w:bCs/>
                <w:color w:val="000000" w:themeColor="text1"/>
                <w:sz w:val="18"/>
                <w:szCs w:val="18"/>
              </w:rPr>
            </w:pPr>
          </w:p>
        </w:tc>
        <w:tc>
          <w:tcPr>
            <w:tcW w:w="6703" w:type="dxa"/>
            <w:gridSpan w:val="5"/>
          </w:tcPr>
          <w:p w14:paraId="0C7EF06A" w14:textId="6405D18E" w:rsidR="00A86D34" w:rsidRPr="004D572E" w:rsidRDefault="00A86D34" w:rsidP="00A86D34">
            <w:pPr>
              <w:jc w:val="cente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DURATION OF DIABETES MELLITUS</w:t>
            </w:r>
          </w:p>
        </w:tc>
        <w:tc>
          <w:tcPr>
            <w:tcW w:w="746" w:type="dxa"/>
          </w:tcPr>
          <w:p w14:paraId="7CD9DACF" w14:textId="77777777" w:rsidR="00A86D34" w:rsidRPr="004D572E" w:rsidRDefault="00A86D34">
            <w:pPr>
              <w:rPr>
                <w:rFonts w:ascii="Times New Roman" w:hAnsi="Times New Roman" w:cs="Times New Roman"/>
                <w:b/>
                <w:bCs/>
                <w:color w:val="000000" w:themeColor="text1"/>
                <w:sz w:val="18"/>
                <w:szCs w:val="18"/>
              </w:rPr>
            </w:pPr>
          </w:p>
        </w:tc>
        <w:tc>
          <w:tcPr>
            <w:tcW w:w="916" w:type="dxa"/>
          </w:tcPr>
          <w:p w14:paraId="4CAC4244" w14:textId="77777777" w:rsidR="00A86D34" w:rsidRPr="004D572E" w:rsidRDefault="00A86D34">
            <w:pPr>
              <w:rPr>
                <w:rFonts w:ascii="Times New Roman" w:hAnsi="Times New Roman" w:cs="Times New Roman"/>
                <w:b/>
                <w:bCs/>
                <w:color w:val="000000" w:themeColor="text1"/>
                <w:sz w:val="18"/>
                <w:szCs w:val="18"/>
              </w:rPr>
            </w:pPr>
          </w:p>
        </w:tc>
      </w:tr>
      <w:tr w:rsidR="004D572E" w:rsidRPr="004D572E" w14:paraId="7D2F0A1E" w14:textId="77777777" w:rsidTr="004D572E">
        <w:trPr>
          <w:trHeight w:val="272"/>
        </w:trPr>
        <w:tc>
          <w:tcPr>
            <w:tcW w:w="2692" w:type="dxa"/>
          </w:tcPr>
          <w:p w14:paraId="7CAE11E3" w14:textId="77777777" w:rsidR="00A7614A" w:rsidRPr="004D572E" w:rsidRDefault="00A7614A" w:rsidP="00A7614A">
            <w:pPr>
              <w:rPr>
                <w:rFonts w:ascii="Times New Roman" w:hAnsi="Times New Roman" w:cs="Times New Roman"/>
                <w:b/>
                <w:bCs/>
                <w:color w:val="000000" w:themeColor="text1"/>
                <w:sz w:val="18"/>
                <w:szCs w:val="18"/>
              </w:rPr>
            </w:pPr>
          </w:p>
        </w:tc>
        <w:tc>
          <w:tcPr>
            <w:tcW w:w="1336" w:type="dxa"/>
          </w:tcPr>
          <w:p w14:paraId="3CF13603" w14:textId="5DC74FCF"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&lt;5 years</w:t>
            </w:r>
          </w:p>
        </w:tc>
        <w:tc>
          <w:tcPr>
            <w:tcW w:w="1342" w:type="dxa"/>
          </w:tcPr>
          <w:p w14:paraId="0CB1F75F" w14:textId="11103C90"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5-10 years</w:t>
            </w:r>
          </w:p>
        </w:tc>
        <w:tc>
          <w:tcPr>
            <w:tcW w:w="1341" w:type="dxa"/>
          </w:tcPr>
          <w:p w14:paraId="226BA8AB" w14:textId="20D82F49"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11-15 years</w:t>
            </w:r>
          </w:p>
        </w:tc>
        <w:tc>
          <w:tcPr>
            <w:tcW w:w="1342" w:type="dxa"/>
          </w:tcPr>
          <w:p w14:paraId="17326198" w14:textId="4BD75133"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&gt;15 years</w:t>
            </w:r>
          </w:p>
        </w:tc>
        <w:tc>
          <w:tcPr>
            <w:tcW w:w="1342" w:type="dxa"/>
          </w:tcPr>
          <w:p w14:paraId="02D6C3E9" w14:textId="6169D8D8"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Total</w:t>
            </w:r>
          </w:p>
        </w:tc>
        <w:tc>
          <w:tcPr>
            <w:tcW w:w="746" w:type="dxa"/>
            <w:vAlign w:val="bottom"/>
          </w:tcPr>
          <w:p w14:paraId="04268442" w14:textId="74416D27"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F</w:t>
            </w:r>
          </w:p>
        </w:tc>
        <w:tc>
          <w:tcPr>
            <w:tcW w:w="916" w:type="dxa"/>
            <w:vAlign w:val="bottom"/>
          </w:tcPr>
          <w:p w14:paraId="54AC9DD0" w14:textId="0D055EDE"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Sig.</w:t>
            </w:r>
          </w:p>
        </w:tc>
      </w:tr>
      <w:tr w:rsidR="004D572E" w:rsidRPr="004D572E" w14:paraId="734E9868" w14:textId="77777777" w:rsidTr="004D572E">
        <w:trPr>
          <w:trHeight w:val="272"/>
        </w:trPr>
        <w:tc>
          <w:tcPr>
            <w:tcW w:w="2692" w:type="dxa"/>
            <w:tcBorders>
              <w:bottom w:val="single" w:sz="4" w:space="0" w:color="auto"/>
            </w:tcBorders>
          </w:tcPr>
          <w:p w14:paraId="16B2E020" w14:textId="77777777" w:rsidR="004D572E" w:rsidRPr="004D572E" w:rsidRDefault="004D572E" w:rsidP="004D572E">
            <w:pPr>
              <w:rPr>
                <w:rFonts w:ascii="Times New Roman" w:hAnsi="Times New Roman" w:cs="Times New Roman"/>
                <w:b/>
                <w:bCs/>
                <w:color w:val="000000" w:themeColor="text1"/>
                <w:sz w:val="18"/>
                <w:szCs w:val="18"/>
              </w:rPr>
            </w:pPr>
          </w:p>
        </w:tc>
        <w:tc>
          <w:tcPr>
            <w:tcW w:w="1336" w:type="dxa"/>
            <w:tcBorders>
              <w:bottom w:val="single" w:sz="4" w:space="0" w:color="auto"/>
            </w:tcBorders>
          </w:tcPr>
          <w:p w14:paraId="674CDE20" w14:textId="0BB849D0"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2" w:type="dxa"/>
            <w:tcBorders>
              <w:bottom w:val="single" w:sz="4" w:space="0" w:color="auto"/>
            </w:tcBorders>
          </w:tcPr>
          <w:p w14:paraId="0AF25BCD" w14:textId="37F46EAE"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1" w:type="dxa"/>
            <w:tcBorders>
              <w:bottom w:val="single" w:sz="4" w:space="0" w:color="auto"/>
            </w:tcBorders>
          </w:tcPr>
          <w:p w14:paraId="0EB889B6" w14:textId="3746D2F1"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2" w:type="dxa"/>
            <w:tcBorders>
              <w:bottom w:val="single" w:sz="4" w:space="0" w:color="auto"/>
            </w:tcBorders>
          </w:tcPr>
          <w:p w14:paraId="5887D479" w14:textId="33173733"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2" w:type="dxa"/>
            <w:tcBorders>
              <w:bottom w:val="single" w:sz="4" w:space="0" w:color="auto"/>
            </w:tcBorders>
          </w:tcPr>
          <w:p w14:paraId="6DEEF920" w14:textId="1CAD7C97"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746" w:type="dxa"/>
            <w:tcBorders>
              <w:bottom w:val="single" w:sz="4" w:space="0" w:color="auto"/>
            </w:tcBorders>
          </w:tcPr>
          <w:p w14:paraId="03D8324C" w14:textId="1D8D634F" w:rsidR="004D572E" w:rsidRPr="004D572E" w:rsidRDefault="004D572E" w:rsidP="004D572E">
            <w:pPr>
              <w:rPr>
                <w:rFonts w:ascii="Times New Roman" w:hAnsi="Times New Roman" w:cs="Times New Roman"/>
                <w:b/>
                <w:bCs/>
                <w:color w:val="000000" w:themeColor="text1"/>
                <w:sz w:val="18"/>
                <w:szCs w:val="18"/>
              </w:rPr>
            </w:pPr>
          </w:p>
        </w:tc>
        <w:tc>
          <w:tcPr>
            <w:tcW w:w="916" w:type="dxa"/>
            <w:tcBorders>
              <w:bottom w:val="single" w:sz="4" w:space="0" w:color="auto"/>
            </w:tcBorders>
          </w:tcPr>
          <w:p w14:paraId="180E2FDB" w14:textId="6AAD8327" w:rsidR="004D572E" w:rsidRPr="004D572E" w:rsidRDefault="004D572E" w:rsidP="004D572E">
            <w:pPr>
              <w:rPr>
                <w:rFonts w:ascii="Times New Roman" w:hAnsi="Times New Roman" w:cs="Times New Roman"/>
                <w:b/>
                <w:bCs/>
                <w:color w:val="000000" w:themeColor="text1"/>
                <w:sz w:val="18"/>
                <w:szCs w:val="18"/>
              </w:rPr>
            </w:pPr>
          </w:p>
        </w:tc>
      </w:tr>
      <w:tr w:rsidR="004D572E" w:rsidRPr="004D572E" w14:paraId="0AD35B11" w14:textId="77777777" w:rsidTr="004D572E">
        <w:trPr>
          <w:trHeight w:val="272"/>
        </w:trPr>
        <w:tc>
          <w:tcPr>
            <w:tcW w:w="2692" w:type="dxa"/>
            <w:tcBorders>
              <w:top w:val="single" w:sz="4" w:space="0" w:color="auto"/>
              <w:bottom w:val="nil"/>
            </w:tcBorders>
          </w:tcPr>
          <w:p w14:paraId="10A42274" w14:textId="23CE1B92"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Age (years)</w:t>
            </w:r>
          </w:p>
        </w:tc>
        <w:tc>
          <w:tcPr>
            <w:tcW w:w="1336" w:type="dxa"/>
            <w:tcBorders>
              <w:top w:val="single" w:sz="4" w:space="0" w:color="auto"/>
              <w:bottom w:val="nil"/>
            </w:tcBorders>
          </w:tcPr>
          <w:p w14:paraId="03CA71DE" w14:textId="6AB7D109"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58.15 (0.69)</w:t>
            </w:r>
          </w:p>
        </w:tc>
        <w:tc>
          <w:tcPr>
            <w:tcW w:w="1342" w:type="dxa"/>
            <w:tcBorders>
              <w:top w:val="single" w:sz="4" w:space="0" w:color="auto"/>
              <w:bottom w:val="nil"/>
            </w:tcBorders>
          </w:tcPr>
          <w:p w14:paraId="087F0E32" w14:textId="6DFC8FB4"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55.93 (0.35)</w:t>
            </w:r>
          </w:p>
        </w:tc>
        <w:tc>
          <w:tcPr>
            <w:tcW w:w="1341" w:type="dxa"/>
            <w:tcBorders>
              <w:top w:val="single" w:sz="4" w:space="0" w:color="auto"/>
              <w:bottom w:val="nil"/>
            </w:tcBorders>
          </w:tcPr>
          <w:p w14:paraId="0D503EA7" w14:textId="306FF0BB"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54.84 (0.65)</w:t>
            </w:r>
          </w:p>
        </w:tc>
        <w:tc>
          <w:tcPr>
            <w:tcW w:w="1342" w:type="dxa"/>
            <w:tcBorders>
              <w:top w:val="single" w:sz="4" w:space="0" w:color="auto"/>
              <w:bottom w:val="nil"/>
            </w:tcBorders>
          </w:tcPr>
          <w:p w14:paraId="5A803FC5" w14:textId="0FCE1727"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61.63 (0.82)</w:t>
            </w:r>
          </w:p>
        </w:tc>
        <w:tc>
          <w:tcPr>
            <w:tcW w:w="1342" w:type="dxa"/>
            <w:tcBorders>
              <w:top w:val="single" w:sz="4" w:space="0" w:color="auto"/>
              <w:bottom w:val="nil"/>
            </w:tcBorders>
          </w:tcPr>
          <w:p w14:paraId="051B3DC4" w14:textId="7DC69655"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57.29 (0.30)</w:t>
            </w:r>
          </w:p>
        </w:tc>
        <w:tc>
          <w:tcPr>
            <w:tcW w:w="746" w:type="dxa"/>
            <w:tcBorders>
              <w:top w:val="single" w:sz="4" w:space="0" w:color="auto"/>
              <w:bottom w:val="nil"/>
            </w:tcBorders>
          </w:tcPr>
          <w:p w14:paraId="011D297A" w14:textId="08267A28"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22.56</w:t>
            </w:r>
          </w:p>
        </w:tc>
        <w:tc>
          <w:tcPr>
            <w:tcW w:w="916" w:type="dxa"/>
            <w:tcBorders>
              <w:top w:val="single" w:sz="4" w:space="0" w:color="auto"/>
              <w:bottom w:val="nil"/>
            </w:tcBorders>
          </w:tcPr>
          <w:p w14:paraId="56CCD34F" w14:textId="45EEF895" w:rsidR="00A7614A" w:rsidRPr="004D572E" w:rsidRDefault="00A86D34"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w:t>
            </w:r>
            <w:r w:rsidR="00A7614A" w:rsidRPr="004D572E">
              <w:rPr>
                <w:rFonts w:ascii="Times New Roman" w:hAnsi="Times New Roman" w:cs="Times New Roman"/>
                <w:color w:val="000000" w:themeColor="text1"/>
                <w:sz w:val="18"/>
                <w:szCs w:val="18"/>
              </w:rPr>
              <w:t>0.0001</w:t>
            </w:r>
          </w:p>
        </w:tc>
      </w:tr>
      <w:tr w:rsidR="004D572E" w:rsidRPr="004D572E" w14:paraId="3C97E479" w14:textId="77777777" w:rsidTr="004D572E">
        <w:trPr>
          <w:trHeight w:val="272"/>
        </w:trPr>
        <w:tc>
          <w:tcPr>
            <w:tcW w:w="2692" w:type="dxa"/>
            <w:tcBorders>
              <w:top w:val="nil"/>
            </w:tcBorders>
          </w:tcPr>
          <w:p w14:paraId="69594030" w14:textId="73D08F8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lastRenderedPageBreak/>
              <w:t>BMI</w:t>
            </w:r>
            <w:r w:rsidR="00712C4E" w:rsidRPr="004D572E">
              <w:rPr>
                <w:rFonts w:ascii="Times New Roman" w:hAnsi="Times New Roman" w:cs="Times New Roman"/>
                <w:color w:val="000000" w:themeColor="text1"/>
                <w:sz w:val="18"/>
                <w:szCs w:val="18"/>
              </w:rPr>
              <w:t xml:space="preserve"> (Kg/m</w:t>
            </w:r>
            <w:r w:rsidR="00712C4E" w:rsidRPr="004D572E">
              <w:rPr>
                <w:rFonts w:ascii="Times New Roman" w:hAnsi="Times New Roman" w:cs="Times New Roman"/>
                <w:color w:val="000000" w:themeColor="text1"/>
                <w:sz w:val="18"/>
                <w:szCs w:val="18"/>
                <w:vertAlign w:val="superscript"/>
              </w:rPr>
              <w:t>2</w:t>
            </w:r>
            <w:r w:rsidR="00712C4E" w:rsidRPr="004D572E">
              <w:rPr>
                <w:rFonts w:ascii="Times New Roman" w:hAnsi="Times New Roman" w:cs="Times New Roman"/>
                <w:color w:val="000000" w:themeColor="text1"/>
                <w:sz w:val="18"/>
                <w:szCs w:val="18"/>
              </w:rPr>
              <w:t>)</w:t>
            </w:r>
          </w:p>
        </w:tc>
        <w:tc>
          <w:tcPr>
            <w:tcW w:w="1336" w:type="dxa"/>
            <w:tcBorders>
              <w:top w:val="nil"/>
            </w:tcBorders>
          </w:tcPr>
          <w:p w14:paraId="2000674D" w14:textId="6BEAD19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28.01 (0.36)</w:t>
            </w:r>
          </w:p>
        </w:tc>
        <w:tc>
          <w:tcPr>
            <w:tcW w:w="1342" w:type="dxa"/>
            <w:tcBorders>
              <w:top w:val="nil"/>
            </w:tcBorders>
          </w:tcPr>
          <w:p w14:paraId="4A87C419" w14:textId="664E318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28.76 (0.24)</w:t>
            </w:r>
          </w:p>
        </w:tc>
        <w:tc>
          <w:tcPr>
            <w:tcW w:w="1341" w:type="dxa"/>
            <w:tcBorders>
              <w:top w:val="nil"/>
            </w:tcBorders>
          </w:tcPr>
          <w:p w14:paraId="557AC5BA" w14:textId="3C0E25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26.44 (0.33)</w:t>
            </w:r>
          </w:p>
        </w:tc>
        <w:tc>
          <w:tcPr>
            <w:tcW w:w="1342" w:type="dxa"/>
            <w:tcBorders>
              <w:top w:val="nil"/>
            </w:tcBorders>
          </w:tcPr>
          <w:p w14:paraId="620057D2" w14:textId="51723D9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25.75 (0.31)</w:t>
            </w:r>
          </w:p>
        </w:tc>
        <w:tc>
          <w:tcPr>
            <w:tcW w:w="1342" w:type="dxa"/>
            <w:tcBorders>
              <w:top w:val="nil"/>
            </w:tcBorders>
          </w:tcPr>
          <w:p w14:paraId="4235F8AB" w14:textId="0852E02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27.53 (0.16)</w:t>
            </w:r>
          </w:p>
        </w:tc>
        <w:tc>
          <w:tcPr>
            <w:tcW w:w="746" w:type="dxa"/>
            <w:tcBorders>
              <w:top w:val="nil"/>
            </w:tcBorders>
          </w:tcPr>
          <w:p w14:paraId="2B9188BF" w14:textId="3396EB4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21.29</w:t>
            </w:r>
          </w:p>
        </w:tc>
        <w:tc>
          <w:tcPr>
            <w:tcW w:w="916" w:type="dxa"/>
            <w:tcBorders>
              <w:top w:val="nil"/>
            </w:tcBorders>
          </w:tcPr>
          <w:p w14:paraId="0937CBF3" w14:textId="651D991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365BA90" w14:textId="77777777" w:rsidTr="004D572E">
        <w:trPr>
          <w:trHeight w:val="272"/>
        </w:trPr>
        <w:tc>
          <w:tcPr>
            <w:tcW w:w="2692" w:type="dxa"/>
          </w:tcPr>
          <w:p w14:paraId="2A24BC77" w14:textId="49D7001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F</w:t>
            </w:r>
            <w:r w:rsidR="00712C4E" w:rsidRPr="004D572E">
              <w:rPr>
                <w:rFonts w:ascii="Times New Roman" w:hAnsi="Times New Roman" w:cs="Times New Roman"/>
                <w:color w:val="000000" w:themeColor="text1"/>
                <w:sz w:val="18"/>
                <w:szCs w:val="18"/>
              </w:rPr>
              <w:t>asting Blood Glucose (mmol/L)</w:t>
            </w:r>
          </w:p>
        </w:tc>
        <w:tc>
          <w:tcPr>
            <w:tcW w:w="1336" w:type="dxa"/>
          </w:tcPr>
          <w:p w14:paraId="5E5EF825" w14:textId="0E19D37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6.59 (0.31)</w:t>
            </w:r>
          </w:p>
        </w:tc>
        <w:tc>
          <w:tcPr>
            <w:tcW w:w="1342" w:type="dxa"/>
          </w:tcPr>
          <w:p w14:paraId="7C629840" w14:textId="7743DF1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9.21 (0.30)</w:t>
            </w:r>
          </w:p>
        </w:tc>
        <w:tc>
          <w:tcPr>
            <w:tcW w:w="1341" w:type="dxa"/>
          </w:tcPr>
          <w:p w14:paraId="6D77D645" w14:textId="747BE76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6.94 (0.18)</w:t>
            </w:r>
          </w:p>
        </w:tc>
        <w:tc>
          <w:tcPr>
            <w:tcW w:w="1342" w:type="dxa"/>
          </w:tcPr>
          <w:p w14:paraId="2963FB32" w14:textId="1069A76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7.82 (0.21)</w:t>
            </w:r>
          </w:p>
        </w:tc>
        <w:tc>
          <w:tcPr>
            <w:tcW w:w="1342" w:type="dxa"/>
          </w:tcPr>
          <w:p w14:paraId="7BA876D1" w14:textId="6CEBE9E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7.88 (0.15)</w:t>
            </w:r>
          </w:p>
        </w:tc>
        <w:tc>
          <w:tcPr>
            <w:tcW w:w="746" w:type="dxa"/>
          </w:tcPr>
          <w:p w14:paraId="08E31EF9" w14:textId="3FCC30A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19.70</w:t>
            </w:r>
          </w:p>
        </w:tc>
        <w:tc>
          <w:tcPr>
            <w:tcW w:w="916" w:type="dxa"/>
          </w:tcPr>
          <w:p w14:paraId="0C27F16E" w14:textId="4F9CDE8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D31E06C" w14:textId="77777777" w:rsidTr="004D572E">
        <w:trPr>
          <w:trHeight w:val="272"/>
        </w:trPr>
        <w:tc>
          <w:tcPr>
            <w:tcW w:w="2692" w:type="dxa"/>
          </w:tcPr>
          <w:p w14:paraId="7D09E1E8" w14:textId="1CE636A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Cholesterol</w:t>
            </w:r>
            <w:r w:rsidR="00712C4E" w:rsidRPr="004D572E">
              <w:rPr>
                <w:rFonts w:ascii="Times New Roman" w:hAnsi="Times New Roman" w:cs="Times New Roman"/>
                <w:color w:val="000000" w:themeColor="text1"/>
                <w:sz w:val="18"/>
                <w:szCs w:val="18"/>
              </w:rPr>
              <w:t xml:space="preserve"> (mmol/L)</w:t>
            </w:r>
          </w:p>
        </w:tc>
        <w:tc>
          <w:tcPr>
            <w:tcW w:w="1336" w:type="dxa"/>
          </w:tcPr>
          <w:p w14:paraId="7F2C7D49" w14:textId="5AF1134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4.93 (0.08)</w:t>
            </w:r>
          </w:p>
        </w:tc>
        <w:tc>
          <w:tcPr>
            <w:tcW w:w="1342" w:type="dxa"/>
          </w:tcPr>
          <w:p w14:paraId="68CF4B09" w14:textId="1BA78AB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5.88 (0.07)</w:t>
            </w:r>
          </w:p>
        </w:tc>
        <w:tc>
          <w:tcPr>
            <w:tcW w:w="1341" w:type="dxa"/>
          </w:tcPr>
          <w:p w14:paraId="737E794D" w14:textId="20FDB5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5.30 (0.07)</w:t>
            </w:r>
          </w:p>
        </w:tc>
        <w:tc>
          <w:tcPr>
            <w:tcW w:w="1342" w:type="dxa"/>
          </w:tcPr>
          <w:p w14:paraId="5600616D" w14:textId="0F057F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5.05 (0.06)</w:t>
            </w:r>
          </w:p>
        </w:tc>
        <w:tc>
          <w:tcPr>
            <w:tcW w:w="1342" w:type="dxa"/>
          </w:tcPr>
          <w:p w14:paraId="67A68682" w14:textId="50AE3BA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5.39 (0.04)</w:t>
            </w:r>
          </w:p>
        </w:tc>
        <w:tc>
          <w:tcPr>
            <w:tcW w:w="746" w:type="dxa"/>
          </w:tcPr>
          <w:p w14:paraId="7A83295A" w14:textId="01EF196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39.21</w:t>
            </w:r>
          </w:p>
        </w:tc>
        <w:tc>
          <w:tcPr>
            <w:tcW w:w="916" w:type="dxa"/>
          </w:tcPr>
          <w:p w14:paraId="14D652C4" w14:textId="31CB02E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5D7D81CF" w14:textId="77777777" w:rsidTr="004D572E">
        <w:trPr>
          <w:trHeight w:val="272"/>
        </w:trPr>
        <w:tc>
          <w:tcPr>
            <w:tcW w:w="2692" w:type="dxa"/>
          </w:tcPr>
          <w:p w14:paraId="33091481" w14:textId="61320C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Trig</w:t>
            </w:r>
            <w:r w:rsidR="00712C4E" w:rsidRPr="004D572E">
              <w:rPr>
                <w:rFonts w:ascii="Times New Roman" w:hAnsi="Times New Roman" w:cs="Times New Roman"/>
                <w:color w:val="000000" w:themeColor="text1"/>
                <w:sz w:val="18"/>
                <w:szCs w:val="18"/>
              </w:rPr>
              <w:t>lycerides (mmol/L)</w:t>
            </w:r>
            <w:r w:rsidRPr="004D572E">
              <w:rPr>
                <w:rFonts w:ascii="Times New Roman" w:hAnsi="Times New Roman" w:cs="Times New Roman"/>
                <w:color w:val="000000" w:themeColor="text1"/>
                <w:sz w:val="18"/>
                <w:szCs w:val="18"/>
              </w:rPr>
              <w:t xml:space="preserve"> </w:t>
            </w:r>
          </w:p>
        </w:tc>
        <w:tc>
          <w:tcPr>
            <w:tcW w:w="1336" w:type="dxa"/>
          </w:tcPr>
          <w:p w14:paraId="7E64649D" w14:textId="2D67D9F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0.97 (0.03)</w:t>
            </w:r>
          </w:p>
        </w:tc>
        <w:tc>
          <w:tcPr>
            <w:tcW w:w="1342" w:type="dxa"/>
          </w:tcPr>
          <w:p w14:paraId="6C74CD60" w14:textId="50F50AC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1.28 (0.04)</w:t>
            </w:r>
          </w:p>
        </w:tc>
        <w:tc>
          <w:tcPr>
            <w:tcW w:w="1341" w:type="dxa"/>
          </w:tcPr>
          <w:p w14:paraId="57F7BCE8" w14:textId="4B84CEE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0.93 (0.04)</w:t>
            </w:r>
          </w:p>
        </w:tc>
        <w:tc>
          <w:tcPr>
            <w:tcW w:w="1342" w:type="dxa"/>
          </w:tcPr>
          <w:p w14:paraId="5616F2D0" w14:textId="41B1B84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0.96 (0.03)</w:t>
            </w:r>
          </w:p>
        </w:tc>
        <w:tc>
          <w:tcPr>
            <w:tcW w:w="1342" w:type="dxa"/>
          </w:tcPr>
          <w:p w14:paraId="496DE9EE" w14:textId="1ED2B8A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1.08 (0.02)</w:t>
            </w:r>
          </w:p>
        </w:tc>
        <w:tc>
          <w:tcPr>
            <w:tcW w:w="746" w:type="dxa"/>
          </w:tcPr>
          <w:p w14:paraId="18B43D89" w14:textId="2B3BA89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20.65</w:t>
            </w:r>
          </w:p>
        </w:tc>
        <w:tc>
          <w:tcPr>
            <w:tcW w:w="916" w:type="dxa"/>
          </w:tcPr>
          <w:p w14:paraId="55A95DBA" w14:textId="030F762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4B72543E" w14:textId="77777777" w:rsidTr="004D572E">
        <w:trPr>
          <w:trHeight w:val="272"/>
        </w:trPr>
        <w:tc>
          <w:tcPr>
            <w:tcW w:w="2692" w:type="dxa"/>
          </w:tcPr>
          <w:p w14:paraId="2B6B782A" w14:textId="51ADEC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w:t>
            </w:r>
            <w:r w:rsidR="00712C4E" w:rsidRPr="004D572E">
              <w:rPr>
                <w:rFonts w:ascii="Times New Roman" w:hAnsi="Times New Roman" w:cs="Times New Roman"/>
                <w:color w:val="000000" w:themeColor="text1"/>
                <w:sz w:val="18"/>
                <w:szCs w:val="18"/>
              </w:rPr>
              <w:t>-Cholesterol (mmol/L)</w:t>
            </w:r>
          </w:p>
        </w:tc>
        <w:tc>
          <w:tcPr>
            <w:tcW w:w="1336" w:type="dxa"/>
          </w:tcPr>
          <w:p w14:paraId="54EDA9B1" w14:textId="23B198D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0.85 (0.02)</w:t>
            </w:r>
          </w:p>
        </w:tc>
        <w:tc>
          <w:tcPr>
            <w:tcW w:w="1342" w:type="dxa"/>
          </w:tcPr>
          <w:p w14:paraId="3C93BB40" w14:textId="490D5D7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0.86 (0.02)</w:t>
            </w:r>
          </w:p>
        </w:tc>
        <w:tc>
          <w:tcPr>
            <w:tcW w:w="1341" w:type="dxa"/>
          </w:tcPr>
          <w:p w14:paraId="0A8358D3" w14:textId="68B8A34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0.98 (0.03)</w:t>
            </w:r>
          </w:p>
        </w:tc>
        <w:tc>
          <w:tcPr>
            <w:tcW w:w="1342" w:type="dxa"/>
          </w:tcPr>
          <w:p w14:paraId="6BF35092" w14:textId="007CE74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0.83 (0.03)</w:t>
            </w:r>
          </w:p>
        </w:tc>
        <w:tc>
          <w:tcPr>
            <w:tcW w:w="1342" w:type="dxa"/>
          </w:tcPr>
          <w:p w14:paraId="7066DA89" w14:textId="0656536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0.88 (0.01)</w:t>
            </w:r>
          </w:p>
        </w:tc>
        <w:tc>
          <w:tcPr>
            <w:tcW w:w="746" w:type="dxa"/>
          </w:tcPr>
          <w:p w14:paraId="34DAB062" w14:textId="2ABF828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7.35</w:t>
            </w:r>
          </w:p>
        </w:tc>
        <w:tc>
          <w:tcPr>
            <w:tcW w:w="916" w:type="dxa"/>
          </w:tcPr>
          <w:p w14:paraId="44AD67C2" w14:textId="3509A0D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3FBFB83E" w14:textId="77777777" w:rsidTr="004D572E">
        <w:trPr>
          <w:trHeight w:val="272"/>
        </w:trPr>
        <w:tc>
          <w:tcPr>
            <w:tcW w:w="2692" w:type="dxa"/>
          </w:tcPr>
          <w:p w14:paraId="532F7860" w14:textId="093A66C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LDL</w:t>
            </w:r>
            <w:r w:rsidR="00712C4E" w:rsidRPr="004D572E">
              <w:rPr>
                <w:rFonts w:ascii="Times New Roman" w:hAnsi="Times New Roman" w:cs="Times New Roman"/>
                <w:color w:val="000000" w:themeColor="text1"/>
                <w:sz w:val="18"/>
                <w:szCs w:val="18"/>
              </w:rPr>
              <w:t>-Cholesterol (mmol/L)</w:t>
            </w:r>
          </w:p>
        </w:tc>
        <w:tc>
          <w:tcPr>
            <w:tcW w:w="1336" w:type="dxa"/>
          </w:tcPr>
          <w:p w14:paraId="5F29ED24" w14:textId="6C56909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3.67 (0.09)</w:t>
            </w:r>
          </w:p>
        </w:tc>
        <w:tc>
          <w:tcPr>
            <w:tcW w:w="1342" w:type="dxa"/>
          </w:tcPr>
          <w:p w14:paraId="667B57FD" w14:textId="634206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4.35 (0.07)</w:t>
            </w:r>
          </w:p>
        </w:tc>
        <w:tc>
          <w:tcPr>
            <w:tcW w:w="1341" w:type="dxa"/>
          </w:tcPr>
          <w:p w14:paraId="24EB83EA" w14:textId="4C5E65F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3.91 (0.06)</w:t>
            </w:r>
          </w:p>
        </w:tc>
        <w:tc>
          <w:tcPr>
            <w:tcW w:w="1342" w:type="dxa"/>
          </w:tcPr>
          <w:p w14:paraId="7A307D46" w14:textId="28B6A71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3.82 (0.07)</w:t>
            </w:r>
          </w:p>
        </w:tc>
        <w:tc>
          <w:tcPr>
            <w:tcW w:w="1342" w:type="dxa"/>
          </w:tcPr>
          <w:p w14:paraId="3142DB65" w14:textId="6B386E5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4.00 (0.04)</w:t>
            </w:r>
          </w:p>
        </w:tc>
        <w:tc>
          <w:tcPr>
            <w:tcW w:w="746" w:type="dxa"/>
          </w:tcPr>
          <w:p w14:paraId="6CE779FF" w14:textId="542338A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17.85</w:t>
            </w:r>
          </w:p>
        </w:tc>
        <w:tc>
          <w:tcPr>
            <w:tcW w:w="916" w:type="dxa"/>
          </w:tcPr>
          <w:p w14:paraId="07401058" w14:textId="5E28F53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0D25109C" w14:textId="77777777" w:rsidTr="004D572E">
        <w:trPr>
          <w:trHeight w:val="272"/>
        </w:trPr>
        <w:tc>
          <w:tcPr>
            <w:tcW w:w="2692" w:type="dxa"/>
          </w:tcPr>
          <w:p w14:paraId="7CE6EC93" w14:textId="673E703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VLDL</w:t>
            </w:r>
            <w:r w:rsidR="00712C4E" w:rsidRPr="004D572E">
              <w:rPr>
                <w:rFonts w:ascii="Times New Roman" w:hAnsi="Times New Roman" w:cs="Times New Roman"/>
                <w:color w:val="000000" w:themeColor="text1"/>
                <w:sz w:val="18"/>
                <w:szCs w:val="18"/>
              </w:rPr>
              <w:t>-Cholesterol (mmol/L)</w:t>
            </w:r>
          </w:p>
        </w:tc>
        <w:tc>
          <w:tcPr>
            <w:tcW w:w="1336" w:type="dxa"/>
          </w:tcPr>
          <w:p w14:paraId="420EC135" w14:textId="569914D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0.44 (0.02)</w:t>
            </w:r>
          </w:p>
        </w:tc>
        <w:tc>
          <w:tcPr>
            <w:tcW w:w="1342" w:type="dxa"/>
          </w:tcPr>
          <w:p w14:paraId="4B16E732" w14:textId="239B342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0.58 (0.02)</w:t>
            </w:r>
          </w:p>
        </w:tc>
        <w:tc>
          <w:tcPr>
            <w:tcW w:w="1341" w:type="dxa"/>
          </w:tcPr>
          <w:p w14:paraId="48B033F1" w14:textId="290D285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0.42 (0.02)</w:t>
            </w:r>
          </w:p>
        </w:tc>
        <w:tc>
          <w:tcPr>
            <w:tcW w:w="1342" w:type="dxa"/>
          </w:tcPr>
          <w:p w14:paraId="2AC58908" w14:textId="5CF7920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0.44 (0.01)</w:t>
            </w:r>
          </w:p>
        </w:tc>
        <w:tc>
          <w:tcPr>
            <w:tcW w:w="1342" w:type="dxa"/>
          </w:tcPr>
          <w:p w14:paraId="7726C1A2" w14:textId="1ED192B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0.49 (0.01)</w:t>
            </w:r>
          </w:p>
        </w:tc>
        <w:tc>
          <w:tcPr>
            <w:tcW w:w="746" w:type="dxa"/>
          </w:tcPr>
          <w:p w14:paraId="24DF59DE" w14:textId="3B07EB5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20.65</w:t>
            </w:r>
          </w:p>
        </w:tc>
        <w:tc>
          <w:tcPr>
            <w:tcW w:w="916" w:type="dxa"/>
          </w:tcPr>
          <w:p w14:paraId="2787506C" w14:textId="25B45AA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80701DC" w14:textId="77777777" w:rsidTr="004D572E">
        <w:trPr>
          <w:trHeight w:val="272"/>
        </w:trPr>
        <w:tc>
          <w:tcPr>
            <w:tcW w:w="2692" w:type="dxa"/>
          </w:tcPr>
          <w:p w14:paraId="3044FC04" w14:textId="6125B4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HDL/LDL</w:t>
            </w:r>
          </w:p>
        </w:tc>
        <w:tc>
          <w:tcPr>
            <w:tcW w:w="1336" w:type="dxa"/>
          </w:tcPr>
          <w:p w14:paraId="6184FA45" w14:textId="4DD2EA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0.25 (0.01)</w:t>
            </w:r>
          </w:p>
        </w:tc>
        <w:tc>
          <w:tcPr>
            <w:tcW w:w="1342" w:type="dxa"/>
          </w:tcPr>
          <w:p w14:paraId="45821A95" w14:textId="6AD57F3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0.21 (0.01)</w:t>
            </w:r>
          </w:p>
        </w:tc>
        <w:tc>
          <w:tcPr>
            <w:tcW w:w="1341" w:type="dxa"/>
          </w:tcPr>
          <w:p w14:paraId="2B42A716" w14:textId="545D104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0.26 (0.01)</w:t>
            </w:r>
          </w:p>
        </w:tc>
        <w:tc>
          <w:tcPr>
            <w:tcW w:w="1342" w:type="dxa"/>
          </w:tcPr>
          <w:p w14:paraId="3710D27B" w14:textId="7C78802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0.24 (0.01)</w:t>
            </w:r>
          </w:p>
        </w:tc>
        <w:tc>
          <w:tcPr>
            <w:tcW w:w="1342" w:type="dxa"/>
          </w:tcPr>
          <w:p w14:paraId="1B678A35" w14:textId="693C425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0.24 (0.004)</w:t>
            </w:r>
          </w:p>
        </w:tc>
        <w:tc>
          <w:tcPr>
            <w:tcW w:w="746" w:type="dxa"/>
          </w:tcPr>
          <w:p w14:paraId="6E2DDEB4" w14:textId="39DB7A2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6.01</w:t>
            </w:r>
          </w:p>
        </w:tc>
        <w:tc>
          <w:tcPr>
            <w:tcW w:w="916" w:type="dxa"/>
          </w:tcPr>
          <w:p w14:paraId="70C59C38" w14:textId="67C8B8E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3A1F93C7" w14:textId="77777777" w:rsidTr="004D572E">
        <w:trPr>
          <w:trHeight w:val="272"/>
        </w:trPr>
        <w:tc>
          <w:tcPr>
            <w:tcW w:w="2692" w:type="dxa"/>
          </w:tcPr>
          <w:p w14:paraId="7F88031A" w14:textId="6F88643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TG/CHOL</w:t>
            </w:r>
          </w:p>
        </w:tc>
        <w:tc>
          <w:tcPr>
            <w:tcW w:w="1336" w:type="dxa"/>
          </w:tcPr>
          <w:p w14:paraId="1FEBF575" w14:textId="380EE4F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0.21 (0.01)</w:t>
            </w:r>
          </w:p>
        </w:tc>
        <w:tc>
          <w:tcPr>
            <w:tcW w:w="1342" w:type="dxa"/>
          </w:tcPr>
          <w:p w14:paraId="3A344A78" w14:textId="1F27FB3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0.22 (0.01)</w:t>
            </w:r>
          </w:p>
        </w:tc>
        <w:tc>
          <w:tcPr>
            <w:tcW w:w="1341" w:type="dxa"/>
          </w:tcPr>
          <w:p w14:paraId="0319A395" w14:textId="3498251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0.17 (0.01)</w:t>
            </w:r>
          </w:p>
        </w:tc>
        <w:tc>
          <w:tcPr>
            <w:tcW w:w="1342" w:type="dxa"/>
          </w:tcPr>
          <w:p w14:paraId="09A53145" w14:textId="690C9BE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0.19 (0.01)</w:t>
            </w:r>
          </w:p>
        </w:tc>
        <w:tc>
          <w:tcPr>
            <w:tcW w:w="1342" w:type="dxa"/>
          </w:tcPr>
          <w:p w14:paraId="215FE901" w14:textId="61D5069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0.20 (0.004)</w:t>
            </w:r>
          </w:p>
        </w:tc>
        <w:tc>
          <w:tcPr>
            <w:tcW w:w="746" w:type="dxa"/>
          </w:tcPr>
          <w:p w14:paraId="777A9A07" w14:textId="378829D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8.66</w:t>
            </w:r>
          </w:p>
        </w:tc>
        <w:tc>
          <w:tcPr>
            <w:tcW w:w="916" w:type="dxa"/>
          </w:tcPr>
          <w:p w14:paraId="3573E4DC" w14:textId="7D34A39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D659E1B" w14:textId="77777777" w:rsidTr="004D572E">
        <w:trPr>
          <w:trHeight w:val="272"/>
        </w:trPr>
        <w:tc>
          <w:tcPr>
            <w:tcW w:w="2692" w:type="dxa"/>
          </w:tcPr>
          <w:p w14:paraId="29FE586E" w14:textId="2E1DCE0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NON-HDL</w:t>
            </w:r>
          </w:p>
        </w:tc>
        <w:tc>
          <w:tcPr>
            <w:tcW w:w="1336" w:type="dxa"/>
          </w:tcPr>
          <w:p w14:paraId="1D932FE8" w14:textId="1D10552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4.09 (0.08)</w:t>
            </w:r>
          </w:p>
        </w:tc>
        <w:tc>
          <w:tcPr>
            <w:tcW w:w="1342" w:type="dxa"/>
          </w:tcPr>
          <w:p w14:paraId="32A196BF" w14:textId="3C54BBD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5.03 (0.07)</w:t>
            </w:r>
          </w:p>
        </w:tc>
        <w:tc>
          <w:tcPr>
            <w:tcW w:w="1341" w:type="dxa"/>
          </w:tcPr>
          <w:p w14:paraId="7C20F174" w14:textId="43C0F0C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4.32 (0.07)</w:t>
            </w:r>
          </w:p>
        </w:tc>
        <w:tc>
          <w:tcPr>
            <w:tcW w:w="1342" w:type="dxa"/>
          </w:tcPr>
          <w:p w14:paraId="16DBE7B4" w14:textId="534619F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4.22 (0.07I</w:t>
            </w:r>
          </w:p>
        </w:tc>
        <w:tc>
          <w:tcPr>
            <w:tcW w:w="1342" w:type="dxa"/>
          </w:tcPr>
          <w:p w14:paraId="0D54A1E9" w14:textId="6CE94F2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4.51 (0.04)</w:t>
            </w:r>
          </w:p>
        </w:tc>
        <w:tc>
          <w:tcPr>
            <w:tcW w:w="746" w:type="dxa"/>
          </w:tcPr>
          <w:p w14:paraId="02D41FFF" w14:textId="7DB9AA7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36.55</w:t>
            </w:r>
          </w:p>
        </w:tc>
        <w:tc>
          <w:tcPr>
            <w:tcW w:w="916" w:type="dxa"/>
          </w:tcPr>
          <w:p w14:paraId="1EDC1D88" w14:textId="2F79A90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4ECBC78A" w14:textId="77777777" w:rsidTr="004D572E">
        <w:trPr>
          <w:trHeight w:val="272"/>
        </w:trPr>
        <w:tc>
          <w:tcPr>
            <w:tcW w:w="2692" w:type="dxa"/>
          </w:tcPr>
          <w:p w14:paraId="3148B466" w14:textId="28BE0D1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index of plasma</w:t>
            </w:r>
          </w:p>
        </w:tc>
        <w:tc>
          <w:tcPr>
            <w:tcW w:w="1336" w:type="dxa"/>
          </w:tcPr>
          <w:p w14:paraId="4D3D6C72" w14:textId="09A498A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0.04 (0.03)</w:t>
            </w:r>
          </w:p>
        </w:tc>
        <w:tc>
          <w:tcPr>
            <w:tcW w:w="1342" w:type="dxa"/>
          </w:tcPr>
          <w:p w14:paraId="48761E84" w14:textId="6CBD708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0.16 (0.02)</w:t>
            </w:r>
          </w:p>
        </w:tc>
        <w:tc>
          <w:tcPr>
            <w:tcW w:w="1341" w:type="dxa"/>
          </w:tcPr>
          <w:p w14:paraId="767D8444" w14:textId="485B2A8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-0.06 (0.03)</w:t>
            </w:r>
          </w:p>
        </w:tc>
        <w:tc>
          <w:tcPr>
            <w:tcW w:w="1342" w:type="dxa"/>
          </w:tcPr>
          <w:p w14:paraId="48482E7F" w14:textId="57B7358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0.07 (0.02)</w:t>
            </w:r>
          </w:p>
        </w:tc>
        <w:tc>
          <w:tcPr>
            <w:tcW w:w="1342" w:type="dxa"/>
          </w:tcPr>
          <w:p w14:paraId="142C997A" w14:textId="24984FA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0.07 (0.01)</w:t>
            </w:r>
          </w:p>
        </w:tc>
        <w:tc>
          <w:tcPr>
            <w:tcW w:w="746" w:type="dxa"/>
          </w:tcPr>
          <w:p w14:paraId="0E08A0E9" w14:textId="56CC97A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19.23</w:t>
            </w:r>
          </w:p>
        </w:tc>
        <w:tc>
          <w:tcPr>
            <w:tcW w:w="916" w:type="dxa"/>
          </w:tcPr>
          <w:p w14:paraId="7C11B7F9" w14:textId="1087BA7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18CF2D7" w14:textId="77777777" w:rsidTr="004D572E">
        <w:trPr>
          <w:trHeight w:val="272"/>
        </w:trPr>
        <w:tc>
          <w:tcPr>
            <w:tcW w:w="2692" w:type="dxa"/>
          </w:tcPr>
          <w:p w14:paraId="0A3B4510" w14:textId="712210C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coefficient</w:t>
            </w:r>
          </w:p>
        </w:tc>
        <w:tc>
          <w:tcPr>
            <w:tcW w:w="1336" w:type="dxa"/>
          </w:tcPr>
          <w:p w14:paraId="1ED51E9A" w14:textId="3ACDBC8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5.71 (0.36)</w:t>
            </w:r>
          </w:p>
        </w:tc>
        <w:tc>
          <w:tcPr>
            <w:tcW w:w="1342" w:type="dxa"/>
          </w:tcPr>
          <w:p w14:paraId="7103BEBA" w14:textId="470626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7.32 (0.34)</w:t>
            </w:r>
          </w:p>
        </w:tc>
        <w:tc>
          <w:tcPr>
            <w:tcW w:w="1341" w:type="dxa"/>
          </w:tcPr>
          <w:p w14:paraId="37B8DC08" w14:textId="236CA07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5.03 (0.20)</w:t>
            </w:r>
          </w:p>
        </w:tc>
        <w:tc>
          <w:tcPr>
            <w:tcW w:w="1342" w:type="dxa"/>
          </w:tcPr>
          <w:p w14:paraId="49DDFF7D" w14:textId="13EA99C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6.13 (0.33)</w:t>
            </w:r>
          </w:p>
        </w:tc>
        <w:tc>
          <w:tcPr>
            <w:tcW w:w="1342" w:type="dxa"/>
          </w:tcPr>
          <w:p w14:paraId="649F3D6B" w14:textId="013B32F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6.25 (0.17)</w:t>
            </w:r>
          </w:p>
        </w:tc>
        <w:tc>
          <w:tcPr>
            <w:tcW w:w="746" w:type="dxa"/>
          </w:tcPr>
          <w:p w14:paraId="4C0417FF" w14:textId="01E1C89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9.44</w:t>
            </w:r>
          </w:p>
        </w:tc>
        <w:tc>
          <w:tcPr>
            <w:tcW w:w="916" w:type="dxa"/>
          </w:tcPr>
          <w:p w14:paraId="54198194" w14:textId="0C8495B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0F04A3BA" w14:textId="77777777" w:rsidTr="004D572E">
        <w:trPr>
          <w:trHeight w:val="272"/>
        </w:trPr>
        <w:tc>
          <w:tcPr>
            <w:tcW w:w="2692" w:type="dxa"/>
          </w:tcPr>
          <w:p w14:paraId="7256B987" w14:textId="596FDD1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1</w:t>
            </w:r>
          </w:p>
        </w:tc>
        <w:tc>
          <w:tcPr>
            <w:tcW w:w="1336" w:type="dxa"/>
          </w:tcPr>
          <w:p w14:paraId="0418629D" w14:textId="515D370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6.71 (0.36)</w:t>
            </w:r>
          </w:p>
        </w:tc>
        <w:tc>
          <w:tcPr>
            <w:tcW w:w="1342" w:type="dxa"/>
          </w:tcPr>
          <w:p w14:paraId="368BCA2C" w14:textId="61B9AC4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8.32 (0.34)</w:t>
            </w:r>
          </w:p>
        </w:tc>
        <w:tc>
          <w:tcPr>
            <w:tcW w:w="1341" w:type="dxa"/>
          </w:tcPr>
          <w:p w14:paraId="2BD7C91C" w14:textId="284030A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6.03 (0.20)</w:t>
            </w:r>
          </w:p>
        </w:tc>
        <w:tc>
          <w:tcPr>
            <w:tcW w:w="1342" w:type="dxa"/>
          </w:tcPr>
          <w:p w14:paraId="104B09D2" w14:textId="09FFDBD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7.13 (0.33)</w:t>
            </w:r>
          </w:p>
        </w:tc>
        <w:tc>
          <w:tcPr>
            <w:tcW w:w="1342" w:type="dxa"/>
          </w:tcPr>
          <w:p w14:paraId="29C47E2E" w14:textId="458F6D6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7.25 (0.17)</w:t>
            </w:r>
          </w:p>
        </w:tc>
        <w:tc>
          <w:tcPr>
            <w:tcW w:w="746" w:type="dxa"/>
          </w:tcPr>
          <w:p w14:paraId="722969B9" w14:textId="4DD91F2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9.44</w:t>
            </w:r>
          </w:p>
        </w:tc>
        <w:tc>
          <w:tcPr>
            <w:tcW w:w="916" w:type="dxa"/>
          </w:tcPr>
          <w:p w14:paraId="39C9D532" w14:textId="4ADE123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A1A359C" w14:textId="77777777" w:rsidTr="004D572E">
        <w:trPr>
          <w:trHeight w:val="272"/>
        </w:trPr>
        <w:tc>
          <w:tcPr>
            <w:tcW w:w="2692" w:type="dxa"/>
          </w:tcPr>
          <w:p w14:paraId="72EDCDED" w14:textId="16AE7CC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2</w:t>
            </w:r>
          </w:p>
        </w:tc>
        <w:tc>
          <w:tcPr>
            <w:tcW w:w="1336" w:type="dxa"/>
          </w:tcPr>
          <w:p w14:paraId="2801E2ED" w14:textId="343F04F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5.10 (0.32)</w:t>
            </w:r>
          </w:p>
        </w:tc>
        <w:tc>
          <w:tcPr>
            <w:tcW w:w="1342" w:type="dxa"/>
          </w:tcPr>
          <w:p w14:paraId="6B6B723D" w14:textId="02F6FD0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6.46 (0.33)</w:t>
            </w:r>
          </w:p>
        </w:tc>
        <w:tc>
          <w:tcPr>
            <w:tcW w:w="1341" w:type="dxa"/>
          </w:tcPr>
          <w:p w14:paraId="140A8DB1" w14:textId="23C96BF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4.57 (0.19)</w:t>
            </w:r>
          </w:p>
        </w:tc>
        <w:tc>
          <w:tcPr>
            <w:tcW w:w="1342" w:type="dxa"/>
          </w:tcPr>
          <w:p w14:paraId="73EA78C5" w14:textId="4B8DE32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5.54 (0.29)</w:t>
            </w:r>
          </w:p>
        </w:tc>
        <w:tc>
          <w:tcPr>
            <w:tcW w:w="1342" w:type="dxa"/>
          </w:tcPr>
          <w:p w14:paraId="0528039F" w14:textId="6B66F0A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5.58 (0.16)</w:t>
            </w:r>
          </w:p>
        </w:tc>
        <w:tc>
          <w:tcPr>
            <w:tcW w:w="746" w:type="dxa"/>
          </w:tcPr>
          <w:p w14:paraId="6B1FAD85" w14:textId="57ABB7D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7.45</w:t>
            </w:r>
          </w:p>
        </w:tc>
        <w:tc>
          <w:tcPr>
            <w:tcW w:w="916" w:type="dxa"/>
          </w:tcPr>
          <w:p w14:paraId="3950C173" w14:textId="175C574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BEAD9C6" w14:textId="77777777" w:rsidTr="004D572E">
        <w:trPr>
          <w:trHeight w:val="272"/>
        </w:trPr>
        <w:tc>
          <w:tcPr>
            <w:tcW w:w="2692" w:type="dxa"/>
          </w:tcPr>
          <w:p w14:paraId="5013504D" w14:textId="5577D58C"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TC/LDL</w:t>
            </w:r>
          </w:p>
        </w:tc>
        <w:tc>
          <w:tcPr>
            <w:tcW w:w="1336" w:type="dxa"/>
          </w:tcPr>
          <w:p w14:paraId="0FFC795C" w14:textId="636DCB73"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1.38 (0.01I)</w:t>
            </w:r>
          </w:p>
        </w:tc>
        <w:tc>
          <w:tcPr>
            <w:tcW w:w="1342" w:type="dxa"/>
          </w:tcPr>
          <w:p w14:paraId="63C87AAA" w14:textId="29E6D6D6"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1.81 (0.26)</w:t>
            </w:r>
          </w:p>
        </w:tc>
        <w:tc>
          <w:tcPr>
            <w:tcW w:w="1341" w:type="dxa"/>
          </w:tcPr>
          <w:p w14:paraId="1D16A719" w14:textId="65D1B374"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1.36 (0.01)</w:t>
            </w:r>
          </w:p>
        </w:tc>
        <w:tc>
          <w:tcPr>
            <w:tcW w:w="1342" w:type="dxa"/>
          </w:tcPr>
          <w:p w14:paraId="09152DAC" w14:textId="23584B0F"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1.35 (0.01)</w:t>
            </w:r>
          </w:p>
        </w:tc>
        <w:tc>
          <w:tcPr>
            <w:tcW w:w="1342" w:type="dxa"/>
          </w:tcPr>
          <w:p w14:paraId="0C85CCD2" w14:textId="6F96399D"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1.53 (0.10)</w:t>
            </w:r>
          </w:p>
        </w:tc>
        <w:tc>
          <w:tcPr>
            <w:tcW w:w="746" w:type="dxa"/>
          </w:tcPr>
          <w:p w14:paraId="040F43A6" w14:textId="6AC50ACC"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1.68</w:t>
            </w:r>
          </w:p>
        </w:tc>
        <w:tc>
          <w:tcPr>
            <w:tcW w:w="916" w:type="dxa"/>
          </w:tcPr>
          <w:p w14:paraId="58A2E2FD" w14:textId="3DAB080A"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0.17</w:t>
            </w:r>
          </w:p>
        </w:tc>
      </w:tr>
      <w:tr w:rsidR="004D572E" w:rsidRPr="004D572E" w14:paraId="32CBB366" w14:textId="77777777" w:rsidTr="004D572E">
        <w:trPr>
          <w:trHeight w:val="272"/>
        </w:trPr>
        <w:tc>
          <w:tcPr>
            <w:tcW w:w="2692" w:type="dxa"/>
          </w:tcPr>
          <w:p w14:paraId="37F20A04" w14:textId="6F4B78B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TC/TG</w:t>
            </w:r>
          </w:p>
        </w:tc>
        <w:tc>
          <w:tcPr>
            <w:tcW w:w="1336" w:type="dxa"/>
          </w:tcPr>
          <w:p w14:paraId="5B770987" w14:textId="7A4A894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6.28 (0.28)</w:t>
            </w:r>
          </w:p>
        </w:tc>
        <w:tc>
          <w:tcPr>
            <w:tcW w:w="1342" w:type="dxa"/>
          </w:tcPr>
          <w:p w14:paraId="00B5643A" w14:textId="492895F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5.51 (0.14)</w:t>
            </w:r>
          </w:p>
        </w:tc>
        <w:tc>
          <w:tcPr>
            <w:tcW w:w="1341" w:type="dxa"/>
          </w:tcPr>
          <w:p w14:paraId="49D2B2ED" w14:textId="0FC8E83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7.47 (0.42)</w:t>
            </w:r>
          </w:p>
        </w:tc>
        <w:tc>
          <w:tcPr>
            <w:tcW w:w="1342" w:type="dxa"/>
          </w:tcPr>
          <w:p w14:paraId="33270E3C" w14:textId="4455D19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 xml:space="preserve">5.85 (0.19)                                                                                                                                                                                                             </w:t>
            </w:r>
          </w:p>
        </w:tc>
        <w:tc>
          <w:tcPr>
            <w:tcW w:w="1342" w:type="dxa"/>
          </w:tcPr>
          <w:p w14:paraId="7C59D475" w14:textId="5670E6E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6.16 (0.13)</w:t>
            </w:r>
          </w:p>
        </w:tc>
        <w:tc>
          <w:tcPr>
            <w:tcW w:w="746" w:type="dxa"/>
          </w:tcPr>
          <w:p w14:paraId="1D388358" w14:textId="37F42AC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11.58</w:t>
            </w:r>
          </w:p>
        </w:tc>
        <w:tc>
          <w:tcPr>
            <w:tcW w:w="916" w:type="dxa"/>
          </w:tcPr>
          <w:p w14:paraId="1C137DBE" w14:textId="29EDE83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594BDB10" w14:textId="77777777" w:rsidTr="004D572E">
        <w:trPr>
          <w:trHeight w:val="272"/>
        </w:trPr>
        <w:tc>
          <w:tcPr>
            <w:tcW w:w="2692" w:type="dxa"/>
          </w:tcPr>
          <w:p w14:paraId="1A7618AD" w14:textId="3610E54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TC/HDL</w:t>
            </w:r>
          </w:p>
        </w:tc>
        <w:tc>
          <w:tcPr>
            <w:tcW w:w="1336" w:type="dxa"/>
          </w:tcPr>
          <w:p w14:paraId="3F9D5F4B" w14:textId="3509351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6.71 (0.36)</w:t>
            </w:r>
          </w:p>
        </w:tc>
        <w:tc>
          <w:tcPr>
            <w:tcW w:w="1342" w:type="dxa"/>
          </w:tcPr>
          <w:p w14:paraId="135D8DCD" w14:textId="11E04D8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8.32 (0.34)</w:t>
            </w:r>
          </w:p>
        </w:tc>
        <w:tc>
          <w:tcPr>
            <w:tcW w:w="1341" w:type="dxa"/>
          </w:tcPr>
          <w:p w14:paraId="0715A4E1" w14:textId="155977C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6.03 (0.20)</w:t>
            </w:r>
          </w:p>
        </w:tc>
        <w:tc>
          <w:tcPr>
            <w:tcW w:w="1342" w:type="dxa"/>
          </w:tcPr>
          <w:p w14:paraId="6462F014" w14:textId="289693D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7.13 (0.33)</w:t>
            </w:r>
          </w:p>
        </w:tc>
        <w:tc>
          <w:tcPr>
            <w:tcW w:w="1342" w:type="dxa"/>
          </w:tcPr>
          <w:p w14:paraId="42A10CC7" w14:textId="5E7A016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7.25 (0.17)</w:t>
            </w:r>
          </w:p>
        </w:tc>
        <w:tc>
          <w:tcPr>
            <w:tcW w:w="746" w:type="dxa"/>
          </w:tcPr>
          <w:p w14:paraId="3773FC25" w14:textId="2D1A3B0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9.44</w:t>
            </w:r>
          </w:p>
        </w:tc>
        <w:tc>
          <w:tcPr>
            <w:tcW w:w="916" w:type="dxa"/>
          </w:tcPr>
          <w:p w14:paraId="779CE6B6" w14:textId="283C28D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54DF695" w14:textId="77777777" w:rsidTr="004D572E">
        <w:trPr>
          <w:trHeight w:val="272"/>
        </w:trPr>
        <w:tc>
          <w:tcPr>
            <w:tcW w:w="2692" w:type="dxa"/>
          </w:tcPr>
          <w:p w14:paraId="7CEDFE43" w14:textId="5353111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TG/HDL</w:t>
            </w:r>
          </w:p>
        </w:tc>
        <w:tc>
          <w:tcPr>
            <w:tcW w:w="1336" w:type="dxa"/>
          </w:tcPr>
          <w:p w14:paraId="51405D94" w14:textId="4CFE93C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1.42 (0.10)</w:t>
            </w:r>
          </w:p>
        </w:tc>
        <w:tc>
          <w:tcPr>
            <w:tcW w:w="1342" w:type="dxa"/>
          </w:tcPr>
          <w:p w14:paraId="2D52DFBE" w14:textId="672F816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1.66 (0.06)</w:t>
            </w:r>
          </w:p>
        </w:tc>
        <w:tc>
          <w:tcPr>
            <w:tcW w:w="1341" w:type="dxa"/>
          </w:tcPr>
          <w:p w14:paraId="5F5E41DB" w14:textId="694EA98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1.05 (0.05)</w:t>
            </w:r>
          </w:p>
        </w:tc>
        <w:tc>
          <w:tcPr>
            <w:tcW w:w="1342" w:type="dxa"/>
          </w:tcPr>
          <w:p w14:paraId="3E11537D" w14:textId="1D47A1F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1.42 (0.10)</w:t>
            </w:r>
          </w:p>
        </w:tc>
        <w:tc>
          <w:tcPr>
            <w:tcW w:w="1342" w:type="dxa"/>
          </w:tcPr>
          <w:p w14:paraId="39BCAF96" w14:textId="1D5DFDF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1.43 (0.04)</w:t>
            </w:r>
          </w:p>
        </w:tc>
        <w:tc>
          <w:tcPr>
            <w:tcW w:w="746" w:type="dxa"/>
          </w:tcPr>
          <w:p w14:paraId="16A8EAC8" w14:textId="0F98E24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11.49</w:t>
            </w:r>
          </w:p>
        </w:tc>
        <w:tc>
          <w:tcPr>
            <w:tcW w:w="916" w:type="dxa"/>
          </w:tcPr>
          <w:p w14:paraId="6943B399" w14:textId="5F1691F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3611AFF1" w14:textId="77777777" w:rsidTr="004D572E">
        <w:trPr>
          <w:trHeight w:val="272"/>
        </w:trPr>
        <w:tc>
          <w:tcPr>
            <w:tcW w:w="2692" w:type="dxa"/>
          </w:tcPr>
          <w:p w14:paraId="5A923635" w14:textId="50A8526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TYG</w:t>
            </w:r>
          </w:p>
        </w:tc>
        <w:tc>
          <w:tcPr>
            <w:tcW w:w="1336" w:type="dxa"/>
          </w:tcPr>
          <w:p w14:paraId="36366E44" w14:textId="5FFEFE8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0.72 (0.02)</w:t>
            </w:r>
          </w:p>
        </w:tc>
        <w:tc>
          <w:tcPr>
            <w:tcW w:w="1342" w:type="dxa"/>
          </w:tcPr>
          <w:p w14:paraId="6130E677" w14:textId="1AD2A86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0.97 (0.02)</w:t>
            </w:r>
          </w:p>
        </w:tc>
        <w:tc>
          <w:tcPr>
            <w:tcW w:w="1341" w:type="dxa"/>
          </w:tcPr>
          <w:p w14:paraId="2C06532D" w14:textId="53FF209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0.73 (0.03)</w:t>
            </w:r>
          </w:p>
        </w:tc>
        <w:tc>
          <w:tcPr>
            <w:tcW w:w="1342" w:type="dxa"/>
          </w:tcPr>
          <w:p w14:paraId="09B1A710" w14:textId="478793E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0.83 (0.02)</w:t>
            </w:r>
          </w:p>
        </w:tc>
        <w:tc>
          <w:tcPr>
            <w:tcW w:w="1342" w:type="dxa"/>
          </w:tcPr>
          <w:p w14:paraId="7F62CFC0" w14:textId="57CCB9E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0.84 (0.01)</w:t>
            </w:r>
          </w:p>
        </w:tc>
        <w:tc>
          <w:tcPr>
            <w:tcW w:w="746" w:type="dxa"/>
          </w:tcPr>
          <w:p w14:paraId="0CC8E8C5" w14:textId="772E8F0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30.99</w:t>
            </w:r>
          </w:p>
        </w:tc>
        <w:tc>
          <w:tcPr>
            <w:tcW w:w="916" w:type="dxa"/>
          </w:tcPr>
          <w:p w14:paraId="12969653" w14:textId="15C4957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bl>
    <w:p w14:paraId="75EC8402" w14:textId="7B10C98C" w:rsidR="009C239E" w:rsidRDefault="009C239E"/>
    <w:p w14:paraId="4E10EC21" w14:textId="7A3F99F5" w:rsidR="004D572E" w:rsidRDefault="004D572E"/>
    <w:p w14:paraId="75024263" w14:textId="72B9CFDD" w:rsidR="004D572E" w:rsidRDefault="004D572E"/>
    <w:p w14:paraId="5D6853E2" w14:textId="0666F606" w:rsidR="004D572E" w:rsidRDefault="004D572E"/>
    <w:p w14:paraId="36F8ED64" w14:textId="06B7EB6D" w:rsidR="004D572E" w:rsidRDefault="004D572E"/>
    <w:p w14:paraId="58CF5CC2" w14:textId="2626661B" w:rsidR="004D572E" w:rsidRDefault="004D572E"/>
    <w:p w14:paraId="2A27D54E" w14:textId="552ECD5A" w:rsidR="004D572E" w:rsidRDefault="004D572E"/>
    <w:p w14:paraId="7F88E27D" w14:textId="4165CBB9" w:rsidR="004D572E" w:rsidRDefault="004D572E"/>
    <w:p w14:paraId="79454ADA" w14:textId="72557472" w:rsidR="004D572E" w:rsidRDefault="004D572E"/>
    <w:p w14:paraId="53611EF1" w14:textId="4FECE22F" w:rsidR="004D572E" w:rsidRDefault="004D572E"/>
    <w:p w14:paraId="4DAE0EB9" w14:textId="2977AD65" w:rsidR="004D572E" w:rsidRDefault="004D572E"/>
    <w:p w14:paraId="68E1D793" w14:textId="77777777" w:rsidR="004D572E" w:rsidRDefault="004D572E"/>
    <w:p w14:paraId="3B90A8AA" w14:textId="683C7AF5" w:rsidR="006B2DA9" w:rsidRDefault="006B2DA9" w:rsidP="006B2DA9">
      <w:pPr>
        <w:autoSpaceDE w:val="0"/>
        <w:autoSpaceDN w:val="0"/>
        <w:adjustRightInd w:val="0"/>
        <w:spacing w:after="0" w:line="240" w:lineRule="auto"/>
        <w:rPr>
          <w:rFonts w:ascii="Times New Roman" w:hAnsi="Times New Roman" w:cs="Times New Roman"/>
          <w:sz w:val="24"/>
          <w:szCs w:val="24"/>
        </w:rPr>
      </w:pPr>
    </w:p>
    <w:p w14:paraId="7345EFF4" w14:textId="1EAF501D" w:rsidR="0066083D" w:rsidRDefault="00B30400" w:rsidP="006B2DA9">
      <w:pPr>
        <w:autoSpaceDE w:val="0"/>
        <w:autoSpaceDN w:val="0"/>
        <w:adjustRightInd w:val="0"/>
        <w:spacing w:after="0" w:line="240" w:lineRule="auto"/>
        <w:rPr>
          <w:rFonts w:ascii="Times New Roman" w:hAnsi="Times New Roman" w:cs="Times New Roman"/>
          <w:sz w:val="24"/>
          <w:szCs w:val="24"/>
        </w:rPr>
      </w:pPr>
      <w:r>
        <w:rPr>
          <w:rStyle w:val="Strong"/>
        </w:rPr>
        <w:t>Table 3b:</w:t>
      </w:r>
      <w:r>
        <w:t xml:space="preserve"> Post hoc multiple comparison analysis of age, anthropometric, </w:t>
      </w:r>
      <w:proofErr w:type="spellStart"/>
      <w:r>
        <w:t>glycaemic</w:t>
      </w:r>
      <w:proofErr w:type="spellEnd"/>
      <w:r>
        <w:t xml:space="preserve">, lipid, and </w:t>
      </w:r>
      <w:proofErr w:type="spellStart"/>
      <w:r>
        <w:t>atherogenic</w:t>
      </w:r>
      <w:proofErr w:type="spellEnd"/>
      <w:r>
        <w:t xml:space="preserve"> parameters across duration of diabetes mellitus.</w:t>
      </w:r>
    </w:p>
    <w:p w14:paraId="22855C4B" w14:textId="71327AC4" w:rsidR="00A86D34" w:rsidRDefault="00A86D34" w:rsidP="006B2DA9">
      <w:pPr>
        <w:autoSpaceDE w:val="0"/>
        <w:autoSpaceDN w:val="0"/>
        <w:adjustRightInd w:val="0"/>
        <w:spacing w:after="0" w:line="240" w:lineRule="auto"/>
        <w:rPr>
          <w:rFonts w:ascii="Times New Roman" w:hAnsi="Times New Roman" w:cs="Times New Roman"/>
          <w:sz w:val="24"/>
          <w:szCs w:val="24"/>
        </w:rPr>
      </w:pP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7"/>
        <w:gridCol w:w="1418"/>
        <w:gridCol w:w="1701"/>
        <w:gridCol w:w="992"/>
        <w:gridCol w:w="992"/>
      </w:tblGrid>
      <w:tr w:rsidR="004D572E" w:rsidRPr="004D572E" w14:paraId="6B71BAE0" w14:textId="77777777" w:rsidTr="00712C4E">
        <w:trPr>
          <w:trHeight w:val="228"/>
        </w:trPr>
        <w:tc>
          <w:tcPr>
            <w:tcW w:w="2689" w:type="dxa"/>
            <w:tcBorders>
              <w:bottom w:val="single" w:sz="4" w:space="0" w:color="auto"/>
            </w:tcBorders>
            <w:vAlign w:val="bottom"/>
          </w:tcPr>
          <w:p w14:paraId="3A767879"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Dependent Variable</w:t>
            </w:r>
          </w:p>
        </w:tc>
        <w:tc>
          <w:tcPr>
            <w:tcW w:w="1417" w:type="dxa"/>
            <w:tcBorders>
              <w:bottom w:val="single" w:sz="4" w:space="0" w:color="auto"/>
            </w:tcBorders>
            <w:vAlign w:val="bottom"/>
          </w:tcPr>
          <w:p w14:paraId="6DF88735" w14:textId="48CB1452"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(I) DM DURATION</w:t>
            </w:r>
          </w:p>
        </w:tc>
        <w:tc>
          <w:tcPr>
            <w:tcW w:w="1418" w:type="dxa"/>
            <w:tcBorders>
              <w:bottom w:val="single" w:sz="4" w:space="0" w:color="auto"/>
            </w:tcBorders>
            <w:vAlign w:val="bottom"/>
          </w:tcPr>
          <w:p w14:paraId="7267E081"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(J) BMI CLASS</w:t>
            </w:r>
          </w:p>
        </w:tc>
        <w:tc>
          <w:tcPr>
            <w:tcW w:w="1701" w:type="dxa"/>
            <w:tcBorders>
              <w:bottom w:val="single" w:sz="4" w:space="0" w:color="auto"/>
            </w:tcBorders>
            <w:vAlign w:val="bottom"/>
          </w:tcPr>
          <w:p w14:paraId="161CB691"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Mean Difference (I-J)</w:t>
            </w:r>
          </w:p>
        </w:tc>
        <w:tc>
          <w:tcPr>
            <w:tcW w:w="992" w:type="dxa"/>
            <w:tcBorders>
              <w:bottom w:val="single" w:sz="4" w:space="0" w:color="auto"/>
            </w:tcBorders>
            <w:vAlign w:val="bottom"/>
          </w:tcPr>
          <w:p w14:paraId="66949C56"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Std. Error</w:t>
            </w:r>
          </w:p>
        </w:tc>
        <w:tc>
          <w:tcPr>
            <w:tcW w:w="992" w:type="dxa"/>
            <w:tcBorders>
              <w:bottom w:val="single" w:sz="4" w:space="0" w:color="auto"/>
            </w:tcBorders>
            <w:vAlign w:val="bottom"/>
          </w:tcPr>
          <w:p w14:paraId="6E3E69E7"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Sig.</w:t>
            </w:r>
          </w:p>
        </w:tc>
      </w:tr>
      <w:tr w:rsidR="004D572E" w:rsidRPr="004D572E" w14:paraId="4EBA7578" w14:textId="77777777" w:rsidTr="00712C4E">
        <w:trPr>
          <w:trHeight w:val="243"/>
        </w:trPr>
        <w:tc>
          <w:tcPr>
            <w:tcW w:w="2689" w:type="dxa"/>
            <w:tcBorders>
              <w:top w:val="single" w:sz="4" w:space="0" w:color="auto"/>
              <w:bottom w:val="nil"/>
            </w:tcBorders>
          </w:tcPr>
          <w:p w14:paraId="051B1C3D" w14:textId="77777777" w:rsidR="0066083D" w:rsidRPr="004D572E" w:rsidRDefault="0066083D" w:rsidP="0066083D">
            <w:pPr>
              <w:rPr>
                <w:b/>
                <w:bCs/>
                <w:color w:val="000000" w:themeColor="text1"/>
                <w:sz w:val="18"/>
                <w:szCs w:val="18"/>
              </w:rPr>
            </w:pPr>
            <w:r w:rsidRPr="004D572E">
              <w:rPr>
                <w:rFonts w:ascii="Arial" w:hAnsi="Arial" w:cs="Arial"/>
                <w:color w:val="000000" w:themeColor="text1"/>
                <w:sz w:val="14"/>
                <w:szCs w:val="14"/>
              </w:rPr>
              <w:t>Age</w:t>
            </w:r>
          </w:p>
        </w:tc>
        <w:tc>
          <w:tcPr>
            <w:tcW w:w="1417" w:type="dxa"/>
            <w:tcBorders>
              <w:top w:val="single" w:sz="4" w:space="0" w:color="auto"/>
              <w:bottom w:val="nil"/>
            </w:tcBorders>
          </w:tcPr>
          <w:p w14:paraId="7C17032F" w14:textId="2BAF1BD1"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&lt;5 years</w:t>
            </w:r>
          </w:p>
        </w:tc>
        <w:tc>
          <w:tcPr>
            <w:tcW w:w="1418" w:type="dxa"/>
            <w:tcBorders>
              <w:top w:val="single" w:sz="4" w:space="0" w:color="auto"/>
              <w:bottom w:val="nil"/>
            </w:tcBorders>
          </w:tcPr>
          <w:p w14:paraId="19E216AA" w14:textId="435B6150"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5-10 years</w:t>
            </w:r>
          </w:p>
        </w:tc>
        <w:tc>
          <w:tcPr>
            <w:tcW w:w="1701" w:type="dxa"/>
            <w:tcBorders>
              <w:top w:val="single" w:sz="4" w:space="0" w:color="auto"/>
              <w:bottom w:val="nil"/>
            </w:tcBorders>
          </w:tcPr>
          <w:p w14:paraId="118C4383" w14:textId="479B91E1"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2.2</w:t>
            </w:r>
            <w:r w:rsidR="006B25E4" w:rsidRPr="004D572E">
              <w:rPr>
                <w:rFonts w:ascii="Arial" w:hAnsi="Arial" w:cs="Arial"/>
                <w:color w:val="000000" w:themeColor="text1"/>
                <w:sz w:val="18"/>
                <w:szCs w:val="18"/>
              </w:rPr>
              <w:t>2</w:t>
            </w:r>
          </w:p>
        </w:tc>
        <w:tc>
          <w:tcPr>
            <w:tcW w:w="992" w:type="dxa"/>
            <w:tcBorders>
              <w:top w:val="single" w:sz="4" w:space="0" w:color="auto"/>
              <w:bottom w:val="nil"/>
            </w:tcBorders>
          </w:tcPr>
          <w:p w14:paraId="4D06C491" w14:textId="2B35CB3C" w:rsidR="0066083D" w:rsidRPr="004D572E" w:rsidRDefault="0066083D" w:rsidP="0066083D">
            <w:pPr>
              <w:jc w:val="right"/>
              <w:rPr>
                <w:color w:val="000000" w:themeColor="text1"/>
                <w:sz w:val="18"/>
                <w:szCs w:val="18"/>
              </w:rPr>
            </w:pPr>
            <w:r w:rsidRPr="004D572E">
              <w:rPr>
                <w:rFonts w:ascii="Arial" w:hAnsi="Arial" w:cs="Arial"/>
                <w:color w:val="000000" w:themeColor="text1"/>
                <w:sz w:val="18"/>
                <w:szCs w:val="18"/>
              </w:rPr>
              <w:t>0.77</w:t>
            </w:r>
          </w:p>
        </w:tc>
        <w:tc>
          <w:tcPr>
            <w:tcW w:w="992" w:type="dxa"/>
            <w:tcBorders>
              <w:top w:val="single" w:sz="4" w:space="0" w:color="auto"/>
              <w:bottom w:val="nil"/>
            </w:tcBorders>
          </w:tcPr>
          <w:p w14:paraId="17AFCF90" w14:textId="107D45C2"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.004</w:t>
            </w:r>
          </w:p>
        </w:tc>
      </w:tr>
      <w:tr w:rsidR="004D572E" w:rsidRPr="004D572E" w14:paraId="48C7A070" w14:textId="77777777" w:rsidTr="00712C4E">
        <w:trPr>
          <w:trHeight w:val="243"/>
        </w:trPr>
        <w:tc>
          <w:tcPr>
            <w:tcW w:w="2689" w:type="dxa"/>
            <w:tcBorders>
              <w:top w:val="nil"/>
            </w:tcBorders>
          </w:tcPr>
          <w:p w14:paraId="6239523C" w14:textId="77777777" w:rsidR="0066083D" w:rsidRPr="004D572E" w:rsidRDefault="0066083D" w:rsidP="0066083D">
            <w:pPr>
              <w:rPr>
                <w:rFonts w:ascii="Arial" w:hAnsi="Arial" w:cs="Arial"/>
                <w:b/>
                <w:bCs/>
                <w:color w:val="000000" w:themeColor="text1"/>
                <w:sz w:val="14"/>
                <w:szCs w:val="14"/>
              </w:rPr>
            </w:pPr>
          </w:p>
        </w:tc>
        <w:tc>
          <w:tcPr>
            <w:tcW w:w="1417" w:type="dxa"/>
            <w:tcBorders>
              <w:top w:val="nil"/>
            </w:tcBorders>
          </w:tcPr>
          <w:p w14:paraId="4C14B93D" w14:textId="77777777" w:rsidR="0066083D" w:rsidRPr="004D572E" w:rsidRDefault="0066083D" w:rsidP="0066083D">
            <w:pPr>
              <w:rPr>
                <w:color w:val="000000" w:themeColor="text1"/>
                <w:sz w:val="18"/>
                <w:szCs w:val="18"/>
              </w:rPr>
            </w:pPr>
          </w:p>
        </w:tc>
        <w:tc>
          <w:tcPr>
            <w:tcW w:w="1418" w:type="dxa"/>
            <w:tcBorders>
              <w:top w:val="nil"/>
            </w:tcBorders>
          </w:tcPr>
          <w:p w14:paraId="52133326" w14:textId="00D20F6E"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11-15 years</w:t>
            </w:r>
          </w:p>
        </w:tc>
        <w:tc>
          <w:tcPr>
            <w:tcW w:w="1701" w:type="dxa"/>
            <w:tcBorders>
              <w:top w:val="nil"/>
            </w:tcBorders>
          </w:tcPr>
          <w:p w14:paraId="459E186A" w14:textId="4E0A0AD5"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3.3</w:t>
            </w:r>
            <w:r w:rsidR="006B25E4" w:rsidRPr="004D572E">
              <w:rPr>
                <w:rFonts w:ascii="Arial" w:hAnsi="Arial" w:cs="Arial"/>
                <w:color w:val="000000" w:themeColor="text1"/>
                <w:sz w:val="18"/>
                <w:szCs w:val="18"/>
              </w:rPr>
              <w:t>2</w:t>
            </w:r>
          </w:p>
        </w:tc>
        <w:tc>
          <w:tcPr>
            <w:tcW w:w="992" w:type="dxa"/>
            <w:tcBorders>
              <w:top w:val="nil"/>
            </w:tcBorders>
          </w:tcPr>
          <w:p w14:paraId="5D1B6BA7" w14:textId="46436787" w:rsidR="0066083D" w:rsidRPr="004D572E" w:rsidRDefault="0066083D" w:rsidP="0066083D">
            <w:pPr>
              <w:jc w:val="right"/>
              <w:rPr>
                <w:color w:val="000000" w:themeColor="text1"/>
                <w:sz w:val="18"/>
                <w:szCs w:val="18"/>
              </w:rPr>
            </w:pPr>
            <w:r w:rsidRPr="004D572E">
              <w:rPr>
                <w:rFonts w:ascii="Arial" w:hAnsi="Arial" w:cs="Arial"/>
                <w:color w:val="000000" w:themeColor="text1"/>
                <w:sz w:val="18"/>
                <w:szCs w:val="18"/>
              </w:rPr>
              <w:t>0.8</w:t>
            </w:r>
            <w:r w:rsidR="006B25E4" w:rsidRPr="004D572E">
              <w:rPr>
                <w:rFonts w:ascii="Arial" w:hAnsi="Arial" w:cs="Arial"/>
                <w:color w:val="000000" w:themeColor="text1"/>
                <w:sz w:val="18"/>
                <w:szCs w:val="18"/>
              </w:rPr>
              <w:t>8</w:t>
            </w:r>
          </w:p>
        </w:tc>
        <w:tc>
          <w:tcPr>
            <w:tcW w:w="992" w:type="dxa"/>
            <w:tcBorders>
              <w:top w:val="nil"/>
            </w:tcBorders>
          </w:tcPr>
          <w:p w14:paraId="7FFDDB01" w14:textId="2E0555B3"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&lt;0</w:t>
            </w:r>
            <w:r w:rsidR="0066083D" w:rsidRPr="004D572E">
              <w:rPr>
                <w:rFonts w:ascii="Arial" w:hAnsi="Arial" w:cs="Arial"/>
                <w:color w:val="000000" w:themeColor="text1"/>
                <w:sz w:val="18"/>
                <w:szCs w:val="18"/>
              </w:rPr>
              <w:t>.000</w:t>
            </w:r>
            <w:r w:rsidRPr="004D572E">
              <w:rPr>
                <w:rFonts w:ascii="Arial" w:hAnsi="Arial" w:cs="Arial"/>
                <w:color w:val="000000" w:themeColor="text1"/>
                <w:sz w:val="18"/>
                <w:szCs w:val="18"/>
              </w:rPr>
              <w:t>1</w:t>
            </w:r>
          </w:p>
        </w:tc>
      </w:tr>
      <w:tr w:rsidR="004D572E" w:rsidRPr="004D572E" w14:paraId="40AA1524" w14:textId="77777777" w:rsidTr="00712C4E">
        <w:trPr>
          <w:trHeight w:val="108"/>
        </w:trPr>
        <w:tc>
          <w:tcPr>
            <w:tcW w:w="2689" w:type="dxa"/>
          </w:tcPr>
          <w:p w14:paraId="2D62B1E5" w14:textId="6C77271F" w:rsidR="0066083D" w:rsidRPr="004D572E" w:rsidRDefault="0066083D" w:rsidP="0066083D">
            <w:pPr>
              <w:rPr>
                <w:b/>
                <w:bCs/>
                <w:color w:val="000000" w:themeColor="text1"/>
                <w:sz w:val="18"/>
                <w:szCs w:val="18"/>
              </w:rPr>
            </w:pPr>
          </w:p>
        </w:tc>
        <w:tc>
          <w:tcPr>
            <w:tcW w:w="1417" w:type="dxa"/>
          </w:tcPr>
          <w:p w14:paraId="3E4F636D" w14:textId="709EAF2D" w:rsidR="0066083D" w:rsidRPr="004D572E" w:rsidRDefault="0066083D" w:rsidP="0066083D">
            <w:pPr>
              <w:rPr>
                <w:color w:val="000000" w:themeColor="text1"/>
                <w:sz w:val="18"/>
                <w:szCs w:val="18"/>
              </w:rPr>
            </w:pPr>
          </w:p>
        </w:tc>
        <w:tc>
          <w:tcPr>
            <w:tcW w:w="1418" w:type="dxa"/>
          </w:tcPr>
          <w:p w14:paraId="06A62026" w14:textId="766FE24B"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&gt;15 years</w:t>
            </w:r>
          </w:p>
        </w:tc>
        <w:tc>
          <w:tcPr>
            <w:tcW w:w="1701" w:type="dxa"/>
          </w:tcPr>
          <w:p w14:paraId="2E2BF339" w14:textId="3A4BC2AE"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-3.4</w:t>
            </w:r>
            <w:r w:rsidR="006B25E4" w:rsidRPr="004D572E">
              <w:rPr>
                <w:rFonts w:ascii="Arial" w:hAnsi="Arial" w:cs="Arial"/>
                <w:color w:val="000000" w:themeColor="text1"/>
                <w:sz w:val="18"/>
                <w:szCs w:val="18"/>
              </w:rPr>
              <w:t>8</w:t>
            </w:r>
          </w:p>
        </w:tc>
        <w:tc>
          <w:tcPr>
            <w:tcW w:w="992" w:type="dxa"/>
          </w:tcPr>
          <w:p w14:paraId="671EABFE" w14:textId="22E77565" w:rsidR="0066083D" w:rsidRPr="004D572E" w:rsidRDefault="0066083D" w:rsidP="0066083D">
            <w:pPr>
              <w:jc w:val="right"/>
              <w:rPr>
                <w:color w:val="000000" w:themeColor="text1"/>
                <w:sz w:val="18"/>
                <w:szCs w:val="18"/>
              </w:rPr>
            </w:pPr>
            <w:r w:rsidRPr="004D572E">
              <w:rPr>
                <w:rFonts w:ascii="Arial" w:hAnsi="Arial" w:cs="Arial"/>
                <w:color w:val="000000" w:themeColor="text1"/>
                <w:sz w:val="18"/>
                <w:szCs w:val="18"/>
              </w:rPr>
              <w:t>0.90</w:t>
            </w:r>
          </w:p>
        </w:tc>
        <w:tc>
          <w:tcPr>
            <w:tcW w:w="992" w:type="dxa"/>
          </w:tcPr>
          <w:p w14:paraId="1EB92AC2" w14:textId="4792EB8E"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&lt;0.0001</w:t>
            </w:r>
          </w:p>
        </w:tc>
      </w:tr>
      <w:tr w:rsidR="004D572E" w:rsidRPr="004D572E" w14:paraId="491E02E3" w14:textId="77777777" w:rsidTr="00712C4E">
        <w:trPr>
          <w:trHeight w:val="228"/>
        </w:trPr>
        <w:tc>
          <w:tcPr>
            <w:tcW w:w="2689" w:type="dxa"/>
          </w:tcPr>
          <w:p w14:paraId="57F9D68D" w14:textId="69CC98BB" w:rsidR="0066083D" w:rsidRPr="004D572E" w:rsidRDefault="0066083D" w:rsidP="0066083D">
            <w:pPr>
              <w:rPr>
                <w:rFonts w:ascii="Arial" w:hAnsi="Arial" w:cs="Arial"/>
                <w:b/>
                <w:bCs/>
                <w:color w:val="000000" w:themeColor="text1"/>
                <w:sz w:val="14"/>
                <w:szCs w:val="14"/>
              </w:rPr>
            </w:pPr>
            <w:r w:rsidRPr="004D572E">
              <w:rPr>
                <w:rFonts w:ascii="Arial" w:hAnsi="Arial" w:cs="Arial"/>
                <w:b/>
                <w:bCs/>
                <w:color w:val="000000" w:themeColor="text1"/>
                <w:sz w:val="14"/>
                <w:szCs w:val="14"/>
              </w:rPr>
              <w:t>BMI</w:t>
            </w:r>
          </w:p>
        </w:tc>
        <w:tc>
          <w:tcPr>
            <w:tcW w:w="1417" w:type="dxa"/>
          </w:tcPr>
          <w:p w14:paraId="26A8BC36" w14:textId="1442E734"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&lt;5 years</w:t>
            </w:r>
          </w:p>
        </w:tc>
        <w:tc>
          <w:tcPr>
            <w:tcW w:w="1418" w:type="dxa"/>
          </w:tcPr>
          <w:p w14:paraId="3249270E" w14:textId="2D53E6E7"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11-15 years</w:t>
            </w:r>
          </w:p>
        </w:tc>
        <w:tc>
          <w:tcPr>
            <w:tcW w:w="1701" w:type="dxa"/>
          </w:tcPr>
          <w:p w14:paraId="3B6C09D8" w14:textId="41C0A249"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1.5</w:t>
            </w:r>
            <w:r w:rsidR="006B25E4" w:rsidRPr="004D572E">
              <w:rPr>
                <w:rFonts w:ascii="Arial" w:hAnsi="Arial" w:cs="Arial"/>
                <w:color w:val="000000" w:themeColor="text1"/>
                <w:sz w:val="18"/>
                <w:szCs w:val="18"/>
              </w:rPr>
              <w:t>7</w:t>
            </w:r>
          </w:p>
        </w:tc>
        <w:tc>
          <w:tcPr>
            <w:tcW w:w="992" w:type="dxa"/>
          </w:tcPr>
          <w:p w14:paraId="3AC2816E" w14:textId="6546BA54"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.4</w:t>
            </w:r>
            <w:r w:rsidRPr="004D572E">
              <w:rPr>
                <w:rFonts w:ascii="Arial" w:hAnsi="Arial" w:cs="Arial"/>
                <w:color w:val="000000" w:themeColor="text1"/>
                <w:sz w:val="18"/>
                <w:szCs w:val="18"/>
              </w:rPr>
              <w:t>6</w:t>
            </w:r>
          </w:p>
        </w:tc>
        <w:tc>
          <w:tcPr>
            <w:tcW w:w="992" w:type="dxa"/>
          </w:tcPr>
          <w:p w14:paraId="52EC2A42" w14:textId="32605134"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.001</w:t>
            </w:r>
          </w:p>
        </w:tc>
      </w:tr>
      <w:tr w:rsidR="004D572E" w:rsidRPr="004D572E" w14:paraId="05A6AA9B" w14:textId="77777777" w:rsidTr="00712C4E">
        <w:trPr>
          <w:trHeight w:val="228"/>
        </w:trPr>
        <w:tc>
          <w:tcPr>
            <w:tcW w:w="2689" w:type="dxa"/>
          </w:tcPr>
          <w:p w14:paraId="1F61A14C" w14:textId="3224C54D" w:rsidR="006B25E4" w:rsidRPr="004D572E" w:rsidRDefault="006B25E4" w:rsidP="006B25E4">
            <w:pPr>
              <w:rPr>
                <w:b/>
                <w:bCs/>
                <w:color w:val="000000" w:themeColor="text1"/>
                <w:sz w:val="18"/>
                <w:szCs w:val="18"/>
              </w:rPr>
            </w:pPr>
          </w:p>
        </w:tc>
        <w:tc>
          <w:tcPr>
            <w:tcW w:w="1417" w:type="dxa"/>
          </w:tcPr>
          <w:p w14:paraId="7F75AA7C" w14:textId="244D3586" w:rsidR="006B25E4" w:rsidRPr="004D572E" w:rsidRDefault="006B25E4" w:rsidP="006B25E4">
            <w:pPr>
              <w:rPr>
                <w:color w:val="000000" w:themeColor="text1"/>
                <w:sz w:val="18"/>
                <w:szCs w:val="18"/>
              </w:rPr>
            </w:pPr>
          </w:p>
        </w:tc>
        <w:tc>
          <w:tcPr>
            <w:tcW w:w="1418" w:type="dxa"/>
          </w:tcPr>
          <w:p w14:paraId="601A5AFE" w14:textId="680B9348" w:rsidR="006B25E4" w:rsidRPr="004D572E" w:rsidRDefault="006B25E4" w:rsidP="006B25E4">
            <w:pPr>
              <w:rPr>
                <w:color w:val="000000" w:themeColor="text1"/>
                <w:sz w:val="18"/>
                <w:szCs w:val="18"/>
              </w:rPr>
            </w:pPr>
            <w:r w:rsidRPr="004D572E">
              <w:rPr>
                <w:rFonts w:ascii="Arial" w:hAnsi="Arial" w:cs="Arial"/>
                <w:color w:val="000000" w:themeColor="text1"/>
                <w:sz w:val="18"/>
                <w:szCs w:val="18"/>
              </w:rPr>
              <w:t>&gt;15 years</w:t>
            </w:r>
          </w:p>
        </w:tc>
        <w:tc>
          <w:tcPr>
            <w:tcW w:w="1701" w:type="dxa"/>
          </w:tcPr>
          <w:p w14:paraId="6E21BD87" w14:textId="10CC329E"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2.25</w:t>
            </w:r>
          </w:p>
        </w:tc>
        <w:tc>
          <w:tcPr>
            <w:tcW w:w="992" w:type="dxa"/>
          </w:tcPr>
          <w:p w14:paraId="1F70DC88" w14:textId="364D35DD"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0.47</w:t>
            </w:r>
          </w:p>
        </w:tc>
        <w:tc>
          <w:tcPr>
            <w:tcW w:w="992" w:type="dxa"/>
          </w:tcPr>
          <w:p w14:paraId="47C903E1" w14:textId="79BAE42C"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&lt;0.0001</w:t>
            </w:r>
          </w:p>
        </w:tc>
      </w:tr>
      <w:tr w:rsidR="004D572E" w:rsidRPr="004D572E" w14:paraId="2748EA79" w14:textId="77777777" w:rsidTr="00712C4E">
        <w:trPr>
          <w:trHeight w:val="228"/>
        </w:trPr>
        <w:tc>
          <w:tcPr>
            <w:tcW w:w="2689" w:type="dxa"/>
          </w:tcPr>
          <w:p w14:paraId="65EBA3F2" w14:textId="34FC3218" w:rsidR="006B25E4" w:rsidRPr="004D572E" w:rsidRDefault="006B25E4" w:rsidP="006B25E4">
            <w:pPr>
              <w:rPr>
                <w:rFonts w:ascii="Arial" w:hAnsi="Arial" w:cs="Arial"/>
                <w:b/>
                <w:bCs/>
                <w:color w:val="000000" w:themeColor="text1"/>
                <w:sz w:val="14"/>
                <w:szCs w:val="14"/>
              </w:rPr>
            </w:pPr>
            <w:r w:rsidRPr="004D572E">
              <w:rPr>
                <w:rFonts w:ascii="Arial" w:hAnsi="Arial" w:cs="Arial"/>
                <w:b/>
                <w:bCs/>
                <w:color w:val="000000" w:themeColor="text1"/>
                <w:sz w:val="14"/>
                <w:szCs w:val="14"/>
              </w:rPr>
              <w:t>FBG</w:t>
            </w:r>
          </w:p>
        </w:tc>
        <w:tc>
          <w:tcPr>
            <w:tcW w:w="1417" w:type="dxa"/>
          </w:tcPr>
          <w:p w14:paraId="1BFD5821" w14:textId="64137DC1" w:rsidR="006B25E4" w:rsidRPr="004D572E" w:rsidRDefault="006B25E4" w:rsidP="006B25E4">
            <w:pPr>
              <w:rPr>
                <w:color w:val="000000" w:themeColor="text1"/>
                <w:sz w:val="18"/>
                <w:szCs w:val="18"/>
              </w:rPr>
            </w:pPr>
            <w:r w:rsidRPr="004D572E">
              <w:rPr>
                <w:rFonts w:ascii="Arial" w:hAnsi="Arial" w:cs="Arial"/>
                <w:color w:val="000000" w:themeColor="text1"/>
                <w:sz w:val="18"/>
                <w:szCs w:val="18"/>
              </w:rPr>
              <w:t>&lt;5 years</w:t>
            </w:r>
          </w:p>
        </w:tc>
        <w:tc>
          <w:tcPr>
            <w:tcW w:w="1418" w:type="dxa"/>
          </w:tcPr>
          <w:p w14:paraId="612A9BF7" w14:textId="5ACC455B" w:rsidR="006B25E4" w:rsidRPr="004D572E" w:rsidRDefault="006B25E4" w:rsidP="006B25E4">
            <w:pPr>
              <w:rPr>
                <w:color w:val="000000" w:themeColor="text1"/>
                <w:sz w:val="18"/>
                <w:szCs w:val="18"/>
              </w:rPr>
            </w:pPr>
            <w:r w:rsidRPr="004D572E">
              <w:rPr>
                <w:rFonts w:ascii="Arial" w:hAnsi="Arial" w:cs="Arial"/>
                <w:color w:val="000000" w:themeColor="text1"/>
                <w:sz w:val="18"/>
                <w:szCs w:val="18"/>
              </w:rPr>
              <w:t>5-10 years</w:t>
            </w:r>
          </w:p>
        </w:tc>
        <w:tc>
          <w:tcPr>
            <w:tcW w:w="1701" w:type="dxa"/>
          </w:tcPr>
          <w:p w14:paraId="3AAE327D" w14:textId="4B8A1A7E"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-2.62</w:t>
            </w:r>
          </w:p>
        </w:tc>
        <w:tc>
          <w:tcPr>
            <w:tcW w:w="992" w:type="dxa"/>
          </w:tcPr>
          <w:p w14:paraId="47D3C47E" w14:textId="6F687C98"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0.38</w:t>
            </w:r>
          </w:p>
        </w:tc>
        <w:tc>
          <w:tcPr>
            <w:tcW w:w="992" w:type="dxa"/>
          </w:tcPr>
          <w:p w14:paraId="222602DF" w14:textId="033AE61E"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&lt;0.0001</w:t>
            </w:r>
          </w:p>
        </w:tc>
      </w:tr>
      <w:tr w:rsidR="004D572E" w:rsidRPr="004D572E" w14:paraId="2FEAA048" w14:textId="77777777" w:rsidTr="00712C4E">
        <w:trPr>
          <w:trHeight w:val="243"/>
        </w:trPr>
        <w:tc>
          <w:tcPr>
            <w:tcW w:w="2689" w:type="dxa"/>
          </w:tcPr>
          <w:p w14:paraId="3357E60B" w14:textId="77777777" w:rsidR="0066083D" w:rsidRPr="004D572E" w:rsidRDefault="0066083D" w:rsidP="0066083D">
            <w:pPr>
              <w:rPr>
                <w:b/>
                <w:bCs/>
                <w:color w:val="000000" w:themeColor="text1"/>
                <w:sz w:val="18"/>
                <w:szCs w:val="18"/>
              </w:rPr>
            </w:pPr>
          </w:p>
        </w:tc>
        <w:tc>
          <w:tcPr>
            <w:tcW w:w="1417" w:type="dxa"/>
          </w:tcPr>
          <w:p w14:paraId="4E2115C7" w14:textId="77777777" w:rsidR="0066083D" w:rsidRPr="004D572E" w:rsidRDefault="0066083D" w:rsidP="0066083D">
            <w:pPr>
              <w:rPr>
                <w:color w:val="000000" w:themeColor="text1"/>
                <w:sz w:val="18"/>
                <w:szCs w:val="18"/>
              </w:rPr>
            </w:pPr>
          </w:p>
        </w:tc>
        <w:tc>
          <w:tcPr>
            <w:tcW w:w="1418" w:type="dxa"/>
          </w:tcPr>
          <w:p w14:paraId="664D4EB4" w14:textId="1A5F6C6B"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&gt;15 years</w:t>
            </w:r>
          </w:p>
        </w:tc>
        <w:tc>
          <w:tcPr>
            <w:tcW w:w="1701" w:type="dxa"/>
          </w:tcPr>
          <w:p w14:paraId="3ED1404F" w14:textId="034CB006"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-1.2</w:t>
            </w:r>
            <w:r w:rsidR="006B25E4" w:rsidRPr="004D572E">
              <w:rPr>
                <w:rFonts w:ascii="Arial" w:hAnsi="Arial" w:cs="Arial"/>
                <w:color w:val="000000" w:themeColor="text1"/>
                <w:sz w:val="18"/>
                <w:szCs w:val="18"/>
              </w:rPr>
              <w:t>3</w:t>
            </w:r>
          </w:p>
        </w:tc>
        <w:tc>
          <w:tcPr>
            <w:tcW w:w="992" w:type="dxa"/>
          </w:tcPr>
          <w:p w14:paraId="7C9CE645" w14:textId="7327D674"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.4</w:t>
            </w:r>
            <w:r w:rsidRPr="004D572E">
              <w:rPr>
                <w:rFonts w:ascii="Arial" w:hAnsi="Arial" w:cs="Arial"/>
                <w:color w:val="000000" w:themeColor="text1"/>
                <w:sz w:val="18"/>
                <w:szCs w:val="18"/>
              </w:rPr>
              <w:t>5</w:t>
            </w:r>
          </w:p>
        </w:tc>
        <w:tc>
          <w:tcPr>
            <w:tcW w:w="992" w:type="dxa"/>
          </w:tcPr>
          <w:p w14:paraId="2A3AE186" w14:textId="00B7B069"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.006</w:t>
            </w:r>
          </w:p>
        </w:tc>
      </w:tr>
      <w:tr w:rsidR="004D572E" w:rsidRPr="004D572E" w14:paraId="476EF7ED" w14:textId="77777777" w:rsidTr="00712C4E">
        <w:trPr>
          <w:trHeight w:val="243"/>
        </w:trPr>
        <w:tc>
          <w:tcPr>
            <w:tcW w:w="2689" w:type="dxa"/>
          </w:tcPr>
          <w:p w14:paraId="5713B263" w14:textId="0AFFD515" w:rsidR="0066083D" w:rsidRPr="004D572E" w:rsidRDefault="008F16A5" w:rsidP="0066083D">
            <w:pPr>
              <w:rPr>
                <w:b/>
                <w:bCs/>
                <w:color w:val="000000" w:themeColor="text1"/>
                <w:sz w:val="18"/>
                <w:szCs w:val="18"/>
              </w:rPr>
            </w:pPr>
            <w:r w:rsidRPr="004D572E">
              <w:rPr>
                <w:rFonts w:ascii="Arial" w:hAnsi="Arial" w:cs="Arial"/>
                <w:color w:val="000000" w:themeColor="text1"/>
                <w:sz w:val="18"/>
                <w:szCs w:val="18"/>
              </w:rPr>
              <w:t>C</w:t>
            </w:r>
            <w:r w:rsidR="0066083D" w:rsidRPr="004D572E">
              <w:rPr>
                <w:rFonts w:ascii="Arial" w:hAnsi="Arial" w:cs="Arial"/>
                <w:color w:val="000000" w:themeColor="text1"/>
                <w:sz w:val="18"/>
                <w:szCs w:val="18"/>
              </w:rPr>
              <w:t>holesterol</w:t>
            </w:r>
            <w:r w:rsidR="00712C4E" w:rsidRPr="004D572E">
              <w:rPr>
                <w:rFonts w:ascii="Arial" w:hAnsi="Arial" w:cs="Arial"/>
                <w:color w:val="000000" w:themeColor="text1"/>
                <w:sz w:val="18"/>
                <w:szCs w:val="18"/>
              </w:rPr>
              <w:t xml:space="preserve"> (mmol/L)</w:t>
            </w:r>
          </w:p>
        </w:tc>
        <w:tc>
          <w:tcPr>
            <w:tcW w:w="1417" w:type="dxa"/>
          </w:tcPr>
          <w:p w14:paraId="29AF5DB4" w14:textId="662B5101"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&lt;5 years</w:t>
            </w:r>
          </w:p>
        </w:tc>
        <w:tc>
          <w:tcPr>
            <w:tcW w:w="1418" w:type="dxa"/>
          </w:tcPr>
          <w:p w14:paraId="47AA7EC8" w14:textId="26CF7EE3" w:rsidR="0066083D" w:rsidRPr="004D572E" w:rsidRDefault="0066083D" w:rsidP="0066083D">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72CEA7ED" w14:textId="15B0BA20" w:rsidR="0066083D" w:rsidRPr="004D572E" w:rsidRDefault="0066083D"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.9</w:t>
            </w:r>
            <w:r w:rsidR="006B25E4" w:rsidRPr="004D572E">
              <w:rPr>
                <w:rFonts w:ascii="Arial" w:hAnsi="Arial" w:cs="Arial"/>
                <w:color w:val="000000" w:themeColor="text1"/>
                <w:sz w:val="18"/>
                <w:szCs w:val="18"/>
              </w:rPr>
              <w:t>5</w:t>
            </w:r>
          </w:p>
        </w:tc>
        <w:tc>
          <w:tcPr>
            <w:tcW w:w="992" w:type="dxa"/>
          </w:tcPr>
          <w:p w14:paraId="7D0D372A" w14:textId="7FED87B9"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w:t>
            </w:r>
            <w:r w:rsidRPr="004D572E">
              <w:rPr>
                <w:rFonts w:ascii="Arial" w:hAnsi="Arial" w:cs="Arial"/>
                <w:color w:val="000000" w:themeColor="text1"/>
                <w:sz w:val="18"/>
                <w:szCs w:val="18"/>
              </w:rPr>
              <w:t>1</w:t>
            </w:r>
            <w:r w:rsidR="0066083D" w:rsidRPr="004D572E">
              <w:rPr>
                <w:rFonts w:ascii="Arial" w:hAnsi="Arial" w:cs="Arial"/>
                <w:color w:val="000000" w:themeColor="text1"/>
                <w:sz w:val="18"/>
                <w:szCs w:val="18"/>
              </w:rPr>
              <w:t>0</w:t>
            </w:r>
          </w:p>
        </w:tc>
        <w:tc>
          <w:tcPr>
            <w:tcW w:w="992" w:type="dxa"/>
          </w:tcPr>
          <w:p w14:paraId="7F0A4110" w14:textId="1D151194"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374AC079" w14:textId="77777777" w:rsidTr="00712C4E">
        <w:trPr>
          <w:trHeight w:val="243"/>
        </w:trPr>
        <w:tc>
          <w:tcPr>
            <w:tcW w:w="2689" w:type="dxa"/>
          </w:tcPr>
          <w:p w14:paraId="072A1558" w14:textId="77777777" w:rsidR="0066083D" w:rsidRPr="004D572E" w:rsidRDefault="0066083D" w:rsidP="0066083D">
            <w:pPr>
              <w:rPr>
                <w:b/>
                <w:bCs/>
                <w:color w:val="000000" w:themeColor="text1"/>
                <w:sz w:val="18"/>
                <w:szCs w:val="18"/>
              </w:rPr>
            </w:pPr>
          </w:p>
        </w:tc>
        <w:tc>
          <w:tcPr>
            <w:tcW w:w="1417" w:type="dxa"/>
          </w:tcPr>
          <w:p w14:paraId="74818710" w14:textId="77777777" w:rsidR="0066083D" w:rsidRPr="004D572E" w:rsidRDefault="0066083D" w:rsidP="0066083D">
            <w:pPr>
              <w:rPr>
                <w:rFonts w:ascii="Arial" w:hAnsi="Arial" w:cs="Arial"/>
                <w:color w:val="000000" w:themeColor="text1"/>
                <w:sz w:val="14"/>
                <w:szCs w:val="14"/>
              </w:rPr>
            </w:pPr>
          </w:p>
        </w:tc>
        <w:tc>
          <w:tcPr>
            <w:tcW w:w="1418" w:type="dxa"/>
          </w:tcPr>
          <w:p w14:paraId="28277690" w14:textId="0162F8BD" w:rsidR="0066083D" w:rsidRPr="004D572E" w:rsidRDefault="0066083D" w:rsidP="0066083D">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0CFC2EA2" w14:textId="1B3BA467" w:rsidR="0066083D" w:rsidRPr="004D572E" w:rsidRDefault="0066083D"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.3</w:t>
            </w:r>
            <w:r w:rsidR="006B25E4" w:rsidRPr="004D572E">
              <w:rPr>
                <w:rFonts w:ascii="Arial" w:hAnsi="Arial" w:cs="Arial"/>
                <w:color w:val="000000" w:themeColor="text1"/>
                <w:sz w:val="18"/>
                <w:szCs w:val="18"/>
              </w:rPr>
              <w:t>7</w:t>
            </w:r>
          </w:p>
        </w:tc>
        <w:tc>
          <w:tcPr>
            <w:tcW w:w="992" w:type="dxa"/>
          </w:tcPr>
          <w:p w14:paraId="4195B8CB" w14:textId="50D81A3F"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.11</w:t>
            </w:r>
          </w:p>
        </w:tc>
        <w:tc>
          <w:tcPr>
            <w:tcW w:w="992" w:type="dxa"/>
          </w:tcPr>
          <w:p w14:paraId="27DF2993" w14:textId="276487BC"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.001</w:t>
            </w:r>
          </w:p>
        </w:tc>
      </w:tr>
      <w:tr w:rsidR="004D572E" w:rsidRPr="004D572E" w14:paraId="6F888F69" w14:textId="77777777" w:rsidTr="00712C4E">
        <w:trPr>
          <w:trHeight w:val="243"/>
        </w:trPr>
        <w:tc>
          <w:tcPr>
            <w:tcW w:w="2689" w:type="dxa"/>
          </w:tcPr>
          <w:p w14:paraId="49C6B427" w14:textId="74BD3D95" w:rsidR="006B25E4" w:rsidRPr="004D572E" w:rsidRDefault="006B25E4" w:rsidP="006B25E4">
            <w:pPr>
              <w:rPr>
                <w:b/>
                <w:bCs/>
                <w:color w:val="000000" w:themeColor="text1"/>
                <w:sz w:val="18"/>
                <w:szCs w:val="18"/>
              </w:rPr>
            </w:pPr>
            <w:r w:rsidRPr="004D572E">
              <w:rPr>
                <w:rFonts w:ascii="Arial" w:hAnsi="Arial" w:cs="Arial"/>
                <w:color w:val="000000" w:themeColor="text1"/>
                <w:sz w:val="18"/>
                <w:szCs w:val="18"/>
              </w:rPr>
              <w:t>Trig</w:t>
            </w:r>
            <w:r w:rsidR="00712C4E" w:rsidRPr="004D572E">
              <w:rPr>
                <w:rFonts w:ascii="Arial" w:hAnsi="Arial" w:cs="Arial"/>
                <w:color w:val="000000" w:themeColor="text1"/>
                <w:sz w:val="18"/>
                <w:szCs w:val="18"/>
              </w:rPr>
              <w:t>lycerides (mmol/L)</w:t>
            </w:r>
            <w:r w:rsidRPr="004D572E">
              <w:rPr>
                <w:rFonts w:ascii="Arial" w:hAnsi="Arial" w:cs="Arial"/>
                <w:color w:val="000000" w:themeColor="text1"/>
                <w:sz w:val="18"/>
                <w:szCs w:val="18"/>
              </w:rPr>
              <w:t xml:space="preserve"> </w:t>
            </w:r>
          </w:p>
        </w:tc>
        <w:tc>
          <w:tcPr>
            <w:tcW w:w="1417" w:type="dxa"/>
          </w:tcPr>
          <w:p w14:paraId="66FA1FF8" w14:textId="5AC6E43B"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24A96B33" w14:textId="1B2E8DAB"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128251E8" w14:textId="6788A36F"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-0.31</w:t>
            </w:r>
          </w:p>
        </w:tc>
        <w:tc>
          <w:tcPr>
            <w:tcW w:w="992" w:type="dxa"/>
          </w:tcPr>
          <w:p w14:paraId="2C8CE49C" w14:textId="3959B230"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0.05</w:t>
            </w:r>
          </w:p>
        </w:tc>
        <w:tc>
          <w:tcPr>
            <w:tcW w:w="992" w:type="dxa"/>
          </w:tcPr>
          <w:p w14:paraId="342AF868" w14:textId="7B9EDCC3"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77A82443" w14:textId="77777777" w:rsidTr="00712C4E">
        <w:trPr>
          <w:trHeight w:val="243"/>
        </w:trPr>
        <w:tc>
          <w:tcPr>
            <w:tcW w:w="2689" w:type="dxa"/>
          </w:tcPr>
          <w:p w14:paraId="64F2A2FB" w14:textId="46085E26" w:rsidR="006B25E4" w:rsidRPr="004D572E" w:rsidRDefault="008F16A5" w:rsidP="006B25E4">
            <w:pPr>
              <w:rPr>
                <w:b/>
                <w:bCs/>
                <w:color w:val="000000" w:themeColor="text1"/>
                <w:sz w:val="18"/>
                <w:szCs w:val="18"/>
              </w:rPr>
            </w:pPr>
            <w:r w:rsidRPr="004D572E">
              <w:rPr>
                <w:rFonts w:ascii="Arial" w:hAnsi="Arial" w:cs="Arial"/>
                <w:color w:val="000000" w:themeColor="text1"/>
                <w:sz w:val="18"/>
                <w:szCs w:val="18"/>
              </w:rPr>
              <w:t>H</w:t>
            </w:r>
            <w:r w:rsidR="00712C4E" w:rsidRPr="004D572E">
              <w:rPr>
                <w:rFonts w:ascii="Arial" w:hAnsi="Arial" w:cs="Arial"/>
                <w:color w:val="000000" w:themeColor="text1"/>
                <w:sz w:val="18"/>
                <w:szCs w:val="18"/>
              </w:rPr>
              <w:t>DL-Cholesterol (mmol/L)</w:t>
            </w:r>
          </w:p>
        </w:tc>
        <w:tc>
          <w:tcPr>
            <w:tcW w:w="1417" w:type="dxa"/>
          </w:tcPr>
          <w:p w14:paraId="4B63707E" w14:textId="0E9B6290"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40DF6E89" w14:textId="3A681DD4"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56A052AA" w14:textId="089CF111"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-0.13</w:t>
            </w:r>
          </w:p>
        </w:tc>
        <w:tc>
          <w:tcPr>
            <w:tcW w:w="992" w:type="dxa"/>
          </w:tcPr>
          <w:p w14:paraId="5F9015E1" w14:textId="2168F9FC"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0.03</w:t>
            </w:r>
          </w:p>
        </w:tc>
        <w:tc>
          <w:tcPr>
            <w:tcW w:w="992" w:type="dxa"/>
          </w:tcPr>
          <w:p w14:paraId="35A43593" w14:textId="3A5544EB"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4F116A89" w14:textId="77777777" w:rsidTr="00712C4E">
        <w:trPr>
          <w:trHeight w:val="243"/>
        </w:trPr>
        <w:tc>
          <w:tcPr>
            <w:tcW w:w="2689" w:type="dxa"/>
          </w:tcPr>
          <w:p w14:paraId="088412B5" w14:textId="0BD5FE9D" w:rsidR="006B25E4" w:rsidRPr="004D572E" w:rsidRDefault="008F16A5" w:rsidP="006B25E4">
            <w:pPr>
              <w:rPr>
                <w:b/>
                <w:bCs/>
                <w:color w:val="000000" w:themeColor="text1"/>
                <w:sz w:val="18"/>
                <w:szCs w:val="18"/>
              </w:rPr>
            </w:pPr>
            <w:r w:rsidRPr="004D572E">
              <w:rPr>
                <w:rFonts w:ascii="Arial" w:hAnsi="Arial" w:cs="Arial"/>
                <w:color w:val="000000" w:themeColor="text1"/>
                <w:sz w:val="18"/>
                <w:szCs w:val="18"/>
              </w:rPr>
              <w:t>L</w:t>
            </w:r>
            <w:r w:rsidR="00712C4E" w:rsidRPr="004D572E">
              <w:rPr>
                <w:rFonts w:ascii="Arial" w:hAnsi="Arial" w:cs="Arial"/>
                <w:color w:val="000000" w:themeColor="text1"/>
                <w:sz w:val="18"/>
                <w:szCs w:val="18"/>
              </w:rPr>
              <w:t>DL-Cholesterol (mmol/L)</w:t>
            </w:r>
          </w:p>
        </w:tc>
        <w:tc>
          <w:tcPr>
            <w:tcW w:w="1417" w:type="dxa"/>
          </w:tcPr>
          <w:p w14:paraId="4DCE60AD" w14:textId="71C0FC56"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015FAC29" w14:textId="139D5D17"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4E5C562B" w14:textId="5C6FD33B"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-0.68</w:t>
            </w:r>
          </w:p>
        </w:tc>
        <w:tc>
          <w:tcPr>
            <w:tcW w:w="992" w:type="dxa"/>
          </w:tcPr>
          <w:p w14:paraId="47628F15" w14:textId="24659159"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0.10</w:t>
            </w:r>
          </w:p>
        </w:tc>
        <w:tc>
          <w:tcPr>
            <w:tcW w:w="992" w:type="dxa"/>
          </w:tcPr>
          <w:p w14:paraId="2B17E74E" w14:textId="197CA2B3"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68F42229" w14:textId="77777777" w:rsidTr="00712C4E">
        <w:trPr>
          <w:trHeight w:val="243"/>
        </w:trPr>
        <w:tc>
          <w:tcPr>
            <w:tcW w:w="2689" w:type="dxa"/>
          </w:tcPr>
          <w:p w14:paraId="6A30E362" w14:textId="242714DA" w:rsidR="00D629B2" w:rsidRPr="004D572E" w:rsidRDefault="00D629B2" w:rsidP="00D629B2">
            <w:pPr>
              <w:rPr>
                <w:rFonts w:ascii="Arial" w:hAnsi="Arial" w:cs="Arial"/>
                <w:b/>
                <w:bCs/>
                <w:color w:val="000000" w:themeColor="text1"/>
                <w:sz w:val="14"/>
                <w:szCs w:val="14"/>
              </w:rPr>
            </w:pPr>
          </w:p>
        </w:tc>
        <w:tc>
          <w:tcPr>
            <w:tcW w:w="1417" w:type="dxa"/>
          </w:tcPr>
          <w:p w14:paraId="709009BB" w14:textId="003DCFFD" w:rsidR="00D629B2" w:rsidRPr="004D572E" w:rsidRDefault="00D629B2" w:rsidP="00D629B2">
            <w:pPr>
              <w:rPr>
                <w:rFonts w:ascii="Arial" w:hAnsi="Arial" w:cs="Arial"/>
                <w:color w:val="000000" w:themeColor="text1"/>
                <w:sz w:val="14"/>
                <w:szCs w:val="14"/>
              </w:rPr>
            </w:pPr>
          </w:p>
        </w:tc>
        <w:tc>
          <w:tcPr>
            <w:tcW w:w="1418" w:type="dxa"/>
          </w:tcPr>
          <w:p w14:paraId="60D230AF" w14:textId="019DABC6"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7AA29D2F" w14:textId="3AD3201A" w:rsidR="00D629B2" w:rsidRPr="004D572E" w:rsidRDefault="00D629B2"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.24</w:t>
            </w:r>
          </w:p>
        </w:tc>
        <w:tc>
          <w:tcPr>
            <w:tcW w:w="992" w:type="dxa"/>
          </w:tcPr>
          <w:p w14:paraId="4B751EB1" w14:textId="2C3E58D0"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D629B2" w:rsidRPr="004D572E">
              <w:rPr>
                <w:rFonts w:ascii="Arial" w:hAnsi="Arial" w:cs="Arial"/>
                <w:color w:val="000000" w:themeColor="text1"/>
                <w:sz w:val="18"/>
                <w:szCs w:val="18"/>
              </w:rPr>
              <w:t>.1</w:t>
            </w:r>
            <w:r w:rsidRPr="004D572E">
              <w:rPr>
                <w:rFonts w:ascii="Arial" w:hAnsi="Arial" w:cs="Arial"/>
                <w:color w:val="000000" w:themeColor="text1"/>
                <w:sz w:val="18"/>
                <w:szCs w:val="18"/>
              </w:rPr>
              <w:t>2</w:t>
            </w:r>
          </w:p>
        </w:tc>
        <w:tc>
          <w:tcPr>
            <w:tcW w:w="992" w:type="dxa"/>
          </w:tcPr>
          <w:p w14:paraId="672747A3" w14:textId="118EC4B1"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D629B2" w:rsidRPr="004D572E">
              <w:rPr>
                <w:rFonts w:ascii="Arial" w:hAnsi="Arial" w:cs="Arial"/>
                <w:color w:val="000000" w:themeColor="text1"/>
                <w:sz w:val="18"/>
                <w:szCs w:val="18"/>
              </w:rPr>
              <w:t>.0</w:t>
            </w:r>
            <w:r w:rsidRPr="004D572E">
              <w:rPr>
                <w:rFonts w:ascii="Arial" w:hAnsi="Arial" w:cs="Arial"/>
                <w:color w:val="000000" w:themeColor="text1"/>
                <w:sz w:val="18"/>
                <w:szCs w:val="18"/>
              </w:rPr>
              <w:t>4</w:t>
            </w:r>
          </w:p>
        </w:tc>
      </w:tr>
      <w:tr w:rsidR="004D572E" w:rsidRPr="004D572E" w14:paraId="16B23506" w14:textId="77777777" w:rsidTr="00712C4E">
        <w:trPr>
          <w:trHeight w:val="243"/>
        </w:trPr>
        <w:tc>
          <w:tcPr>
            <w:tcW w:w="2689" w:type="dxa"/>
          </w:tcPr>
          <w:p w14:paraId="78CF78F3" w14:textId="778E61DD"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VLDL</w:t>
            </w:r>
          </w:p>
        </w:tc>
        <w:tc>
          <w:tcPr>
            <w:tcW w:w="1417" w:type="dxa"/>
          </w:tcPr>
          <w:p w14:paraId="4A5FFE5C" w14:textId="2C4D56D8"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FADE177" w14:textId="2E09642D"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2CAF8E77" w14:textId="6B4FCEFE" w:rsidR="00D629B2" w:rsidRPr="004D572E" w:rsidRDefault="00D629B2"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.14</w:t>
            </w:r>
          </w:p>
        </w:tc>
        <w:tc>
          <w:tcPr>
            <w:tcW w:w="992" w:type="dxa"/>
          </w:tcPr>
          <w:p w14:paraId="65F924D9" w14:textId="0B715397"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D629B2" w:rsidRPr="004D572E">
              <w:rPr>
                <w:rFonts w:ascii="Arial" w:hAnsi="Arial" w:cs="Arial"/>
                <w:color w:val="000000" w:themeColor="text1"/>
                <w:sz w:val="18"/>
                <w:szCs w:val="18"/>
              </w:rPr>
              <w:t>.02</w:t>
            </w:r>
          </w:p>
        </w:tc>
        <w:tc>
          <w:tcPr>
            <w:tcW w:w="992" w:type="dxa"/>
          </w:tcPr>
          <w:p w14:paraId="22078CD3" w14:textId="39E537D9"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05EC4A1E" w14:textId="77777777" w:rsidTr="00712C4E">
        <w:trPr>
          <w:trHeight w:val="243"/>
        </w:trPr>
        <w:tc>
          <w:tcPr>
            <w:tcW w:w="2689" w:type="dxa"/>
          </w:tcPr>
          <w:p w14:paraId="4DA8EDC3" w14:textId="29F24382"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HDL/LDL</w:t>
            </w:r>
          </w:p>
        </w:tc>
        <w:tc>
          <w:tcPr>
            <w:tcW w:w="1417" w:type="dxa"/>
          </w:tcPr>
          <w:p w14:paraId="64B62FB9" w14:textId="4E149DAE"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3C51BCE6" w14:textId="07F1F2AF"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26C8A497" w14:textId="02CEACDA" w:rsidR="004C65E6"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w:t>
            </w:r>
            <w:r w:rsidRPr="004D572E">
              <w:rPr>
                <w:rFonts w:ascii="Arial" w:hAnsi="Arial" w:cs="Arial"/>
                <w:color w:val="000000" w:themeColor="text1"/>
                <w:sz w:val="18"/>
                <w:szCs w:val="18"/>
              </w:rPr>
              <w:t>4</w:t>
            </w:r>
          </w:p>
        </w:tc>
        <w:tc>
          <w:tcPr>
            <w:tcW w:w="992" w:type="dxa"/>
          </w:tcPr>
          <w:p w14:paraId="7A5EF0F2" w14:textId="580015AC"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.01</w:t>
            </w:r>
          </w:p>
        </w:tc>
        <w:tc>
          <w:tcPr>
            <w:tcW w:w="992" w:type="dxa"/>
          </w:tcPr>
          <w:p w14:paraId="274E67AE" w14:textId="73169518"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.001</w:t>
            </w:r>
          </w:p>
        </w:tc>
      </w:tr>
      <w:tr w:rsidR="004D572E" w:rsidRPr="004D572E" w14:paraId="579BC5D9" w14:textId="77777777" w:rsidTr="00712C4E">
        <w:trPr>
          <w:trHeight w:val="243"/>
        </w:trPr>
        <w:tc>
          <w:tcPr>
            <w:tcW w:w="2689" w:type="dxa"/>
          </w:tcPr>
          <w:p w14:paraId="54E41473" w14:textId="638BC67F"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TG/CHOL</w:t>
            </w:r>
          </w:p>
        </w:tc>
        <w:tc>
          <w:tcPr>
            <w:tcW w:w="1417" w:type="dxa"/>
          </w:tcPr>
          <w:p w14:paraId="4CF1586B" w14:textId="044AD2AD"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61D9D623" w14:textId="44185043"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7CF8F1AD" w14:textId="47990FE9"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0.04</w:t>
            </w:r>
          </w:p>
        </w:tc>
        <w:tc>
          <w:tcPr>
            <w:tcW w:w="992" w:type="dxa"/>
          </w:tcPr>
          <w:p w14:paraId="755C6870" w14:textId="2186834E"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0.01</w:t>
            </w:r>
          </w:p>
        </w:tc>
        <w:tc>
          <w:tcPr>
            <w:tcW w:w="992" w:type="dxa"/>
          </w:tcPr>
          <w:p w14:paraId="751F94C8" w14:textId="1CEEA238"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70B8AE94" w14:textId="77777777" w:rsidTr="00712C4E">
        <w:trPr>
          <w:trHeight w:val="243"/>
        </w:trPr>
        <w:tc>
          <w:tcPr>
            <w:tcW w:w="2689" w:type="dxa"/>
          </w:tcPr>
          <w:p w14:paraId="0E020627" w14:textId="087A3A11"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NON-HDL</w:t>
            </w:r>
          </w:p>
        </w:tc>
        <w:tc>
          <w:tcPr>
            <w:tcW w:w="1417" w:type="dxa"/>
          </w:tcPr>
          <w:p w14:paraId="7EB2C45B" w14:textId="54125AB8"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2B23CE1F" w14:textId="5F2F15B1"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17A746DE" w14:textId="10939291"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-0.94</w:t>
            </w:r>
          </w:p>
        </w:tc>
        <w:tc>
          <w:tcPr>
            <w:tcW w:w="992" w:type="dxa"/>
          </w:tcPr>
          <w:p w14:paraId="075670B1" w14:textId="5A32777B"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0.10</w:t>
            </w:r>
          </w:p>
        </w:tc>
        <w:tc>
          <w:tcPr>
            <w:tcW w:w="992" w:type="dxa"/>
          </w:tcPr>
          <w:p w14:paraId="1A2DF911" w14:textId="5764A961"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3A67EB9C" w14:textId="77777777" w:rsidTr="00712C4E">
        <w:trPr>
          <w:trHeight w:val="243"/>
        </w:trPr>
        <w:tc>
          <w:tcPr>
            <w:tcW w:w="2689" w:type="dxa"/>
          </w:tcPr>
          <w:p w14:paraId="780E66D0" w14:textId="2853DFBF" w:rsidR="004C65E6" w:rsidRPr="004D572E" w:rsidRDefault="004C65E6" w:rsidP="004C65E6">
            <w:pPr>
              <w:rPr>
                <w:rFonts w:ascii="Arial" w:hAnsi="Arial" w:cs="Arial"/>
                <w:color w:val="000000" w:themeColor="text1"/>
                <w:sz w:val="14"/>
                <w:szCs w:val="14"/>
              </w:rPr>
            </w:pPr>
          </w:p>
        </w:tc>
        <w:tc>
          <w:tcPr>
            <w:tcW w:w="1417" w:type="dxa"/>
          </w:tcPr>
          <w:p w14:paraId="5B8B2DED" w14:textId="54F45E15" w:rsidR="004C65E6" w:rsidRPr="004D572E" w:rsidRDefault="004C65E6" w:rsidP="004C65E6">
            <w:pPr>
              <w:rPr>
                <w:rFonts w:ascii="Arial" w:hAnsi="Arial" w:cs="Arial"/>
                <w:color w:val="000000" w:themeColor="text1"/>
                <w:sz w:val="14"/>
                <w:szCs w:val="14"/>
              </w:rPr>
            </w:pPr>
          </w:p>
        </w:tc>
        <w:tc>
          <w:tcPr>
            <w:tcW w:w="1418" w:type="dxa"/>
          </w:tcPr>
          <w:p w14:paraId="056DBA63" w14:textId="451FD04A"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5D9420E9" w14:textId="785BD2DE" w:rsidR="004C65E6" w:rsidRPr="004D572E" w:rsidRDefault="004C65E6"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.23</w:t>
            </w:r>
          </w:p>
        </w:tc>
        <w:tc>
          <w:tcPr>
            <w:tcW w:w="992" w:type="dxa"/>
          </w:tcPr>
          <w:p w14:paraId="16BF6649" w14:textId="432EC67D"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w:t>
            </w:r>
            <w:r w:rsidRPr="004D572E">
              <w:rPr>
                <w:rFonts w:ascii="Arial" w:hAnsi="Arial" w:cs="Arial"/>
                <w:color w:val="000000" w:themeColor="text1"/>
                <w:sz w:val="18"/>
                <w:szCs w:val="18"/>
              </w:rPr>
              <w:t>2</w:t>
            </w:r>
          </w:p>
        </w:tc>
        <w:tc>
          <w:tcPr>
            <w:tcW w:w="992" w:type="dxa"/>
          </w:tcPr>
          <w:p w14:paraId="47C3B79D" w14:textId="59EA7632"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.046</w:t>
            </w:r>
          </w:p>
        </w:tc>
      </w:tr>
      <w:tr w:rsidR="004D572E" w:rsidRPr="004D572E" w14:paraId="142B30B6" w14:textId="77777777" w:rsidTr="00712C4E">
        <w:trPr>
          <w:trHeight w:val="243"/>
        </w:trPr>
        <w:tc>
          <w:tcPr>
            <w:tcW w:w="2689" w:type="dxa"/>
          </w:tcPr>
          <w:p w14:paraId="3FC696E4" w14:textId="55AA4C79"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atherogenic index of plasma</w:t>
            </w:r>
          </w:p>
        </w:tc>
        <w:tc>
          <w:tcPr>
            <w:tcW w:w="1417" w:type="dxa"/>
          </w:tcPr>
          <w:p w14:paraId="40976CCA" w14:textId="0144916E"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0C35518F" w14:textId="3E8BE9C6"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74869C0F" w14:textId="209BBFB9" w:rsidR="004C65E6" w:rsidRPr="004D572E" w:rsidRDefault="004C65E6"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.11</w:t>
            </w:r>
          </w:p>
        </w:tc>
        <w:tc>
          <w:tcPr>
            <w:tcW w:w="992" w:type="dxa"/>
          </w:tcPr>
          <w:p w14:paraId="6B1DE5BB" w14:textId="71AF9712"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w:t>
            </w:r>
            <w:r w:rsidRPr="004D572E">
              <w:rPr>
                <w:rFonts w:ascii="Arial" w:hAnsi="Arial" w:cs="Arial"/>
                <w:color w:val="000000" w:themeColor="text1"/>
                <w:sz w:val="18"/>
                <w:szCs w:val="18"/>
              </w:rPr>
              <w:t>3</w:t>
            </w:r>
          </w:p>
        </w:tc>
        <w:tc>
          <w:tcPr>
            <w:tcW w:w="992" w:type="dxa"/>
          </w:tcPr>
          <w:p w14:paraId="7503218E" w14:textId="4636BE8F" w:rsidR="004C65E6" w:rsidRPr="004D572E" w:rsidRDefault="003E02FC"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04AF3C72" w14:textId="77777777" w:rsidTr="00712C4E">
        <w:trPr>
          <w:trHeight w:val="243"/>
        </w:trPr>
        <w:tc>
          <w:tcPr>
            <w:tcW w:w="2689" w:type="dxa"/>
          </w:tcPr>
          <w:p w14:paraId="57F86DCA" w14:textId="13D3BA33" w:rsidR="004C65E6" w:rsidRPr="004D572E" w:rsidRDefault="004C65E6" w:rsidP="004C65E6">
            <w:pPr>
              <w:rPr>
                <w:rFonts w:ascii="Arial" w:hAnsi="Arial" w:cs="Arial"/>
                <w:color w:val="000000" w:themeColor="text1"/>
                <w:sz w:val="14"/>
                <w:szCs w:val="14"/>
              </w:rPr>
            </w:pPr>
          </w:p>
        </w:tc>
        <w:tc>
          <w:tcPr>
            <w:tcW w:w="1417" w:type="dxa"/>
          </w:tcPr>
          <w:p w14:paraId="7098B6A5" w14:textId="7AAB9681" w:rsidR="004C65E6" w:rsidRPr="004D572E" w:rsidRDefault="004C65E6" w:rsidP="004C65E6">
            <w:pPr>
              <w:rPr>
                <w:rFonts w:ascii="Arial" w:hAnsi="Arial" w:cs="Arial"/>
                <w:color w:val="000000" w:themeColor="text1"/>
                <w:sz w:val="14"/>
                <w:szCs w:val="14"/>
              </w:rPr>
            </w:pPr>
          </w:p>
        </w:tc>
        <w:tc>
          <w:tcPr>
            <w:tcW w:w="1418" w:type="dxa"/>
          </w:tcPr>
          <w:p w14:paraId="2DA3D719" w14:textId="401F5F17"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017F9701" w14:textId="0E066B6C" w:rsidR="004C65E6"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.10</w:t>
            </w:r>
          </w:p>
        </w:tc>
        <w:tc>
          <w:tcPr>
            <w:tcW w:w="992" w:type="dxa"/>
          </w:tcPr>
          <w:p w14:paraId="16D0A854" w14:textId="2325E8C5"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.03</w:t>
            </w:r>
          </w:p>
        </w:tc>
        <w:tc>
          <w:tcPr>
            <w:tcW w:w="992" w:type="dxa"/>
          </w:tcPr>
          <w:p w14:paraId="5DD66360" w14:textId="3395CBF3"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.001</w:t>
            </w:r>
          </w:p>
        </w:tc>
      </w:tr>
      <w:tr w:rsidR="004D572E" w:rsidRPr="004D572E" w14:paraId="537E7674" w14:textId="77777777" w:rsidTr="00712C4E">
        <w:trPr>
          <w:trHeight w:val="243"/>
        </w:trPr>
        <w:tc>
          <w:tcPr>
            <w:tcW w:w="2689" w:type="dxa"/>
          </w:tcPr>
          <w:p w14:paraId="3CDBBC69" w14:textId="103AD801"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Atherogenic coefficient</w:t>
            </w:r>
          </w:p>
        </w:tc>
        <w:tc>
          <w:tcPr>
            <w:tcW w:w="1417" w:type="dxa"/>
          </w:tcPr>
          <w:p w14:paraId="54D7E761" w14:textId="3C7D4CBF"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79D448E7" w14:textId="2DF5FF93" w:rsidR="003E02FC" w:rsidRPr="004D572E" w:rsidRDefault="003E02FC" w:rsidP="003E02FC">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5FFDCFDC" w14:textId="6A25C939"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-1.61</w:t>
            </w:r>
          </w:p>
        </w:tc>
        <w:tc>
          <w:tcPr>
            <w:tcW w:w="992" w:type="dxa"/>
          </w:tcPr>
          <w:p w14:paraId="271C1433" w14:textId="41DB7839"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0.45</w:t>
            </w:r>
          </w:p>
        </w:tc>
        <w:tc>
          <w:tcPr>
            <w:tcW w:w="992" w:type="dxa"/>
          </w:tcPr>
          <w:p w14:paraId="7B3FA3DE" w14:textId="7A96E3F7"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6FC54B69" w14:textId="77777777" w:rsidTr="00712C4E">
        <w:trPr>
          <w:trHeight w:val="243"/>
        </w:trPr>
        <w:tc>
          <w:tcPr>
            <w:tcW w:w="2689" w:type="dxa"/>
          </w:tcPr>
          <w:p w14:paraId="74810A2E" w14:textId="13E9EFF6"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Castelli's risk index 1</w:t>
            </w:r>
          </w:p>
        </w:tc>
        <w:tc>
          <w:tcPr>
            <w:tcW w:w="1417" w:type="dxa"/>
          </w:tcPr>
          <w:p w14:paraId="15707B61" w14:textId="10A75CCE"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1739E4AC" w14:textId="7F9FF34B" w:rsidR="003E02FC" w:rsidRPr="004D572E" w:rsidRDefault="003E02FC" w:rsidP="003E02FC">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23066950" w14:textId="18B1E404"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-1.61</w:t>
            </w:r>
          </w:p>
        </w:tc>
        <w:tc>
          <w:tcPr>
            <w:tcW w:w="992" w:type="dxa"/>
          </w:tcPr>
          <w:p w14:paraId="4802D8D6" w14:textId="2EA082FC"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0.45</w:t>
            </w:r>
          </w:p>
        </w:tc>
        <w:tc>
          <w:tcPr>
            <w:tcW w:w="992" w:type="dxa"/>
          </w:tcPr>
          <w:p w14:paraId="30455B1E" w14:textId="6B9237EE"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0EDDA429" w14:textId="77777777" w:rsidTr="00712C4E">
        <w:trPr>
          <w:trHeight w:val="243"/>
        </w:trPr>
        <w:tc>
          <w:tcPr>
            <w:tcW w:w="2689" w:type="dxa"/>
          </w:tcPr>
          <w:p w14:paraId="45208558" w14:textId="7F46EA95"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Castelli's risk index 2</w:t>
            </w:r>
          </w:p>
        </w:tc>
        <w:tc>
          <w:tcPr>
            <w:tcW w:w="1417" w:type="dxa"/>
          </w:tcPr>
          <w:p w14:paraId="0BA86D9E" w14:textId="5EA25A27"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7820869" w14:textId="1569661C"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32897EF5" w14:textId="200908FD"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-1.36</w:t>
            </w:r>
          </w:p>
        </w:tc>
        <w:tc>
          <w:tcPr>
            <w:tcW w:w="992" w:type="dxa"/>
          </w:tcPr>
          <w:p w14:paraId="5FD85C89" w14:textId="43F61278"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.4</w:t>
            </w:r>
            <w:r w:rsidRPr="004D572E">
              <w:rPr>
                <w:rFonts w:ascii="Arial" w:hAnsi="Arial" w:cs="Arial"/>
                <w:color w:val="000000" w:themeColor="text1"/>
                <w:sz w:val="18"/>
                <w:szCs w:val="18"/>
              </w:rPr>
              <w:t>2</w:t>
            </w:r>
          </w:p>
        </w:tc>
        <w:tc>
          <w:tcPr>
            <w:tcW w:w="992" w:type="dxa"/>
          </w:tcPr>
          <w:p w14:paraId="0A62E451" w14:textId="29B16B4C"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.001</w:t>
            </w:r>
          </w:p>
        </w:tc>
      </w:tr>
      <w:tr w:rsidR="004D572E" w:rsidRPr="004D572E" w14:paraId="00D989B5" w14:textId="77777777" w:rsidTr="00712C4E">
        <w:trPr>
          <w:trHeight w:val="243"/>
        </w:trPr>
        <w:tc>
          <w:tcPr>
            <w:tcW w:w="2689" w:type="dxa"/>
          </w:tcPr>
          <w:p w14:paraId="08D9B048" w14:textId="6CF067BC"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TC/TG</w:t>
            </w:r>
          </w:p>
        </w:tc>
        <w:tc>
          <w:tcPr>
            <w:tcW w:w="1417" w:type="dxa"/>
          </w:tcPr>
          <w:p w14:paraId="224C5DE6" w14:textId="5DC87CE6"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66BB0CAE" w14:textId="6F6C6914"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30E25E08" w14:textId="3B262AF6" w:rsidR="004C65E6"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.7</w:t>
            </w:r>
            <w:r w:rsidRPr="004D572E">
              <w:rPr>
                <w:rFonts w:ascii="Arial" w:hAnsi="Arial" w:cs="Arial"/>
                <w:color w:val="000000" w:themeColor="text1"/>
                <w:sz w:val="18"/>
                <w:szCs w:val="18"/>
              </w:rPr>
              <w:t>7</w:t>
            </w:r>
          </w:p>
        </w:tc>
        <w:tc>
          <w:tcPr>
            <w:tcW w:w="992" w:type="dxa"/>
          </w:tcPr>
          <w:p w14:paraId="773E252E" w14:textId="50A79590"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.33</w:t>
            </w:r>
          </w:p>
        </w:tc>
        <w:tc>
          <w:tcPr>
            <w:tcW w:w="992" w:type="dxa"/>
          </w:tcPr>
          <w:p w14:paraId="26255278" w14:textId="6378A43D"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.02</w:t>
            </w:r>
          </w:p>
        </w:tc>
      </w:tr>
      <w:tr w:rsidR="004D572E" w:rsidRPr="004D572E" w14:paraId="5DFCED0A" w14:textId="77777777" w:rsidTr="00712C4E">
        <w:trPr>
          <w:trHeight w:val="243"/>
        </w:trPr>
        <w:tc>
          <w:tcPr>
            <w:tcW w:w="2689" w:type="dxa"/>
          </w:tcPr>
          <w:p w14:paraId="404A3F09" w14:textId="77777777" w:rsidR="004C65E6" w:rsidRPr="004D572E" w:rsidRDefault="004C65E6" w:rsidP="004C65E6">
            <w:pPr>
              <w:rPr>
                <w:rFonts w:ascii="Arial" w:hAnsi="Arial" w:cs="Arial"/>
                <w:color w:val="000000" w:themeColor="text1"/>
                <w:sz w:val="14"/>
                <w:szCs w:val="14"/>
              </w:rPr>
            </w:pPr>
          </w:p>
        </w:tc>
        <w:tc>
          <w:tcPr>
            <w:tcW w:w="1417" w:type="dxa"/>
          </w:tcPr>
          <w:p w14:paraId="7B611894" w14:textId="77777777" w:rsidR="004C65E6" w:rsidRPr="004D572E" w:rsidRDefault="004C65E6" w:rsidP="004C65E6">
            <w:pPr>
              <w:rPr>
                <w:rFonts w:ascii="Arial" w:hAnsi="Arial" w:cs="Arial"/>
                <w:color w:val="000000" w:themeColor="text1"/>
                <w:sz w:val="14"/>
                <w:szCs w:val="14"/>
              </w:rPr>
            </w:pPr>
          </w:p>
        </w:tc>
        <w:tc>
          <w:tcPr>
            <w:tcW w:w="1418" w:type="dxa"/>
          </w:tcPr>
          <w:p w14:paraId="56F8DD93" w14:textId="6F10427F"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11-15 years</w:t>
            </w:r>
          </w:p>
        </w:tc>
        <w:tc>
          <w:tcPr>
            <w:tcW w:w="1701" w:type="dxa"/>
          </w:tcPr>
          <w:p w14:paraId="24593B54" w14:textId="715166EC"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-1.19</w:t>
            </w:r>
          </w:p>
        </w:tc>
        <w:tc>
          <w:tcPr>
            <w:tcW w:w="992" w:type="dxa"/>
          </w:tcPr>
          <w:p w14:paraId="0E45C0B6" w14:textId="28621B1E"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.3</w:t>
            </w:r>
            <w:r w:rsidRPr="004D572E">
              <w:rPr>
                <w:rFonts w:ascii="Arial" w:hAnsi="Arial" w:cs="Arial"/>
                <w:color w:val="000000" w:themeColor="text1"/>
                <w:sz w:val="18"/>
                <w:szCs w:val="18"/>
              </w:rPr>
              <w:t>8</w:t>
            </w:r>
          </w:p>
        </w:tc>
        <w:tc>
          <w:tcPr>
            <w:tcW w:w="992" w:type="dxa"/>
          </w:tcPr>
          <w:p w14:paraId="24FECCA0" w14:textId="17CDAA65"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.002</w:t>
            </w:r>
          </w:p>
        </w:tc>
      </w:tr>
      <w:tr w:rsidR="004D572E" w:rsidRPr="004D572E" w14:paraId="6422DC2A" w14:textId="77777777" w:rsidTr="00712C4E">
        <w:trPr>
          <w:trHeight w:val="243"/>
        </w:trPr>
        <w:tc>
          <w:tcPr>
            <w:tcW w:w="2689" w:type="dxa"/>
          </w:tcPr>
          <w:p w14:paraId="3C260DDF" w14:textId="6A5DECE2"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TC/HDL</w:t>
            </w:r>
          </w:p>
        </w:tc>
        <w:tc>
          <w:tcPr>
            <w:tcW w:w="1417" w:type="dxa"/>
          </w:tcPr>
          <w:p w14:paraId="1AEEEC05" w14:textId="305594E9"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AE144A5" w14:textId="5E3E7D51"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0F135D10" w14:textId="7EE673BF"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-1.6</w:t>
            </w:r>
            <w:r w:rsidR="006B25E4" w:rsidRPr="004D572E">
              <w:rPr>
                <w:rFonts w:ascii="Arial" w:hAnsi="Arial" w:cs="Arial"/>
                <w:color w:val="000000" w:themeColor="text1"/>
                <w:sz w:val="18"/>
                <w:szCs w:val="18"/>
              </w:rPr>
              <w:t>1</w:t>
            </w:r>
          </w:p>
        </w:tc>
        <w:tc>
          <w:tcPr>
            <w:tcW w:w="992" w:type="dxa"/>
          </w:tcPr>
          <w:p w14:paraId="74E5F099" w14:textId="1400B515"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.4</w:t>
            </w:r>
            <w:r w:rsidRPr="004D572E">
              <w:rPr>
                <w:rFonts w:ascii="Arial" w:hAnsi="Arial" w:cs="Arial"/>
                <w:color w:val="000000" w:themeColor="text1"/>
                <w:sz w:val="18"/>
                <w:szCs w:val="18"/>
              </w:rPr>
              <w:t>5</w:t>
            </w:r>
          </w:p>
        </w:tc>
        <w:tc>
          <w:tcPr>
            <w:tcW w:w="992" w:type="dxa"/>
          </w:tcPr>
          <w:p w14:paraId="344C09DB" w14:textId="3E79456E" w:rsidR="004C65E6" w:rsidRPr="004D572E" w:rsidRDefault="003E02FC"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2F611EFD" w14:textId="77777777" w:rsidTr="00712C4E">
        <w:trPr>
          <w:trHeight w:val="243"/>
        </w:trPr>
        <w:tc>
          <w:tcPr>
            <w:tcW w:w="2689" w:type="dxa"/>
          </w:tcPr>
          <w:p w14:paraId="3774FE89" w14:textId="34ECF562"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TG/HDL</w:t>
            </w:r>
          </w:p>
        </w:tc>
        <w:tc>
          <w:tcPr>
            <w:tcW w:w="1417" w:type="dxa"/>
          </w:tcPr>
          <w:p w14:paraId="1E55A729" w14:textId="018E8E91"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6FA9E1E" w14:textId="54FFFB9C"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6790D703" w14:textId="2A3F8FCE"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.24</w:t>
            </w:r>
          </w:p>
        </w:tc>
        <w:tc>
          <w:tcPr>
            <w:tcW w:w="992" w:type="dxa"/>
          </w:tcPr>
          <w:p w14:paraId="3A95806E" w14:textId="103B514B"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.10</w:t>
            </w:r>
          </w:p>
        </w:tc>
        <w:tc>
          <w:tcPr>
            <w:tcW w:w="992" w:type="dxa"/>
          </w:tcPr>
          <w:p w14:paraId="146CDCD9" w14:textId="71AB342A"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w:t>
            </w:r>
            <w:r w:rsidR="003E02FC" w:rsidRPr="004D572E">
              <w:rPr>
                <w:rFonts w:ascii="Arial" w:hAnsi="Arial" w:cs="Arial"/>
                <w:color w:val="000000" w:themeColor="text1"/>
                <w:sz w:val="18"/>
                <w:szCs w:val="18"/>
              </w:rPr>
              <w:t>2</w:t>
            </w:r>
          </w:p>
        </w:tc>
      </w:tr>
      <w:tr w:rsidR="004D572E" w:rsidRPr="004D572E" w14:paraId="50D7CFFB" w14:textId="77777777" w:rsidTr="00712C4E">
        <w:trPr>
          <w:trHeight w:val="243"/>
        </w:trPr>
        <w:tc>
          <w:tcPr>
            <w:tcW w:w="2689" w:type="dxa"/>
          </w:tcPr>
          <w:p w14:paraId="008B969D" w14:textId="77777777" w:rsidR="004C65E6" w:rsidRPr="004D572E" w:rsidRDefault="004C65E6" w:rsidP="004C65E6">
            <w:pPr>
              <w:rPr>
                <w:rFonts w:ascii="Arial" w:hAnsi="Arial" w:cs="Arial"/>
                <w:color w:val="000000" w:themeColor="text1"/>
                <w:sz w:val="14"/>
                <w:szCs w:val="14"/>
              </w:rPr>
            </w:pPr>
          </w:p>
        </w:tc>
        <w:tc>
          <w:tcPr>
            <w:tcW w:w="1417" w:type="dxa"/>
          </w:tcPr>
          <w:p w14:paraId="061DC421" w14:textId="77777777" w:rsidR="004C65E6" w:rsidRPr="004D572E" w:rsidRDefault="004C65E6" w:rsidP="004C65E6">
            <w:pPr>
              <w:rPr>
                <w:rFonts w:ascii="Arial" w:hAnsi="Arial" w:cs="Arial"/>
                <w:color w:val="000000" w:themeColor="text1"/>
                <w:sz w:val="14"/>
                <w:szCs w:val="14"/>
              </w:rPr>
            </w:pPr>
          </w:p>
        </w:tc>
        <w:tc>
          <w:tcPr>
            <w:tcW w:w="1418" w:type="dxa"/>
          </w:tcPr>
          <w:p w14:paraId="3EF9D738" w14:textId="3BD8C4BF"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11-15 years</w:t>
            </w:r>
          </w:p>
        </w:tc>
        <w:tc>
          <w:tcPr>
            <w:tcW w:w="1701" w:type="dxa"/>
          </w:tcPr>
          <w:p w14:paraId="11C24B48" w14:textId="2D0F94A2" w:rsidR="004C65E6"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.36</w:t>
            </w:r>
          </w:p>
        </w:tc>
        <w:tc>
          <w:tcPr>
            <w:tcW w:w="992" w:type="dxa"/>
          </w:tcPr>
          <w:p w14:paraId="65CECBC4" w14:textId="720EF10F"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.11</w:t>
            </w:r>
          </w:p>
        </w:tc>
        <w:tc>
          <w:tcPr>
            <w:tcW w:w="992" w:type="dxa"/>
          </w:tcPr>
          <w:p w14:paraId="496C0A66" w14:textId="693D983E"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.002</w:t>
            </w:r>
          </w:p>
        </w:tc>
      </w:tr>
      <w:tr w:rsidR="004D572E" w:rsidRPr="004D572E" w14:paraId="0931F0B8" w14:textId="77777777" w:rsidTr="00712C4E">
        <w:trPr>
          <w:trHeight w:val="243"/>
        </w:trPr>
        <w:tc>
          <w:tcPr>
            <w:tcW w:w="2689" w:type="dxa"/>
          </w:tcPr>
          <w:p w14:paraId="0A7A2610" w14:textId="0AD6228B"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TYG</w:t>
            </w:r>
          </w:p>
        </w:tc>
        <w:tc>
          <w:tcPr>
            <w:tcW w:w="1417" w:type="dxa"/>
          </w:tcPr>
          <w:p w14:paraId="0B12FC4F" w14:textId="53F7E677"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72661F47" w14:textId="6851575E" w:rsidR="006B25E4" w:rsidRPr="004D572E" w:rsidRDefault="006B25E4" w:rsidP="006B25E4">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52CACE4E" w14:textId="60FD3635"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-0.25</w:t>
            </w:r>
          </w:p>
        </w:tc>
        <w:tc>
          <w:tcPr>
            <w:tcW w:w="992" w:type="dxa"/>
          </w:tcPr>
          <w:p w14:paraId="495970F5" w14:textId="5A140E6D"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0.03</w:t>
            </w:r>
          </w:p>
        </w:tc>
        <w:tc>
          <w:tcPr>
            <w:tcW w:w="992" w:type="dxa"/>
          </w:tcPr>
          <w:p w14:paraId="074F530E" w14:textId="3ACB64F6" w:rsidR="006B25E4" w:rsidRPr="004D572E" w:rsidRDefault="003E02FC"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109CD687" w14:textId="77777777" w:rsidTr="00712C4E">
        <w:trPr>
          <w:trHeight w:val="243"/>
        </w:trPr>
        <w:tc>
          <w:tcPr>
            <w:tcW w:w="2689" w:type="dxa"/>
          </w:tcPr>
          <w:p w14:paraId="38DEED37" w14:textId="77777777" w:rsidR="006B25E4" w:rsidRPr="004D572E" w:rsidRDefault="006B25E4" w:rsidP="006B25E4">
            <w:pPr>
              <w:rPr>
                <w:rFonts w:ascii="Arial" w:hAnsi="Arial" w:cs="Arial"/>
                <w:color w:val="000000" w:themeColor="text1"/>
                <w:sz w:val="14"/>
                <w:szCs w:val="14"/>
              </w:rPr>
            </w:pPr>
          </w:p>
        </w:tc>
        <w:tc>
          <w:tcPr>
            <w:tcW w:w="1417" w:type="dxa"/>
          </w:tcPr>
          <w:p w14:paraId="5B3F358A" w14:textId="77777777" w:rsidR="006B25E4" w:rsidRPr="004D572E" w:rsidRDefault="006B25E4" w:rsidP="006B25E4">
            <w:pPr>
              <w:rPr>
                <w:rFonts w:ascii="Arial" w:hAnsi="Arial" w:cs="Arial"/>
                <w:color w:val="000000" w:themeColor="text1"/>
                <w:sz w:val="14"/>
                <w:szCs w:val="14"/>
              </w:rPr>
            </w:pPr>
          </w:p>
        </w:tc>
        <w:tc>
          <w:tcPr>
            <w:tcW w:w="1418" w:type="dxa"/>
          </w:tcPr>
          <w:p w14:paraId="22F5D1D1" w14:textId="63E6CD84" w:rsidR="006B25E4" w:rsidRPr="004D572E" w:rsidRDefault="006B25E4" w:rsidP="006B25E4">
            <w:pPr>
              <w:rPr>
                <w:rFonts w:ascii="Arial" w:hAnsi="Arial" w:cs="Arial"/>
                <w:color w:val="000000" w:themeColor="text1"/>
                <w:sz w:val="18"/>
                <w:szCs w:val="18"/>
              </w:rPr>
            </w:pPr>
            <w:r w:rsidRPr="004D572E">
              <w:rPr>
                <w:rFonts w:ascii="Arial" w:hAnsi="Arial" w:cs="Arial"/>
                <w:color w:val="000000" w:themeColor="text1"/>
                <w:sz w:val="18"/>
                <w:szCs w:val="18"/>
              </w:rPr>
              <w:t>&gt;15 years</w:t>
            </w:r>
          </w:p>
        </w:tc>
        <w:tc>
          <w:tcPr>
            <w:tcW w:w="1701" w:type="dxa"/>
          </w:tcPr>
          <w:p w14:paraId="4B7EFADE" w14:textId="1AB19F37"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-0.12</w:t>
            </w:r>
          </w:p>
        </w:tc>
        <w:tc>
          <w:tcPr>
            <w:tcW w:w="992" w:type="dxa"/>
          </w:tcPr>
          <w:p w14:paraId="616AFC79" w14:textId="2065F41B"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0.04</w:t>
            </w:r>
          </w:p>
        </w:tc>
        <w:tc>
          <w:tcPr>
            <w:tcW w:w="992" w:type="dxa"/>
          </w:tcPr>
          <w:p w14:paraId="6064A863" w14:textId="43D1EB3E"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0.001</w:t>
            </w:r>
          </w:p>
        </w:tc>
      </w:tr>
    </w:tbl>
    <w:p w14:paraId="27A11465" w14:textId="300AB255" w:rsidR="00A86D34" w:rsidRDefault="00A86D34" w:rsidP="006B2DA9">
      <w:pPr>
        <w:autoSpaceDE w:val="0"/>
        <w:autoSpaceDN w:val="0"/>
        <w:adjustRightInd w:val="0"/>
        <w:spacing w:after="0" w:line="240" w:lineRule="auto"/>
        <w:rPr>
          <w:rFonts w:ascii="Times New Roman" w:hAnsi="Times New Roman" w:cs="Times New Roman"/>
          <w:sz w:val="24"/>
          <w:szCs w:val="24"/>
        </w:rPr>
      </w:pPr>
    </w:p>
    <w:p w14:paraId="438327BD" w14:textId="6E330592" w:rsidR="006B2DA9" w:rsidRDefault="006B2DA9" w:rsidP="006B2DA9">
      <w:pPr>
        <w:autoSpaceDE w:val="0"/>
        <w:autoSpaceDN w:val="0"/>
        <w:adjustRightInd w:val="0"/>
        <w:spacing w:after="0" w:line="240" w:lineRule="auto"/>
        <w:rPr>
          <w:rFonts w:ascii="Times New Roman" w:hAnsi="Times New Roman" w:cs="Times New Roman"/>
          <w:sz w:val="24"/>
          <w:szCs w:val="24"/>
        </w:rPr>
      </w:pPr>
    </w:p>
    <w:p w14:paraId="36699E3D" w14:textId="0CE848BB"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463AD4BF" w14:textId="5A0080AC"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605525CB" w14:textId="3B182394"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2819C44D" w14:textId="7F8C8826"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4D501343" w14:textId="13FFDC1E"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59AC1827" w14:textId="3A278548"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1930F154" w14:textId="05A6D2A6"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6BEBE772" w14:textId="541AE2A5"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2675B2E1" w14:textId="0C5C1A8A"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4472C778" w14:textId="025B2E4C"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7F0BDC11" w14:textId="77777777"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00896710" w14:textId="32439406"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02870720" w14:textId="11291A10"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70D99D92" w14:textId="5A26424E" w:rsidR="006B25E4" w:rsidRPr="006B2DA9" w:rsidRDefault="008F16A5" w:rsidP="006B2DA9">
      <w:pPr>
        <w:autoSpaceDE w:val="0"/>
        <w:autoSpaceDN w:val="0"/>
        <w:adjustRightInd w:val="0"/>
        <w:spacing w:after="0" w:line="240" w:lineRule="auto"/>
        <w:rPr>
          <w:rFonts w:ascii="Times New Roman" w:hAnsi="Times New Roman" w:cs="Times New Roman"/>
          <w:sz w:val="24"/>
          <w:szCs w:val="24"/>
        </w:rPr>
      </w:pPr>
      <w:r>
        <w:rPr>
          <w:rStyle w:val="Strong"/>
        </w:rPr>
        <w:t>Table 4a:</w:t>
      </w:r>
      <w:r>
        <w:t xml:space="preserve"> Model summary of multiple regression analysis examining the combined effects of demographic, anthropometric, </w:t>
      </w:r>
      <w:proofErr w:type="spellStart"/>
      <w:r>
        <w:t>glycaemic</w:t>
      </w:r>
      <w:proofErr w:type="spellEnd"/>
      <w:r>
        <w:t>, and lipid parameters on the outcome variable.</w:t>
      </w:r>
    </w:p>
    <w:tbl>
      <w:tblPr>
        <w:tblW w:w="8973" w:type="dxa"/>
        <w:tblBorders>
          <w:top w:val="single" w:sz="4" w:space="0" w:color="auto"/>
        </w:tblBorders>
        <w:tblLayout w:type="fixed"/>
        <w:tblCellMar>
          <w:left w:w="0" w:type="dxa"/>
          <w:right w:w="0" w:type="dxa"/>
        </w:tblCellMar>
        <w:tblLook w:val="0000" w:firstRow="0" w:lastRow="0" w:firstColumn="0" w:lastColumn="0" w:noHBand="0" w:noVBand="0"/>
      </w:tblPr>
      <w:tblGrid>
        <w:gridCol w:w="1218"/>
        <w:gridCol w:w="1573"/>
        <w:gridCol w:w="1668"/>
        <w:gridCol w:w="2255"/>
        <w:gridCol w:w="2259"/>
      </w:tblGrid>
      <w:tr w:rsidR="004D572E" w:rsidRPr="004D572E" w14:paraId="4DCF194D" w14:textId="77777777" w:rsidTr="002E6D84">
        <w:trPr>
          <w:cantSplit/>
          <w:trHeight w:val="489"/>
        </w:trPr>
        <w:tc>
          <w:tcPr>
            <w:tcW w:w="1218" w:type="dxa"/>
            <w:tcBorders>
              <w:top w:val="single" w:sz="4" w:space="0" w:color="auto"/>
              <w:bottom w:val="single" w:sz="4" w:space="0" w:color="auto"/>
            </w:tcBorders>
            <w:shd w:val="clear" w:color="auto" w:fill="auto"/>
            <w:vAlign w:val="bottom"/>
          </w:tcPr>
          <w:p w14:paraId="497B7846"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Model</w:t>
            </w:r>
          </w:p>
        </w:tc>
        <w:tc>
          <w:tcPr>
            <w:tcW w:w="1573" w:type="dxa"/>
            <w:tcBorders>
              <w:top w:val="single" w:sz="4" w:space="0" w:color="auto"/>
              <w:bottom w:val="single" w:sz="4" w:space="0" w:color="auto"/>
            </w:tcBorders>
            <w:shd w:val="clear" w:color="auto" w:fill="auto"/>
            <w:vAlign w:val="bottom"/>
          </w:tcPr>
          <w:p w14:paraId="20C1EC34"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R</w:t>
            </w:r>
          </w:p>
        </w:tc>
        <w:tc>
          <w:tcPr>
            <w:tcW w:w="1668" w:type="dxa"/>
            <w:tcBorders>
              <w:top w:val="single" w:sz="4" w:space="0" w:color="auto"/>
              <w:bottom w:val="single" w:sz="4" w:space="0" w:color="auto"/>
            </w:tcBorders>
            <w:shd w:val="clear" w:color="auto" w:fill="auto"/>
            <w:vAlign w:val="bottom"/>
          </w:tcPr>
          <w:p w14:paraId="4A8F380B"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R Square</w:t>
            </w:r>
          </w:p>
        </w:tc>
        <w:tc>
          <w:tcPr>
            <w:tcW w:w="2255" w:type="dxa"/>
            <w:tcBorders>
              <w:top w:val="single" w:sz="4" w:space="0" w:color="auto"/>
              <w:bottom w:val="single" w:sz="4" w:space="0" w:color="auto"/>
            </w:tcBorders>
            <w:shd w:val="clear" w:color="auto" w:fill="auto"/>
            <w:vAlign w:val="bottom"/>
          </w:tcPr>
          <w:p w14:paraId="7365DDD4"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Adjusted R Square</w:t>
            </w:r>
          </w:p>
        </w:tc>
        <w:tc>
          <w:tcPr>
            <w:tcW w:w="2259" w:type="dxa"/>
            <w:tcBorders>
              <w:top w:val="single" w:sz="4" w:space="0" w:color="auto"/>
              <w:bottom w:val="single" w:sz="4" w:space="0" w:color="auto"/>
            </w:tcBorders>
            <w:shd w:val="clear" w:color="auto" w:fill="auto"/>
            <w:vAlign w:val="bottom"/>
          </w:tcPr>
          <w:p w14:paraId="25FBF412"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Std. Error of the Estimate</w:t>
            </w:r>
          </w:p>
        </w:tc>
      </w:tr>
      <w:tr w:rsidR="004D572E" w:rsidRPr="004D572E" w14:paraId="75CB6224" w14:textId="77777777" w:rsidTr="002E6D84">
        <w:trPr>
          <w:cantSplit/>
          <w:trHeight w:val="248"/>
        </w:trPr>
        <w:tc>
          <w:tcPr>
            <w:tcW w:w="1218" w:type="dxa"/>
            <w:tcBorders>
              <w:top w:val="single" w:sz="4" w:space="0" w:color="auto"/>
              <w:bottom w:val="single" w:sz="4" w:space="0" w:color="auto"/>
            </w:tcBorders>
            <w:shd w:val="clear" w:color="auto" w:fill="auto"/>
          </w:tcPr>
          <w:p w14:paraId="1D0A72BF"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1</w:t>
            </w:r>
          </w:p>
        </w:tc>
        <w:tc>
          <w:tcPr>
            <w:tcW w:w="1573" w:type="dxa"/>
            <w:tcBorders>
              <w:top w:val="single" w:sz="4" w:space="0" w:color="auto"/>
              <w:bottom w:val="single" w:sz="4" w:space="0" w:color="auto"/>
            </w:tcBorders>
            <w:shd w:val="clear" w:color="auto" w:fill="auto"/>
          </w:tcPr>
          <w:p w14:paraId="34E0BFB6" w14:textId="3DD76001"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.968</w:t>
            </w:r>
            <w:r w:rsidR="006B2DA9" w:rsidRPr="004D572E">
              <w:rPr>
                <w:rFonts w:ascii="Arial" w:hAnsi="Arial" w:cs="Arial"/>
                <w:color w:val="000000" w:themeColor="text1"/>
                <w:sz w:val="18"/>
                <w:szCs w:val="18"/>
                <w:vertAlign w:val="superscript"/>
              </w:rPr>
              <w:t>a</w:t>
            </w:r>
          </w:p>
        </w:tc>
        <w:tc>
          <w:tcPr>
            <w:tcW w:w="1668" w:type="dxa"/>
            <w:tcBorders>
              <w:top w:val="single" w:sz="4" w:space="0" w:color="auto"/>
              <w:bottom w:val="single" w:sz="4" w:space="0" w:color="auto"/>
            </w:tcBorders>
            <w:shd w:val="clear" w:color="auto" w:fill="auto"/>
          </w:tcPr>
          <w:p w14:paraId="2D27770B" w14:textId="0A8AE2C1"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.938</w:t>
            </w:r>
          </w:p>
        </w:tc>
        <w:tc>
          <w:tcPr>
            <w:tcW w:w="2255" w:type="dxa"/>
            <w:tcBorders>
              <w:top w:val="single" w:sz="4" w:space="0" w:color="auto"/>
              <w:bottom w:val="single" w:sz="4" w:space="0" w:color="auto"/>
            </w:tcBorders>
            <w:shd w:val="clear" w:color="auto" w:fill="auto"/>
          </w:tcPr>
          <w:p w14:paraId="5E0EB73D" w14:textId="0D29B82B"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.936</w:t>
            </w:r>
          </w:p>
        </w:tc>
        <w:tc>
          <w:tcPr>
            <w:tcW w:w="2259" w:type="dxa"/>
            <w:tcBorders>
              <w:top w:val="single" w:sz="4" w:space="0" w:color="auto"/>
              <w:bottom w:val="single" w:sz="4" w:space="0" w:color="auto"/>
            </w:tcBorders>
            <w:shd w:val="clear" w:color="auto" w:fill="auto"/>
          </w:tcPr>
          <w:p w14:paraId="75987B9E" w14:textId="518097F7"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.07</w:t>
            </w:r>
          </w:p>
        </w:tc>
      </w:tr>
      <w:tr w:rsidR="004D572E" w:rsidRPr="004D572E" w14:paraId="6F216FA4" w14:textId="77777777" w:rsidTr="004D572E">
        <w:trPr>
          <w:cantSplit/>
          <w:trHeight w:val="489"/>
        </w:trPr>
        <w:tc>
          <w:tcPr>
            <w:tcW w:w="8973" w:type="dxa"/>
            <w:gridSpan w:val="5"/>
            <w:tcBorders>
              <w:top w:val="single" w:sz="4" w:space="0" w:color="auto"/>
            </w:tcBorders>
            <w:shd w:val="clear" w:color="auto" w:fill="auto"/>
          </w:tcPr>
          <w:p w14:paraId="16810820" w14:textId="1E46753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a. Predictors: (Constant), NON-HDL, TG/CHOL, dm</w:t>
            </w:r>
            <w:r w:rsidR="00185EDE" w:rsidRPr="004D572E">
              <w:rPr>
                <w:rFonts w:ascii="Arial" w:hAnsi="Arial" w:cs="Arial"/>
                <w:color w:val="000000" w:themeColor="text1"/>
                <w:sz w:val="18"/>
                <w:szCs w:val="18"/>
              </w:rPr>
              <w:t xml:space="preserve"> </w:t>
            </w:r>
            <w:r w:rsidRPr="004D572E">
              <w:rPr>
                <w:rFonts w:ascii="Arial" w:hAnsi="Arial" w:cs="Arial"/>
                <w:color w:val="000000" w:themeColor="text1"/>
                <w:sz w:val="18"/>
                <w:szCs w:val="18"/>
              </w:rPr>
              <w:t>dur</w:t>
            </w:r>
            <w:r w:rsidR="00185EDE" w:rsidRPr="004D572E">
              <w:rPr>
                <w:rFonts w:ascii="Arial" w:hAnsi="Arial" w:cs="Arial"/>
                <w:color w:val="000000" w:themeColor="text1"/>
                <w:sz w:val="18"/>
                <w:szCs w:val="18"/>
              </w:rPr>
              <w:t>ation</w:t>
            </w:r>
            <w:r w:rsidRPr="004D572E">
              <w:rPr>
                <w:rFonts w:ascii="Arial" w:hAnsi="Arial" w:cs="Arial"/>
                <w:color w:val="000000" w:themeColor="text1"/>
                <w:sz w:val="18"/>
                <w:szCs w:val="18"/>
              </w:rPr>
              <w:t xml:space="preserve">, job, sex, </w:t>
            </w:r>
            <w:proofErr w:type="spellStart"/>
            <w:r w:rsidRPr="004D572E">
              <w:rPr>
                <w:rFonts w:ascii="Arial" w:hAnsi="Arial" w:cs="Arial"/>
                <w:color w:val="000000" w:themeColor="text1"/>
                <w:sz w:val="18"/>
                <w:szCs w:val="18"/>
              </w:rPr>
              <w:t>hdl</w:t>
            </w:r>
            <w:proofErr w:type="spellEnd"/>
            <w:r w:rsidRPr="004D572E">
              <w:rPr>
                <w:rFonts w:ascii="Arial" w:hAnsi="Arial" w:cs="Arial"/>
                <w:color w:val="000000" w:themeColor="text1"/>
                <w:sz w:val="18"/>
                <w:szCs w:val="18"/>
              </w:rPr>
              <w:t xml:space="preserve">, </w:t>
            </w:r>
            <w:proofErr w:type="spellStart"/>
            <w:r w:rsidRPr="004D572E">
              <w:rPr>
                <w:rFonts w:ascii="Arial" w:hAnsi="Arial" w:cs="Arial"/>
                <w:color w:val="000000" w:themeColor="text1"/>
                <w:sz w:val="18"/>
                <w:szCs w:val="18"/>
              </w:rPr>
              <w:t>fbg</w:t>
            </w:r>
            <w:proofErr w:type="spellEnd"/>
            <w:r w:rsidRPr="004D572E">
              <w:rPr>
                <w:rFonts w:ascii="Arial" w:hAnsi="Arial" w:cs="Arial"/>
                <w:color w:val="000000" w:themeColor="text1"/>
                <w:sz w:val="18"/>
                <w:szCs w:val="18"/>
              </w:rPr>
              <w:t xml:space="preserve">, </w:t>
            </w:r>
            <w:r w:rsidR="00185EDE" w:rsidRPr="004D572E">
              <w:rPr>
                <w:rFonts w:ascii="Arial" w:hAnsi="Arial" w:cs="Arial"/>
                <w:color w:val="000000" w:themeColor="text1"/>
                <w:sz w:val="18"/>
                <w:szCs w:val="18"/>
              </w:rPr>
              <w:t>BMI</w:t>
            </w:r>
            <w:r w:rsidRPr="004D572E">
              <w:rPr>
                <w:rFonts w:ascii="Arial" w:hAnsi="Arial" w:cs="Arial"/>
                <w:color w:val="000000" w:themeColor="text1"/>
                <w:sz w:val="18"/>
                <w:szCs w:val="18"/>
              </w:rPr>
              <w:t xml:space="preserve">, age, </w:t>
            </w:r>
            <w:proofErr w:type="spellStart"/>
            <w:r w:rsidRPr="004D572E">
              <w:rPr>
                <w:rFonts w:ascii="Arial" w:hAnsi="Arial" w:cs="Arial"/>
                <w:color w:val="000000" w:themeColor="text1"/>
                <w:sz w:val="18"/>
                <w:szCs w:val="18"/>
              </w:rPr>
              <w:t>ldl</w:t>
            </w:r>
            <w:proofErr w:type="spellEnd"/>
            <w:r w:rsidRPr="004D572E">
              <w:rPr>
                <w:rFonts w:ascii="Arial" w:hAnsi="Arial" w:cs="Arial"/>
                <w:color w:val="000000" w:themeColor="text1"/>
                <w:sz w:val="18"/>
                <w:szCs w:val="18"/>
              </w:rPr>
              <w:t xml:space="preserve">, HDL/LDL, </w:t>
            </w:r>
            <w:r w:rsidR="00185EDE" w:rsidRPr="004D572E">
              <w:rPr>
                <w:rFonts w:ascii="Arial" w:hAnsi="Arial" w:cs="Arial"/>
                <w:color w:val="000000" w:themeColor="text1"/>
                <w:sz w:val="18"/>
                <w:szCs w:val="18"/>
              </w:rPr>
              <w:t>VLDL</w:t>
            </w:r>
          </w:p>
        </w:tc>
      </w:tr>
    </w:tbl>
    <w:p w14:paraId="70C4D35F"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49EDD9D3" w14:textId="32DEEF9B" w:rsidR="006B2DA9" w:rsidRPr="006B2DA9" w:rsidRDefault="008F16A5" w:rsidP="006B2DA9">
      <w:pPr>
        <w:autoSpaceDE w:val="0"/>
        <w:autoSpaceDN w:val="0"/>
        <w:adjustRightInd w:val="0"/>
        <w:spacing w:after="0" w:line="400" w:lineRule="atLeast"/>
        <w:rPr>
          <w:rFonts w:ascii="Times New Roman" w:hAnsi="Times New Roman" w:cs="Times New Roman"/>
          <w:sz w:val="24"/>
          <w:szCs w:val="24"/>
        </w:rPr>
      </w:pPr>
      <w:r>
        <w:rPr>
          <w:rStyle w:val="Strong"/>
        </w:rPr>
        <w:t>Table 4b:</w:t>
      </w:r>
      <w:r>
        <w:t xml:space="preserve"> Analysis of variance (ANOVA) for the multiple regression model predicting the </w:t>
      </w:r>
      <w:r>
        <w:rPr>
          <w:rStyle w:val="whitespace-normal"/>
          <w:b/>
          <w:bCs/>
        </w:rPr>
        <w:t>Atherogenic Index of Plasma</w:t>
      </w:r>
      <w:r>
        <w:t xml:space="preserve"> from demographic, anthropometric, </w:t>
      </w:r>
      <w:proofErr w:type="spellStart"/>
      <w:r>
        <w:t>glycaemic</w:t>
      </w:r>
      <w:proofErr w:type="spellEnd"/>
      <w:r>
        <w:t>, and lipid parameters.</w:t>
      </w:r>
    </w:p>
    <w:tbl>
      <w:tblPr>
        <w:tblW w:w="8009"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D572E" w:rsidRPr="004D572E" w14:paraId="4F2C77DB" w14:textId="77777777" w:rsidTr="002E6D84">
        <w:trPr>
          <w:cantSplit/>
        </w:trPr>
        <w:tc>
          <w:tcPr>
            <w:tcW w:w="2028" w:type="dxa"/>
            <w:gridSpan w:val="2"/>
            <w:tcBorders>
              <w:top w:val="single" w:sz="4" w:space="0" w:color="auto"/>
              <w:bottom w:val="single" w:sz="4" w:space="0" w:color="auto"/>
            </w:tcBorders>
            <w:shd w:val="clear" w:color="auto" w:fill="auto"/>
            <w:vAlign w:val="bottom"/>
          </w:tcPr>
          <w:p w14:paraId="207BB54D"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Model</w:t>
            </w:r>
          </w:p>
        </w:tc>
        <w:tc>
          <w:tcPr>
            <w:tcW w:w="1476" w:type="dxa"/>
            <w:tcBorders>
              <w:top w:val="single" w:sz="4" w:space="0" w:color="auto"/>
              <w:bottom w:val="single" w:sz="4" w:space="0" w:color="auto"/>
            </w:tcBorders>
            <w:shd w:val="clear" w:color="auto" w:fill="auto"/>
            <w:vAlign w:val="bottom"/>
          </w:tcPr>
          <w:p w14:paraId="44E71B98"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Sum of Squares</w:t>
            </w:r>
          </w:p>
        </w:tc>
        <w:tc>
          <w:tcPr>
            <w:tcW w:w="1030" w:type="dxa"/>
            <w:tcBorders>
              <w:top w:val="single" w:sz="4" w:space="0" w:color="auto"/>
              <w:bottom w:val="single" w:sz="4" w:space="0" w:color="auto"/>
            </w:tcBorders>
            <w:shd w:val="clear" w:color="auto" w:fill="auto"/>
            <w:vAlign w:val="bottom"/>
          </w:tcPr>
          <w:p w14:paraId="711A8124"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df</w:t>
            </w:r>
          </w:p>
        </w:tc>
        <w:tc>
          <w:tcPr>
            <w:tcW w:w="1415" w:type="dxa"/>
            <w:tcBorders>
              <w:top w:val="single" w:sz="4" w:space="0" w:color="auto"/>
              <w:bottom w:val="single" w:sz="4" w:space="0" w:color="auto"/>
            </w:tcBorders>
            <w:shd w:val="clear" w:color="auto" w:fill="auto"/>
            <w:vAlign w:val="bottom"/>
          </w:tcPr>
          <w:p w14:paraId="20D923A3"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Mean Square</w:t>
            </w:r>
          </w:p>
        </w:tc>
        <w:tc>
          <w:tcPr>
            <w:tcW w:w="1030" w:type="dxa"/>
            <w:tcBorders>
              <w:top w:val="single" w:sz="4" w:space="0" w:color="auto"/>
              <w:bottom w:val="single" w:sz="4" w:space="0" w:color="auto"/>
            </w:tcBorders>
            <w:shd w:val="clear" w:color="auto" w:fill="auto"/>
            <w:vAlign w:val="bottom"/>
          </w:tcPr>
          <w:p w14:paraId="4538EADF"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F</w:t>
            </w:r>
          </w:p>
        </w:tc>
        <w:tc>
          <w:tcPr>
            <w:tcW w:w="1030" w:type="dxa"/>
            <w:tcBorders>
              <w:top w:val="single" w:sz="4" w:space="0" w:color="auto"/>
              <w:bottom w:val="single" w:sz="4" w:space="0" w:color="auto"/>
            </w:tcBorders>
            <w:shd w:val="clear" w:color="auto" w:fill="auto"/>
            <w:vAlign w:val="bottom"/>
          </w:tcPr>
          <w:p w14:paraId="339751DE"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Sig.</w:t>
            </w:r>
          </w:p>
        </w:tc>
      </w:tr>
      <w:tr w:rsidR="004D572E" w:rsidRPr="004D572E" w14:paraId="498809EA" w14:textId="77777777" w:rsidTr="002E6D84">
        <w:trPr>
          <w:cantSplit/>
        </w:trPr>
        <w:tc>
          <w:tcPr>
            <w:tcW w:w="736" w:type="dxa"/>
            <w:vMerge w:val="restart"/>
            <w:tcBorders>
              <w:top w:val="single" w:sz="4" w:space="0" w:color="auto"/>
            </w:tcBorders>
            <w:shd w:val="clear" w:color="auto" w:fill="auto"/>
          </w:tcPr>
          <w:p w14:paraId="77FEEDF6"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1</w:t>
            </w:r>
          </w:p>
        </w:tc>
        <w:tc>
          <w:tcPr>
            <w:tcW w:w="1292" w:type="dxa"/>
            <w:tcBorders>
              <w:top w:val="single" w:sz="4" w:space="0" w:color="auto"/>
            </w:tcBorders>
            <w:shd w:val="clear" w:color="auto" w:fill="auto"/>
          </w:tcPr>
          <w:p w14:paraId="09FBFBAB"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Regression</w:t>
            </w:r>
          </w:p>
        </w:tc>
        <w:tc>
          <w:tcPr>
            <w:tcW w:w="1476" w:type="dxa"/>
            <w:tcBorders>
              <w:top w:val="single" w:sz="4" w:space="0" w:color="auto"/>
            </w:tcBorders>
            <w:shd w:val="clear" w:color="auto" w:fill="auto"/>
          </w:tcPr>
          <w:p w14:paraId="22F287FE"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47.149</w:t>
            </w:r>
          </w:p>
        </w:tc>
        <w:tc>
          <w:tcPr>
            <w:tcW w:w="1030" w:type="dxa"/>
            <w:tcBorders>
              <w:top w:val="single" w:sz="4" w:space="0" w:color="auto"/>
            </w:tcBorders>
            <w:shd w:val="clear" w:color="auto" w:fill="auto"/>
          </w:tcPr>
          <w:p w14:paraId="4D57EFF1"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12</w:t>
            </w:r>
          </w:p>
        </w:tc>
        <w:tc>
          <w:tcPr>
            <w:tcW w:w="1415" w:type="dxa"/>
            <w:tcBorders>
              <w:top w:val="single" w:sz="4" w:space="0" w:color="auto"/>
            </w:tcBorders>
            <w:shd w:val="clear" w:color="auto" w:fill="auto"/>
          </w:tcPr>
          <w:p w14:paraId="419CD421"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3.929</w:t>
            </w:r>
          </w:p>
        </w:tc>
        <w:tc>
          <w:tcPr>
            <w:tcW w:w="1030" w:type="dxa"/>
            <w:tcBorders>
              <w:top w:val="single" w:sz="4" w:space="0" w:color="auto"/>
            </w:tcBorders>
            <w:shd w:val="clear" w:color="auto" w:fill="auto"/>
          </w:tcPr>
          <w:p w14:paraId="3882DF30"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786.288</w:t>
            </w:r>
          </w:p>
        </w:tc>
        <w:tc>
          <w:tcPr>
            <w:tcW w:w="1030" w:type="dxa"/>
            <w:tcBorders>
              <w:top w:val="single" w:sz="4" w:space="0" w:color="auto"/>
            </w:tcBorders>
            <w:shd w:val="clear" w:color="auto" w:fill="auto"/>
          </w:tcPr>
          <w:p w14:paraId="0FB90F2E" w14:textId="021F4E40"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&lt;0</w:t>
            </w:r>
            <w:r w:rsidR="006B2DA9" w:rsidRPr="004D572E">
              <w:rPr>
                <w:rFonts w:ascii="Arial" w:hAnsi="Arial" w:cs="Arial"/>
                <w:color w:val="000000" w:themeColor="text1"/>
                <w:sz w:val="18"/>
                <w:szCs w:val="18"/>
              </w:rPr>
              <w:t>.000</w:t>
            </w:r>
            <w:r w:rsidRPr="004D572E">
              <w:rPr>
                <w:rFonts w:ascii="Arial" w:hAnsi="Arial" w:cs="Arial"/>
                <w:color w:val="000000" w:themeColor="text1"/>
                <w:sz w:val="18"/>
                <w:szCs w:val="18"/>
              </w:rPr>
              <w:t>1</w:t>
            </w:r>
          </w:p>
        </w:tc>
      </w:tr>
      <w:tr w:rsidR="004D572E" w:rsidRPr="004D572E" w14:paraId="7E715154" w14:textId="77777777" w:rsidTr="002E6D84">
        <w:trPr>
          <w:cantSplit/>
        </w:trPr>
        <w:tc>
          <w:tcPr>
            <w:tcW w:w="736" w:type="dxa"/>
            <w:vMerge/>
            <w:shd w:val="clear" w:color="auto" w:fill="auto"/>
          </w:tcPr>
          <w:p w14:paraId="02F12450" w14:textId="77777777" w:rsidR="006B2DA9" w:rsidRPr="004D572E"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92" w:type="dxa"/>
            <w:shd w:val="clear" w:color="auto" w:fill="auto"/>
          </w:tcPr>
          <w:p w14:paraId="780ABD6B"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Residual</w:t>
            </w:r>
          </w:p>
        </w:tc>
        <w:tc>
          <w:tcPr>
            <w:tcW w:w="1476" w:type="dxa"/>
            <w:shd w:val="clear" w:color="auto" w:fill="auto"/>
          </w:tcPr>
          <w:p w14:paraId="4F11A018"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3.133</w:t>
            </w:r>
          </w:p>
        </w:tc>
        <w:tc>
          <w:tcPr>
            <w:tcW w:w="1030" w:type="dxa"/>
            <w:shd w:val="clear" w:color="auto" w:fill="auto"/>
          </w:tcPr>
          <w:p w14:paraId="72378A9D"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627</w:t>
            </w:r>
          </w:p>
        </w:tc>
        <w:tc>
          <w:tcPr>
            <w:tcW w:w="1415" w:type="dxa"/>
            <w:shd w:val="clear" w:color="auto" w:fill="auto"/>
          </w:tcPr>
          <w:p w14:paraId="57CD9754" w14:textId="4D52B293"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.005</w:t>
            </w:r>
          </w:p>
        </w:tc>
        <w:tc>
          <w:tcPr>
            <w:tcW w:w="1030" w:type="dxa"/>
            <w:shd w:val="clear" w:color="auto" w:fill="auto"/>
            <w:vAlign w:val="center"/>
          </w:tcPr>
          <w:p w14:paraId="053359BF"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shd w:val="clear" w:color="auto" w:fill="auto"/>
            <w:vAlign w:val="center"/>
          </w:tcPr>
          <w:p w14:paraId="1E069AE7"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4D572E" w:rsidRPr="004D572E" w14:paraId="640BA59E" w14:textId="77777777" w:rsidTr="002E6D84">
        <w:trPr>
          <w:cantSplit/>
        </w:trPr>
        <w:tc>
          <w:tcPr>
            <w:tcW w:w="736" w:type="dxa"/>
            <w:vMerge/>
            <w:tcBorders>
              <w:bottom w:val="single" w:sz="4" w:space="0" w:color="auto"/>
            </w:tcBorders>
            <w:shd w:val="clear" w:color="auto" w:fill="auto"/>
          </w:tcPr>
          <w:p w14:paraId="5C49F34F"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92" w:type="dxa"/>
            <w:tcBorders>
              <w:bottom w:val="single" w:sz="4" w:space="0" w:color="auto"/>
            </w:tcBorders>
            <w:shd w:val="clear" w:color="auto" w:fill="auto"/>
          </w:tcPr>
          <w:p w14:paraId="1C07F7D7"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Total</w:t>
            </w:r>
          </w:p>
        </w:tc>
        <w:tc>
          <w:tcPr>
            <w:tcW w:w="1476" w:type="dxa"/>
            <w:tcBorders>
              <w:bottom w:val="single" w:sz="4" w:space="0" w:color="auto"/>
            </w:tcBorders>
            <w:shd w:val="clear" w:color="auto" w:fill="auto"/>
          </w:tcPr>
          <w:p w14:paraId="78BBBA49"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50.282</w:t>
            </w:r>
          </w:p>
        </w:tc>
        <w:tc>
          <w:tcPr>
            <w:tcW w:w="1030" w:type="dxa"/>
            <w:tcBorders>
              <w:bottom w:val="single" w:sz="4" w:space="0" w:color="auto"/>
            </w:tcBorders>
            <w:shd w:val="clear" w:color="auto" w:fill="auto"/>
          </w:tcPr>
          <w:p w14:paraId="54E671C9"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639</w:t>
            </w:r>
          </w:p>
        </w:tc>
        <w:tc>
          <w:tcPr>
            <w:tcW w:w="1415" w:type="dxa"/>
            <w:tcBorders>
              <w:bottom w:val="single" w:sz="4" w:space="0" w:color="auto"/>
            </w:tcBorders>
            <w:shd w:val="clear" w:color="auto" w:fill="auto"/>
            <w:vAlign w:val="center"/>
          </w:tcPr>
          <w:p w14:paraId="27A8222F"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bottom w:val="single" w:sz="4" w:space="0" w:color="auto"/>
            </w:tcBorders>
            <w:shd w:val="clear" w:color="auto" w:fill="auto"/>
            <w:vAlign w:val="center"/>
          </w:tcPr>
          <w:p w14:paraId="783429B5"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bottom w:val="single" w:sz="4" w:space="0" w:color="auto"/>
            </w:tcBorders>
            <w:shd w:val="clear" w:color="auto" w:fill="auto"/>
            <w:vAlign w:val="center"/>
          </w:tcPr>
          <w:p w14:paraId="0430ED48"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4D572E" w:rsidRPr="004D572E" w14:paraId="25042634" w14:textId="77777777" w:rsidTr="002E6D84">
        <w:trPr>
          <w:cantSplit/>
        </w:trPr>
        <w:tc>
          <w:tcPr>
            <w:tcW w:w="8009" w:type="dxa"/>
            <w:gridSpan w:val="7"/>
            <w:tcBorders>
              <w:top w:val="single" w:sz="4" w:space="0" w:color="auto"/>
            </w:tcBorders>
            <w:shd w:val="clear" w:color="auto" w:fill="auto"/>
          </w:tcPr>
          <w:p w14:paraId="2DDD7CA9"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a. Dependent Variable: atherogenic index of plasma</w:t>
            </w:r>
          </w:p>
        </w:tc>
      </w:tr>
      <w:tr w:rsidR="004D572E" w:rsidRPr="004D572E" w14:paraId="7A4DB8C0" w14:textId="77777777" w:rsidTr="002E6D84">
        <w:trPr>
          <w:cantSplit/>
        </w:trPr>
        <w:tc>
          <w:tcPr>
            <w:tcW w:w="8009" w:type="dxa"/>
            <w:gridSpan w:val="7"/>
            <w:shd w:val="clear" w:color="auto" w:fill="auto"/>
          </w:tcPr>
          <w:p w14:paraId="2B3A6552" w14:textId="7B7C9A7A"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b. Predictors: (Constant), NON-HDL, TG/CHOL, dm</w:t>
            </w:r>
            <w:r w:rsidR="00EF29C0" w:rsidRPr="004D572E">
              <w:rPr>
                <w:rFonts w:ascii="Arial" w:hAnsi="Arial" w:cs="Arial"/>
                <w:color w:val="000000" w:themeColor="text1"/>
                <w:sz w:val="18"/>
                <w:szCs w:val="18"/>
              </w:rPr>
              <w:t xml:space="preserve"> </w:t>
            </w:r>
            <w:r w:rsidRPr="004D572E">
              <w:rPr>
                <w:rFonts w:ascii="Arial" w:hAnsi="Arial" w:cs="Arial"/>
                <w:color w:val="000000" w:themeColor="text1"/>
                <w:sz w:val="18"/>
                <w:szCs w:val="18"/>
              </w:rPr>
              <w:t>dur</w:t>
            </w:r>
            <w:r w:rsidR="00EF29C0" w:rsidRPr="004D572E">
              <w:rPr>
                <w:rFonts w:ascii="Arial" w:hAnsi="Arial" w:cs="Arial"/>
                <w:color w:val="000000" w:themeColor="text1"/>
                <w:sz w:val="18"/>
                <w:szCs w:val="18"/>
              </w:rPr>
              <w:t>ation</w:t>
            </w:r>
            <w:r w:rsidRPr="004D572E">
              <w:rPr>
                <w:rFonts w:ascii="Arial" w:hAnsi="Arial" w:cs="Arial"/>
                <w:color w:val="000000" w:themeColor="text1"/>
                <w:sz w:val="18"/>
                <w:szCs w:val="18"/>
              </w:rPr>
              <w:t xml:space="preserve">, job, sex, </w:t>
            </w:r>
            <w:proofErr w:type="spellStart"/>
            <w:r w:rsidRPr="004D572E">
              <w:rPr>
                <w:rFonts w:ascii="Arial" w:hAnsi="Arial" w:cs="Arial"/>
                <w:color w:val="000000" w:themeColor="text1"/>
                <w:sz w:val="18"/>
                <w:szCs w:val="18"/>
              </w:rPr>
              <w:t>hdl</w:t>
            </w:r>
            <w:proofErr w:type="spellEnd"/>
            <w:r w:rsidRPr="004D572E">
              <w:rPr>
                <w:rFonts w:ascii="Arial" w:hAnsi="Arial" w:cs="Arial"/>
                <w:color w:val="000000" w:themeColor="text1"/>
                <w:sz w:val="18"/>
                <w:szCs w:val="18"/>
              </w:rPr>
              <w:t xml:space="preserve">, </w:t>
            </w:r>
            <w:proofErr w:type="spellStart"/>
            <w:r w:rsidRPr="004D572E">
              <w:rPr>
                <w:rFonts w:ascii="Arial" w:hAnsi="Arial" w:cs="Arial"/>
                <w:color w:val="000000" w:themeColor="text1"/>
                <w:sz w:val="18"/>
                <w:szCs w:val="18"/>
              </w:rPr>
              <w:t>fbg</w:t>
            </w:r>
            <w:proofErr w:type="spellEnd"/>
            <w:r w:rsidRPr="004D572E">
              <w:rPr>
                <w:rFonts w:ascii="Arial" w:hAnsi="Arial" w:cs="Arial"/>
                <w:color w:val="000000" w:themeColor="text1"/>
                <w:sz w:val="18"/>
                <w:szCs w:val="18"/>
              </w:rPr>
              <w:t xml:space="preserve">, </w:t>
            </w:r>
            <w:proofErr w:type="spellStart"/>
            <w:r w:rsidRPr="004D572E">
              <w:rPr>
                <w:rFonts w:ascii="Arial" w:hAnsi="Arial" w:cs="Arial"/>
                <w:color w:val="000000" w:themeColor="text1"/>
                <w:sz w:val="18"/>
                <w:szCs w:val="18"/>
              </w:rPr>
              <w:t>bmi</w:t>
            </w:r>
            <w:proofErr w:type="spellEnd"/>
            <w:r w:rsidRPr="004D572E">
              <w:rPr>
                <w:rFonts w:ascii="Arial" w:hAnsi="Arial" w:cs="Arial"/>
                <w:color w:val="000000" w:themeColor="text1"/>
                <w:sz w:val="18"/>
                <w:szCs w:val="18"/>
              </w:rPr>
              <w:t xml:space="preserve">, age, </w:t>
            </w:r>
            <w:proofErr w:type="spellStart"/>
            <w:r w:rsidRPr="004D572E">
              <w:rPr>
                <w:rFonts w:ascii="Arial" w:hAnsi="Arial" w:cs="Arial"/>
                <w:color w:val="000000" w:themeColor="text1"/>
                <w:sz w:val="18"/>
                <w:szCs w:val="18"/>
              </w:rPr>
              <w:t>ldl</w:t>
            </w:r>
            <w:proofErr w:type="spellEnd"/>
            <w:r w:rsidRPr="004D572E">
              <w:rPr>
                <w:rFonts w:ascii="Arial" w:hAnsi="Arial" w:cs="Arial"/>
                <w:color w:val="000000" w:themeColor="text1"/>
                <w:sz w:val="18"/>
                <w:szCs w:val="18"/>
              </w:rPr>
              <w:t>, HDL/LDL, TG/2.2</w:t>
            </w:r>
          </w:p>
        </w:tc>
      </w:tr>
    </w:tbl>
    <w:p w14:paraId="12B5A646"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5DB87D1B" w14:textId="5C740306" w:rsidR="006B2DA9" w:rsidRPr="006B2DA9" w:rsidRDefault="000200C8" w:rsidP="006B2DA9">
      <w:pPr>
        <w:autoSpaceDE w:val="0"/>
        <w:autoSpaceDN w:val="0"/>
        <w:adjustRightInd w:val="0"/>
        <w:spacing w:after="0" w:line="400" w:lineRule="atLeast"/>
        <w:rPr>
          <w:rFonts w:ascii="Times New Roman" w:hAnsi="Times New Roman" w:cs="Times New Roman"/>
          <w:sz w:val="24"/>
          <w:szCs w:val="24"/>
        </w:rPr>
      </w:pPr>
      <w:r>
        <w:rPr>
          <w:rStyle w:val="Strong"/>
        </w:rPr>
        <w:lastRenderedPageBreak/>
        <w:t>Table 4c:</w:t>
      </w:r>
      <w:r>
        <w:t xml:space="preserve"> Multiple regression coefficients showing the independent predictors of the </w:t>
      </w:r>
      <w:r>
        <w:rPr>
          <w:rStyle w:val="whitespace-normal"/>
          <w:b/>
          <w:bCs/>
        </w:rPr>
        <w:t>Atherogenic Index of Plasma</w:t>
      </w:r>
      <w:r>
        <w:t xml:space="preserve"> among study participants.</w:t>
      </w:r>
    </w:p>
    <w:tbl>
      <w:tblPr>
        <w:tblW w:w="8520" w:type="dxa"/>
        <w:tblBorders>
          <w:top w:val="single" w:sz="4" w:space="0" w:color="auto"/>
        </w:tblBorders>
        <w:tblLayout w:type="fixed"/>
        <w:tblCellMar>
          <w:left w:w="0" w:type="dxa"/>
          <w:right w:w="0" w:type="dxa"/>
        </w:tblCellMar>
        <w:tblLook w:val="0000" w:firstRow="0" w:lastRow="0" w:firstColumn="0" w:lastColumn="0" w:noHBand="0" w:noVBand="0"/>
      </w:tblPr>
      <w:tblGrid>
        <w:gridCol w:w="771"/>
        <w:gridCol w:w="1240"/>
        <w:gridCol w:w="1401"/>
        <w:gridCol w:w="1402"/>
        <w:gridCol w:w="1546"/>
        <w:gridCol w:w="1079"/>
        <w:gridCol w:w="1081"/>
      </w:tblGrid>
      <w:tr w:rsidR="002E6D84" w:rsidRPr="002E6D84" w14:paraId="6C9CF76F" w14:textId="77777777" w:rsidTr="002E6D84">
        <w:trPr>
          <w:cantSplit/>
          <w:trHeight w:val="645"/>
        </w:trPr>
        <w:tc>
          <w:tcPr>
            <w:tcW w:w="2011" w:type="dxa"/>
            <w:gridSpan w:val="2"/>
            <w:vMerge w:val="restart"/>
            <w:shd w:val="clear" w:color="auto" w:fill="auto"/>
            <w:vAlign w:val="bottom"/>
          </w:tcPr>
          <w:p w14:paraId="77FD7143"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Model</w:t>
            </w:r>
          </w:p>
        </w:tc>
        <w:tc>
          <w:tcPr>
            <w:tcW w:w="2803" w:type="dxa"/>
            <w:gridSpan w:val="2"/>
            <w:shd w:val="clear" w:color="auto" w:fill="auto"/>
            <w:vAlign w:val="bottom"/>
          </w:tcPr>
          <w:p w14:paraId="50EF1140"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Unstandardized Coefficients</w:t>
            </w:r>
          </w:p>
        </w:tc>
        <w:tc>
          <w:tcPr>
            <w:tcW w:w="1546" w:type="dxa"/>
            <w:shd w:val="clear" w:color="auto" w:fill="auto"/>
            <w:vAlign w:val="bottom"/>
          </w:tcPr>
          <w:p w14:paraId="7E75A308"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Standardized Coefficients</w:t>
            </w:r>
          </w:p>
        </w:tc>
        <w:tc>
          <w:tcPr>
            <w:tcW w:w="1079" w:type="dxa"/>
            <w:vMerge w:val="restart"/>
            <w:shd w:val="clear" w:color="auto" w:fill="auto"/>
            <w:vAlign w:val="bottom"/>
          </w:tcPr>
          <w:p w14:paraId="01FC617F"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t</w:t>
            </w:r>
          </w:p>
        </w:tc>
        <w:tc>
          <w:tcPr>
            <w:tcW w:w="1079" w:type="dxa"/>
            <w:vMerge w:val="restart"/>
            <w:shd w:val="clear" w:color="auto" w:fill="auto"/>
            <w:vAlign w:val="bottom"/>
          </w:tcPr>
          <w:p w14:paraId="4A34F4B7"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Sig.</w:t>
            </w:r>
          </w:p>
        </w:tc>
      </w:tr>
      <w:tr w:rsidR="002E6D84" w:rsidRPr="002E6D84" w14:paraId="63B85918" w14:textId="77777777" w:rsidTr="002E6D84">
        <w:trPr>
          <w:cantSplit/>
          <w:trHeight w:val="316"/>
        </w:trPr>
        <w:tc>
          <w:tcPr>
            <w:tcW w:w="2011" w:type="dxa"/>
            <w:gridSpan w:val="2"/>
            <w:vMerge/>
            <w:tcBorders>
              <w:bottom w:val="single" w:sz="4" w:space="0" w:color="auto"/>
            </w:tcBorders>
            <w:shd w:val="clear" w:color="auto" w:fill="auto"/>
            <w:vAlign w:val="bottom"/>
          </w:tcPr>
          <w:p w14:paraId="5CCD3DD5"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01" w:type="dxa"/>
            <w:tcBorders>
              <w:bottom w:val="single" w:sz="4" w:space="0" w:color="auto"/>
            </w:tcBorders>
            <w:shd w:val="clear" w:color="auto" w:fill="auto"/>
            <w:vAlign w:val="bottom"/>
          </w:tcPr>
          <w:p w14:paraId="48C9EC6B"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B</w:t>
            </w:r>
          </w:p>
        </w:tc>
        <w:tc>
          <w:tcPr>
            <w:tcW w:w="1401" w:type="dxa"/>
            <w:tcBorders>
              <w:bottom w:val="single" w:sz="4" w:space="0" w:color="auto"/>
            </w:tcBorders>
            <w:shd w:val="clear" w:color="auto" w:fill="auto"/>
            <w:vAlign w:val="bottom"/>
          </w:tcPr>
          <w:p w14:paraId="057FAF20"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Std. Error</w:t>
            </w:r>
          </w:p>
        </w:tc>
        <w:tc>
          <w:tcPr>
            <w:tcW w:w="1546" w:type="dxa"/>
            <w:tcBorders>
              <w:bottom w:val="single" w:sz="4" w:space="0" w:color="auto"/>
            </w:tcBorders>
            <w:shd w:val="clear" w:color="auto" w:fill="auto"/>
            <w:vAlign w:val="bottom"/>
          </w:tcPr>
          <w:p w14:paraId="0E6E0178"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Beta</w:t>
            </w:r>
          </w:p>
        </w:tc>
        <w:tc>
          <w:tcPr>
            <w:tcW w:w="1079" w:type="dxa"/>
            <w:vMerge/>
            <w:tcBorders>
              <w:bottom w:val="single" w:sz="4" w:space="0" w:color="auto"/>
            </w:tcBorders>
            <w:shd w:val="clear" w:color="auto" w:fill="auto"/>
            <w:vAlign w:val="bottom"/>
          </w:tcPr>
          <w:p w14:paraId="2D3B1DD4"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079" w:type="dxa"/>
            <w:vMerge/>
            <w:tcBorders>
              <w:bottom w:val="single" w:sz="4" w:space="0" w:color="auto"/>
            </w:tcBorders>
            <w:shd w:val="clear" w:color="auto" w:fill="auto"/>
            <w:vAlign w:val="bottom"/>
          </w:tcPr>
          <w:p w14:paraId="4FF4218F"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r>
      <w:tr w:rsidR="002E6D84" w:rsidRPr="002E6D84" w14:paraId="4989BAAD" w14:textId="77777777" w:rsidTr="002E6D84">
        <w:trPr>
          <w:cantSplit/>
          <w:trHeight w:val="329"/>
        </w:trPr>
        <w:tc>
          <w:tcPr>
            <w:tcW w:w="771" w:type="dxa"/>
            <w:vMerge w:val="restart"/>
            <w:tcBorders>
              <w:top w:val="single" w:sz="4" w:space="0" w:color="auto"/>
            </w:tcBorders>
            <w:shd w:val="clear" w:color="auto" w:fill="auto"/>
          </w:tcPr>
          <w:p w14:paraId="323EC802"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1</w:t>
            </w:r>
          </w:p>
        </w:tc>
        <w:tc>
          <w:tcPr>
            <w:tcW w:w="1240" w:type="dxa"/>
            <w:tcBorders>
              <w:top w:val="single" w:sz="4" w:space="0" w:color="auto"/>
            </w:tcBorders>
            <w:shd w:val="clear" w:color="auto" w:fill="auto"/>
          </w:tcPr>
          <w:p w14:paraId="2D8BC9D9"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(Constant)</w:t>
            </w:r>
          </w:p>
        </w:tc>
        <w:tc>
          <w:tcPr>
            <w:tcW w:w="1401" w:type="dxa"/>
            <w:tcBorders>
              <w:top w:val="single" w:sz="4" w:space="0" w:color="auto"/>
            </w:tcBorders>
            <w:shd w:val="clear" w:color="auto" w:fill="auto"/>
          </w:tcPr>
          <w:p w14:paraId="66CB4A7E" w14:textId="1EC4ED1A"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.430</w:t>
            </w:r>
          </w:p>
        </w:tc>
        <w:tc>
          <w:tcPr>
            <w:tcW w:w="1401" w:type="dxa"/>
            <w:tcBorders>
              <w:top w:val="single" w:sz="4" w:space="0" w:color="auto"/>
            </w:tcBorders>
            <w:shd w:val="clear" w:color="auto" w:fill="auto"/>
          </w:tcPr>
          <w:p w14:paraId="1FF5BA9D" w14:textId="0A8B0DFC"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.06</w:t>
            </w:r>
          </w:p>
        </w:tc>
        <w:tc>
          <w:tcPr>
            <w:tcW w:w="1546" w:type="dxa"/>
            <w:tcBorders>
              <w:top w:val="single" w:sz="4" w:space="0" w:color="auto"/>
            </w:tcBorders>
            <w:shd w:val="clear" w:color="auto" w:fill="auto"/>
            <w:vAlign w:val="center"/>
          </w:tcPr>
          <w:p w14:paraId="3104CFA9"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79" w:type="dxa"/>
            <w:tcBorders>
              <w:top w:val="single" w:sz="4" w:space="0" w:color="auto"/>
            </w:tcBorders>
            <w:shd w:val="clear" w:color="auto" w:fill="auto"/>
          </w:tcPr>
          <w:p w14:paraId="209F49D5" w14:textId="66E1BCEF"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7.7</w:t>
            </w:r>
            <w:r w:rsidR="00185EDE" w:rsidRPr="002E6D84">
              <w:rPr>
                <w:rFonts w:ascii="Arial" w:hAnsi="Arial" w:cs="Arial"/>
                <w:color w:val="000000" w:themeColor="text1"/>
                <w:sz w:val="18"/>
                <w:szCs w:val="18"/>
              </w:rPr>
              <w:t>2</w:t>
            </w:r>
          </w:p>
        </w:tc>
        <w:tc>
          <w:tcPr>
            <w:tcW w:w="1079" w:type="dxa"/>
            <w:tcBorders>
              <w:top w:val="single" w:sz="4" w:space="0" w:color="auto"/>
            </w:tcBorders>
            <w:shd w:val="clear" w:color="auto" w:fill="auto"/>
          </w:tcPr>
          <w:p w14:paraId="19E03624" w14:textId="35E587D8"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w:t>
            </w:r>
            <w:r w:rsidR="006B2DA9" w:rsidRPr="002E6D84">
              <w:rPr>
                <w:rFonts w:ascii="Arial" w:hAnsi="Arial" w:cs="Arial"/>
                <w:color w:val="000000" w:themeColor="text1"/>
                <w:sz w:val="18"/>
                <w:szCs w:val="18"/>
              </w:rPr>
              <w:t>.000</w:t>
            </w:r>
            <w:r w:rsidRPr="002E6D84">
              <w:rPr>
                <w:rFonts w:ascii="Arial" w:hAnsi="Arial" w:cs="Arial"/>
                <w:color w:val="000000" w:themeColor="text1"/>
                <w:sz w:val="18"/>
                <w:szCs w:val="18"/>
              </w:rPr>
              <w:t>1</w:t>
            </w:r>
          </w:p>
        </w:tc>
      </w:tr>
      <w:tr w:rsidR="002E6D84" w:rsidRPr="002E6D84" w14:paraId="4501C29C" w14:textId="77777777" w:rsidTr="002E6D84">
        <w:trPr>
          <w:cantSplit/>
          <w:trHeight w:val="316"/>
        </w:trPr>
        <w:tc>
          <w:tcPr>
            <w:tcW w:w="771" w:type="dxa"/>
            <w:vMerge/>
            <w:shd w:val="clear" w:color="auto" w:fill="auto"/>
          </w:tcPr>
          <w:p w14:paraId="43CB5025"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69CE785A" w14:textId="7A76FD1B"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S</w:t>
            </w:r>
            <w:r w:rsidR="006B2DA9" w:rsidRPr="002E6D84">
              <w:rPr>
                <w:rFonts w:ascii="Arial" w:hAnsi="Arial" w:cs="Arial"/>
                <w:color w:val="000000" w:themeColor="text1"/>
                <w:sz w:val="18"/>
                <w:szCs w:val="18"/>
              </w:rPr>
              <w:t>ex</w:t>
            </w:r>
            <w:r w:rsidRPr="002E6D84">
              <w:rPr>
                <w:rFonts w:ascii="Arial" w:hAnsi="Arial" w:cs="Arial"/>
                <w:color w:val="000000" w:themeColor="text1"/>
                <w:sz w:val="18"/>
                <w:szCs w:val="18"/>
              </w:rPr>
              <w:t xml:space="preserve"> </w:t>
            </w:r>
          </w:p>
        </w:tc>
        <w:tc>
          <w:tcPr>
            <w:tcW w:w="1401" w:type="dxa"/>
            <w:shd w:val="clear" w:color="auto" w:fill="auto"/>
          </w:tcPr>
          <w:p w14:paraId="30EBF787" w14:textId="03C8C64E"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.014</w:t>
            </w:r>
          </w:p>
        </w:tc>
        <w:tc>
          <w:tcPr>
            <w:tcW w:w="1401" w:type="dxa"/>
            <w:shd w:val="clear" w:color="auto" w:fill="auto"/>
          </w:tcPr>
          <w:p w14:paraId="6783BFEC" w14:textId="22C055FB"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1</w:t>
            </w:r>
          </w:p>
        </w:tc>
        <w:tc>
          <w:tcPr>
            <w:tcW w:w="1546" w:type="dxa"/>
            <w:shd w:val="clear" w:color="auto" w:fill="auto"/>
          </w:tcPr>
          <w:p w14:paraId="44669E52" w14:textId="3049C029"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.02</w:t>
            </w:r>
          </w:p>
        </w:tc>
        <w:tc>
          <w:tcPr>
            <w:tcW w:w="1079" w:type="dxa"/>
            <w:shd w:val="clear" w:color="auto" w:fill="auto"/>
          </w:tcPr>
          <w:p w14:paraId="2FD4849C" w14:textId="7D1A1501"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2.03</w:t>
            </w:r>
          </w:p>
        </w:tc>
        <w:tc>
          <w:tcPr>
            <w:tcW w:w="1079" w:type="dxa"/>
            <w:shd w:val="clear" w:color="auto" w:fill="auto"/>
          </w:tcPr>
          <w:p w14:paraId="06F01FD4" w14:textId="1B330605"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.04</w:t>
            </w:r>
          </w:p>
        </w:tc>
      </w:tr>
      <w:tr w:rsidR="002E6D84" w:rsidRPr="002E6D84" w14:paraId="459B4576" w14:textId="77777777" w:rsidTr="002E6D84">
        <w:trPr>
          <w:cantSplit/>
          <w:trHeight w:val="329"/>
        </w:trPr>
        <w:tc>
          <w:tcPr>
            <w:tcW w:w="771" w:type="dxa"/>
            <w:vMerge/>
            <w:shd w:val="clear" w:color="auto" w:fill="auto"/>
          </w:tcPr>
          <w:p w14:paraId="6F93B628"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10C0146B" w14:textId="7E906BD1"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w:t>
            </w:r>
            <w:r w:rsidR="006B2DA9" w:rsidRPr="002E6D84">
              <w:rPr>
                <w:rFonts w:ascii="Arial" w:hAnsi="Arial" w:cs="Arial"/>
                <w:color w:val="000000" w:themeColor="text1"/>
                <w:sz w:val="18"/>
                <w:szCs w:val="18"/>
              </w:rPr>
              <w:t>ge</w:t>
            </w:r>
            <w:r w:rsidRPr="002E6D84">
              <w:rPr>
                <w:rFonts w:ascii="Arial" w:hAnsi="Arial" w:cs="Arial"/>
                <w:color w:val="000000" w:themeColor="text1"/>
                <w:sz w:val="18"/>
                <w:szCs w:val="18"/>
              </w:rPr>
              <w:t xml:space="preserve"> </w:t>
            </w:r>
          </w:p>
        </w:tc>
        <w:tc>
          <w:tcPr>
            <w:tcW w:w="1401" w:type="dxa"/>
            <w:shd w:val="clear" w:color="auto" w:fill="auto"/>
          </w:tcPr>
          <w:p w14:paraId="33DC1853" w14:textId="486C593B"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.001</w:t>
            </w:r>
          </w:p>
        </w:tc>
        <w:tc>
          <w:tcPr>
            <w:tcW w:w="1401" w:type="dxa"/>
            <w:shd w:val="clear" w:color="auto" w:fill="auto"/>
          </w:tcPr>
          <w:p w14:paraId="1D9DFE9F" w14:textId="47AF3269"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.00</w:t>
            </w:r>
          </w:p>
        </w:tc>
        <w:tc>
          <w:tcPr>
            <w:tcW w:w="1546" w:type="dxa"/>
            <w:shd w:val="clear" w:color="auto" w:fill="auto"/>
          </w:tcPr>
          <w:p w14:paraId="513DE4C4" w14:textId="3F6ED136"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3</w:t>
            </w:r>
          </w:p>
        </w:tc>
        <w:tc>
          <w:tcPr>
            <w:tcW w:w="1079" w:type="dxa"/>
            <w:shd w:val="clear" w:color="auto" w:fill="auto"/>
          </w:tcPr>
          <w:p w14:paraId="4E7E0639" w14:textId="0E3F9EFD"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2.0</w:t>
            </w:r>
            <w:r w:rsidR="00185EDE" w:rsidRPr="002E6D84">
              <w:rPr>
                <w:rFonts w:ascii="Arial" w:hAnsi="Arial" w:cs="Arial"/>
                <w:color w:val="000000" w:themeColor="text1"/>
                <w:sz w:val="18"/>
                <w:szCs w:val="18"/>
              </w:rPr>
              <w:t>4</w:t>
            </w:r>
          </w:p>
        </w:tc>
        <w:tc>
          <w:tcPr>
            <w:tcW w:w="1079" w:type="dxa"/>
            <w:shd w:val="clear" w:color="auto" w:fill="auto"/>
          </w:tcPr>
          <w:p w14:paraId="53C19C70" w14:textId="0F7AB44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.04</w:t>
            </w:r>
          </w:p>
        </w:tc>
      </w:tr>
      <w:tr w:rsidR="002E6D84" w:rsidRPr="002E6D84" w14:paraId="60FF71CA" w14:textId="77777777" w:rsidTr="002E6D84">
        <w:trPr>
          <w:cantSplit/>
          <w:trHeight w:val="316"/>
        </w:trPr>
        <w:tc>
          <w:tcPr>
            <w:tcW w:w="771" w:type="dxa"/>
            <w:vMerge/>
            <w:shd w:val="clear" w:color="auto" w:fill="auto"/>
          </w:tcPr>
          <w:p w14:paraId="70C4925C"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402FD31A" w14:textId="283AED16"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D</w:t>
            </w:r>
            <w:r w:rsidR="006B2DA9" w:rsidRPr="002E6D84">
              <w:rPr>
                <w:rFonts w:ascii="Arial" w:hAnsi="Arial" w:cs="Arial"/>
                <w:color w:val="000000" w:themeColor="text1"/>
                <w:sz w:val="18"/>
                <w:szCs w:val="18"/>
              </w:rPr>
              <w:t>m</w:t>
            </w:r>
            <w:r w:rsidRPr="002E6D84">
              <w:rPr>
                <w:rFonts w:ascii="Arial" w:hAnsi="Arial" w:cs="Arial"/>
                <w:color w:val="000000" w:themeColor="text1"/>
                <w:sz w:val="18"/>
                <w:szCs w:val="18"/>
              </w:rPr>
              <w:t xml:space="preserve"> </w:t>
            </w:r>
            <w:r w:rsidR="006B2DA9" w:rsidRPr="002E6D84">
              <w:rPr>
                <w:rFonts w:ascii="Arial" w:hAnsi="Arial" w:cs="Arial"/>
                <w:color w:val="000000" w:themeColor="text1"/>
                <w:sz w:val="18"/>
                <w:szCs w:val="18"/>
              </w:rPr>
              <w:t>dur</w:t>
            </w:r>
            <w:r w:rsidRPr="002E6D84">
              <w:rPr>
                <w:rFonts w:ascii="Arial" w:hAnsi="Arial" w:cs="Arial"/>
                <w:color w:val="000000" w:themeColor="text1"/>
                <w:sz w:val="18"/>
                <w:szCs w:val="18"/>
              </w:rPr>
              <w:t>ation</w:t>
            </w:r>
          </w:p>
        </w:tc>
        <w:tc>
          <w:tcPr>
            <w:tcW w:w="1401" w:type="dxa"/>
            <w:shd w:val="clear" w:color="auto" w:fill="auto"/>
          </w:tcPr>
          <w:p w14:paraId="05C253B5" w14:textId="7FA7FD6D"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.001</w:t>
            </w:r>
          </w:p>
        </w:tc>
        <w:tc>
          <w:tcPr>
            <w:tcW w:w="1401" w:type="dxa"/>
            <w:shd w:val="clear" w:color="auto" w:fill="auto"/>
          </w:tcPr>
          <w:p w14:paraId="0B11F045" w14:textId="272DB0C6"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.00</w:t>
            </w:r>
          </w:p>
        </w:tc>
        <w:tc>
          <w:tcPr>
            <w:tcW w:w="1546" w:type="dxa"/>
            <w:shd w:val="clear" w:color="auto" w:fill="auto"/>
          </w:tcPr>
          <w:p w14:paraId="4A3B2C4E" w14:textId="5EE19C5D"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3</w:t>
            </w:r>
          </w:p>
        </w:tc>
        <w:tc>
          <w:tcPr>
            <w:tcW w:w="1079" w:type="dxa"/>
            <w:shd w:val="clear" w:color="auto" w:fill="auto"/>
          </w:tcPr>
          <w:p w14:paraId="5B1F90BD" w14:textId="39C317B1"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2.49</w:t>
            </w:r>
          </w:p>
        </w:tc>
        <w:tc>
          <w:tcPr>
            <w:tcW w:w="1079" w:type="dxa"/>
            <w:shd w:val="clear" w:color="auto" w:fill="auto"/>
          </w:tcPr>
          <w:p w14:paraId="65008BC8" w14:textId="7161CB3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w:t>
            </w:r>
          </w:p>
        </w:tc>
      </w:tr>
      <w:tr w:rsidR="002E6D84" w:rsidRPr="002E6D84" w14:paraId="1C8EE788" w14:textId="77777777" w:rsidTr="002E6D84">
        <w:trPr>
          <w:cantSplit/>
          <w:trHeight w:val="329"/>
        </w:trPr>
        <w:tc>
          <w:tcPr>
            <w:tcW w:w="771" w:type="dxa"/>
            <w:vMerge/>
            <w:shd w:val="clear" w:color="auto" w:fill="auto"/>
          </w:tcPr>
          <w:p w14:paraId="42BD2F12"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6EC39376"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job</w:t>
            </w:r>
          </w:p>
        </w:tc>
        <w:tc>
          <w:tcPr>
            <w:tcW w:w="1401" w:type="dxa"/>
            <w:shd w:val="clear" w:color="auto" w:fill="auto"/>
          </w:tcPr>
          <w:p w14:paraId="5FFD1279" w14:textId="6AB24C5C"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.002</w:t>
            </w:r>
          </w:p>
        </w:tc>
        <w:tc>
          <w:tcPr>
            <w:tcW w:w="1401" w:type="dxa"/>
            <w:shd w:val="clear" w:color="auto" w:fill="auto"/>
          </w:tcPr>
          <w:p w14:paraId="0ABA887F" w14:textId="1882FEB7"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.002</w:t>
            </w:r>
          </w:p>
        </w:tc>
        <w:tc>
          <w:tcPr>
            <w:tcW w:w="1546" w:type="dxa"/>
            <w:shd w:val="clear" w:color="auto" w:fill="auto"/>
          </w:tcPr>
          <w:p w14:paraId="31133020" w14:textId="5DC50197"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1</w:t>
            </w:r>
          </w:p>
        </w:tc>
        <w:tc>
          <w:tcPr>
            <w:tcW w:w="1079" w:type="dxa"/>
            <w:shd w:val="clear" w:color="auto" w:fill="auto"/>
          </w:tcPr>
          <w:p w14:paraId="482A1A1C" w14:textId="0C70BB98"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.65</w:t>
            </w:r>
          </w:p>
        </w:tc>
        <w:tc>
          <w:tcPr>
            <w:tcW w:w="1079" w:type="dxa"/>
            <w:shd w:val="clear" w:color="auto" w:fill="auto"/>
          </w:tcPr>
          <w:p w14:paraId="12387FE3" w14:textId="4FBD3619"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.51</w:t>
            </w:r>
          </w:p>
        </w:tc>
      </w:tr>
      <w:tr w:rsidR="002E6D84" w:rsidRPr="002E6D84" w14:paraId="365D9C07" w14:textId="77777777" w:rsidTr="002E6D84">
        <w:trPr>
          <w:cantSplit/>
          <w:trHeight w:val="329"/>
        </w:trPr>
        <w:tc>
          <w:tcPr>
            <w:tcW w:w="771" w:type="dxa"/>
            <w:vMerge/>
            <w:shd w:val="clear" w:color="auto" w:fill="auto"/>
          </w:tcPr>
          <w:p w14:paraId="31550B7F"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26A6DEBB" w14:textId="18912046"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BMI</w:t>
            </w:r>
          </w:p>
        </w:tc>
        <w:tc>
          <w:tcPr>
            <w:tcW w:w="1401" w:type="dxa"/>
            <w:shd w:val="clear" w:color="auto" w:fill="auto"/>
          </w:tcPr>
          <w:p w14:paraId="6ABB6C5F" w14:textId="552858BC"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-0.004</w:t>
            </w:r>
          </w:p>
        </w:tc>
        <w:tc>
          <w:tcPr>
            <w:tcW w:w="1401" w:type="dxa"/>
            <w:shd w:val="clear" w:color="auto" w:fill="auto"/>
          </w:tcPr>
          <w:p w14:paraId="33395A72" w14:textId="74726E0C"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.001</w:t>
            </w:r>
          </w:p>
        </w:tc>
        <w:tc>
          <w:tcPr>
            <w:tcW w:w="1546" w:type="dxa"/>
            <w:shd w:val="clear" w:color="auto" w:fill="auto"/>
          </w:tcPr>
          <w:p w14:paraId="3A4F8A67" w14:textId="248FBEFC"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.0</w:t>
            </w:r>
            <w:r w:rsidR="002E6D84">
              <w:rPr>
                <w:rFonts w:ascii="Arial" w:hAnsi="Arial" w:cs="Arial"/>
                <w:color w:val="000000" w:themeColor="text1"/>
                <w:sz w:val="18"/>
                <w:szCs w:val="18"/>
              </w:rPr>
              <w:t>6</w:t>
            </w:r>
          </w:p>
        </w:tc>
        <w:tc>
          <w:tcPr>
            <w:tcW w:w="1079" w:type="dxa"/>
            <w:shd w:val="clear" w:color="auto" w:fill="auto"/>
          </w:tcPr>
          <w:p w14:paraId="187D53BB" w14:textId="5BD964F9"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5.21</w:t>
            </w:r>
          </w:p>
        </w:tc>
        <w:tc>
          <w:tcPr>
            <w:tcW w:w="1079" w:type="dxa"/>
            <w:shd w:val="clear" w:color="auto" w:fill="auto"/>
          </w:tcPr>
          <w:p w14:paraId="1B01FD42" w14:textId="6A2A57C3"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4065132E" w14:textId="77777777" w:rsidTr="002E6D84">
        <w:trPr>
          <w:cantSplit/>
          <w:trHeight w:val="316"/>
        </w:trPr>
        <w:tc>
          <w:tcPr>
            <w:tcW w:w="771" w:type="dxa"/>
            <w:vMerge/>
            <w:shd w:val="clear" w:color="auto" w:fill="auto"/>
          </w:tcPr>
          <w:p w14:paraId="40378439"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2CD843B8" w14:textId="7AD78CF5"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FBG</w:t>
            </w:r>
          </w:p>
        </w:tc>
        <w:tc>
          <w:tcPr>
            <w:tcW w:w="1401" w:type="dxa"/>
            <w:shd w:val="clear" w:color="auto" w:fill="auto"/>
          </w:tcPr>
          <w:p w14:paraId="7FAAA87B" w14:textId="07E1130B"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0.008</w:t>
            </w:r>
          </w:p>
        </w:tc>
        <w:tc>
          <w:tcPr>
            <w:tcW w:w="1401" w:type="dxa"/>
            <w:shd w:val="clear" w:color="auto" w:fill="auto"/>
          </w:tcPr>
          <w:p w14:paraId="510E7131" w14:textId="64F4ABB5"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.001</w:t>
            </w:r>
          </w:p>
        </w:tc>
        <w:tc>
          <w:tcPr>
            <w:tcW w:w="1546" w:type="dxa"/>
            <w:shd w:val="clear" w:color="auto" w:fill="auto"/>
          </w:tcPr>
          <w:p w14:paraId="32193E0B" w14:textId="45DF6242"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.1</w:t>
            </w:r>
            <w:r>
              <w:rPr>
                <w:rFonts w:ascii="Arial" w:hAnsi="Arial" w:cs="Arial"/>
                <w:color w:val="000000" w:themeColor="text1"/>
                <w:sz w:val="18"/>
                <w:szCs w:val="18"/>
              </w:rPr>
              <w:t>1</w:t>
            </w:r>
          </w:p>
        </w:tc>
        <w:tc>
          <w:tcPr>
            <w:tcW w:w="1079" w:type="dxa"/>
            <w:shd w:val="clear" w:color="auto" w:fill="auto"/>
          </w:tcPr>
          <w:p w14:paraId="0D6DEC4A" w14:textId="3E038B7C"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8.88</w:t>
            </w:r>
          </w:p>
        </w:tc>
        <w:tc>
          <w:tcPr>
            <w:tcW w:w="1079" w:type="dxa"/>
            <w:shd w:val="clear" w:color="auto" w:fill="auto"/>
          </w:tcPr>
          <w:p w14:paraId="4D0E8084" w14:textId="3F32D6C5"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6FABB410" w14:textId="77777777" w:rsidTr="002E6D84">
        <w:trPr>
          <w:cantSplit/>
          <w:trHeight w:val="329"/>
        </w:trPr>
        <w:tc>
          <w:tcPr>
            <w:tcW w:w="771" w:type="dxa"/>
            <w:vMerge/>
            <w:shd w:val="clear" w:color="auto" w:fill="auto"/>
          </w:tcPr>
          <w:p w14:paraId="009DB3A4"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3D014B95" w14:textId="58954703"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HDL</w:t>
            </w:r>
          </w:p>
        </w:tc>
        <w:tc>
          <w:tcPr>
            <w:tcW w:w="1401" w:type="dxa"/>
            <w:shd w:val="clear" w:color="auto" w:fill="auto"/>
          </w:tcPr>
          <w:p w14:paraId="75BD6506" w14:textId="60A4524E"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-0.447</w:t>
            </w:r>
          </w:p>
        </w:tc>
        <w:tc>
          <w:tcPr>
            <w:tcW w:w="1401" w:type="dxa"/>
            <w:shd w:val="clear" w:color="auto" w:fill="auto"/>
          </w:tcPr>
          <w:p w14:paraId="7DD990EF" w14:textId="473F425C"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w:t>
            </w:r>
            <w:r>
              <w:rPr>
                <w:rFonts w:ascii="Arial" w:hAnsi="Arial" w:cs="Arial"/>
                <w:color w:val="000000" w:themeColor="text1"/>
                <w:sz w:val="18"/>
                <w:szCs w:val="18"/>
              </w:rPr>
              <w:t>3</w:t>
            </w:r>
          </w:p>
        </w:tc>
        <w:tc>
          <w:tcPr>
            <w:tcW w:w="1546" w:type="dxa"/>
            <w:shd w:val="clear" w:color="auto" w:fill="auto"/>
          </w:tcPr>
          <w:p w14:paraId="1E9A2779" w14:textId="25C94D54"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.47</w:t>
            </w:r>
          </w:p>
        </w:tc>
        <w:tc>
          <w:tcPr>
            <w:tcW w:w="1079" w:type="dxa"/>
            <w:shd w:val="clear" w:color="auto" w:fill="auto"/>
          </w:tcPr>
          <w:p w14:paraId="1AE9102C" w14:textId="340536C6"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15.51</w:t>
            </w:r>
          </w:p>
        </w:tc>
        <w:tc>
          <w:tcPr>
            <w:tcW w:w="1079" w:type="dxa"/>
            <w:shd w:val="clear" w:color="auto" w:fill="auto"/>
          </w:tcPr>
          <w:p w14:paraId="7A1E18D6" w14:textId="14FBAB06"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280AF479" w14:textId="77777777" w:rsidTr="002E6D84">
        <w:trPr>
          <w:cantSplit/>
          <w:trHeight w:val="316"/>
        </w:trPr>
        <w:tc>
          <w:tcPr>
            <w:tcW w:w="771" w:type="dxa"/>
            <w:vMerge/>
            <w:shd w:val="clear" w:color="auto" w:fill="auto"/>
          </w:tcPr>
          <w:p w14:paraId="2927C06D"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750DDDC0" w14:textId="54EEAEA4"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LDL</w:t>
            </w:r>
          </w:p>
        </w:tc>
        <w:tc>
          <w:tcPr>
            <w:tcW w:w="1401" w:type="dxa"/>
            <w:shd w:val="clear" w:color="auto" w:fill="auto"/>
          </w:tcPr>
          <w:p w14:paraId="30010BE2" w14:textId="1AF654DA"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.014</w:t>
            </w:r>
          </w:p>
        </w:tc>
        <w:tc>
          <w:tcPr>
            <w:tcW w:w="1401" w:type="dxa"/>
            <w:shd w:val="clear" w:color="auto" w:fill="auto"/>
          </w:tcPr>
          <w:p w14:paraId="33319DC4" w14:textId="60E1A786"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.01</w:t>
            </w:r>
          </w:p>
        </w:tc>
        <w:tc>
          <w:tcPr>
            <w:tcW w:w="1546" w:type="dxa"/>
            <w:shd w:val="clear" w:color="auto" w:fill="auto"/>
          </w:tcPr>
          <w:p w14:paraId="117E38AE" w14:textId="3F3E5E4C"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5</w:t>
            </w:r>
          </w:p>
        </w:tc>
        <w:tc>
          <w:tcPr>
            <w:tcW w:w="1079" w:type="dxa"/>
            <w:shd w:val="clear" w:color="auto" w:fill="auto"/>
          </w:tcPr>
          <w:p w14:paraId="325121D6" w14:textId="5C8838DA"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1.3</w:t>
            </w:r>
            <w:r w:rsidR="00185EDE" w:rsidRPr="002E6D84">
              <w:rPr>
                <w:rFonts w:ascii="Arial" w:hAnsi="Arial" w:cs="Arial"/>
                <w:color w:val="000000" w:themeColor="text1"/>
                <w:sz w:val="18"/>
                <w:szCs w:val="18"/>
              </w:rPr>
              <w:t>3</w:t>
            </w:r>
          </w:p>
        </w:tc>
        <w:tc>
          <w:tcPr>
            <w:tcW w:w="1079" w:type="dxa"/>
            <w:shd w:val="clear" w:color="auto" w:fill="auto"/>
          </w:tcPr>
          <w:p w14:paraId="6D8BD22D" w14:textId="55ED4E8C"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.1</w:t>
            </w:r>
            <w:r w:rsidRPr="002E6D84">
              <w:rPr>
                <w:rFonts w:ascii="Arial" w:hAnsi="Arial" w:cs="Arial"/>
                <w:color w:val="000000" w:themeColor="text1"/>
                <w:sz w:val="18"/>
                <w:szCs w:val="18"/>
              </w:rPr>
              <w:t>9</w:t>
            </w:r>
          </w:p>
        </w:tc>
      </w:tr>
      <w:tr w:rsidR="002E6D84" w:rsidRPr="002E6D84" w14:paraId="42063835" w14:textId="77777777" w:rsidTr="002E6D84">
        <w:trPr>
          <w:cantSplit/>
          <w:trHeight w:val="329"/>
        </w:trPr>
        <w:tc>
          <w:tcPr>
            <w:tcW w:w="771" w:type="dxa"/>
            <w:vMerge/>
            <w:shd w:val="clear" w:color="auto" w:fill="auto"/>
          </w:tcPr>
          <w:p w14:paraId="47517DA1"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1C4D61C2" w14:textId="554CC359"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VLDL</w:t>
            </w:r>
          </w:p>
        </w:tc>
        <w:tc>
          <w:tcPr>
            <w:tcW w:w="1401" w:type="dxa"/>
            <w:shd w:val="clear" w:color="auto" w:fill="auto"/>
          </w:tcPr>
          <w:p w14:paraId="5FAC01E7" w14:textId="7721F2DA"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.181</w:t>
            </w:r>
          </w:p>
        </w:tc>
        <w:tc>
          <w:tcPr>
            <w:tcW w:w="1401" w:type="dxa"/>
            <w:shd w:val="clear" w:color="auto" w:fill="auto"/>
          </w:tcPr>
          <w:p w14:paraId="64D1DE1F" w14:textId="038191B1"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7</w:t>
            </w:r>
          </w:p>
        </w:tc>
        <w:tc>
          <w:tcPr>
            <w:tcW w:w="1546" w:type="dxa"/>
            <w:shd w:val="clear" w:color="auto" w:fill="auto"/>
          </w:tcPr>
          <w:p w14:paraId="624337FB" w14:textId="50125608"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.1</w:t>
            </w:r>
            <w:r w:rsidR="002E6D84">
              <w:rPr>
                <w:rFonts w:ascii="Arial" w:hAnsi="Arial" w:cs="Arial"/>
                <w:color w:val="000000" w:themeColor="text1"/>
                <w:sz w:val="18"/>
                <w:szCs w:val="18"/>
              </w:rPr>
              <w:t>6</w:t>
            </w:r>
          </w:p>
        </w:tc>
        <w:tc>
          <w:tcPr>
            <w:tcW w:w="1079" w:type="dxa"/>
            <w:shd w:val="clear" w:color="auto" w:fill="auto"/>
          </w:tcPr>
          <w:p w14:paraId="47C78787" w14:textId="70F9E01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2.75</w:t>
            </w:r>
          </w:p>
        </w:tc>
        <w:tc>
          <w:tcPr>
            <w:tcW w:w="1079" w:type="dxa"/>
            <w:shd w:val="clear" w:color="auto" w:fill="auto"/>
          </w:tcPr>
          <w:p w14:paraId="4CA71CBC" w14:textId="7489700F"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.006</w:t>
            </w:r>
          </w:p>
        </w:tc>
      </w:tr>
      <w:tr w:rsidR="002E6D84" w:rsidRPr="002E6D84" w14:paraId="0ECD8A10" w14:textId="77777777" w:rsidTr="002E6D84">
        <w:trPr>
          <w:cantSplit/>
          <w:trHeight w:val="316"/>
        </w:trPr>
        <w:tc>
          <w:tcPr>
            <w:tcW w:w="771" w:type="dxa"/>
            <w:vMerge/>
            <w:shd w:val="clear" w:color="auto" w:fill="auto"/>
          </w:tcPr>
          <w:p w14:paraId="03A70FEA"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3B1A4280"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HDL/LDL</w:t>
            </w:r>
          </w:p>
        </w:tc>
        <w:tc>
          <w:tcPr>
            <w:tcW w:w="1401" w:type="dxa"/>
            <w:shd w:val="clear" w:color="auto" w:fill="auto"/>
          </w:tcPr>
          <w:p w14:paraId="7975EEB4" w14:textId="6C6E9638"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.125</w:t>
            </w:r>
          </w:p>
        </w:tc>
        <w:tc>
          <w:tcPr>
            <w:tcW w:w="1401" w:type="dxa"/>
            <w:shd w:val="clear" w:color="auto" w:fill="auto"/>
          </w:tcPr>
          <w:p w14:paraId="3C537729" w14:textId="1CBEE8F4"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.09</w:t>
            </w:r>
          </w:p>
        </w:tc>
        <w:tc>
          <w:tcPr>
            <w:tcW w:w="1546" w:type="dxa"/>
            <w:shd w:val="clear" w:color="auto" w:fill="auto"/>
          </w:tcPr>
          <w:p w14:paraId="690F3ED4" w14:textId="3D197B2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.0</w:t>
            </w:r>
            <w:r w:rsidR="002E6D84">
              <w:rPr>
                <w:rFonts w:ascii="Arial" w:hAnsi="Arial" w:cs="Arial"/>
                <w:color w:val="000000" w:themeColor="text1"/>
                <w:sz w:val="18"/>
                <w:szCs w:val="18"/>
              </w:rPr>
              <w:t>5</w:t>
            </w:r>
          </w:p>
        </w:tc>
        <w:tc>
          <w:tcPr>
            <w:tcW w:w="1079" w:type="dxa"/>
            <w:shd w:val="clear" w:color="auto" w:fill="auto"/>
          </w:tcPr>
          <w:p w14:paraId="08EA2A2E" w14:textId="3D174EA4"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1.30</w:t>
            </w:r>
          </w:p>
        </w:tc>
        <w:tc>
          <w:tcPr>
            <w:tcW w:w="1079" w:type="dxa"/>
            <w:shd w:val="clear" w:color="auto" w:fill="auto"/>
          </w:tcPr>
          <w:p w14:paraId="1A60CE0D" w14:textId="0BEB402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.19</w:t>
            </w:r>
          </w:p>
        </w:tc>
      </w:tr>
      <w:tr w:rsidR="002E6D84" w:rsidRPr="002E6D84" w14:paraId="24BA7EE9" w14:textId="77777777" w:rsidTr="002E6D84">
        <w:trPr>
          <w:cantSplit/>
          <w:trHeight w:val="329"/>
        </w:trPr>
        <w:tc>
          <w:tcPr>
            <w:tcW w:w="771" w:type="dxa"/>
            <w:vMerge/>
            <w:shd w:val="clear" w:color="auto" w:fill="auto"/>
          </w:tcPr>
          <w:p w14:paraId="7E364A45"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03CC3DB2" w14:textId="77777777"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TG/CHOL</w:t>
            </w:r>
          </w:p>
        </w:tc>
        <w:tc>
          <w:tcPr>
            <w:tcW w:w="1401" w:type="dxa"/>
            <w:shd w:val="clear" w:color="auto" w:fill="auto"/>
          </w:tcPr>
          <w:p w14:paraId="4D677642" w14:textId="4F1A7493"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2.624</w:t>
            </w:r>
          </w:p>
        </w:tc>
        <w:tc>
          <w:tcPr>
            <w:tcW w:w="1401" w:type="dxa"/>
            <w:shd w:val="clear" w:color="auto" w:fill="auto"/>
          </w:tcPr>
          <w:p w14:paraId="15309C58" w14:textId="62FB8E36"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.16</w:t>
            </w:r>
          </w:p>
        </w:tc>
        <w:tc>
          <w:tcPr>
            <w:tcW w:w="1546" w:type="dxa"/>
            <w:shd w:val="clear" w:color="auto" w:fill="auto"/>
          </w:tcPr>
          <w:p w14:paraId="04EA91B2" w14:textId="159705B4"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.83</w:t>
            </w:r>
          </w:p>
        </w:tc>
        <w:tc>
          <w:tcPr>
            <w:tcW w:w="1079" w:type="dxa"/>
            <w:shd w:val="clear" w:color="auto" w:fill="auto"/>
          </w:tcPr>
          <w:p w14:paraId="35E41635" w14:textId="5FE94A10"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16.24</w:t>
            </w:r>
          </w:p>
        </w:tc>
        <w:tc>
          <w:tcPr>
            <w:tcW w:w="1079" w:type="dxa"/>
            <w:shd w:val="clear" w:color="auto" w:fill="auto"/>
          </w:tcPr>
          <w:p w14:paraId="0A34C01B" w14:textId="20BCE4E5"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004AEC59" w14:textId="77777777" w:rsidTr="002E6D84">
        <w:trPr>
          <w:cantSplit/>
          <w:trHeight w:val="316"/>
        </w:trPr>
        <w:tc>
          <w:tcPr>
            <w:tcW w:w="771" w:type="dxa"/>
            <w:vMerge/>
            <w:tcBorders>
              <w:bottom w:val="single" w:sz="4" w:space="0" w:color="auto"/>
            </w:tcBorders>
            <w:shd w:val="clear" w:color="auto" w:fill="auto"/>
          </w:tcPr>
          <w:p w14:paraId="21A385D7"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tcBorders>
              <w:bottom w:val="single" w:sz="4" w:space="0" w:color="auto"/>
            </w:tcBorders>
            <w:shd w:val="clear" w:color="auto" w:fill="auto"/>
          </w:tcPr>
          <w:p w14:paraId="195250BD" w14:textId="77777777"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NON-HDL</w:t>
            </w:r>
          </w:p>
        </w:tc>
        <w:tc>
          <w:tcPr>
            <w:tcW w:w="1401" w:type="dxa"/>
            <w:tcBorders>
              <w:bottom w:val="single" w:sz="4" w:space="0" w:color="auto"/>
            </w:tcBorders>
            <w:shd w:val="clear" w:color="auto" w:fill="auto"/>
          </w:tcPr>
          <w:p w14:paraId="05F02F04" w14:textId="44F6FC7A"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0.095</w:t>
            </w:r>
          </w:p>
        </w:tc>
        <w:tc>
          <w:tcPr>
            <w:tcW w:w="1401" w:type="dxa"/>
            <w:tcBorders>
              <w:bottom w:val="single" w:sz="4" w:space="0" w:color="auto"/>
            </w:tcBorders>
            <w:shd w:val="clear" w:color="auto" w:fill="auto"/>
          </w:tcPr>
          <w:p w14:paraId="6A486373" w14:textId="678BA8F2"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.01</w:t>
            </w:r>
          </w:p>
        </w:tc>
        <w:tc>
          <w:tcPr>
            <w:tcW w:w="1546" w:type="dxa"/>
            <w:tcBorders>
              <w:bottom w:val="single" w:sz="4" w:space="0" w:color="auto"/>
            </w:tcBorders>
            <w:shd w:val="clear" w:color="auto" w:fill="auto"/>
          </w:tcPr>
          <w:p w14:paraId="761C190D" w14:textId="1BC54E53"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.3</w:t>
            </w:r>
            <w:r>
              <w:rPr>
                <w:rFonts w:ascii="Arial" w:hAnsi="Arial" w:cs="Arial"/>
                <w:color w:val="000000" w:themeColor="text1"/>
                <w:sz w:val="18"/>
                <w:szCs w:val="18"/>
              </w:rPr>
              <w:t>6</w:t>
            </w:r>
          </w:p>
        </w:tc>
        <w:tc>
          <w:tcPr>
            <w:tcW w:w="1079" w:type="dxa"/>
            <w:tcBorders>
              <w:bottom w:val="single" w:sz="4" w:space="0" w:color="auto"/>
            </w:tcBorders>
            <w:shd w:val="clear" w:color="auto" w:fill="auto"/>
          </w:tcPr>
          <w:p w14:paraId="2EFA059B" w14:textId="7D0E0AE5"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7.38</w:t>
            </w:r>
          </w:p>
        </w:tc>
        <w:tc>
          <w:tcPr>
            <w:tcW w:w="1079" w:type="dxa"/>
            <w:tcBorders>
              <w:bottom w:val="single" w:sz="4" w:space="0" w:color="auto"/>
            </w:tcBorders>
            <w:shd w:val="clear" w:color="auto" w:fill="auto"/>
          </w:tcPr>
          <w:p w14:paraId="48B5C4C7" w14:textId="3C86D1FF"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724B0DBF" w14:textId="77777777" w:rsidTr="002E6D84">
        <w:trPr>
          <w:cantSplit/>
          <w:trHeight w:val="329"/>
        </w:trPr>
        <w:tc>
          <w:tcPr>
            <w:tcW w:w="8520" w:type="dxa"/>
            <w:gridSpan w:val="7"/>
            <w:tcBorders>
              <w:top w:val="single" w:sz="4" w:space="0" w:color="auto"/>
            </w:tcBorders>
            <w:shd w:val="clear" w:color="auto" w:fill="auto"/>
          </w:tcPr>
          <w:p w14:paraId="5559D4F1"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 Dependent Variable: atherogenic index of plasma</w:t>
            </w:r>
          </w:p>
        </w:tc>
      </w:tr>
    </w:tbl>
    <w:p w14:paraId="445B4BB4" w14:textId="2F45EF1B"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28F2B0EF" w14:textId="017A774D" w:rsidR="000200C8" w:rsidRDefault="000200C8" w:rsidP="006B2DA9">
      <w:pPr>
        <w:autoSpaceDE w:val="0"/>
        <w:autoSpaceDN w:val="0"/>
        <w:adjustRightInd w:val="0"/>
        <w:spacing w:after="0" w:line="400" w:lineRule="atLeast"/>
        <w:rPr>
          <w:rFonts w:ascii="Times New Roman" w:hAnsi="Times New Roman" w:cs="Times New Roman"/>
          <w:sz w:val="24"/>
          <w:szCs w:val="24"/>
        </w:rPr>
      </w:pPr>
    </w:p>
    <w:p w14:paraId="523F7A78" w14:textId="684A41F5" w:rsidR="000200C8" w:rsidRDefault="000200C8" w:rsidP="006B2DA9">
      <w:pPr>
        <w:autoSpaceDE w:val="0"/>
        <w:autoSpaceDN w:val="0"/>
        <w:adjustRightInd w:val="0"/>
        <w:spacing w:after="0" w:line="400" w:lineRule="atLeast"/>
        <w:rPr>
          <w:rFonts w:ascii="Times New Roman" w:hAnsi="Times New Roman" w:cs="Times New Roman"/>
          <w:sz w:val="24"/>
          <w:szCs w:val="24"/>
        </w:rPr>
      </w:pPr>
    </w:p>
    <w:p w14:paraId="7D7400D8" w14:textId="00D61A44" w:rsidR="006B2DA9" w:rsidRPr="006B2DA9" w:rsidRDefault="000200C8" w:rsidP="006B2DA9">
      <w:pPr>
        <w:autoSpaceDE w:val="0"/>
        <w:autoSpaceDN w:val="0"/>
        <w:adjustRightInd w:val="0"/>
        <w:spacing w:after="0" w:line="400" w:lineRule="atLeast"/>
        <w:rPr>
          <w:rFonts w:ascii="Times New Roman" w:hAnsi="Times New Roman" w:cs="Times New Roman"/>
          <w:sz w:val="24"/>
          <w:szCs w:val="24"/>
        </w:rPr>
      </w:pPr>
      <w:r>
        <w:rPr>
          <w:rStyle w:val="Strong"/>
        </w:rPr>
        <w:t>Table 5a:</w:t>
      </w:r>
      <w:r>
        <w:t xml:space="preserve"> Model summary of multiple regression analysis examining the influence of demographic, anthropometric, </w:t>
      </w:r>
      <w:proofErr w:type="spellStart"/>
      <w:r>
        <w:t>glycaemic</w:t>
      </w:r>
      <w:proofErr w:type="spellEnd"/>
      <w:r>
        <w:t>, and lipid parameters on the outcome variable.</w:t>
      </w:r>
    </w:p>
    <w:tbl>
      <w:tblPr>
        <w:tblW w:w="9236" w:type="dxa"/>
        <w:tblBorders>
          <w:top w:val="single" w:sz="4" w:space="0" w:color="auto"/>
        </w:tblBorders>
        <w:tblLayout w:type="fixed"/>
        <w:tblCellMar>
          <w:left w:w="0" w:type="dxa"/>
          <w:right w:w="0" w:type="dxa"/>
        </w:tblCellMar>
        <w:tblLook w:val="0000" w:firstRow="0" w:lastRow="0" w:firstColumn="0" w:lastColumn="0" w:noHBand="0" w:noVBand="0"/>
      </w:tblPr>
      <w:tblGrid>
        <w:gridCol w:w="1255"/>
        <w:gridCol w:w="1619"/>
        <w:gridCol w:w="1716"/>
        <w:gridCol w:w="2321"/>
        <w:gridCol w:w="2325"/>
      </w:tblGrid>
      <w:tr w:rsidR="002E6D84" w:rsidRPr="002E6D84" w14:paraId="20E842BF" w14:textId="77777777" w:rsidTr="002E6D84">
        <w:trPr>
          <w:cantSplit/>
          <w:trHeight w:val="456"/>
        </w:trPr>
        <w:tc>
          <w:tcPr>
            <w:tcW w:w="1255" w:type="dxa"/>
            <w:shd w:val="clear" w:color="auto" w:fill="auto"/>
            <w:vAlign w:val="bottom"/>
          </w:tcPr>
          <w:p w14:paraId="452DBF74" w14:textId="77777777" w:rsidR="006B2DA9" w:rsidRPr="002E6D84" w:rsidRDefault="006B2DA9" w:rsidP="006B2DA9">
            <w:pPr>
              <w:autoSpaceDE w:val="0"/>
              <w:autoSpaceDN w:val="0"/>
              <w:adjustRightInd w:val="0"/>
              <w:spacing w:after="0" w:line="320" w:lineRule="atLeast"/>
              <w:ind w:left="60" w:right="60"/>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Model</w:t>
            </w:r>
          </w:p>
        </w:tc>
        <w:tc>
          <w:tcPr>
            <w:tcW w:w="1619" w:type="dxa"/>
            <w:shd w:val="clear" w:color="auto" w:fill="auto"/>
            <w:vAlign w:val="bottom"/>
          </w:tcPr>
          <w:p w14:paraId="0716940B"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R</w:t>
            </w:r>
          </w:p>
        </w:tc>
        <w:tc>
          <w:tcPr>
            <w:tcW w:w="1716" w:type="dxa"/>
            <w:shd w:val="clear" w:color="auto" w:fill="auto"/>
            <w:vAlign w:val="bottom"/>
          </w:tcPr>
          <w:p w14:paraId="083A27BE"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R Square</w:t>
            </w:r>
          </w:p>
        </w:tc>
        <w:tc>
          <w:tcPr>
            <w:tcW w:w="2321" w:type="dxa"/>
            <w:shd w:val="clear" w:color="auto" w:fill="auto"/>
            <w:vAlign w:val="bottom"/>
          </w:tcPr>
          <w:p w14:paraId="3A134AE9"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Adjusted R Square</w:t>
            </w:r>
          </w:p>
        </w:tc>
        <w:tc>
          <w:tcPr>
            <w:tcW w:w="2323" w:type="dxa"/>
            <w:shd w:val="clear" w:color="auto" w:fill="auto"/>
            <w:vAlign w:val="bottom"/>
          </w:tcPr>
          <w:p w14:paraId="112DB0E7"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Std. Error of the Estimate</w:t>
            </w:r>
          </w:p>
        </w:tc>
      </w:tr>
      <w:tr w:rsidR="002E6D84" w:rsidRPr="002E6D84" w14:paraId="3491FDE4" w14:textId="77777777" w:rsidTr="002E6D84">
        <w:trPr>
          <w:cantSplit/>
          <w:trHeight w:val="232"/>
        </w:trPr>
        <w:tc>
          <w:tcPr>
            <w:tcW w:w="1255" w:type="dxa"/>
            <w:tcBorders>
              <w:bottom w:val="single" w:sz="4" w:space="0" w:color="auto"/>
            </w:tcBorders>
            <w:shd w:val="clear" w:color="auto" w:fill="auto"/>
          </w:tcPr>
          <w:p w14:paraId="09554F0A" w14:textId="77777777" w:rsidR="006B2DA9" w:rsidRPr="002E6D84" w:rsidRDefault="006B2DA9" w:rsidP="006B2DA9">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1</w:t>
            </w:r>
          </w:p>
        </w:tc>
        <w:tc>
          <w:tcPr>
            <w:tcW w:w="1619" w:type="dxa"/>
            <w:tcBorders>
              <w:bottom w:val="single" w:sz="4" w:space="0" w:color="auto"/>
            </w:tcBorders>
            <w:shd w:val="clear" w:color="auto" w:fill="auto"/>
          </w:tcPr>
          <w:p w14:paraId="28C5E835" w14:textId="1AB90103" w:rsidR="006B2DA9" w:rsidRPr="002E6D84" w:rsidRDefault="00BB757C"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0</w:t>
            </w:r>
            <w:r w:rsidR="006B2DA9" w:rsidRPr="002E6D84">
              <w:rPr>
                <w:rFonts w:ascii="Times New Roman" w:hAnsi="Times New Roman" w:cs="Times New Roman"/>
                <w:color w:val="000000" w:themeColor="text1"/>
                <w:sz w:val="18"/>
                <w:szCs w:val="18"/>
              </w:rPr>
              <w:t>.85</w:t>
            </w:r>
            <w:r w:rsidR="006B2DA9" w:rsidRPr="002E6D84">
              <w:rPr>
                <w:rFonts w:ascii="Times New Roman" w:hAnsi="Times New Roman" w:cs="Times New Roman"/>
                <w:color w:val="000000" w:themeColor="text1"/>
                <w:sz w:val="18"/>
                <w:szCs w:val="18"/>
                <w:vertAlign w:val="superscript"/>
              </w:rPr>
              <w:t>a</w:t>
            </w:r>
          </w:p>
        </w:tc>
        <w:tc>
          <w:tcPr>
            <w:tcW w:w="1716" w:type="dxa"/>
            <w:tcBorders>
              <w:bottom w:val="single" w:sz="4" w:space="0" w:color="auto"/>
            </w:tcBorders>
            <w:shd w:val="clear" w:color="auto" w:fill="auto"/>
          </w:tcPr>
          <w:p w14:paraId="4B6A0E39" w14:textId="09764EC8" w:rsidR="006B2DA9" w:rsidRPr="002E6D84" w:rsidRDefault="00BB757C"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0</w:t>
            </w:r>
            <w:r w:rsidR="006B2DA9" w:rsidRPr="002E6D84">
              <w:rPr>
                <w:rFonts w:ascii="Times New Roman" w:hAnsi="Times New Roman" w:cs="Times New Roman"/>
                <w:color w:val="000000" w:themeColor="text1"/>
                <w:sz w:val="18"/>
                <w:szCs w:val="18"/>
              </w:rPr>
              <w:t>.7</w:t>
            </w:r>
            <w:r w:rsidRPr="002E6D84">
              <w:rPr>
                <w:rFonts w:ascii="Times New Roman" w:hAnsi="Times New Roman" w:cs="Times New Roman"/>
                <w:color w:val="000000" w:themeColor="text1"/>
                <w:sz w:val="18"/>
                <w:szCs w:val="18"/>
              </w:rPr>
              <w:t>3</w:t>
            </w:r>
          </w:p>
        </w:tc>
        <w:tc>
          <w:tcPr>
            <w:tcW w:w="2321" w:type="dxa"/>
            <w:tcBorders>
              <w:bottom w:val="single" w:sz="4" w:space="0" w:color="auto"/>
            </w:tcBorders>
            <w:shd w:val="clear" w:color="auto" w:fill="auto"/>
          </w:tcPr>
          <w:p w14:paraId="3EB079CC" w14:textId="32E81F36" w:rsidR="006B2DA9" w:rsidRPr="002E6D84" w:rsidRDefault="00BB757C"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0</w:t>
            </w:r>
            <w:r w:rsidR="006B2DA9" w:rsidRPr="002E6D84">
              <w:rPr>
                <w:rFonts w:ascii="Times New Roman" w:hAnsi="Times New Roman" w:cs="Times New Roman"/>
                <w:color w:val="000000" w:themeColor="text1"/>
                <w:sz w:val="18"/>
                <w:szCs w:val="18"/>
              </w:rPr>
              <w:t>.72</w:t>
            </w:r>
          </w:p>
        </w:tc>
        <w:tc>
          <w:tcPr>
            <w:tcW w:w="2323" w:type="dxa"/>
            <w:tcBorders>
              <w:bottom w:val="single" w:sz="4" w:space="0" w:color="auto"/>
            </w:tcBorders>
            <w:shd w:val="clear" w:color="auto" w:fill="auto"/>
          </w:tcPr>
          <w:p w14:paraId="133D5FD4" w14:textId="4F51FAE2" w:rsidR="006B2DA9" w:rsidRPr="002E6D84" w:rsidRDefault="006B2DA9"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2.29</w:t>
            </w:r>
          </w:p>
        </w:tc>
      </w:tr>
      <w:tr w:rsidR="002E6D84" w:rsidRPr="002E6D84" w14:paraId="44EE454E" w14:textId="77777777" w:rsidTr="002E6D84">
        <w:trPr>
          <w:cantSplit/>
          <w:trHeight w:val="456"/>
        </w:trPr>
        <w:tc>
          <w:tcPr>
            <w:tcW w:w="9236" w:type="dxa"/>
            <w:gridSpan w:val="5"/>
            <w:tcBorders>
              <w:top w:val="single" w:sz="4" w:space="0" w:color="auto"/>
            </w:tcBorders>
            <w:shd w:val="clear" w:color="auto" w:fill="auto"/>
          </w:tcPr>
          <w:p w14:paraId="5FC5DE4E" w14:textId="5AFBB3C4" w:rsidR="006B2DA9" w:rsidRPr="002E6D84" w:rsidRDefault="006B2DA9" w:rsidP="006B2DA9">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a. Predictors: (Constant), NON-HDL, TG/CHOL, dm</w:t>
            </w:r>
            <w:r w:rsidR="00BB757C" w:rsidRPr="002E6D84">
              <w:rPr>
                <w:rFonts w:ascii="Times New Roman" w:hAnsi="Times New Roman" w:cs="Times New Roman"/>
                <w:color w:val="000000" w:themeColor="text1"/>
                <w:sz w:val="18"/>
                <w:szCs w:val="18"/>
              </w:rPr>
              <w:t xml:space="preserve"> </w:t>
            </w:r>
            <w:r w:rsidRPr="002E6D84">
              <w:rPr>
                <w:rFonts w:ascii="Times New Roman" w:hAnsi="Times New Roman" w:cs="Times New Roman"/>
                <w:color w:val="000000" w:themeColor="text1"/>
                <w:sz w:val="18"/>
                <w:szCs w:val="18"/>
              </w:rPr>
              <w:t>dur</w:t>
            </w:r>
            <w:r w:rsidR="00BB757C" w:rsidRPr="002E6D84">
              <w:rPr>
                <w:rFonts w:ascii="Times New Roman" w:hAnsi="Times New Roman" w:cs="Times New Roman"/>
                <w:color w:val="000000" w:themeColor="text1"/>
                <w:sz w:val="18"/>
                <w:szCs w:val="18"/>
              </w:rPr>
              <w:t>ation</w:t>
            </w:r>
            <w:r w:rsidRPr="002E6D84">
              <w:rPr>
                <w:rFonts w:ascii="Times New Roman" w:hAnsi="Times New Roman" w:cs="Times New Roman"/>
                <w:color w:val="000000" w:themeColor="text1"/>
                <w:sz w:val="18"/>
                <w:szCs w:val="18"/>
              </w:rPr>
              <w:t xml:space="preserve">, job, sex, </w:t>
            </w:r>
            <w:proofErr w:type="spellStart"/>
            <w:r w:rsidRPr="002E6D84">
              <w:rPr>
                <w:rFonts w:ascii="Times New Roman" w:hAnsi="Times New Roman" w:cs="Times New Roman"/>
                <w:color w:val="000000" w:themeColor="text1"/>
                <w:sz w:val="18"/>
                <w:szCs w:val="18"/>
              </w:rPr>
              <w:t>hdl</w:t>
            </w:r>
            <w:proofErr w:type="spellEnd"/>
            <w:r w:rsidRPr="002E6D84">
              <w:rPr>
                <w:rFonts w:ascii="Times New Roman" w:hAnsi="Times New Roman" w:cs="Times New Roman"/>
                <w:color w:val="000000" w:themeColor="text1"/>
                <w:sz w:val="18"/>
                <w:szCs w:val="18"/>
              </w:rPr>
              <w:t xml:space="preserve">, </w:t>
            </w:r>
            <w:r w:rsidR="00BB757C" w:rsidRPr="002E6D84">
              <w:rPr>
                <w:rFonts w:ascii="Times New Roman" w:hAnsi="Times New Roman" w:cs="Times New Roman"/>
                <w:color w:val="000000" w:themeColor="text1"/>
                <w:sz w:val="18"/>
                <w:szCs w:val="18"/>
              </w:rPr>
              <w:t>FBG</w:t>
            </w:r>
            <w:r w:rsidRPr="002E6D84">
              <w:rPr>
                <w:rFonts w:ascii="Times New Roman" w:hAnsi="Times New Roman" w:cs="Times New Roman"/>
                <w:color w:val="000000" w:themeColor="text1"/>
                <w:sz w:val="18"/>
                <w:szCs w:val="18"/>
              </w:rPr>
              <w:t xml:space="preserve">, </w:t>
            </w:r>
            <w:r w:rsidR="00BB757C" w:rsidRPr="002E6D84">
              <w:rPr>
                <w:rFonts w:ascii="Times New Roman" w:hAnsi="Times New Roman" w:cs="Times New Roman"/>
                <w:color w:val="000000" w:themeColor="text1"/>
                <w:sz w:val="18"/>
                <w:szCs w:val="18"/>
              </w:rPr>
              <w:t>BMI</w:t>
            </w:r>
            <w:r w:rsidRPr="002E6D84">
              <w:rPr>
                <w:rFonts w:ascii="Times New Roman" w:hAnsi="Times New Roman" w:cs="Times New Roman"/>
                <w:color w:val="000000" w:themeColor="text1"/>
                <w:sz w:val="18"/>
                <w:szCs w:val="18"/>
              </w:rPr>
              <w:t xml:space="preserve">, age, </w:t>
            </w:r>
            <w:proofErr w:type="spellStart"/>
            <w:r w:rsidRPr="002E6D84">
              <w:rPr>
                <w:rFonts w:ascii="Times New Roman" w:hAnsi="Times New Roman" w:cs="Times New Roman"/>
                <w:color w:val="000000" w:themeColor="text1"/>
                <w:sz w:val="18"/>
                <w:szCs w:val="18"/>
              </w:rPr>
              <w:t>ldl</w:t>
            </w:r>
            <w:proofErr w:type="spellEnd"/>
            <w:r w:rsidRPr="002E6D84">
              <w:rPr>
                <w:rFonts w:ascii="Times New Roman" w:hAnsi="Times New Roman" w:cs="Times New Roman"/>
                <w:color w:val="000000" w:themeColor="text1"/>
                <w:sz w:val="18"/>
                <w:szCs w:val="18"/>
              </w:rPr>
              <w:t xml:space="preserve">, HDL/LDL, </w:t>
            </w:r>
            <w:r w:rsidR="00BB757C" w:rsidRPr="002E6D84">
              <w:rPr>
                <w:rFonts w:ascii="Times New Roman" w:hAnsi="Times New Roman" w:cs="Times New Roman"/>
                <w:color w:val="000000" w:themeColor="text1"/>
                <w:sz w:val="18"/>
                <w:szCs w:val="18"/>
              </w:rPr>
              <w:t>VLDL</w:t>
            </w:r>
          </w:p>
        </w:tc>
      </w:tr>
    </w:tbl>
    <w:p w14:paraId="03E59B8E"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A8D3E60" w14:textId="5B8EC5CD" w:rsidR="006B2DA9" w:rsidRPr="006B2DA9" w:rsidRDefault="007F6174" w:rsidP="006B2DA9">
      <w:pPr>
        <w:autoSpaceDE w:val="0"/>
        <w:autoSpaceDN w:val="0"/>
        <w:adjustRightInd w:val="0"/>
        <w:spacing w:after="0" w:line="400" w:lineRule="atLeast"/>
        <w:rPr>
          <w:rFonts w:ascii="Times New Roman" w:hAnsi="Times New Roman" w:cs="Times New Roman"/>
          <w:sz w:val="24"/>
          <w:szCs w:val="24"/>
        </w:rPr>
      </w:pPr>
      <w:r>
        <w:rPr>
          <w:rStyle w:val="Strong"/>
        </w:rPr>
        <w:lastRenderedPageBreak/>
        <w:t>Table 5b:</w:t>
      </w:r>
      <w:r>
        <w:t xml:space="preserve"> Analysis of variance (ANOVA) for the multiple regression model predicting the </w:t>
      </w:r>
      <w:r w:rsidRPr="002E6D84">
        <w:rPr>
          <w:rStyle w:val="whitespace-normal"/>
        </w:rPr>
        <w:t>Atherogenic Coefficient</w:t>
      </w:r>
      <w:r>
        <w:t xml:space="preserve"> from demographic, anthropometric, </w:t>
      </w:r>
      <w:proofErr w:type="spellStart"/>
      <w:r>
        <w:t>glycaemic</w:t>
      </w:r>
      <w:proofErr w:type="spellEnd"/>
      <w:r>
        <w:t xml:space="preserve"> index, and lipid parameters.</w:t>
      </w:r>
    </w:p>
    <w:tbl>
      <w:tblPr>
        <w:tblW w:w="8839" w:type="dxa"/>
        <w:tblBorders>
          <w:top w:val="single" w:sz="4" w:space="0" w:color="auto"/>
        </w:tblBorders>
        <w:tblLayout w:type="fixed"/>
        <w:tblCellMar>
          <w:left w:w="0" w:type="dxa"/>
          <w:right w:w="0" w:type="dxa"/>
        </w:tblCellMar>
        <w:tblLook w:val="0000" w:firstRow="0" w:lastRow="0" w:firstColumn="0" w:lastColumn="0" w:noHBand="0" w:noVBand="0"/>
      </w:tblPr>
      <w:tblGrid>
        <w:gridCol w:w="812"/>
        <w:gridCol w:w="1426"/>
        <w:gridCol w:w="1629"/>
        <w:gridCol w:w="1136"/>
        <w:gridCol w:w="1561"/>
        <w:gridCol w:w="1136"/>
        <w:gridCol w:w="1139"/>
      </w:tblGrid>
      <w:tr w:rsidR="002E6D84" w:rsidRPr="002E6D84" w14:paraId="681ACE36" w14:textId="77777777" w:rsidTr="002E6D84">
        <w:trPr>
          <w:cantSplit/>
          <w:trHeight w:val="295"/>
        </w:trPr>
        <w:tc>
          <w:tcPr>
            <w:tcW w:w="2238" w:type="dxa"/>
            <w:gridSpan w:val="2"/>
            <w:tcBorders>
              <w:top w:val="single" w:sz="4" w:space="0" w:color="auto"/>
              <w:bottom w:val="single" w:sz="4" w:space="0" w:color="auto"/>
            </w:tcBorders>
            <w:shd w:val="clear" w:color="auto" w:fill="auto"/>
            <w:vAlign w:val="bottom"/>
          </w:tcPr>
          <w:p w14:paraId="057B4E49" w14:textId="77777777" w:rsidR="006B2DA9" w:rsidRPr="002E6D84"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2E6D84">
              <w:rPr>
                <w:rFonts w:ascii="Arial" w:hAnsi="Arial" w:cs="Arial"/>
                <w:b/>
                <w:bCs/>
                <w:color w:val="000000" w:themeColor="text1"/>
                <w:sz w:val="18"/>
                <w:szCs w:val="18"/>
              </w:rPr>
              <w:t>Model</w:t>
            </w:r>
          </w:p>
        </w:tc>
        <w:tc>
          <w:tcPr>
            <w:tcW w:w="1629" w:type="dxa"/>
            <w:tcBorders>
              <w:top w:val="single" w:sz="4" w:space="0" w:color="auto"/>
              <w:bottom w:val="single" w:sz="4" w:space="0" w:color="auto"/>
            </w:tcBorders>
            <w:shd w:val="clear" w:color="auto" w:fill="auto"/>
            <w:vAlign w:val="bottom"/>
          </w:tcPr>
          <w:p w14:paraId="6676F832"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Sum of Squares</w:t>
            </w:r>
          </w:p>
        </w:tc>
        <w:tc>
          <w:tcPr>
            <w:tcW w:w="1136" w:type="dxa"/>
            <w:tcBorders>
              <w:top w:val="single" w:sz="4" w:space="0" w:color="auto"/>
              <w:bottom w:val="single" w:sz="4" w:space="0" w:color="auto"/>
            </w:tcBorders>
            <w:shd w:val="clear" w:color="auto" w:fill="auto"/>
            <w:vAlign w:val="bottom"/>
          </w:tcPr>
          <w:p w14:paraId="7D1C8069"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df</w:t>
            </w:r>
          </w:p>
        </w:tc>
        <w:tc>
          <w:tcPr>
            <w:tcW w:w="1561" w:type="dxa"/>
            <w:tcBorders>
              <w:top w:val="single" w:sz="4" w:space="0" w:color="auto"/>
              <w:bottom w:val="single" w:sz="4" w:space="0" w:color="auto"/>
            </w:tcBorders>
            <w:shd w:val="clear" w:color="auto" w:fill="auto"/>
            <w:vAlign w:val="bottom"/>
          </w:tcPr>
          <w:p w14:paraId="49772BB6"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Mean Square</w:t>
            </w:r>
          </w:p>
        </w:tc>
        <w:tc>
          <w:tcPr>
            <w:tcW w:w="1136" w:type="dxa"/>
            <w:tcBorders>
              <w:top w:val="single" w:sz="4" w:space="0" w:color="auto"/>
              <w:bottom w:val="single" w:sz="4" w:space="0" w:color="auto"/>
            </w:tcBorders>
            <w:shd w:val="clear" w:color="auto" w:fill="auto"/>
            <w:vAlign w:val="bottom"/>
          </w:tcPr>
          <w:p w14:paraId="7BD4D0C9"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F</w:t>
            </w:r>
          </w:p>
        </w:tc>
        <w:tc>
          <w:tcPr>
            <w:tcW w:w="1139" w:type="dxa"/>
            <w:tcBorders>
              <w:top w:val="single" w:sz="4" w:space="0" w:color="auto"/>
              <w:bottom w:val="single" w:sz="4" w:space="0" w:color="auto"/>
            </w:tcBorders>
            <w:shd w:val="clear" w:color="auto" w:fill="auto"/>
            <w:vAlign w:val="bottom"/>
          </w:tcPr>
          <w:p w14:paraId="2E5AAFE6"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Sig.</w:t>
            </w:r>
          </w:p>
        </w:tc>
      </w:tr>
      <w:tr w:rsidR="002E6D84" w:rsidRPr="002E6D84" w14:paraId="6AE9BF91" w14:textId="77777777" w:rsidTr="002E6D84">
        <w:trPr>
          <w:cantSplit/>
          <w:trHeight w:val="284"/>
        </w:trPr>
        <w:tc>
          <w:tcPr>
            <w:tcW w:w="812" w:type="dxa"/>
            <w:vMerge w:val="restart"/>
            <w:tcBorders>
              <w:top w:val="single" w:sz="4" w:space="0" w:color="auto"/>
            </w:tcBorders>
            <w:shd w:val="clear" w:color="auto" w:fill="auto"/>
          </w:tcPr>
          <w:p w14:paraId="6765EEA4"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1</w:t>
            </w:r>
          </w:p>
        </w:tc>
        <w:tc>
          <w:tcPr>
            <w:tcW w:w="1426" w:type="dxa"/>
            <w:tcBorders>
              <w:top w:val="single" w:sz="4" w:space="0" w:color="auto"/>
            </w:tcBorders>
            <w:shd w:val="clear" w:color="auto" w:fill="auto"/>
          </w:tcPr>
          <w:p w14:paraId="4C81018A"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Regression</w:t>
            </w:r>
          </w:p>
        </w:tc>
        <w:tc>
          <w:tcPr>
            <w:tcW w:w="1629" w:type="dxa"/>
            <w:tcBorders>
              <w:top w:val="single" w:sz="4" w:space="0" w:color="auto"/>
            </w:tcBorders>
            <w:shd w:val="clear" w:color="auto" w:fill="auto"/>
          </w:tcPr>
          <w:p w14:paraId="0C24DD8F"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8775.886</w:t>
            </w:r>
          </w:p>
        </w:tc>
        <w:tc>
          <w:tcPr>
            <w:tcW w:w="1136" w:type="dxa"/>
            <w:tcBorders>
              <w:top w:val="single" w:sz="4" w:space="0" w:color="auto"/>
            </w:tcBorders>
            <w:shd w:val="clear" w:color="auto" w:fill="auto"/>
          </w:tcPr>
          <w:p w14:paraId="7D5462E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12</w:t>
            </w:r>
          </w:p>
        </w:tc>
        <w:tc>
          <w:tcPr>
            <w:tcW w:w="1561" w:type="dxa"/>
            <w:tcBorders>
              <w:top w:val="single" w:sz="4" w:space="0" w:color="auto"/>
            </w:tcBorders>
            <w:shd w:val="clear" w:color="auto" w:fill="auto"/>
          </w:tcPr>
          <w:p w14:paraId="29643634"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731.324</w:t>
            </w:r>
          </w:p>
        </w:tc>
        <w:tc>
          <w:tcPr>
            <w:tcW w:w="1136" w:type="dxa"/>
            <w:tcBorders>
              <w:top w:val="single" w:sz="4" w:space="0" w:color="auto"/>
            </w:tcBorders>
            <w:shd w:val="clear" w:color="auto" w:fill="auto"/>
          </w:tcPr>
          <w:p w14:paraId="0480388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139.468</w:t>
            </w:r>
          </w:p>
        </w:tc>
        <w:tc>
          <w:tcPr>
            <w:tcW w:w="1139" w:type="dxa"/>
            <w:tcBorders>
              <w:top w:val="single" w:sz="4" w:space="0" w:color="auto"/>
            </w:tcBorders>
            <w:shd w:val="clear" w:color="auto" w:fill="auto"/>
          </w:tcPr>
          <w:p w14:paraId="4605E332"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.000</w:t>
            </w:r>
            <w:r w:rsidRPr="002E6D84">
              <w:rPr>
                <w:rFonts w:ascii="Arial" w:hAnsi="Arial" w:cs="Arial"/>
                <w:color w:val="000000" w:themeColor="text1"/>
                <w:sz w:val="18"/>
                <w:szCs w:val="18"/>
                <w:vertAlign w:val="superscript"/>
              </w:rPr>
              <w:t>b</w:t>
            </w:r>
          </w:p>
        </w:tc>
      </w:tr>
      <w:tr w:rsidR="002E6D84" w:rsidRPr="002E6D84" w14:paraId="6D56E1B3" w14:textId="77777777" w:rsidTr="002E6D84">
        <w:trPr>
          <w:cantSplit/>
          <w:trHeight w:val="316"/>
        </w:trPr>
        <w:tc>
          <w:tcPr>
            <w:tcW w:w="812" w:type="dxa"/>
            <w:vMerge/>
            <w:shd w:val="clear" w:color="auto" w:fill="auto"/>
          </w:tcPr>
          <w:p w14:paraId="246705AE"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26" w:type="dxa"/>
            <w:shd w:val="clear" w:color="auto" w:fill="auto"/>
          </w:tcPr>
          <w:p w14:paraId="1F519C2F"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Residual</w:t>
            </w:r>
          </w:p>
        </w:tc>
        <w:tc>
          <w:tcPr>
            <w:tcW w:w="1629" w:type="dxa"/>
            <w:shd w:val="clear" w:color="auto" w:fill="auto"/>
          </w:tcPr>
          <w:p w14:paraId="18E184DA"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3287.786</w:t>
            </w:r>
          </w:p>
        </w:tc>
        <w:tc>
          <w:tcPr>
            <w:tcW w:w="1136" w:type="dxa"/>
            <w:shd w:val="clear" w:color="auto" w:fill="auto"/>
          </w:tcPr>
          <w:p w14:paraId="1EB26781"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627</w:t>
            </w:r>
          </w:p>
        </w:tc>
        <w:tc>
          <w:tcPr>
            <w:tcW w:w="1561" w:type="dxa"/>
            <w:shd w:val="clear" w:color="auto" w:fill="auto"/>
          </w:tcPr>
          <w:p w14:paraId="3D397E34"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5.244</w:t>
            </w:r>
          </w:p>
        </w:tc>
        <w:tc>
          <w:tcPr>
            <w:tcW w:w="1136" w:type="dxa"/>
            <w:shd w:val="clear" w:color="auto" w:fill="auto"/>
            <w:vAlign w:val="center"/>
          </w:tcPr>
          <w:p w14:paraId="61AB6F86"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9" w:type="dxa"/>
            <w:shd w:val="clear" w:color="auto" w:fill="auto"/>
            <w:vAlign w:val="center"/>
          </w:tcPr>
          <w:p w14:paraId="08E25155"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2E6D84" w:rsidRPr="002E6D84" w14:paraId="7B1FD2ED" w14:textId="77777777" w:rsidTr="002E6D84">
        <w:trPr>
          <w:cantSplit/>
          <w:trHeight w:val="305"/>
        </w:trPr>
        <w:tc>
          <w:tcPr>
            <w:tcW w:w="812" w:type="dxa"/>
            <w:vMerge/>
            <w:tcBorders>
              <w:bottom w:val="single" w:sz="4" w:space="0" w:color="auto"/>
            </w:tcBorders>
            <w:shd w:val="clear" w:color="auto" w:fill="auto"/>
          </w:tcPr>
          <w:p w14:paraId="391D763B"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426" w:type="dxa"/>
            <w:tcBorders>
              <w:bottom w:val="single" w:sz="4" w:space="0" w:color="auto"/>
            </w:tcBorders>
            <w:shd w:val="clear" w:color="auto" w:fill="auto"/>
          </w:tcPr>
          <w:p w14:paraId="3A4D85FB"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Total</w:t>
            </w:r>
          </w:p>
        </w:tc>
        <w:tc>
          <w:tcPr>
            <w:tcW w:w="1629" w:type="dxa"/>
            <w:tcBorders>
              <w:bottom w:val="single" w:sz="4" w:space="0" w:color="auto"/>
            </w:tcBorders>
            <w:shd w:val="clear" w:color="auto" w:fill="auto"/>
          </w:tcPr>
          <w:p w14:paraId="4B19D223"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12063.672</w:t>
            </w:r>
          </w:p>
        </w:tc>
        <w:tc>
          <w:tcPr>
            <w:tcW w:w="1136" w:type="dxa"/>
            <w:tcBorders>
              <w:bottom w:val="single" w:sz="4" w:space="0" w:color="auto"/>
            </w:tcBorders>
            <w:shd w:val="clear" w:color="auto" w:fill="auto"/>
          </w:tcPr>
          <w:p w14:paraId="389F6E65"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639</w:t>
            </w:r>
          </w:p>
        </w:tc>
        <w:tc>
          <w:tcPr>
            <w:tcW w:w="1561" w:type="dxa"/>
            <w:tcBorders>
              <w:bottom w:val="single" w:sz="4" w:space="0" w:color="auto"/>
            </w:tcBorders>
            <w:shd w:val="clear" w:color="auto" w:fill="auto"/>
            <w:vAlign w:val="center"/>
          </w:tcPr>
          <w:p w14:paraId="575ADED3"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6" w:type="dxa"/>
            <w:tcBorders>
              <w:bottom w:val="single" w:sz="4" w:space="0" w:color="auto"/>
            </w:tcBorders>
            <w:shd w:val="clear" w:color="auto" w:fill="auto"/>
            <w:vAlign w:val="center"/>
          </w:tcPr>
          <w:p w14:paraId="54231F17"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9" w:type="dxa"/>
            <w:tcBorders>
              <w:bottom w:val="single" w:sz="4" w:space="0" w:color="auto"/>
            </w:tcBorders>
            <w:shd w:val="clear" w:color="auto" w:fill="auto"/>
            <w:vAlign w:val="center"/>
          </w:tcPr>
          <w:p w14:paraId="626C9869"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2E6D84" w:rsidRPr="002E6D84" w14:paraId="060BA085" w14:textId="77777777" w:rsidTr="002E6D84">
        <w:trPr>
          <w:cantSplit/>
          <w:trHeight w:val="295"/>
        </w:trPr>
        <w:tc>
          <w:tcPr>
            <w:tcW w:w="8839" w:type="dxa"/>
            <w:gridSpan w:val="7"/>
            <w:tcBorders>
              <w:top w:val="single" w:sz="4" w:space="0" w:color="auto"/>
            </w:tcBorders>
            <w:shd w:val="clear" w:color="auto" w:fill="auto"/>
          </w:tcPr>
          <w:p w14:paraId="0EEBC5B0"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 Dependent Variable: Atherogenic coefficient</w:t>
            </w:r>
          </w:p>
        </w:tc>
      </w:tr>
      <w:tr w:rsidR="002E6D84" w:rsidRPr="002E6D84" w14:paraId="042363CA" w14:textId="77777777" w:rsidTr="002E6D84">
        <w:trPr>
          <w:cantSplit/>
          <w:trHeight w:val="579"/>
        </w:trPr>
        <w:tc>
          <w:tcPr>
            <w:tcW w:w="8839" w:type="dxa"/>
            <w:gridSpan w:val="7"/>
            <w:shd w:val="clear" w:color="auto" w:fill="auto"/>
          </w:tcPr>
          <w:p w14:paraId="0719CEE9" w14:textId="5B1063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b. Predictors: (Constant), NON-HDL, TG/CHOL, dm</w:t>
            </w:r>
            <w:r w:rsidR="00BB757C" w:rsidRPr="002E6D84">
              <w:rPr>
                <w:rFonts w:ascii="Arial" w:hAnsi="Arial" w:cs="Arial"/>
                <w:color w:val="000000" w:themeColor="text1"/>
                <w:sz w:val="18"/>
                <w:szCs w:val="18"/>
              </w:rPr>
              <w:t xml:space="preserve"> </w:t>
            </w:r>
            <w:r w:rsidRPr="002E6D84">
              <w:rPr>
                <w:rFonts w:ascii="Arial" w:hAnsi="Arial" w:cs="Arial"/>
                <w:color w:val="000000" w:themeColor="text1"/>
                <w:sz w:val="18"/>
                <w:szCs w:val="18"/>
              </w:rPr>
              <w:t>dur</w:t>
            </w:r>
            <w:r w:rsidR="00BB757C" w:rsidRPr="002E6D84">
              <w:rPr>
                <w:rFonts w:ascii="Arial" w:hAnsi="Arial" w:cs="Arial"/>
                <w:color w:val="000000" w:themeColor="text1"/>
                <w:sz w:val="18"/>
                <w:szCs w:val="18"/>
              </w:rPr>
              <w:t>ation</w:t>
            </w:r>
            <w:r w:rsidRPr="002E6D84">
              <w:rPr>
                <w:rFonts w:ascii="Arial" w:hAnsi="Arial" w:cs="Arial"/>
                <w:color w:val="000000" w:themeColor="text1"/>
                <w:sz w:val="18"/>
                <w:szCs w:val="18"/>
              </w:rPr>
              <w:t xml:space="preserve">, job, sex, </w:t>
            </w:r>
            <w:proofErr w:type="spellStart"/>
            <w:r w:rsidRPr="002E6D84">
              <w:rPr>
                <w:rFonts w:ascii="Arial" w:hAnsi="Arial" w:cs="Arial"/>
                <w:color w:val="000000" w:themeColor="text1"/>
                <w:sz w:val="18"/>
                <w:szCs w:val="18"/>
              </w:rPr>
              <w:t>hdl</w:t>
            </w:r>
            <w:proofErr w:type="spellEnd"/>
            <w:r w:rsidRPr="002E6D84">
              <w:rPr>
                <w:rFonts w:ascii="Arial" w:hAnsi="Arial" w:cs="Arial"/>
                <w:color w:val="000000" w:themeColor="text1"/>
                <w:sz w:val="18"/>
                <w:szCs w:val="18"/>
              </w:rPr>
              <w:t xml:space="preserve">, </w:t>
            </w:r>
            <w:r w:rsidR="00BB757C" w:rsidRPr="002E6D84">
              <w:rPr>
                <w:rFonts w:ascii="Arial" w:hAnsi="Arial" w:cs="Arial"/>
                <w:color w:val="000000" w:themeColor="text1"/>
                <w:sz w:val="18"/>
                <w:szCs w:val="18"/>
              </w:rPr>
              <w:t>FBG</w:t>
            </w:r>
            <w:r w:rsidRPr="002E6D84">
              <w:rPr>
                <w:rFonts w:ascii="Arial" w:hAnsi="Arial" w:cs="Arial"/>
                <w:color w:val="000000" w:themeColor="text1"/>
                <w:sz w:val="18"/>
                <w:szCs w:val="18"/>
              </w:rPr>
              <w:t xml:space="preserve">, </w:t>
            </w:r>
            <w:r w:rsidR="00BB757C" w:rsidRPr="002E6D84">
              <w:rPr>
                <w:rFonts w:ascii="Arial" w:hAnsi="Arial" w:cs="Arial"/>
                <w:color w:val="000000" w:themeColor="text1"/>
                <w:sz w:val="18"/>
                <w:szCs w:val="18"/>
              </w:rPr>
              <w:t>BMI</w:t>
            </w:r>
            <w:r w:rsidRPr="002E6D84">
              <w:rPr>
                <w:rFonts w:ascii="Arial" w:hAnsi="Arial" w:cs="Arial"/>
                <w:color w:val="000000" w:themeColor="text1"/>
                <w:sz w:val="18"/>
                <w:szCs w:val="18"/>
              </w:rPr>
              <w:t xml:space="preserve">, age, </w:t>
            </w:r>
            <w:proofErr w:type="spellStart"/>
            <w:r w:rsidRPr="002E6D84">
              <w:rPr>
                <w:rFonts w:ascii="Arial" w:hAnsi="Arial" w:cs="Arial"/>
                <w:color w:val="000000" w:themeColor="text1"/>
                <w:sz w:val="18"/>
                <w:szCs w:val="18"/>
              </w:rPr>
              <w:t>ldl</w:t>
            </w:r>
            <w:proofErr w:type="spellEnd"/>
            <w:r w:rsidRPr="002E6D84">
              <w:rPr>
                <w:rFonts w:ascii="Arial" w:hAnsi="Arial" w:cs="Arial"/>
                <w:color w:val="000000" w:themeColor="text1"/>
                <w:sz w:val="18"/>
                <w:szCs w:val="18"/>
              </w:rPr>
              <w:t xml:space="preserve">, HDL/LDL, </w:t>
            </w:r>
            <w:r w:rsidR="00BB757C" w:rsidRPr="002E6D84">
              <w:rPr>
                <w:rFonts w:ascii="Arial" w:hAnsi="Arial" w:cs="Arial"/>
                <w:color w:val="000000" w:themeColor="text1"/>
                <w:sz w:val="18"/>
                <w:szCs w:val="18"/>
              </w:rPr>
              <w:t>VLDL</w:t>
            </w:r>
          </w:p>
        </w:tc>
      </w:tr>
    </w:tbl>
    <w:p w14:paraId="35C05542" w14:textId="77777777" w:rsidR="00850376" w:rsidRDefault="00850376" w:rsidP="006B2DA9">
      <w:pPr>
        <w:autoSpaceDE w:val="0"/>
        <w:autoSpaceDN w:val="0"/>
        <w:adjustRightInd w:val="0"/>
        <w:spacing w:after="0" w:line="400" w:lineRule="atLeast"/>
        <w:rPr>
          <w:rStyle w:val="Strong"/>
        </w:rPr>
      </w:pPr>
    </w:p>
    <w:p w14:paraId="1890700D" w14:textId="2E93893D" w:rsidR="006B2DA9" w:rsidRPr="006B2DA9" w:rsidRDefault="007F6174" w:rsidP="006B2DA9">
      <w:pPr>
        <w:autoSpaceDE w:val="0"/>
        <w:autoSpaceDN w:val="0"/>
        <w:adjustRightInd w:val="0"/>
        <w:spacing w:after="0" w:line="400" w:lineRule="atLeast"/>
        <w:rPr>
          <w:rFonts w:ascii="Times New Roman" w:hAnsi="Times New Roman" w:cs="Times New Roman"/>
          <w:sz w:val="24"/>
          <w:szCs w:val="24"/>
        </w:rPr>
      </w:pPr>
      <w:r>
        <w:rPr>
          <w:rStyle w:val="Strong"/>
        </w:rPr>
        <w:t>Table 5c:</w:t>
      </w:r>
      <w:r>
        <w:t xml:space="preserve"> Multiple regression coefficients showing the independent predictors of the </w:t>
      </w:r>
      <w:r>
        <w:rPr>
          <w:rStyle w:val="whitespace-normal"/>
          <w:b/>
          <w:bCs/>
        </w:rPr>
        <w:t>Atherogenic Coefficient</w:t>
      </w:r>
      <w:r>
        <w:t xml:space="preserve"> among study participants.</w:t>
      </w:r>
    </w:p>
    <w:tbl>
      <w:tblPr>
        <w:tblW w:w="8132"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2E6D84" w:rsidRPr="002E6D84" w14:paraId="387BD01F" w14:textId="77777777" w:rsidTr="002E6D84">
        <w:trPr>
          <w:cantSplit/>
        </w:trPr>
        <w:tc>
          <w:tcPr>
            <w:tcW w:w="1920" w:type="dxa"/>
            <w:gridSpan w:val="2"/>
            <w:vMerge w:val="restart"/>
            <w:shd w:val="clear" w:color="auto" w:fill="auto"/>
            <w:vAlign w:val="bottom"/>
          </w:tcPr>
          <w:p w14:paraId="6072402C" w14:textId="77777777" w:rsidR="006B2DA9" w:rsidRPr="002E6D84"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2E6D84">
              <w:rPr>
                <w:rFonts w:ascii="Arial" w:hAnsi="Arial" w:cs="Arial"/>
                <w:b/>
                <w:bCs/>
                <w:color w:val="000000" w:themeColor="text1"/>
                <w:sz w:val="18"/>
                <w:szCs w:val="18"/>
              </w:rPr>
              <w:t>Model</w:t>
            </w:r>
          </w:p>
        </w:tc>
        <w:tc>
          <w:tcPr>
            <w:tcW w:w="2676" w:type="dxa"/>
            <w:gridSpan w:val="2"/>
            <w:shd w:val="clear" w:color="auto" w:fill="auto"/>
            <w:vAlign w:val="bottom"/>
          </w:tcPr>
          <w:p w14:paraId="1A14CD79"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Unstandardized Coefficients</w:t>
            </w:r>
          </w:p>
        </w:tc>
        <w:tc>
          <w:tcPr>
            <w:tcW w:w="1476" w:type="dxa"/>
            <w:shd w:val="clear" w:color="auto" w:fill="auto"/>
            <w:vAlign w:val="bottom"/>
          </w:tcPr>
          <w:p w14:paraId="2B1B6D9B"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Standardized Coefficients</w:t>
            </w:r>
          </w:p>
        </w:tc>
        <w:tc>
          <w:tcPr>
            <w:tcW w:w="1030" w:type="dxa"/>
            <w:vMerge w:val="restart"/>
            <w:shd w:val="clear" w:color="auto" w:fill="auto"/>
            <w:vAlign w:val="bottom"/>
          </w:tcPr>
          <w:p w14:paraId="56489432"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t</w:t>
            </w:r>
          </w:p>
        </w:tc>
        <w:tc>
          <w:tcPr>
            <w:tcW w:w="1030" w:type="dxa"/>
            <w:vMerge w:val="restart"/>
            <w:shd w:val="clear" w:color="auto" w:fill="auto"/>
            <w:vAlign w:val="bottom"/>
          </w:tcPr>
          <w:p w14:paraId="396A278B"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Sig.</w:t>
            </w:r>
          </w:p>
        </w:tc>
      </w:tr>
      <w:tr w:rsidR="002E6D84" w:rsidRPr="002E6D84" w14:paraId="13D7055A" w14:textId="77777777" w:rsidTr="002E6D84">
        <w:trPr>
          <w:cantSplit/>
        </w:trPr>
        <w:tc>
          <w:tcPr>
            <w:tcW w:w="1920" w:type="dxa"/>
            <w:gridSpan w:val="2"/>
            <w:vMerge/>
            <w:tcBorders>
              <w:bottom w:val="single" w:sz="4" w:space="0" w:color="auto"/>
            </w:tcBorders>
            <w:shd w:val="clear" w:color="auto" w:fill="auto"/>
            <w:vAlign w:val="bottom"/>
          </w:tcPr>
          <w:p w14:paraId="00EBF9D3" w14:textId="77777777" w:rsidR="006B2DA9" w:rsidRPr="002E6D84"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338" w:type="dxa"/>
            <w:tcBorders>
              <w:bottom w:val="single" w:sz="4" w:space="0" w:color="auto"/>
            </w:tcBorders>
            <w:shd w:val="clear" w:color="auto" w:fill="auto"/>
            <w:vAlign w:val="bottom"/>
          </w:tcPr>
          <w:p w14:paraId="77DBCED8"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B</w:t>
            </w:r>
          </w:p>
        </w:tc>
        <w:tc>
          <w:tcPr>
            <w:tcW w:w="1338" w:type="dxa"/>
            <w:tcBorders>
              <w:bottom w:val="single" w:sz="4" w:space="0" w:color="auto"/>
            </w:tcBorders>
            <w:shd w:val="clear" w:color="auto" w:fill="auto"/>
            <w:vAlign w:val="bottom"/>
          </w:tcPr>
          <w:p w14:paraId="469B2157"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Std. Error</w:t>
            </w:r>
          </w:p>
        </w:tc>
        <w:tc>
          <w:tcPr>
            <w:tcW w:w="1476" w:type="dxa"/>
            <w:tcBorders>
              <w:bottom w:val="single" w:sz="4" w:space="0" w:color="auto"/>
            </w:tcBorders>
            <w:shd w:val="clear" w:color="auto" w:fill="auto"/>
            <w:vAlign w:val="bottom"/>
          </w:tcPr>
          <w:p w14:paraId="485AE923"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Beta</w:t>
            </w:r>
          </w:p>
        </w:tc>
        <w:tc>
          <w:tcPr>
            <w:tcW w:w="1030" w:type="dxa"/>
            <w:vMerge/>
            <w:tcBorders>
              <w:bottom w:val="single" w:sz="4" w:space="0" w:color="auto"/>
            </w:tcBorders>
            <w:shd w:val="clear" w:color="auto" w:fill="auto"/>
            <w:vAlign w:val="bottom"/>
          </w:tcPr>
          <w:p w14:paraId="62AEB815" w14:textId="77777777" w:rsidR="006B2DA9" w:rsidRPr="002E6D84"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030" w:type="dxa"/>
            <w:vMerge/>
            <w:tcBorders>
              <w:bottom w:val="single" w:sz="4" w:space="0" w:color="auto"/>
            </w:tcBorders>
            <w:shd w:val="clear" w:color="auto" w:fill="auto"/>
            <w:vAlign w:val="bottom"/>
          </w:tcPr>
          <w:p w14:paraId="63D8EBB2" w14:textId="77777777" w:rsidR="006B2DA9" w:rsidRPr="002E6D84" w:rsidRDefault="006B2DA9" w:rsidP="006B2DA9">
            <w:pPr>
              <w:autoSpaceDE w:val="0"/>
              <w:autoSpaceDN w:val="0"/>
              <w:adjustRightInd w:val="0"/>
              <w:spacing w:after="0" w:line="240" w:lineRule="auto"/>
              <w:rPr>
                <w:rFonts w:ascii="Arial" w:hAnsi="Arial" w:cs="Arial"/>
                <w:b/>
                <w:bCs/>
                <w:color w:val="000000" w:themeColor="text1"/>
                <w:sz w:val="18"/>
                <w:szCs w:val="18"/>
              </w:rPr>
            </w:pPr>
          </w:p>
        </w:tc>
      </w:tr>
      <w:tr w:rsidR="002E6D84" w:rsidRPr="002E6D84" w14:paraId="14EE3260" w14:textId="77777777" w:rsidTr="002E6D84">
        <w:trPr>
          <w:cantSplit/>
        </w:trPr>
        <w:tc>
          <w:tcPr>
            <w:tcW w:w="736" w:type="dxa"/>
            <w:vMerge w:val="restart"/>
            <w:tcBorders>
              <w:top w:val="single" w:sz="4" w:space="0" w:color="auto"/>
            </w:tcBorders>
            <w:shd w:val="clear" w:color="auto" w:fill="auto"/>
          </w:tcPr>
          <w:p w14:paraId="3AF50092"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1</w:t>
            </w:r>
          </w:p>
        </w:tc>
        <w:tc>
          <w:tcPr>
            <w:tcW w:w="1184" w:type="dxa"/>
            <w:tcBorders>
              <w:top w:val="single" w:sz="4" w:space="0" w:color="auto"/>
            </w:tcBorders>
            <w:shd w:val="clear" w:color="auto" w:fill="auto"/>
          </w:tcPr>
          <w:p w14:paraId="6423C7B0"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(Constant)</w:t>
            </w:r>
          </w:p>
        </w:tc>
        <w:tc>
          <w:tcPr>
            <w:tcW w:w="1338" w:type="dxa"/>
            <w:tcBorders>
              <w:top w:val="single" w:sz="4" w:space="0" w:color="auto"/>
            </w:tcBorders>
            <w:shd w:val="clear" w:color="auto" w:fill="auto"/>
          </w:tcPr>
          <w:p w14:paraId="4BB0A54C"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7.426</w:t>
            </w:r>
          </w:p>
        </w:tc>
        <w:tc>
          <w:tcPr>
            <w:tcW w:w="1338" w:type="dxa"/>
            <w:tcBorders>
              <w:top w:val="single" w:sz="4" w:space="0" w:color="auto"/>
            </w:tcBorders>
            <w:shd w:val="clear" w:color="auto" w:fill="auto"/>
          </w:tcPr>
          <w:p w14:paraId="52C21FD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1.806</w:t>
            </w:r>
          </w:p>
        </w:tc>
        <w:tc>
          <w:tcPr>
            <w:tcW w:w="1476" w:type="dxa"/>
            <w:tcBorders>
              <w:top w:val="single" w:sz="4" w:space="0" w:color="auto"/>
            </w:tcBorders>
            <w:shd w:val="clear" w:color="auto" w:fill="auto"/>
            <w:vAlign w:val="center"/>
          </w:tcPr>
          <w:p w14:paraId="7C4C3CAA"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top w:val="single" w:sz="4" w:space="0" w:color="auto"/>
            </w:tcBorders>
            <w:shd w:val="clear" w:color="auto" w:fill="auto"/>
          </w:tcPr>
          <w:p w14:paraId="13C0437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4.111</w:t>
            </w:r>
          </w:p>
        </w:tc>
        <w:tc>
          <w:tcPr>
            <w:tcW w:w="1030" w:type="dxa"/>
            <w:tcBorders>
              <w:top w:val="single" w:sz="4" w:space="0" w:color="auto"/>
            </w:tcBorders>
            <w:shd w:val="clear" w:color="auto" w:fill="auto"/>
          </w:tcPr>
          <w:p w14:paraId="51E9E475" w14:textId="727ACC13"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w:t>
            </w:r>
            <w:r w:rsidR="006B2DA9" w:rsidRPr="002E6D84">
              <w:rPr>
                <w:rFonts w:ascii="Arial" w:hAnsi="Arial" w:cs="Arial"/>
                <w:color w:val="000000" w:themeColor="text1"/>
                <w:sz w:val="18"/>
                <w:szCs w:val="18"/>
              </w:rPr>
              <w:t>.000</w:t>
            </w:r>
            <w:r w:rsidRPr="002E6D84">
              <w:rPr>
                <w:rFonts w:ascii="Arial" w:hAnsi="Arial" w:cs="Arial"/>
                <w:color w:val="000000" w:themeColor="text1"/>
                <w:sz w:val="18"/>
                <w:szCs w:val="18"/>
              </w:rPr>
              <w:t>1</w:t>
            </w:r>
          </w:p>
        </w:tc>
      </w:tr>
      <w:tr w:rsidR="002E6D84" w:rsidRPr="002E6D84" w14:paraId="17119E7C" w14:textId="77777777" w:rsidTr="002E6D84">
        <w:trPr>
          <w:cantSplit/>
        </w:trPr>
        <w:tc>
          <w:tcPr>
            <w:tcW w:w="736" w:type="dxa"/>
            <w:vMerge/>
            <w:shd w:val="clear" w:color="auto" w:fill="auto"/>
          </w:tcPr>
          <w:p w14:paraId="110F4680"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21043C4"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sex</w:t>
            </w:r>
          </w:p>
        </w:tc>
        <w:tc>
          <w:tcPr>
            <w:tcW w:w="1338" w:type="dxa"/>
            <w:shd w:val="clear" w:color="auto" w:fill="auto"/>
          </w:tcPr>
          <w:p w14:paraId="15047093" w14:textId="1EC4C28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.281</w:t>
            </w:r>
          </w:p>
        </w:tc>
        <w:tc>
          <w:tcPr>
            <w:tcW w:w="1338" w:type="dxa"/>
            <w:shd w:val="clear" w:color="auto" w:fill="auto"/>
          </w:tcPr>
          <w:p w14:paraId="665F7DFC" w14:textId="5E5C604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.219</w:t>
            </w:r>
          </w:p>
        </w:tc>
        <w:tc>
          <w:tcPr>
            <w:tcW w:w="1476" w:type="dxa"/>
            <w:shd w:val="clear" w:color="auto" w:fill="auto"/>
          </w:tcPr>
          <w:p w14:paraId="78710A6E" w14:textId="07A0DFB2"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.031</w:t>
            </w:r>
          </w:p>
        </w:tc>
        <w:tc>
          <w:tcPr>
            <w:tcW w:w="1030" w:type="dxa"/>
            <w:shd w:val="clear" w:color="auto" w:fill="auto"/>
          </w:tcPr>
          <w:p w14:paraId="23AA0EA8"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-1.285</w:t>
            </w:r>
          </w:p>
        </w:tc>
        <w:tc>
          <w:tcPr>
            <w:tcW w:w="1030" w:type="dxa"/>
            <w:shd w:val="clear" w:color="auto" w:fill="auto"/>
          </w:tcPr>
          <w:p w14:paraId="4E00FDB3" w14:textId="63280D8A"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w:t>
            </w:r>
            <w:r w:rsidRPr="002E6D84">
              <w:rPr>
                <w:rFonts w:ascii="Arial" w:hAnsi="Arial" w:cs="Arial"/>
                <w:color w:val="000000" w:themeColor="text1"/>
                <w:sz w:val="18"/>
                <w:szCs w:val="18"/>
              </w:rPr>
              <w:t>20</w:t>
            </w:r>
          </w:p>
        </w:tc>
      </w:tr>
      <w:tr w:rsidR="002E6D84" w:rsidRPr="002E6D84" w14:paraId="29559A17" w14:textId="77777777" w:rsidTr="002E6D84">
        <w:trPr>
          <w:cantSplit/>
        </w:trPr>
        <w:tc>
          <w:tcPr>
            <w:tcW w:w="736" w:type="dxa"/>
            <w:vMerge/>
            <w:shd w:val="clear" w:color="auto" w:fill="auto"/>
          </w:tcPr>
          <w:p w14:paraId="19F9C873"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E8BAF9B"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age</w:t>
            </w:r>
          </w:p>
        </w:tc>
        <w:tc>
          <w:tcPr>
            <w:tcW w:w="1338" w:type="dxa"/>
            <w:shd w:val="clear" w:color="auto" w:fill="auto"/>
          </w:tcPr>
          <w:p w14:paraId="6FDCA040" w14:textId="7D682110"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.044</w:t>
            </w:r>
          </w:p>
        </w:tc>
        <w:tc>
          <w:tcPr>
            <w:tcW w:w="1338" w:type="dxa"/>
            <w:shd w:val="clear" w:color="auto" w:fill="auto"/>
          </w:tcPr>
          <w:p w14:paraId="7DFCBA5F" w14:textId="18E6497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.015</w:t>
            </w:r>
          </w:p>
        </w:tc>
        <w:tc>
          <w:tcPr>
            <w:tcW w:w="1476" w:type="dxa"/>
            <w:shd w:val="clear" w:color="auto" w:fill="auto"/>
          </w:tcPr>
          <w:p w14:paraId="6386C9EB" w14:textId="41B260E4"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.078</w:t>
            </w:r>
          </w:p>
        </w:tc>
        <w:tc>
          <w:tcPr>
            <w:tcW w:w="1030" w:type="dxa"/>
            <w:shd w:val="clear" w:color="auto" w:fill="auto"/>
          </w:tcPr>
          <w:p w14:paraId="44FD1C81"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-2.848</w:t>
            </w:r>
          </w:p>
        </w:tc>
        <w:tc>
          <w:tcPr>
            <w:tcW w:w="1030" w:type="dxa"/>
            <w:shd w:val="clear" w:color="auto" w:fill="auto"/>
          </w:tcPr>
          <w:p w14:paraId="3D3B5C6D" w14:textId="776D3B4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.005</w:t>
            </w:r>
          </w:p>
        </w:tc>
      </w:tr>
      <w:tr w:rsidR="002E6D84" w:rsidRPr="002E6D84" w14:paraId="0B72BD60" w14:textId="77777777" w:rsidTr="002E6D84">
        <w:trPr>
          <w:cantSplit/>
        </w:trPr>
        <w:tc>
          <w:tcPr>
            <w:tcW w:w="736" w:type="dxa"/>
            <w:vMerge/>
            <w:shd w:val="clear" w:color="auto" w:fill="auto"/>
          </w:tcPr>
          <w:p w14:paraId="54052BB0"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569D5C7" w14:textId="21C4E860"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D</w:t>
            </w:r>
            <w:r w:rsidR="006B2DA9" w:rsidRPr="002E6D84">
              <w:rPr>
                <w:rFonts w:ascii="Arial" w:hAnsi="Arial" w:cs="Arial"/>
                <w:color w:val="000000" w:themeColor="text1"/>
                <w:sz w:val="18"/>
                <w:szCs w:val="18"/>
              </w:rPr>
              <w:t>m</w:t>
            </w:r>
            <w:r w:rsidRPr="002E6D84">
              <w:rPr>
                <w:rFonts w:ascii="Arial" w:hAnsi="Arial" w:cs="Arial"/>
                <w:color w:val="000000" w:themeColor="text1"/>
                <w:sz w:val="18"/>
                <w:szCs w:val="18"/>
              </w:rPr>
              <w:t xml:space="preserve"> </w:t>
            </w:r>
            <w:r w:rsidR="006B2DA9" w:rsidRPr="002E6D84">
              <w:rPr>
                <w:rFonts w:ascii="Arial" w:hAnsi="Arial" w:cs="Arial"/>
                <w:color w:val="000000" w:themeColor="text1"/>
                <w:sz w:val="18"/>
                <w:szCs w:val="18"/>
              </w:rPr>
              <w:t>dur</w:t>
            </w:r>
            <w:r w:rsidRPr="002E6D84">
              <w:rPr>
                <w:rFonts w:ascii="Arial" w:hAnsi="Arial" w:cs="Arial"/>
                <w:color w:val="000000" w:themeColor="text1"/>
                <w:sz w:val="18"/>
                <w:szCs w:val="18"/>
              </w:rPr>
              <w:t>ation</w:t>
            </w:r>
          </w:p>
        </w:tc>
        <w:tc>
          <w:tcPr>
            <w:tcW w:w="1338" w:type="dxa"/>
            <w:shd w:val="clear" w:color="auto" w:fill="auto"/>
          </w:tcPr>
          <w:p w14:paraId="283B2124" w14:textId="1EC9697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.016</w:t>
            </w:r>
          </w:p>
        </w:tc>
        <w:tc>
          <w:tcPr>
            <w:tcW w:w="1338" w:type="dxa"/>
            <w:shd w:val="clear" w:color="auto" w:fill="auto"/>
          </w:tcPr>
          <w:p w14:paraId="7F73207D" w14:textId="559DA450"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.014</w:t>
            </w:r>
          </w:p>
        </w:tc>
        <w:tc>
          <w:tcPr>
            <w:tcW w:w="1476" w:type="dxa"/>
            <w:shd w:val="clear" w:color="auto" w:fill="auto"/>
          </w:tcPr>
          <w:p w14:paraId="7EB2675F" w14:textId="733BF1A0"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.027</w:t>
            </w:r>
          </w:p>
        </w:tc>
        <w:tc>
          <w:tcPr>
            <w:tcW w:w="1030" w:type="dxa"/>
            <w:shd w:val="clear" w:color="auto" w:fill="auto"/>
          </w:tcPr>
          <w:p w14:paraId="1D34B368"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1.165</w:t>
            </w:r>
          </w:p>
        </w:tc>
        <w:tc>
          <w:tcPr>
            <w:tcW w:w="1030" w:type="dxa"/>
            <w:shd w:val="clear" w:color="auto" w:fill="auto"/>
          </w:tcPr>
          <w:p w14:paraId="09D3550E" w14:textId="129C60A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.24</w:t>
            </w:r>
          </w:p>
        </w:tc>
      </w:tr>
      <w:tr w:rsidR="002E6D84" w:rsidRPr="002E6D84" w14:paraId="3F3CD354" w14:textId="77777777" w:rsidTr="002E6D84">
        <w:trPr>
          <w:cantSplit/>
        </w:trPr>
        <w:tc>
          <w:tcPr>
            <w:tcW w:w="736" w:type="dxa"/>
            <w:vMerge/>
            <w:shd w:val="clear" w:color="auto" w:fill="auto"/>
          </w:tcPr>
          <w:p w14:paraId="4BD7C3B2"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2F7B69DE" w14:textId="7445724C"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J</w:t>
            </w:r>
            <w:r w:rsidR="006B2DA9" w:rsidRPr="002E6D84">
              <w:rPr>
                <w:rFonts w:ascii="Arial" w:hAnsi="Arial" w:cs="Arial"/>
                <w:color w:val="000000" w:themeColor="text1"/>
                <w:sz w:val="18"/>
                <w:szCs w:val="18"/>
              </w:rPr>
              <w:t>ob</w:t>
            </w:r>
          </w:p>
        </w:tc>
        <w:tc>
          <w:tcPr>
            <w:tcW w:w="1338" w:type="dxa"/>
            <w:shd w:val="clear" w:color="auto" w:fill="auto"/>
          </w:tcPr>
          <w:p w14:paraId="2C993A33" w14:textId="2FDF9714"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.214</w:t>
            </w:r>
          </w:p>
        </w:tc>
        <w:tc>
          <w:tcPr>
            <w:tcW w:w="1338" w:type="dxa"/>
            <w:shd w:val="clear" w:color="auto" w:fill="auto"/>
          </w:tcPr>
          <w:p w14:paraId="0D5A741F" w14:textId="1BB5667C"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.078</w:t>
            </w:r>
          </w:p>
        </w:tc>
        <w:tc>
          <w:tcPr>
            <w:tcW w:w="1476" w:type="dxa"/>
            <w:shd w:val="clear" w:color="auto" w:fill="auto"/>
          </w:tcPr>
          <w:p w14:paraId="62258893" w14:textId="5DB18F6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.062</w:t>
            </w:r>
          </w:p>
        </w:tc>
        <w:tc>
          <w:tcPr>
            <w:tcW w:w="1030" w:type="dxa"/>
            <w:shd w:val="clear" w:color="auto" w:fill="auto"/>
          </w:tcPr>
          <w:p w14:paraId="54F55BE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2.745</w:t>
            </w:r>
          </w:p>
        </w:tc>
        <w:tc>
          <w:tcPr>
            <w:tcW w:w="1030" w:type="dxa"/>
            <w:shd w:val="clear" w:color="auto" w:fill="auto"/>
          </w:tcPr>
          <w:p w14:paraId="63D360FE" w14:textId="5B9F0ED4"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.006</w:t>
            </w:r>
          </w:p>
        </w:tc>
      </w:tr>
      <w:tr w:rsidR="002E6D84" w:rsidRPr="002E6D84" w14:paraId="67CC2BAF" w14:textId="77777777" w:rsidTr="002E6D84">
        <w:trPr>
          <w:cantSplit/>
        </w:trPr>
        <w:tc>
          <w:tcPr>
            <w:tcW w:w="736" w:type="dxa"/>
            <w:vMerge/>
            <w:shd w:val="clear" w:color="auto" w:fill="auto"/>
          </w:tcPr>
          <w:p w14:paraId="1B841C4D"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63E8732" w14:textId="3F939A6D" w:rsidR="006B2DA9" w:rsidRPr="002E6D84" w:rsidRDefault="00314E55"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BMI</w:t>
            </w:r>
          </w:p>
        </w:tc>
        <w:tc>
          <w:tcPr>
            <w:tcW w:w="1338" w:type="dxa"/>
            <w:shd w:val="clear" w:color="auto" w:fill="auto"/>
          </w:tcPr>
          <w:p w14:paraId="17D55F1C" w14:textId="2FB3B17C"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.060</w:t>
            </w:r>
          </w:p>
        </w:tc>
        <w:tc>
          <w:tcPr>
            <w:tcW w:w="1338" w:type="dxa"/>
            <w:shd w:val="clear" w:color="auto" w:fill="auto"/>
          </w:tcPr>
          <w:p w14:paraId="6FAE75C2" w14:textId="19295939"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.026</w:t>
            </w:r>
          </w:p>
        </w:tc>
        <w:tc>
          <w:tcPr>
            <w:tcW w:w="1476" w:type="dxa"/>
            <w:shd w:val="clear" w:color="auto" w:fill="auto"/>
          </w:tcPr>
          <w:p w14:paraId="12E88359" w14:textId="7FD7E54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.056</w:t>
            </w:r>
          </w:p>
        </w:tc>
        <w:tc>
          <w:tcPr>
            <w:tcW w:w="1030" w:type="dxa"/>
            <w:shd w:val="clear" w:color="auto" w:fill="auto"/>
          </w:tcPr>
          <w:p w14:paraId="7D03A82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-2.346</w:t>
            </w:r>
          </w:p>
        </w:tc>
        <w:tc>
          <w:tcPr>
            <w:tcW w:w="1030" w:type="dxa"/>
            <w:shd w:val="clear" w:color="auto" w:fill="auto"/>
          </w:tcPr>
          <w:p w14:paraId="1056AA33" w14:textId="72508E3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w:t>
            </w:r>
            <w:r w:rsidRPr="002E6D84">
              <w:rPr>
                <w:rFonts w:ascii="Arial" w:hAnsi="Arial" w:cs="Arial"/>
                <w:color w:val="000000" w:themeColor="text1"/>
                <w:sz w:val="18"/>
                <w:szCs w:val="18"/>
              </w:rPr>
              <w:t>2</w:t>
            </w:r>
          </w:p>
        </w:tc>
      </w:tr>
      <w:tr w:rsidR="002E6D84" w:rsidRPr="002E6D84" w14:paraId="66E1A31F" w14:textId="77777777" w:rsidTr="002E6D84">
        <w:trPr>
          <w:cantSplit/>
        </w:trPr>
        <w:tc>
          <w:tcPr>
            <w:tcW w:w="736" w:type="dxa"/>
            <w:vMerge/>
            <w:shd w:val="clear" w:color="auto" w:fill="auto"/>
          </w:tcPr>
          <w:p w14:paraId="1EB4CB84"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8F052DC" w14:textId="72C738AF" w:rsidR="006B2DA9" w:rsidRPr="002E6D84" w:rsidRDefault="00314E55"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FBG</w:t>
            </w:r>
          </w:p>
        </w:tc>
        <w:tc>
          <w:tcPr>
            <w:tcW w:w="1338" w:type="dxa"/>
            <w:shd w:val="clear" w:color="auto" w:fill="auto"/>
          </w:tcPr>
          <w:p w14:paraId="56A77579" w14:textId="1BACA60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.067</w:t>
            </w:r>
          </w:p>
        </w:tc>
        <w:tc>
          <w:tcPr>
            <w:tcW w:w="1338" w:type="dxa"/>
            <w:shd w:val="clear" w:color="auto" w:fill="auto"/>
          </w:tcPr>
          <w:p w14:paraId="71527B98" w14:textId="62509FB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.029</w:t>
            </w:r>
          </w:p>
        </w:tc>
        <w:tc>
          <w:tcPr>
            <w:tcW w:w="1476" w:type="dxa"/>
            <w:shd w:val="clear" w:color="auto" w:fill="auto"/>
          </w:tcPr>
          <w:p w14:paraId="045C71DB" w14:textId="18845DE4"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.059</w:t>
            </w:r>
          </w:p>
        </w:tc>
        <w:tc>
          <w:tcPr>
            <w:tcW w:w="1030" w:type="dxa"/>
            <w:shd w:val="clear" w:color="auto" w:fill="auto"/>
          </w:tcPr>
          <w:p w14:paraId="698886F1"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2.334</w:t>
            </w:r>
          </w:p>
        </w:tc>
        <w:tc>
          <w:tcPr>
            <w:tcW w:w="1030" w:type="dxa"/>
            <w:shd w:val="clear" w:color="auto" w:fill="auto"/>
          </w:tcPr>
          <w:p w14:paraId="35ADC815" w14:textId="176D661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w:t>
            </w:r>
          </w:p>
        </w:tc>
      </w:tr>
      <w:tr w:rsidR="002E6D84" w:rsidRPr="002E6D84" w14:paraId="0B548987" w14:textId="77777777" w:rsidTr="002E6D84">
        <w:trPr>
          <w:cantSplit/>
        </w:trPr>
        <w:tc>
          <w:tcPr>
            <w:tcW w:w="736" w:type="dxa"/>
            <w:vMerge/>
            <w:shd w:val="clear" w:color="auto" w:fill="auto"/>
          </w:tcPr>
          <w:p w14:paraId="793BBFC3"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438A470" w14:textId="659FD92D" w:rsidR="006B2DA9" w:rsidRPr="002E6D84" w:rsidRDefault="00314E55"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HDL</w:t>
            </w:r>
          </w:p>
        </w:tc>
        <w:tc>
          <w:tcPr>
            <w:tcW w:w="1338" w:type="dxa"/>
            <w:shd w:val="clear" w:color="auto" w:fill="auto"/>
          </w:tcPr>
          <w:p w14:paraId="0C091543"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-17.384</w:t>
            </w:r>
          </w:p>
        </w:tc>
        <w:tc>
          <w:tcPr>
            <w:tcW w:w="1338" w:type="dxa"/>
            <w:shd w:val="clear" w:color="auto" w:fill="auto"/>
          </w:tcPr>
          <w:p w14:paraId="53816422" w14:textId="4A0B4E2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.934</w:t>
            </w:r>
          </w:p>
        </w:tc>
        <w:tc>
          <w:tcPr>
            <w:tcW w:w="1476" w:type="dxa"/>
            <w:shd w:val="clear" w:color="auto" w:fill="auto"/>
          </w:tcPr>
          <w:p w14:paraId="25EB606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-1.184</w:t>
            </w:r>
          </w:p>
        </w:tc>
        <w:tc>
          <w:tcPr>
            <w:tcW w:w="1030" w:type="dxa"/>
            <w:shd w:val="clear" w:color="auto" w:fill="auto"/>
          </w:tcPr>
          <w:p w14:paraId="51DEAA35"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-18.621</w:t>
            </w:r>
          </w:p>
        </w:tc>
        <w:tc>
          <w:tcPr>
            <w:tcW w:w="1030" w:type="dxa"/>
            <w:shd w:val="clear" w:color="auto" w:fill="auto"/>
          </w:tcPr>
          <w:p w14:paraId="66349C14" w14:textId="4EE451F7"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074D388E" w14:textId="77777777" w:rsidTr="002E6D84">
        <w:trPr>
          <w:cantSplit/>
        </w:trPr>
        <w:tc>
          <w:tcPr>
            <w:tcW w:w="736" w:type="dxa"/>
            <w:vMerge/>
            <w:shd w:val="clear" w:color="auto" w:fill="auto"/>
          </w:tcPr>
          <w:p w14:paraId="452CC6DA"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1D5659F" w14:textId="3B562158"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L</w:t>
            </w:r>
            <w:r w:rsidR="00314E55">
              <w:rPr>
                <w:rFonts w:ascii="Arial" w:hAnsi="Arial" w:cs="Arial"/>
                <w:color w:val="000000" w:themeColor="text1"/>
                <w:sz w:val="18"/>
                <w:szCs w:val="18"/>
              </w:rPr>
              <w:t>DL</w:t>
            </w:r>
          </w:p>
        </w:tc>
        <w:tc>
          <w:tcPr>
            <w:tcW w:w="1338" w:type="dxa"/>
            <w:shd w:val="clear" w:color="auto" w:fill="auto"/>
          </w:tcPr>
          <w:p w14:paraId="52A86917" w14:textId="49696AE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.981</w:t>
            </w:r>
          </w:p>
        </w:tc>
        <w:tc>
          <w:tcPr>
            <w:tcW w:w="1338" w:type="dxa"/>
            <w:shd w:val="clear" w:color="auto" w:fill="auto"/>
          </w:tcPr>
          <w:p w14:paraId="21D47984" w14:textId="2EC1E385"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.335</w:t>
            </w:r>
          </w:p>
        </w:tc>
        <w:tc>
          <w:tcPr>
            <w:tcW w:w="1476" w:type="dxa"/>
            <w:shd w:val="clear" w:color="auto" w:fill="auto"/>
          </w:tcPr>
          <w:p w14:paraId="6F466E7A" w14:textId="2912C02F"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.228</w:t>
            </w:r>
          </w:p>
        </w:tc>
        <w:tc>
          <w:tcPr>
            <w:tcW w:w="1030" w:type="dxa"/>
            <w:shd w:val="clear" w:color="auto" w:fill="auto"/>
          </w:tcPr>
          <w:p w14:paraId="7C0940F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2.928</w:t>
            </w:r>
          </w:p>
        </w:tc>
        <w:tc>
          <w:tcPr>
            <w:tcW w:w="1030" w:type="dxa"/>
            <w:shd w:val="clear" w:color="auto" w:fill="auto"/>
          </w:tcPr>
          <w:p w14:paraId="0A0F4816" w14:textId="5F77D71A"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.004</w:t>
            </w:r>
          </w:p>
        </w:tc>
      </w:tr>
      <w:tr w:rsidR="002E6D84" w:rsidRPr="002E6D84" w14:paraId="6EDF5494" w14:textId="77777777" w:rsidTr="002E6D84">
        <w:trPr>
          <w:cantSplit/>
        </w:trPr>
        <w:tc>
          <w:tcPr>
            <w:tcW w:w="736" w:type="dxa"/>
            <w:vMerge/>
            <w:shd w:val="clear" w:color="auto" w:fill="auto"/>
          </w:tcPr>
          <w:p w14:paraId="387F5AC8"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8CA712B" w14:textId="0EC02AF8"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VLDL</w:t>
            </w:r>
          </w:p>
        </w:tc>
        <w:tc>
          <w:tcPr>
            <w:tcW w:w="1338" w:type="dxa"/>
            <w:shd w:val="clear" w:color="auto" w:fill="auto"/>
          </w:tcPr>
          <w:p w14:paraId="59642F2C"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4.377</w:t>
            </w:r>
          </w:p>
        </w:tc>
        <w:tc>
          <w:tcPr>
            <w:tcW w:w="1338" w:type="dxa"/>
            <w:shd w:val="clear" w:color="auto" w:fill="auto"/>
          </w:tcPr>
          <w:p w14:paraId="73729FC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2.129</w:t>
            </w:r>
          </w:p>
        </w:tc>
        <w:tc>
          <w:tcPr>
            <w:tcW w:w="1476" w:type="dxa"/>
            <w:shd w:val="clear" w:color="auto" w:fill="auto"/>
          </w:tcPr>
          <w:p w14:paraId="0F6935C5" w14:textId="4F63821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.246</w:t>
            </w:r>
          </w:p>
        </w:tc>
        <w:tc>
          <w:tcPr>
            <w:tcW w:w="1030" w:type="dxa"/>
            <w:shd w:val="clear" w:color="auto" w:fill="auto"/>
          </w:tcPr>
          <w:p w14:paraId="52408654"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2.056</w:t>
            </w:r>
          </w:p>
        </w:tc>
        <w:tc>
          <w:tcPr>
            <w:tcW w:w="1030" w:type="dxa"/>
            <w:shd w:val="clear" w:color="auto" w:fill="auto"/>
          </w:tcPr>
          <w:p w14:paraId="106E3476" w14:textId="5AF18519"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.04</w:t>
            </w:r>
          </w:p>
        </w:tc>
      </w:tr>
      <w:tr w:rsidR="002E6D84" w:rsidRPr="002E6D84" w14:paraId="40A71FA2" w14:textId="77777777" w:rsidTr="002E6D84">
        <w:trPr>
          <w:cantSplit/>
        </w:trPr>
        <w:tc>
          <w:tcPr>
            <w:tcW w:w="736" w:type="dxa"/>
            <w:vMerge/>
            <w:shd w:val="clear" w:color="auto" w:fill="auto"/>
          </w:tcPr>
          <w:p w14:paraId="08BC9713"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5FC5732"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HDL/LDL</w:t>
            </w:r>
          </w:p>
        </w:tc>
        <w:tc>
          <w:tcPr>
            <w:tcW w:w="1338" w:type="dxa"/>
            <w:shd w:val="clear" w:color="auto" w:fill="auto"/>
          </w:tcPr>
          <w:p w14:paraId="7CA9E1D7"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29.647</w:t>
            </w:r>
          </w:p>
        </w:tc>
        <w:tc>
          <w:tcPr>
            <w:tcW w:w="1338" w:type="dxa"/>
            <w:shd w:val="clear" w:color="auto" w:fill="auto"/>
          </w:tcPr>
          <w:p w14:paraId="1C49FCA7"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3.107</w:t>
            </w:r>
          </w:p>
        </w:tc>
        <w:tc>
          <w:tcPr>
            <w:tcW w:w="1476" w:type="dxa"/>
            <w:shd w:val="clear" w:color="auto" w:fill="auto"/>
          </w:tcPr>
          <w:p w14:paraId="5D6E5CC5" w14:textId="3781D2D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.750</w:t>
            </w:r>
          </w:p>
        </w:tc>
        <w:tc>
          <w:tcPr>
            <w:tcW w:w="1030" w:type="dxa"/>
            <w:shd w:val="clear" w:color="auto" w:fill="auto"/>
          </w:tcPr>
          <w:p w14:paraId="6DE9E40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9.542</w:t>
            </w:r>
          </w:p>
        </w:tc>
        <w:tc>
          <w:tcPr>
            <w:tcW w:w="1030" w:type="dxa"/>
            <w:shd w:val="clear" w:color="auto" w:fill="auto"/>
          </w:tcPr>
          <w:p w14:paraId="40DEDBE8" w14:textId="5386100E"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74B5B94F" w14:textId="77777777" w:rsidTr="002E6D84">
        <w:trPr>
          <w:cantSplit/>
        </w:trPr>
        <w:tc>
          <w:tcPr>
            <w:tcW w:w="736" w:type="dxa"/>
            <w:vMerge/>
            <w:shd w:val="clear" w:color="auto" w:fill="auto"/>
          </w:tcPr>
          <w:p w14:paraId="66756736"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10568E5"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TG/CHOL</w:t>
            </w:r>
          </w:p>
        </w:tc>
        <w:tc>
          <w:tcPr>
            <w:tcW w:w="1338" w:type="dxa"/>
            <w:shd w:val="clear" w:color="auto" w:fill="auto"/>
          </w:tcPr>
          <w:p w14:paraId="0795F0B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-15.809</w:t>
            </w:r>
          </w:p>
        </w:tc>
        <w:tc>
          <w:tcPr>
            <w:tcW w:w="1338" w:type="dxa"/>
            <w:shd w:val="clear" w:color="auto" w:fill="auto"/>
          </w:tcPr>
          <w:p w14:paraId="1E402F97"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5.234</w:t>
            </w:r>
          </w:p>
        </w:tc>
        <w:tc>
          <w:tcPr>
            <w:tcW w:w="1476" w:type="dxa"/>
            <w:shd w:val="clear" w:color="auto" w:fill="auto"/>
          </w:tcPr>
          <w:p w14:paraId="1F6E738C" w14:textId="0A817372"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.324</w:t>
            </w:r>
          </w:p>
        </w:tc>
        <w:tc>
          <w:tcPr>
            <w:tcW w:w="1030" w:type="dxa"/>
            <w:shd w:val="clear" w:color="auto" w:fill="auto"/>
          </w:tcPr>
          <w:p w14:paraId="6B538478"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-3.020</w:t>
            </w:r>
          </w:p>
        </w:tc>
        <w:tc>
          <w:tcPr>
            <w:tcW w:w="1030" w:type="dxa"/>
            <w:shd w:val="clear" w:color="auto" w:fill="auto"/>
          </w:tcPr>
          <w:p w14:paraId="7E0DDBC9" w14:textId="45CEB5BE"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.003</w:t>
            </w:r>
          </w:p>
        </w:tc>
      </w:tr>
      <w:tr w:rsidR="002E6D84" w:rsidRPr="002E6D84" w14:paraId="42FECFB4" w14:textId="77777777" w:rsidTr="002E6D84">
        <w:trPr>
          <w:cantSplit/>
        </w:trPr>
        <w:tc>
          <w:tcPr>
            <w:tcW w:w="736" w:type="dxa"/>
            <w:vMerge/>
            <w:tcBorders>
              <w:bottom w:val="single" w:sz="4" w:space="0" w:color="auto"/>
            </w:tcBorders>
            <w:shd w:val="clear" w:color="auto" w:fill="auto"/>
          </w:tcPr>
          <w:p w14:paraId="7A92FF4F"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tcBorders>
              <w:bottom w:val="single" w:sz="4" w:space="0" w:color="auto"/>
            </w:tcBorders>
            <w:shd w:val="clear" w:color="auto" w:fill="auto"/>
          </w:tcPr>
          <w:p w14:paraId="74598463"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NON-HDL</w:t>
            </w:r>
          </w:p>
        </w:tc>
        <w:tc>
          <w:tcPr>
            <w:tcW w:w="1338" w:type="dxa"/>
            <w:tcBorders>
              <w:bottom w:val="single" w:sz="4" w:space="0" w:color="auto"/>
            </w:tcBorders>
            <w:shd w:val="clear" w:color="auto" w:fill="auto"/>
          </w:tcPr>
          <w:p w14:paraId="2938D290"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1.663</w:t>
            </w:r>
          </w:p>
        </w:tc>
        <w:tc>
          <w:tcPr>
            <w:tcW w:w="1338" w:type="dxa"/>
            <w:tcBorders>
              <w:bottom w:val="single" w:sz="4" w:space="0" w:color="auto"/>
            </w:tcBorders>
            <w:shd w:val="clear" w:color="auto" w:fill="auto"/>
          </w:tcPr>
          <w:p w14:paraId="03F296E3" w14:textId="5F42256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.417</w:t>
            </w:r>
          </w:p>
        </w:tc>
        <w:tc>
          <w:tcPr>
            <w:tcW w:w="1476" w:type="dxa"/>
            <w:tcBorders>
              <w:bottom w:val="single" w:sz="4" w:space="0" w:color="auto"/>
            </w:tcBorders>
            <w:shd w:val="clear" w:color="auto" w:fill="auto"/>
          </w:tcPr>
          <w:p w14:paraId="0C933B44" w14:textId="233695E3"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.404</w:t>
            </w:r>
          </w:p>
        </w:tc>
        <w:tc>
          <w:tcPr>
            <w:tcW w:w="1030" w:type="dxa"/>
            <w:tcBorders>
              <w:bottom w:val="single" w:sz="4" w:space="0" w:color="auto"/>
            </w:tcBorders>
            <w:shd w:val="clear" w:color="auto" w:fill="auto"/>
          </w:tcPr>
          <w:p w14:paraId="0755470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3.985</w:t>
            </w:r>
          </w:p>
        </w:tc>
        <w:tc>
          <w:tcPr>
            <w:tcW w:w="1030" w:type="dxa"/>
            <w:tcBorders>
              <w:bottom w:val="single" w:sz="4" w:space="0" w:color="auto"/>
            </w:tcBorders>
            <w:shd w:val="clear" w:color="auto" w:fill="auto"/>
          </w:tcPr>
          <w:p w14:paraId="6D933255" w14:textId="264F07C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0C6F4F59" w14:textId="77777777" w:rsidTr="002E6D84">
        <w:trPr>
          <w:cantSplit/>
        </w:trPr>
        <w:tc>
          <w:tcPr>
            <w:tcW w:w="8132" w:type="dxa"/>
            <w:gridSpan w:val="7"/>
            <w:tcBorders>
              <w:top w:val="single" w:sz="4" w:space="0" w:color="auto"/>
            </w:tcBorders>
            <w:shd w:val="clear" w:color="auto" w:fill="auto"/>
          </w:tcPr>
          <w:p w14:paraId="44730ABA"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 Dependent Variable: Atherogenic coefficient</w:t>
            </w:r>
          </w:p>
        </w:tc>
      </w:tr>
    </w:tbl>
    <w:p w14:paraId="00D2729C" w14:textId="0370B2AB" w:rsidR="00850376" w:rsidRPr="006B2DA9" w:rsidRDefault="00850376" w:rsidP="006B2DA9">
      <w:pPr>
        <w:autoSpaceDE w:val="0"/>
        <w:autoSpaceDN w:val="0"/>
        <w:adjustRightInd w:val="0"/>
        <w:spacing w:after="0" w:line="400" w:lineRule="atLeast"/>
        <w:rPr>
          <w:rFonts w:ascii="Times New Roman" w:hAnsi="Times New Roman" w:cs="Times New Roman"/>
          <w:sz w:val="24"/>
          <w:szCs w:val="24"/>
        </w:rPr>
      </w:pPr>
      <w:r>
        <w:rPr>
          <w:rStyle w:val="Strong"/>
        </w:rPr>
        <w:lastRenderedPageBreak/>
        <w:t>Table 6a:</w:t>
      </w:r>
      <w:r>
        <w:t xml:space="preserve"> Model summary of multiple regression analysis assessing the combined effects of demographic, anthropometric, </w:t>
      </w:r>
      <w:proofErr w:type="spellStart"/>
      <w:r>
        <w:t>glycaemic</w:t>
      </w:r>
      <w:proofErr w:type="spellEnd"/>
      <w:r>
        <w:t>, and lipid parameters on the outcome variable.</w:t>
      </w:r>
    </w:p>
    <w:tbl>
      <w:tblPr>
        <w:tblW w:w="9108" w:type="dxa"/>
        <w:tblBorders>
          <w:top w:val="single" w:sz="4" w:space="0" w:color="auto"/>
        </w:tblBorders>
        <w:tblLayout w:type="fixed"/>
        <w:tblCellMar>
          <w:left w:w="0" w:type="dxa"/>
          <w:right w:w="0" w:type="dxa"/>
        </w:tblCellMar>
        <w:tblLook w:val="0000" w:firstRow="0" w:lastRow="0" w:firstColumn="0" w:lastColumn="0" w:noHBand="0" w:noVBand="0"/>
      </w:tblPr>
      <w:tblGrid>
        <w:gridCol w:w="1237"/>
        <w:gridCol w:w="1597"/>
        <w:gridCol w:w="1694"/>
        <w:gridCol w:w="2289"/>
        <w:gridCol w:w="2291"/>
      </w:tblGrid>
      <w:tr w:rsidR="00F83E26" w:rsidRPr="00F83E26" w14:paraId="582179EA" w14:textId="77777777" w:rsidTr="00F83E26">
        <w:trPr>
          <w:cantSplit/>
          <w:trHeight w:val="483"/>
        </w:trPr>
        <w:tc>
          <w:tcPr>
            <w:tcW w:w="1237" w:type="dxa"/>
            <w:tcBorders>
              <w:top w:val="single" w:sz="4" w:space="0" w:color="auto"/>
              <w:bottom w:val="single" w:sz="4" w:space="0" w:color="auto"/>
            </w:tcBorders>
            <w:shd w:val="clear" w:color="auto" w:fill="auto"/>
            <w:vAlign w:val="bottom"/>
          </w:tcPr>
          <w:p w14:paraId="69A29D46" w14:textId="77777777" w:rsidR="006B2DA9" w:rsidRPr="00F83E26"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F83E26">
              <w:rPr>
                <w:rFonts w:ascii="Arial" w:hAnsi="Arial" w:cs="Arial"/>
                <w:b/>
                <w:bCs/>
                <w:color w:val="000000" w:themeColor="text1"/>
                <w:sz w:val="18"/>
                <w:szCs w:val="18"/>
              </w:rPr>
              <w:t>Model</w:t>
            </w:r>
          </w:p>
        </w:tc>
        <w:tc>
          <w:tcPr>
            <w:tcW w:w="1597" w:type="dxa"/>
            <w:tcBorders>
              <w:top w:val="single" w:sz="4" w:space="0" w:color="auto"/>
              <w:bottom w:val="single" w:sz="4" w:space="0" w:color="auto"/>
            </w:tcBorders>
            <w:shd w:val="clear" w:color="auto" w:fill="auto"/>
            <w:vAlign w:val="bottom"/>
          </w:tcPr>
          <w:p w14:paraId="1E786CA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R</w:t>
            </w:r>
          </w:p>
        </w:tc>
        <w:tc>
          <w:tcPr>
            <w:tcW w:w="1694" w:type="dxa"/>
            <w:tcBorders>
              <w:top w:val="single" w:sz="4" w:space="0" w:color="auto"/>
              <w:bottom w:val="single" w:sz="4" w:space="0" w:color="auto"/>
            </w:tcBorders>
            <w:shd w:val="clear" w:color="auto" w:fill="auto"/>
            <w:vAlign w:val="bottom"/>
          </w:tcPr>
          <w:p w14:paraId="0CEC5367"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R Square</w:t>
            </w:r>
          </w:p>
        </w:tc>
        <w:tc>
          <w:tcPr>
            <w:tcW w:w="2289" w:type="dxa"/>
            <w:tcBorders>
              <w:top w:val="single" w:sz="4" w:space="0" w:color="auto"/>
              <w:bottom w:val="single" w:sz="4" w:space="0" w:color="auto"/>
            </w:tcBorders>
            <w:shd w:val="clear" w:color="auto" w:fill="auto"/>
            <w:vAlign w:val="bottom"/>
          </w:tcPr>
          <w:p w14:paraId="6148540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Adjusted R Square</w:t>
            </w:r>
          </w:p>
        </w:tc>
        <w:tc>
          <w:tcPr>
            <w:tcW w:w="2290" w:type="dxa"/>
            <w:tcBorders>
              <w:top w:val="single" w:sz="4" w:space="0" w:color="auto"/>
              <w:bottom w:val="single" w:sz="4" w:space="0" w:color="auto"/>
            </w:tcBorders>
            <w:shd w:val="clear" w:color="auto" w:fill="auto"/>
            <w:vAlign w:val="bottom"/>
          </w:tcPr>
          <w:p w14:paraId="2ECBB668"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Std. Error of the Estimate</w:t>
            </w:r>
          </w:p>
        </w:tc>
      </w:tr>
      <w:tr w:rsidR="00F83E26" w:rsidRPr="00F83E26" w14:paraId="5F74A426" w14:textId="77777777" w:rsidTr="00F83E26">
        <w:trPr>
          <w:cantSplit/>
          <w:trHeight w:val="246"/>
        </w:trPr>
        <w:tc>
          <w:tcPr>
            <w:tcW w:w="1237" w:type="dxa"/>
            <w:tcBorders>
              <w:top w:val="single" w:sz="4" w:space="0" w:color="auto"/>
              <w:bottom w:val="single" w:sz="4" w:space="0" w:color="auto"/>
            </w:tcBorders>
            <w:shd w:val="clear" w:color="auto" w:fill="auto"/>
          </w:tcPr>
          <w:p w14:paraId="174EE073"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597" w:type="dxa"/>
            <w:tcBorders>
              <w:top w:val="single" w:sz="4" w:space="0" w:color="auto"/>
              <w:bottom w:val="single" w:sz="4" w:space="0" w:color="auto"/>
            </w:tcBorders>
            <w:shd w:val="clear" w:color="auto" w:fill="auto"/>
          </w:tcPr>
          <w:p w14:paraId="48055878" w14:textId="09BA761D"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.85</w:t>
            </w:r>
            <w:r w:rsidR="006B2DA9" w:rsidRPr="00F83E26">
              <w:rPr>
                <w:rFonts w:ascii="Arial" w:hAnsi="Arial" w:cs="Arial"/>
                <w:color w:val="000000" w:themeColor="text1"/>
                <w:sz w:val="18"/>
                <w:szCs w:val="18"/>
                <w:vertAlign w:val="superscript"/>
              </w:rPr>
              <w:t>a</w:t>
            </w:r>
          </w:p>
        </w:tc>
        <w:tc>
          <w:tcPr>
            <w:tcW w:w="1694" w:type="dxa"/>
            <w:tcBorders>
              <w:top w:val="single" w:sz="4" w:space="0" w:color="auto"/>
              <w:bottom w:val="single" w:sz="4" w:space="0" w:color="auto"/>
            </w:tcBorders>
            <w:shd w:val="clear" w:color="auto" w:fill="auto"/>
          </w:tcPr>
          <w:p w14:paraId="101FD262" w14:textId="25A2997A"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w:t>
            </w:r>
            <w:r w:rsidRPr="00F83E26">
              <w:rPr>
                <w:rFonts w:ascii="Arial" w:hAnsi="Arial" w:cs="Arial"/>
                <w:color w:val="000000" w:themeColor="text1"/>
                <w:sz w:val="18"/>
                <w:szCs w:val="18"/>
              </w:rPr>
              <w:t>3</w:t>
            </w:r>
          </w:p>
        </w:tc>
        <w:tc>
          <w:tcPr>
            <w:tcW w:w="2289" w:type="dxa"/>
            <w:tcBorders>
              <w:top w:val="single" w:sz="4" w:space="0" w:color="auto"/>
              <w:bottom w:val="single" w:sz="4" w:space="0" w:color="auto"/>
            </w:tcBorders>
            <w:shd w:val="clear" w:color="auto" w:fill="auto"/>
          </w:tcPr>
          <w:p w14:paraId="2FD6A476" w14:textId="4F9259A8"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.72</w:t>
            </w:r>
          </w:p>
        </w:tc>
        <w:tc>
          <w:tcPr>
            <w:tcW w:w="2290" w:type="dxa"/>
            <w:tcBorders>
              <w:top w:val="single" w:sz="4" w:space="0" w:color="auto"/>
              <w:bottom w:val="single" w:sz="4" w:space="0" w:color="auto"/>
            </w:tcBorders>
            <w:shd w:val="clear" w:color="auto" w:fill="auto"/>
          </w:tcPr>
          <w:p w14:paraId="587018CF" w14:textId="41588B5E"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2.2</w:t>
            </w:r>
            <w:r w:rsidR="00BB757C" w:rsidRPr="00F83E26">
              <w:rPr>
                <w:rFonts w:ascii="Arial" w:hAnsi="Arial" w:cs="Arial"/>
                <w:color w:val="000000" w:themeColor="text1"/>
                <w:sz w:val="18"/>
                <w:szCs w:val="18"/>
              </w:rPr>
              <w:t>9</w:t>
            </w:r>
          </w:p>
        </w:tc>
      </w:tr>
      <w:tr w:rsidR="00F83E26" w:rsidRPr="00F83E26" w14:paraId="2079E898" w14:textId="77777777" w:rsidTr="00F83E26">
        <w:trPr>
          <w:cantSplit/>
          <w:trHeight w:val="483"/>
        </w:trPr>
        <w:tc>
          <w:tcPr>
            <w:tcW w:w="9108" w:type="dxa"/>
            <w:gridSpan w:val="5"/>
            <w:tcBorders>
              <w:top w:val="single" w:sz="4" w:space="0" w:color="auto"/>
            </w:tcBorders>
            <w:shd w:val="clear" w:color="auto" w:fill="auto"/>
          </w:tcPr>
          <w:p w14:paraId="18CA35AD" w14:textId="587774DF"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Predictors: (Constant), NON-HDL, TG/CHOL, dm</w:t>
            </w:r>
            <w:r w:rsidR="00BB757C" w:rsidRPr="00F83E26">
              <w:rPr>
                <w:rFonts w:ascii="Arial" w:hAnsi="Arial" w:cs="Arial"/>
                <w:color w:val="000000" w:themeColor="text1"/>
                <w:sz w:val="18"/>
                <w:szCs w:val="18"/>
              </w:rPr>
              <w:t xml:space="preserve"> </w:t>
            </w:r>
            <w:r w:rsidRPr="00F83E26">
              <w:rPr>
                <w:rFonts w:ascii="Arial" w:hAnsi="Arial" w:cs="Arial"/>
                <w:color w:val="000000" w:themeColor="text1"/>
                <w:sz w:val="18"/>
                <w:szCs w:val="18"/>
              </w:rPr>
              <w:t>dur</w:t>
            </w:r>
            <w:r w:rsidR="00BB757C" w:rsidRPr="00F83E26">
              <w:rPr>
                <w:rFonts w:ascii="Arial" w:hAnsi="Arial" w:cs="Arial"/>
                <w:color w:val="000000" w:themeColor="text1"/>
                <w:sz w:val="18"/>
                <w:szCs w:val="18"/>
              </w:rPr>
              <w:t>ation</w:t>
            </w:r>
            <w:r w:rsidRPr="00F83E26">
              <w:rPr>
                <w:rFonts w:ascii="Arial" w:hAnsi="Arial" w:cs="Arial"/>
                <w:color w:val="000000" w:themeColor="text1"/>
                <w:sz w:val="18"/>
                <w:szCs w:val="18"/>
              </w:rPr>
              <w:t xml:space="preserve">, job, sex, </w:t>
            </w:r>
            <w:proofErr w:type="spellStart"/>
            <w:r w:rsidRPr="00F83E26">
              <w:rPr>
                <w:rFonts w:ascii="Arial" w:hAnsi="Arial" w:cs="Arial"/>
                <w:color w:val="000000" w:themeColor="text1"/>
                <w:sz w:val="18"/>
                <w:szCs w:val="18"/>
              </w:rPr>
              <w:t>hdl</w:t>
            </w:r>
            <w:proofErr w:type="spellEnd"/>
            <w:r w:rsidRPr="00F83E26">
              <w:rPr>
                <w:rFonts w:ascii="Arial" w:hAnsi="Arial" w:cs="Arial"/>
                <w:color w:val="000000" w:themeColor="text1"/>
                <w:sz w:val="18"/>
                <w:szCs w:val="18"/>
              </w:rPr>
              <w:t xml:space="preserve">, </w:t>
            </w:r>
            <w:proofErr w:type="spellStart"/>
            <w:r w:rsidRPr="00F83E26">
              <w:rPr>
                <w:rFonts w:ascii="Arial" w:hAnsi="Arial" w:cs="Arial"/>
                <w:color w:val="000000" w:themeColor="text1"/>
                <w:sz w:val="18"/>
                <w:szCs w:val="18"/>
              </w:rPr>
              <w:t>fbg</w:t>
            </w:r>
            <w:proofErr w:type="spellEnd"/>
            <w:r w:rsidRPr="00F83E26">
              <w:rPr>
                <w:rFonts w:ascii="Arial" w:hAnsi="Arial" w:cs="Arial"/>
                <w:color w:val="000000" w:themeColor="text1"/>
                <w:sz w:val="18"/>
                <w:szCs w:val="18"/>
              </w:rPr>
              <w:t xml:space="preserve">, </w:t>
            </w:r>
            <w:r w:rsidR="00BB757C" w:rsidRPr="00F83E26">
              <w:rPr>
                <w:rFonts w:ascii="Arial" w:hAnsi="Arial" w:cs="Arial"/>
                <w:color w:val="000000" w:themeColor="text1"/>
                <w:sz w:val="18"/>
                <w:szCs w:val="18"/>
              </w:rPr>
              <w:t>BMI</w:t>
            </w:r>
            <w:r w:rsidRPr="00F83E26">
              <w:rPr>
                <w:rFonts w:ascii="Arial" w:hAnsi="Arial" w:cs="Arial"/>
                <w:color w:val="000000" w:themeColor="text1"/>
                <w:sz w:val="18"/>
                <w:szCs w:val="18"/>
              </w:rPr>
              <w:t xml:space="preserve">, age, </w:t>
            </w:r>
            <w:proofErr w:type="spellStart"/>
            <w:r w:rsidRPr="00F83E26">
              <w:rPr>
                <w:rFonts w:ascii="Arial" w:hAnsi="Arial" w:cs="Arial"/>
                <w:color w:val="000000" w:themeColor="text1"/>
                <w:sz w:val="18"/>
                <w:szCs w:val="18"/>
              </w:rPr>
              <w:t>ldl</w:t>
            </w:r>
            <w:proofErr w:type="spellEnd"/>
            <w:r w:rsidRPr="00F83E26">
              <w:rPr>
                <w:rFonts w:ascii="Arial" w:hAnsi="Arial" w:cs="Arial"/>
                <w:color w:val="000000" w:themeColor="text1"/>
                <w:sz w:val="18"/>
                <w:szCs w:val="18"/>
              </w:rPr>
              <w:t xml:space="preserve">, HDL/LDL, </w:t>
            </w:r>
            <w:r w:rsidR="00BB757C" w:rsidRPr="00F83E26">
              <w:rPr>
                <w:rFonts w:ascii="Arial" w:hAnsi="Arial" w:cs="Arial"/>
                <w:color w:val="000000" w:themeColor="text1"/>
                <w:sz w:val="18"/>
                <w:szCs w:val="18"/>
              </w:rPr>
              <w:t>VLDL</w:t>
            </w:r>
          </w:p>
        </w:tc>
      </w:tr>
    </w:tbl>
    <w:p w14:paraId="7FDCD247"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557BDD6F" w14:textId="74D262F0" w:rsidR="006B2DA9" w:rsidRPr="006B2DA9" w:rsidRDefault="00441399" w:rsidP="006B2DA9">
      <w:pPr>
        <w:autoSpaceDE w:val="0"/>
        <w:autoSpaceDN w:val="0"/>
        <w:adjustRightInd w:val="0"/>
        <w:spacing w:after="0" w:line="400" w:lineRule="atLeast"/>
        <w:rPr>
          <w:rFonts w:ascii="Times New Roman" w:hAnsi="Times New Roman" w:cs="Times New Roman"/>
          <w:sz w:val="24"/>
          <w:szCs w:val="24"/>
        </w:rPr>
      </w:pPr>
      <w:r w:rsidRPr="00441399">
        <w:rPr>
          <w:rStyle w:val="Strong"/>
        </w:rPr>
        <w:t>Table 6b.</w:t>
      </w:r>
      <w:r w:rsidRPr="00441399">
        <w:t xml:space="preserve"> </w:t>
      </w:r>
      <w:r w:rsidRPr="00441399">
        <w:rPr>
          <w:rStyle w:val="Emphasis"/>
          <w:i w:val="0"/>
          <w:iCs w:val="0"/>
        </w:rPr>
        <w:t>Analysis of variance (ANOVA) for predictors of Castelli’s Risk Index 1</w:t>
      </w:r>
    </w:p>
    <w:tbl>
      <w:tblPr>
        <w:tblW w:w="8844" w:type="dxa"/>
        <w:tblBorders>
          <w:top w:val="single" w:sz="4" w:space="0" w:color="auto"/>
        </w:tblBorders>
        <w:tblLayout w:type="fixed"/>
        <w:tblCellMar>
          <w:left w:w="0" w:type="dxa"/>
          <w:right w:w="0" w:type="dxa"/>
        </w:tblCellMar>
        <w:tblLook w:val="0000" w:firstRow="0" w:lastRow="0" w:firstColumn="0" w:lastColumn="0" w:noHBand="0" w:noVBand="0"/>
      </w:tblPr>
      <w:tblGrid>
        <w:gridCol w:w="812"/>
        <w:gridCol w:w="1427"/>
        <w:gridCol w:w="1629"/>
        <w:gridCol w:w="1137"/>
        <w:gridCol w:w="1562"/>
        <w:gridCol w:w="1137"/>
        <w:gridCol w:w="1140"/>
      </w:tblGrid>
      <w:tr w:rsidR="00F83E26" w:rsidRPr="00F83E26" w14:paraId="3D2038B8" w14:textId="77777777" w:rsidTr="00F83E26">
        <w:trPr>
          <w:cantSplit/>
          <w:trHeight w:val="280"/>
        </w:trPr>
        <w:tc>
          <w:tcPr>
            <w:tcW w:w="2239" w:type="dxa"/>
            <w:gridSpan w:val="2"/>
            <w:tcBorders>
              <w:top w:val="single" w:sz="4" w:space="0" w:color="auto"/>
              <w:bottom w:val="single" w:sz="4" w:space="0" w:color="auto"/>
            </w:tcBorders>
            <w:shd w:val="clear" w:color="auto" w:fill="auto"/>
            <w:vAlign w:val="bottom"/>
          </w:tcPr>
          <w:p w14:paraId="7460B08C" w14:textId="77777777" w:rsidR="006B2DA9" w:rsidRPr="00F83E26"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F83E26">
              <w:rPr>
                <w:rFonts w:ascii="Arial" w:hAnsi="Arial" w:cs="Arial"/>
                <w:b/>
                <w:bCs/>
                <w:color w:val="000000" w:themeColor="text1"/>
                <w:sz w:val="18"/>
                <w:szCs w:val="18"/>
              </w:rPr>
              <w:t>Model</w:t>
            </w:r>
          </w:p>
        </w:tc>
        <w:tc>
          <w:tcPr>
            <w:tcW w:w="1629" w:type="dxa"/>
            <w:tcBorders>
              <w:top w:val="single" w:sz="4" w:space="0" w:color="auto"/>
              <w:bottom w:val="single" w:sz="4" w:space="0" w:color="auto"/>
            </w:tcBorders>
            <w:shd w:val="clear" w:color="auto" w:fill="auto"/>
            <w:vAlign w:val="bottom"/>
          </w:tcPr>
          <w:p w14:paraId="3C61E8BD"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Sum of Squares</w:t>
            </w:r>
          </w:p>
        </w:tc>
        <w:tc>
          <w:tcPr>
            <w:tcW w:w="1137" w:type="dxa"/>
            <w:tcBorders>
              <w:top w:val="single" w:sz="4" w:space="0" w:color="auto"/>
              <w:bottom w:val="single" w:sz="4" w:space="0" w:color="auto"/>
            </w:tcBorders>
            <w:shd w:val="clear" w:color="auto" w:fill="auto"/>
            <w:vAlign w:val="bottom"/>
          </w:tcPr>
          <w:p w14:paraId="132A7A7F"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df</w:t>
            </w:r>
          </w:p>
        </w:tc>
        <w:tc>
          <w:tcPr>
            <w:tcW w:w="1562" w:type="dxa"/>
            <w:tcBorders>
              <w:top w:val="single" w:sz="4" w:space="0" w:color="auto"/>
              <w:bottom w:val="single" w:sz="4" w:space="0" w:color="auto"/>
            </w:tcBorders>
            <w:shd w:val="clear" w:color="auto" w:fill="auto"/>
            <w:vAlign w:val="bottom"/>
          </w:tcPr>
          <w:p w14:paraId="5FAA19D3"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Mean Square</w:t>
            </w:r>
          </w:p>
        </w:tc>
        <w:tc>
          <w:tcPr>
            <w:tcW w:w="1137" w:type="dxa"/>
            <w:tcBorders>
              <w:top w:val="single" w:sz="4" w:space="0" w:color="auto"/>
              <w:bottom w:val="single" w:sz="4" w:space="0" w:color="auto"/>
            </w:tcBorders>
            <w:shd w:val="clear" w:color="auto" w:fill="auto"/>
            <w:vAlign w:val="bottom"/>
          </w:tcPr>
          <w:p w14:paraId="1BAD9CA1"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F</w:t>
            </w:r>
          </w:p>
        </w:tc>
        <w:tc>
          <w:tcPr>
            <w:tcW w:w="1138" w:type="dxa"/>
            <w:tcBorders>
              <w:top w:val="single" w:sz="4" w:space="0" w:color="auto"/>
              <w:bottom w:val="single" w:sz="4" w:space="0" w:color="auto"/>
            </w:tcBorders>
            <w:shd w:val="clear" w:color="auto" w:fill="auto"/>
            <w:vAlign w:val="bottom"/>
          </w:tcPr>
          <w:p w14:paraId="6E5E925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Sig.</w:t>
            </w:r>
          </w:p>
        </w:tc>
      </w:tr>
      <w:tr w:rsidR="00F83E26" w:rsidRPr="00F83E26" w14:paraId="30CB3F92" w14:textId="77777777" w:rsidTr="00F83E26">
        <w:trPr>
          <w:cantSplit/>
          <w:trHeight w:val="269"/>
        </w:trPr>
        <w:tc>
          <w:tcPr>
            <w:tcW w:w="812" w:type="dxa"/>
            <w:vMerge w:val="restart"/>
            <w:tcBorders>
              <w:top w:val="single" w:sz="4" w:space="0" w:color="auto"/>
            </w:tcBorders>
            <w:shd w:val="clear" w:color="auto" w:fill="auto"/>
          </w:tcPr>
          <w:p w14:paraId="182CB819"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426" w:type="dxa"/>
            <w:tcBorders>
              <w:top w:val="single" w:sz="4" w:space="0" w:color="auto"/>
            </w:tcBorders>
            <w:shd w:val="clear" w:color="auto" w:fill="auto"/>
          </w:tcPr>
          <w:p w14:paraId="069F54FA"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Regression</w:t>
            </w:r>
          </w:p>
        </w:tc>
        <w:tc>
          <w:tcPr>
            <w:tcW w:w="1629" w:type="dxa"/>
            <w:tcBorders>
              <w:top w:val="single" w:sz="4" w:space="0" w:color="auto"/>
            </w:tcBorders>
            <w:shd w:val="clear" w:color="auto" w:fill="auto"/>
          </w:tcPr>
          <w:p w14:paraId="298BAFA5" w14:textId="3804204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8775.8</w:t>
            </w:r>
            <w:r w:rsidR="00F83E26" w:rsidRPr="00F83E26">
              <w:rPr>
                <w:rFonts w:ascii="Arial" w:hAnsi="Arial" w:cs="Arial"/>
                <w:color w:val="000000" w:themeColor="text1"/>
                <w:sz w:val="18"/>
                <w:szCs w:val="18"/>
              </w:rPr>
              <w:t>9</w:t>
            </w:r>
          </w:p>
        </w:tc>
        <w:tc>
          <w:tcPr>
            <w:tcW w:w="1137" w:type="dxa"/>
            <w:tcBorders>
              <w:top w:val="single" w:sz="4" w:space="0" w:color="auto"/>
            </w:tcBorders>
            <w:shd w:val="clear" w:color="auto" w:fill="auto"/>
          </w:tcPr>
          <w:p w14:paraId="6EDE28F3" w14:textId="7777777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12</w:t>
            </w:r>
          </w:p>
        </w:tc>
        <w:tc>
          <w:tcPr>
            <w:tcW w:w="1562" w:type="dxa"/>
            <w:tcBorders>
              <w:top w:val="single" w:sz="4" w:space="0" w:color="auto"/>
            </w:tcBorders>
            <w:shd w:val="clear" w:color="auto" w:fill="auto"/>
          </w:tcPr>
          <w:p w14:paraId="5BD5F494" w14:textId="6B2ED50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731.32</w:t>
            </w:r>
          </w:p>
        </w:tc>
        <w:tc>
          <w:tcPr>
            <w:tcW w:w="1137" w:type="dxa"/>
            <w:tcBorders>
              <w:top w:val="single" w:sz="4" w:space="0" w:color="auto"/>
            </w:tcBorders>
            <w:shd w:val="clear" w:color="auto" w:fill="auto"/>
          </w:tcPr>
          <w:p w14:paraId="3A14A6CF" w14:textId="5BFBEFE4"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139.4</w:t>
            </w:r>
            <w:r w:rsidR="00BB757C" w:rsidRPr="00F83E26">
              <w:rPr>
                <w:rFonts w:ascii="Arial" w:hAnsi="Arial" w:cs="Arial"/>
                <w:color w:val="000000" w:themeColor="text1"/>
                <w:sz w:val="18"/>
                <w:szCs w:val="18"/>
              </w:rPr>
              <w:t>7</w:t>
            </w:r>
          </w:p>
        </w:tc>
        <w:tc>
          <w:tcPr>
            <w:tcW w:w="1138" w:type="dxa"/>
            <w:tcBorders>
              <w:top w:val="single" w:sz="4" w:space="0" w:color="auto"/>
            </w:tcBorders>
            <w:shd w:val="clear" w:color="auto" w:fill="auto"/>
          </w:tcPr>
          <w:p w14:paraId="45503342" w14:textId="50F7CC50"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w:t>
            </w:r>
            <w:r w:rsidR="006B2DA9" w:rsidRPr="00F83E26">
              <w:rPr>
                <w:rFonts w:ascii="Arial" w:hAnsi="Arial" w:cs="Arial"/>
                <w:color w:val="000000" w:themeColor="text1"/>
                <w:sz w:val="18"/>
                <w:szCs w:val="18"/>
              </w:rPr>
              <w:t>.000</w:t>
            </w:r>
            <w:r w:rsidRPr="00F83E26">
              <w:rPr>
                <w:rFonts w:ascii="Arial" w:hAnsi="Arial" w:cs="Arial"/>
                <w:color w:val="000000" w:themeColor="text1"/>
                <w:sz w:val="18"/>
                <w:szCs w:val="18"/>
              </w:rPr>
              <w:t>1</w:t>
            </w:r>
            <w:r w:rsidR="006B2DA9" w:rsidRPr="00F83E26">
              <w:rPr>
                <w:rFonts w:ascii="Arial" w:hAnsi="Arial" w:cs="Arial"/>
                <w:color w:val="000000" w:themeColor="text1"/>
                <w:sz w:val="18"/>
                <w:szCs w:val="18"/>
                <w:vertAlign w:val="superscript"/>
              </w:rPr>
              <w:t>b</w:t>
            </w:r>
          </w:p>
        </w:tc>
      </w:tr>
      <w:tr w:rsidR="00F83E26" w:rsidRPr="00F83E26" w14:paraId="2AD51504" w14:textId="77777777" w:rsidTr="00F83E26">
        <w:trPr>
          <w:cantSplit/>
          <w:trHeight w:val="300"/>
        </w:trPr>
        <w:tc>
          <w:tcPr>
            <w:tcW w:w="812" w:type="dxa"/>
            <w:vMerge/>
            <w:shd w:val="clear" w:color="auto" w:fill="auto"/>
          </w:tcPr>
          <w:p w14:paraId="0052A0A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26" w:type="dxa"/>
            <w:shd w:val="clear" w:color="auto" w:fill="auto"/>
          </w:tcPr>
          <w:p w14:paraId="7CE9ED9F"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Residual</w:t>
            </w:r>
          </w:p>
        </w:tc>
        <w:tc>
          <w:tcPr>
            <w:tcW w:w="1629" w:type="dxa"/>
            <w:shd w:val="clear" w:color="auto" w:fill="auto"/>
          </w:tcPr>
          <w:p w14:paraId="354DED7E" w14:textId="5466950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3287.7</w:t>
            </w:r>
            <w:r w:rsidR="00F83E26" w:rsidRPr="00F83E26">
              <w:rPr>
                <w:rFonts w:ascii="Arial" w:hAnsi="Arial" w:cs="Arial"/>
                <w:color w:val="000000" w:themeColor="text1"/>
                <w:sz w:val="18"/>
                <w:szCs w:val="18"/>
              </w:rPr>
              <w:t>9</w:t>
            </w:r>
          </w:p>
        </w:tc>
        <w:tc>
          <w:tcPr>
            <w:tcW w:w="1137" w:type="dxa"/>
            <w:shd w:val="clear" w:color="auto" w:fill="auto"/>
          </w:tcPr>
          <w:p w14:paraId="099CBEE3" w14:textId="7777777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627</w:t>
            </w:r>
          </w:p>
        </w:tc>
        <w:tc>
          <w:tcPr>
            <w:tcW w:w="1562" w:type="dxa"/>
            <w:shd w:val="clear" w:color="auto" w:fill="auto"/>
          </w:tcPr>
          <w:p w14:paraId="5D53C236" w14:textId="7EAFF151"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5.24</w:t>
            </w:r>
          </w:p>
        </w:tc>
        <w:tc>
          <w:tcPr>
            <w:tcW w:w="1137" w:type="dxa"/>
            <w:shd w:val="clear" w:color="auto" w:fill="auto"/>
            <w:vAlign w:val="center"/>
          </w:tcPr>
          <w:p w14:paraId="714E70D9"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8" w:type="dxa"/>
            <w:shd w:val="clear" w:color="auto" w:fill="auto"/>
            <w:vAlign w:val="center"/>
          </w:tcPr>
          <w:p w14:paraId="694C2FDD"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F83E26" w:rsidRPr="00F83E26" w14:paraId="70C250CE" w14:textId="77777777" w:rsidTr="00F83E26">
        <w:trPr>
          <w:cantSplit/>
          <w:trHeight w:val="289"/>
        </w:trPr>
        <w:tc>
          <w:tcPr>
            <w:tcW w:w="812" w:type="dxa"/>
            <w:vMerge/>
            <w:tcBorders>
              <w:bottom w:val="single" w:sz="4" w:space="0" w:color="auto"/>
            </w:tcBorders>
            <w:shd w:val="clear" w:color="auto" w:fill="auto"/>
          </w:tcPr>
          <w:p w14:paraId="4B940B3A"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426" w:type="dxa"/>
            <w:tcBorders>
              <w:bottom w:val="single" w:sz="4" w:space="0" w:color="auto"/>
            </w:tcBorders>
            <w:shd w:val="clear" w:color="auto" w:fill="auto"/>
          </w:tcPr>
          <w:p w14:paraId="097F829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Total</w:t>
            </w:r>
          </w:p>
        </w:tc>
        <w:tc>
          <w:tcPr>
            <w:tcW w:w="1629" w:type="dxa"/>
            <w:tcBorders>
              <w:bottom w:val="single" w:sz="4" w:space="0" w:color="auto"/>
            </w:tcBorders>
            <w:shd w:val="clear" w:color="auto" w:fill="auto"/>
          </w:tcPr>
          <w:p w14:paraId="7BC0CDFD" w14:textId="7E70F593"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12063.67</w:t>
            </w:r>
          </w:p>
        </w:tc>
        <w:tc>
          <w:tcPr>
            <w:tcW w:w="1137" w:type="dxa"/>
            <w:tcBorders>
              <w:bottom w:val="single" w:sz="4" w:space="0" w:color="auto"/>
            </w:tcBorders>
            <w:shd w:val="clear" w:color="auto" w:fill="auto"/>
          </w:tcPr>
          <w:p w14:paraId="2EAB5088" w14:textId="7777777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639</w:t>
            </w:r>
          </w:p>
        </w:tc>
        <w:tc>
          <w:tcPr>
            <w:tcW w:w="1562" w:type="dxa"/>
            <w:tcBorders>
              <w:bottom w:val="single" w:sz="4" w:space="0" w:color="auto"/>
            </w:tcBorders>
            <w:shd w:val="clear" w:color="auto" w:fill="auto"/>
            <w:vAlign w:val="center"/>
          </w:tcPr>
          <w:p w14:paraId="7D3D415A"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7" w:type="dxa"/>
            <w:tcBorders>
              <w:bottom w:val="single" w:sz="4" w:space="0" w:color="auto"/>
            </w:tcBorders>
            <w:shd w:val="clear" w:color="auto" w:fill="auto"/>
            <w:vAlign w:val="center"/>
          </w:tcPr>
          <w:p w14:paraId="320112A1"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8" w:type="dxa"/>
            <w:tcBorders>
              <w:bottom w:val="single" w:sz="4" w:space="0" w:color="auto"/>
            </w:tcBorders>
            <w:shd w:val="clear" w:color="auto" w:fill="auto"/>
            <w:vAlign w:val="center"/>
          </w:tcPr>
          <w:p w14:paraId="6E348AEB"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F83E26" w:rsidRPr="00F83E26" w14:paraId="2812C2E7" w14:textId="77777777" w:rsidTr="00F83E26">
        <w:trPr>
          <w:cantSplit/>
          <w:trHeight w:val="280"/>
        </w:trPr>
        <w:tc>
          <w:tcPr>
            <w:tcW w:w="8844" w:type="dxa"/>
            <w:gridSpan w:val="7"/>
            <w:tcBorders>
              <w:top w:val="single" w:sz="4" w:space="0" w:color="auto"/>
            </w:tcBorders>
            <w:shd w:val="clear" w:color="auto" w:fill="auto"/>
          </w:tcPr>
          <w:p w14:paraId="69A2DD5A"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Dependent Variable: Castelli's risk index 1</w:t>
            </w:r>
          </w:p>
        </w:tc>
      </w:tr>
      <w:tr w:rsidR="00F83E26" w:rsidRPr="00F83E26" w14:paraId="124630D6" w14:textId="77777777" w:rsidTr="00F83E26">
        <w:trPr>
          <w:cantSplit/>
          <w:trHeight w:val="550"/>
        </w:trPr>
        <w:tc>
          <w:tcPr>
            <w:tcW w:w="8844" w:type="dxa"/>
            <w:gridSpan w:val="7"/>
            <w:shd w:val="clear" w:color="auto" w:fill="auto"/>
          </w:tcPr>
          <w:p w14:paraId="72CBDF66" w14:textId="1AB28DA3"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b. Predictors: (Constant), NON-HDL, TG/CHOL, dm</w:t>
            </w:r>
            <w:r w:rsidR="00BB757C" w:rsidRPr="00F83E26">
              <w:rPr>
                <w:rFonts w:ascii="Arial" w:hAnsi="Arial" w:cs="Arial"/>
                <w:color w:val="000000" w:themeColor="text1"/>
                <w:sz w:val="18"/>
                <w:szCs w:val="18"/>
              </w:rPr>
              <w:t xml:space="preserve"> </w:t>
            </w:r>
            <w:r w:rsidRPr="00F83E26">
              <w:rPr>
                <w:rFonts w:ascii="Arial" w:hAnsi="Arial" w:cs="Arial"/>
                <w:color w:val="000000" w:themeColor="text1"/>
                <w:sz w:val="18"/>
                <w:szCs w:val="18"/>
              </w:rPr>
              <w:t>dur</w:t>
            </w:r>
            <w:r w:rsidR="00BB757C" w:rsidRPr="00F83E26">
              <w:rPr>
                <w:rFonts w:ascii="Arial" w:hAnsi="Arial" w:cs="Arial"/>
                <w:color w:val="000000" w:themeColor="text1"/>
                <w:sz w:val="18"/>
                <w:szCs w:val="18"/>
              </w:rPr>
              <w:t>ation</w:t>
            </w:r>
            <w:r w:rsidRPr="00F83E26">
              <w:rPr>
                <w:rFonts w:ascii="Arial" w:hAnsi="Arial" w:cs="Arial"/>
                <w:color w:val="000000" w:themeColor="text1"/>
                <w:sz w:val="18"/>
                <w:szCs w:val="18"/>
              </w:rPr>
              <w:t xml:space="preserve">, job, sex, </w:t>
            </w:r>
            <w:proofErr w:type="spellStart"/>
            <w:r w:rsidRPr="00F83E26">
              <w:rPr>
                <w:rFonts w:ascii="Arial" w:hAnsi="Arial" w:cs="Arial"/>
                <w:color w:val="000000" w:themeColor="text1"/>
                <w:sz w:val="18"/>
                <w:szCs w:val="18"/>
              </w:rPr>
              <w:t>hdl</w:t>
            </w:r>
            <w:proofErr w:type="spellEnd"/>
            <w:r w:rsidRPr="00F83E26">
              <w:rPr>
                <w:rFonts w:ascii="Arial" w:hAnsi="Arial" w:cs="Arial"/>
                <w:color w:val="000000" w:themeColor="text1"/>
                <w:sz w:val="18"/>
                <w:szCs w:val="18"/>
              </w:rPr>
              <w:t xml:space="preserve">, </w:t>
            </w:r>
            <w:proofErr w:type="spellStart"/>
            <w:r w:rsidRPr="00F83E26">
              <w:rPr>
                <w:rFonts w:ascii="Arial" w:hAnsi="Arial" w:cs="Arial"/>
                <w:color w:val="000000" w:themeColor="text1"/>
                <w:sz w:val="18"/>
                <w:szCs w:val="18"/>
              </w:rPr>
              <w:t>fbg</w:t>
            </w:r>
            <w:proofErr w:type="spellEnd"/>
            <w:r w:rsidRPr="00F83E26">
              <w:rPr>
                <w:rFonts w:ascii="Arial" w:hAnsi="Arial" w:cs="Arial"/>
                <w:color w:val="000000" w:themeColor="text1"/>
                <w:sz w:val="18"/>
                <w:szCs w:val="18"/>
              </w:rPr>
              <w:t xml:space="preserve">, </w:t>
            </w:r>
            <w:r w:rsidR="00BB757C" w:rsidRPr="00F83E26">
              <w:rPr>
                <w:rFonts w:ascii="Arial" w:hAnsi="Arial" w:cs="Arial"/>
                <w:color w:val="000000" w:themeColor="text1"/>
                <w:sz w:val="18"/>
                <w:szCs w:val="18"/>
              </w:rPr>
              <w:t>BMI</w:t>
            </w:r>
            <w:r w:rsidRPr="00F83E26">
              <w:rPr>
                <w:rFonts w:ascii="Arial" w:hAnsi="Arial" w:cs="Arial"/>
                <w:color w:val="000000" w:themeColor="text1"/>
                <w:sz w:val="18"/>
                <w:szCs w:val="18"/>
              </w:rPr>
              <w:t xml:space="preserve">, age, </w:t>
            </w:r>
            <w:proofErr w:type="spellStart"/>
            <w:r w:rsidRPr="00F83E26">
              <w:rPr>
                <w:rFonts w:ascii="Arial" w:hAnsi="Arial" w:cs="Arial"/>
                <w:color w:val="000000" w:themeColor="text1"/>
                <w:sz w:val="18"/>
                <w:szCs w:val="18"/>
              </w:rPr>
              <w:t>ldl</w:t>
            </w:r>
            <w:proofErr w:type="spellEnd"/>
            <w:r w:rsidRPr="00F83E26">
              <w:rPr>
                <w:rFonts w:ascii="Arial" w:hAnsi="Arial" w:cs="Arial"/>
                <w:color w:val="000000" w:themeColor="text1"/>
                <w:sz w:val="18"/>
                <w:szCs w:val="18"/>
              </w:rPr>
              <w:t xml:space="preserve">, HDL/LDL, </w:t>
            </w:r>
            <w:r w:rsidR="00BB757C" w:rsidRPr="00F83E26">
              <w:rPr>
                <w:rFonts w:ascii="Arial" w:hAnsi="Arial" w:cs="Arial"/>
                <w:color w:val="000000" w:themeColor="text1"/>
                <w:sz w:val="18"/>
                <w:szCs w:val="18"/>
              </w:rPr>
              <w:t>VLDL</w:t>
            </w:r>
          </w:p>
        </w:tc>
      </w:tr>
    </w:tbl>
    <w:p w14:paraId="29CC410F" w14:textId="50AFA43B" w:rsidR="006B2DA9" w:rsidRPr="006B2DA9" w:rsidRDefault="00B37E95" w:rsidP="006B2DA9">
      <w:pPr>
        <w:autoSpaceDE w:val="0"/>
        <w:autoSpaceDN w:val="0"/>
        <w:adjustRightInd w:val="0"/>
        <w:spacing w:after="0" w:line="400" w:lineRule="atLeast"/>
        <w:rPr>
          <w:rFonts w:ascii="Times New Roman" w:hAnsi="Times New Roman" w:cs="Times New Roman"/>
          <w:sz w:val="24"/>
          <w:szCs w:val="24"/>
        </w:rPr>
      </w:pPr>
      <w:r>
        <w:rPr>
          <w:rStyle w:val="Strong"/>
        </w:rPr>
        <w:t>Table 6c.</w:t>
      </w:r>
      <w:r>
        <w:t xml:space="preserve"> </w:t>
      </w:r>
      <w:r w:rsidRPr="00F83E26">
        <w:rPr>
          <w:rStyle w:val="Emphasis"/>
          <w:i w:val="0"/>
          <w:iCs w:val="0"/>
        </w:rPr>
        <w:t>Regression coefficients for predictors of Castelli’s Risk Index 1.</w:t>
      </w:r>
    </w:p>
    <w:p w14:paraId="1BE8A296"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tbl>
      <w:tblPr>
        <w:tblW w:w="8132"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F83E26" w:rsidRPr="00F83E26" w14:paraId="237DC423" w14:textId="77777777" w:rsidTr="00F83E26">
        <w:trPr>
          <w:cantSplit/>
        </w:trPr>
        <w:tc>
          <w:tcPr>
            <w:tcW w:w="1920" w:type="dxa"/>
            <w:gridSpan w:val="2"/>
            <w:vMerge w:val="restart"/>
            <w:shd w:val="clear" w:color="auto" w:fill="auto"/>
            <w:vAlign w:val="bottom"/>
          </w:tcPr>
          <w:p w14:paraId="03BA35B9"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Model</w:t>
            </w:r>
          </w:p>
        </w:tc>
        <w:tc>
          <w:tcPr>
            <w:tcW w:w="2676" w:type="dxa"/>
            <w:gridSpan w:val="2"/>
            <w:shd w:val="clear" w:color="auto" w:fill="auto"/>
            <w:vAlign w:val="bottom"/>
          </w:tcPr>
          <w:p w14:paraId="19ABA51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Unstandardized Coefficients</w:t>
            </w:r>
          </w:p>
        </w:tc>
        <w:tc>
          <w:tcPr>
            <w:tcW w:w="1476" w:type="dxa"/>
            <w:shd w:val="clear" w:color="auto" w:fill="auto"/>
            <w:vAlign w:val="bottom"/>
          </w:tcPr>
          <w:p w14:paraId="68E8531E"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Standardized Coefficients</w:t>
            </w:r>
          </w:p>
        </w:tc>
        <w:tc>
          <w:tcPr>
            <w:tcW w:w="1030" w:type="dxa"/>
            <w:vMerge w:val="restart"/>
            <w:shd w:val="clear" w:color="auto" w:fill="auto"/>
            <w:vAlign w:val="bottom"/>
          </w:tcPr>
          <w:p w14:paraId="33C98CDA"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t</w:t>
            </w:r>
          </w:p>
        </w:tc>
        <w:tc>
          <w:tcPr>
            <w:tcW w:w="1030" w:type="dxa"/>
            <w:vMerge w:val="restart"/>
            <w:shd w:val="clear" w:color="auto" w:fill="auto"/>
            <w:vAlign w:val="bottom"/>
          </w:tcPr>
          <w:p w14:paraId="562D50B3"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Sig.</w:t>
            </w:r>
          </w:p>
        </w:tc>
      </w:tr>
      <w:tr w:rsidR="00F83E26" w:rsidRPr="00F83E26" w14:paraId="7E79B328" w14:textId="77777777" w:rsidTr="00F83E26">
        <w:trPr>
          <w:cantSplit/>
        </w:trPr>
        <w:tc>
          <w:tcPr>
            <w:tcW w:w="1920" w:type="dxa"/>
            <w:gridSpan w:val="2"/>
            <w:vMerge/>
            <w:tcBorders>
              <w:bottom w:val="single" w:sz="4" w:space="0" w:color="auto"/>
            </w:tcBorders>
            <w:shd w:val="clear" w:color="auto" w:fill="auto"/>
            <w:vAlign w:val="bottom"/>
          </w:tcPr>
          <w:p w14:paraId="2ADA35C7"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338" w:type="dxa"/>
            <w:tcBorders>
              <w:bottom w:val="single" w:sz="4" w:space="0" w:color="auto"/>
            </w:tcBorders>
            <w:shd w:val="clear" w:color="auto" w:fill="auto"/>
            <w:vAlign w:val="bottom"/>
          </w:tcPr>
          <w:p w14:paraId="104DDC93"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B</w:t>
            </w:r>
          </w:p>
        </w:tc>
        <w:tc>
          <w:tcPr>
            <w:tcW w:w="1338" w:type="dxa"/>
            <w:tcBorders>
              <w:bottom w:val="single" w:sz="4" w:space="0" w:color="auto"/>
            </w:tcBorders>
            <w:shd w:val="clear" w:color="auto" w:fill="auto"/>
            <w:vAlign w:val="bottom"/>
          </w:tcPr>
          <w:p w14:paraId="1613BF9B"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Std. Error</w:t>
            </w:r>
          </w:p>
        </w:tc>
        <w:tc>
          <w:tcPr>
            <w:tcW w:w="1476" w:type="dxa"/>
            <w:tcBorders>
              <w:bottom w:val="single" w:sz="4" w:space="0" w:color="auto"/>
            </w:tcBorders>
            <w:shd w:val="clear" w:color="auto" w:fill="auto"/>
            <w:vAlign w:val="bottom"/>
          </w:tcPr>
          <w:p w14:paraId="0EAA6CBC"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Beta</w:t>
            </w:r>
          </w:p>
        </w:tc>
        <w:tc>
          <w:tcPr>
            <w:tcW w:w="1030" w:type="dxa"/>
            <w:vMerge/>
            <w:tcBorders>
              <w:bottom w:val="single" w:sz="4" w:space="0" w:color="auto"/>
            </w:tcBorders>
            <w:shd w:val="clear" w:color="auto" w:fill="auto"/>
            <w:vAlign w:val="bottom"/>
          </w:tcPr>
          <w:p w14:paraId="3B1A3074"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030" w:type="dxa"/>
            <w:vMerge/>
            <w:tcBorders>
              <w:bottom w:val="single" w:sz="4" w:space="0" w:color="auto"/>
            </w:tcBorders>
            <w:shd w:val="clear" w:color="auto" w:fill="auto"/>
            <w:vAlign w:val="bottom"/>
          </w:tcPr>
          <w:p w14:paraId="76C1A8E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r>
      <w:tr w:rsidR="00F83E26" w:rsidRPr="00F83E26" w14:paraId="77387C1D" w14:textId="77777777" w:rsidTr="00F83E26">
        <w:trPr>
          <w:cantSplit/>
        </w:trPr>
        <w:tc>
          <w:tcPr>
            <w:tcW w:w="736" w:type="dxa"/>
            <w:vMerge w:val="restart"/>
            <w:tcBorders>
              <w:top w:val="single" w:sz="4" w:space="0" w:color="auto"/>
            </w:tcBorders>
            <w:shd w:val="clear" w:color="auto" w:fill="auto"/>
          </w:tcPr>
          <w:p w14:paraId="1DDAEE8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184" w:type="dxa"/>
            <w:tcBorders>
              <w:top w:val="single" w:sz="4" w:space="0" w:color="auto"/>
            </w:tcBorders>
            <w:shd w:val="clear" w:color="auto" w:fill="auto"/>
          </w:tcPr>
          <w:p w14:paraId="72FCB72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(Constant)</w:t>
            </w:r>
          </w:p>
        </w:tc>
        <w:tc>
          <w:tcPr>
            <w:tcW w:w="1338" w:type="dxa"/>
            <w:tcBorders>
              <w:top w:val="single" w:sz="4" w:space="0" w:color="auto"/>
            </w:tcBorders>
            <w:shd w:val="clear" w:color="auto" w:fill="auto"/>
          </w:tcPr>
          <w:p w14:paraId="640A7F3F" w14:textId="40B2C8F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8.4</w:t>
            </w:r>
            <w:r w:rsidR="005125B6" w:rsidRPr="00F83E26">
              <w:rPr>
                <w:rFonts w:ascii="Arial" w:hAnsi="Arial" w:cs="Arial"/>
                <w:color w:val="000000" w:themeColor="text1"/>
                <w:sz w:val="18"/>
                <w:szCs w:val="18"/>
              </w:rPr>
              <w:t>3</w:t>
            </w:r>
          </w:p>
        </w:tc>
        <w:tc>
          <w:tcPr>
            <w:tcW w:w="1338" w:type="dxa"/>
            <w:tcBorders>
              <w:top w:val="single" w:sz="4" w:space="0" w:color="auto"/>
            </w:tcBorders>
            <w:shd w:val="clear" w:color="auto" w:fill="auto"/>
          </w:tcPr>
          <w:p w14:paraId="01C0834F" w14:textId="5E950251"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1.8</w:t>
            </w:r>
            <w:r w:rsidR="005125B6" w:rsidRPr="00F83E26">
              <w:rPr>
                <w:rFonts w:ascii="Arial" w:hAnsi="Arial" w:cs="Arial"/>
                <w:color w:val="000000" w:themeColor="text1"/>
                <w:sz w:val="18"/>
                <w:szCs w:val="18"/>
              </w:rPr>
              <w:t>1</w:t>
            </w:r>
          </w:p>
        </w:tc>
        <w:tc>
          <w:tcPr>
            <w:tcW w:w="1476" w:type="dxa"/>
            <w:tcBorders>
              <w:top w:val="single" w:sz="4" w:space="0" w:color="auto"/>
            </w:tcBorders>
            <w:shd w:val="clear" w:color="auto" w:fill="auto"/>
            <w:vAlign w:val="center"/>
          </w:tcPr>
          <w:p w14:paraId="517A24FF"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top w:val="single" w:sz="4" w:space="0" w:color="auto"/>
            </w:tcBorders>
            <w:shd w:val="clear" w:color="auto" w:fill="auto"/>
          </w:tcPr>
          <w:p w14:paraId="55EA266D" w14:textId="0F80BEEC"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4.6</w:t>
            </w:r>
            <w:r w:rsidR="009D6FEB" w:rsidRPr="00F83E26">
              <w:rPr>
                <w:rFonts w:ascii="Arial" w:hAnsi="Arial" w:cs="Arial"/>
                <w:color w:val="000000" w:themeColor="text1"/>
                <w:sz w:val="18"/>
                <w:szCs w:val="18"/>
              </w:rPr>
              <w:t>7</w:t>
            </w:r>
          </w:p>
        </w:tc>
        <w:tc>
          <w:tcPr>
            <w:tcW w:w="1030" w:type="dxa"/>
            <w:tcBorders>
              <w:top w:val="single" w:sz="4" w:space="0" w:color="auto"/>
            </w:tcBorders>
            <w:shd w:val="clear" w:color="auto" w:fill="auto"/>
          </w:tcPr>
          <w:p w14:paraId="12D101A3" w14:textId="7C44775A"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w:t>
            </w:r>
            <w:r w:rsidR="006B2DA9" w:rsidRPr="00F83E26">
              <w:rPr>
                <w:rFonts w:ascii="Arial" w:hAnsi="Arial" w:cs="Arial"/>
                <w:color w:val="000000" w:themeColor="text1"/>
                <w:sz w:val="18"/>
                <w:szCs w:val="18"/>
              </w:rPr>
              <w:t>.000</w:t>
            </w:r>
            <w:r w:rsidRPr="00F83E26">
              <w:rPr>
                <w:rFonts w:ascii="Arial" w:hAnsi="Arial" w:cs="Arial"/>
                <w:color w:val="000000" w:themeColor="text1"/>
                <w:sz w:val="18"/>
                <w:szCs w:val="18"/>
              </w:rPr>
              <w:t>1</w:t>
            </w:r>
          </w:p>
        </w:tc>
      </w:tr>
      <w:tr w:rsidR="00F83E26" w:rsidRPr="00F83E26" w14:paraId="32EA5F6B" w14:textId="77777777" w:rsidTr="00F83E26">
        <w:trPr>
          <w:cantSplit/>
        </w:trPr>
        <w:tc>
          <w:tcPr>
            <w:tcW w:w="736" w:type="dxa"/>
            <w:vMerge/>
            <w:shd w:val="clear" w:color="auto" w:fill="auto"/>
          </w:tcPr>
          <w:p w14:paraId="4CFE63B0"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6433A37" w14:textId="28E194A9" w:rsidR="006B2DA9" w:rsidRPr="00F83E26" w:rsidRDefault="00F83E2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S</w:t>
            </w:r>
            <w:r w:rsidR="006B2DA9" w:rsidRPr="00F83E26">
              <w:rPr>
                <w:rFonts w:ascii="Arial" w:hAnsi="Arial" w:cs="Arial"/>
                <w:color w:val="000000" w:themeColor="text1"/>
                <w:sz w:val="18"/>
                <w:szCs w:val="18"/>
              </w:rPr>
              <w:t>ex</w:t>
            </w:r>
            <w:r>
              <w:rPr>
                <w:rFonts w:ascii="Arial" w:hAnsi="Arial" w:cs="Arial"/>
                <w:color w:val="000000" w:themeColor="text1"/>
                <w:sz w:val="18"/>
                <w:szCs w:val="18"/>
              </w:rPr>
              <w:t xml:space="preserve"> </w:t>
            </w:r>
          </w:p>
        </w:tc>
        <w:tc>
          <w:tcPr>
            <w:tcW w:w="1338" w:type="dxa"/>
            <w:shd w:val="clear" w:color="auto" w:fill="auto"/>
          </w:tcPr>
          <w:p w14:paraId="6C1D43AB" w14:textId="25D43FA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.28</w:t>
            </w:r>
          </w:p>
        </w:tc>
        <w:tc>
          <w:tcPr>
            <w:tcW w:w="1338" w:type="dxa"/>
            <w:shd w:val="clear" w:color="auto" w:fill="auto"/>
          </w:tcPr>
          <w:p w14:paraId="39B9E258" w14:textId="60CC94E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w:t>
            </w:r>
            <w:r w:rsidRPr="00F83E26">
              <w:rPr>
                <w:rFonts w:ascii="Arial" w:hAnsi="Arial" w:cs="Arial"/>
                <w:color w:val="000000" w:themeColor="text1"/>
                <w:sz w:val="18"/>
                <w:szCs w:val="18"/>
              </w:rPr>
              <w:t>2</w:t>
            </w:r>
          </w:p>
        </w:tc>
        <w:tc>
          <w:tcPr>
            <w:tcW w:w="1476" w:type="dxa"/>
            <w:shd w:val="clear" w:color="auto" w:fill="auto"/>
          </w:tcPr>
          <w:p w14:paraId="2B2D211D" w14:textId="1ABA831E"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.03</w:t>
            </w:r>
          </w:p>
        </w:tc>
        <w:tc>
          <w:tcPr>
            <w:tcW w:w="1030" w:type="dxa"/>
            <w:shd w:val="clear" w:color="auto" w:fill="auto"/>
          </w:tcPr>
          <w:p w14:paraId="7D5C1286" w14:textId="241203AF"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1.2</w:t>
            </w:r>
            <w:r w:rsidR="009D6FEB" w:rsidRPr="00F83E26">
              <w:rPr>
                <w:rFonts w:ascii="Arial" w:hAnsi="Arial" w:cs="Arial"/>
                <w:color w:val="000000" w:themeColor="text1"/>
                <w:sz w:val="18"/>
                <w:szCs w:val="18"/>
              </w:rPr>
              <w:t>9</w:t>
            </w:r>
          </w:p>
        </w:tc>
        <w:tc>
          <w:tcPr>
            <w:tcW w:w="1030" w:type="dxa"/>
            <w:shd w:val="clear" w:color="auto" w:fill="auto"/>
          </w:tcPr>
          <w:p w14:paraId="503F9956" w14:textId="3F39B18B"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w:t>
            </w:r>
            <w:r w:rsidRPr="00F83E26">
              <w:rPr>
                <w:rFonts w:ascii="Arial" w:hAnsi="Arial" w:cs="Arial"/>
                <w:color w:val="000000" w:themeColor="text1"/>
                <w:sz w:val="18"/>
                <w:szCs w:val="18"/>
              </w:rPr>
              <w:t>20</w:t>
            </w:r>
          </w:p>
        </w:tc>
      </w:tr>
      <w:tr w:rsidR="00F83E26" w:rsidRPr="00F83E26" w14:paraId="2D8EE3CC" w14:textId="77777777" w:rsidTr="00F83E26">
        <w:trPr>
          <w:cantSplit/>
        </w:trPr>
        <w:tc>
          <w:tcPr>
            <w:tcW w:w="736" w:type="dxa"/>
            <w:vMerge/>
            <w:shd w:val="clear" w:color="auto" w:fill="auto"/>
          </w:tcPr>
          <w:p w14:paraId="645B6A47"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220920E7" w14:textId="1B21CF8B" w:rsidR="006B2DA9" w:rsidRPr="00F83E26" w:rsidRDefault="00F83E2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w:t>
            </w:r>
            <w:r w:rsidR="006B2DA9" w:rsidRPr="00F83E26">
              <w:rPr>
                <w:rFonts w:ascii="Arial" w:hAnsi="Arial" w:cs="Arial"/>
                <w:color w:val="000000" w:themeColor="text1"/>
                <w:sz w:val="18"/>
                <w:szCs w:val="18"/>
              </w:rPr>
              <w:t>ge</w:t>
            </w:r>
            <w:r>
              <w:rPr>
                <w:rFonts w:ascii="Arial" w:hAnsi="Arial" w:cs="Arial"/>
                <w:color w:val="000000" w:themeColor="text1"/>
                <w:sz w:val="18"/>
                <w:szCs w:val="18"/>
              </w:rPr>
              <w:t xml:space="preserve"> </w:t>
            </w:r>
          </w:p>
        </w:tc>
        <w:tc>
          <w:tcPr>
            <w:tcW w:w="1338" w:type="dxa"/>
            <w:shd w:val="clear" w:color="auto" w:fill="auto"/>
          </w:tcPr>
          <w:p w14:paraId="5340021A" w14:textId="5A9B1C5F"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.04</w:t>
            </w:r>
          </w:p>
        </w:tc>
        <w:tc>
          <w:tcPr>
            <w:tcW w:w="1338" w:type="dxa"/>
            <w:shd w:val="clear" w:color="auto" w:fill="auto"/>
          </w:tcPr>
          <w:p w14:paraId="599D8486" w14:textId="16749573"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2</w:t>
            </w:r>
          </w:p>
        </w:tc>
        <w:tc>
          <w:tcPr>
            <w:tcW w:w="1476" w:type="dxa"/>
            <w:shd w:val="clear" w:color="auto" w:fill="auto"/>
          </w:tcPr>
          <w:p w14:paraId="0AF1E3CC" w14:textId="0044CE2C"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.08</w:t>
            </w:r>
          </w:p>
        </w:tc>
        <w:tc>
          <w:tcPr>
            <w:tcW w:w="1030" w:type="dxa"/>
            <w:shd w:val="clear" w:color="auto" w:fill="auto"/>
          </w:tcPr>
          <w:p w14:paraId="7CBCB7C9" w14:textId="72ED1411"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2.8</w:t>
            </w:r>
            <w:r w:rsidR="009D6FEB" w:rsidRPr="00F83E26">
              <w:rPr>
                <w:rFonts w:ascii="Arial" w:hAnsi="Arial" w:cs="Arial"/>
                <w:color w:val="000000" w:themeColor="text1"/>
                <w:sz w:val="18"/>
                <w:szCs w:val="18"/>
              </w:rPr>
              <w:t>5</w:t>
            </w:r>
          </w:p>
        </w:tc>
        <w:tc>
          <w:tcPr>
            <w:tcW w:w="1030" w:type="dxa"/>
            <w:shd w:val="clear" w:color="auto" w:fill="auto"/>
          </w:tcPr>
          <w:p w14:paraId="6EE3A070" w14:textId="48516A3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.005</w:t>
            </w:r>
          </w:p>
        </w:tc>
      </w:tr>
      <w:tr w:rsidR="00F83E26" w:rsidRPr="00F83E26" w14:paraId="10CCEA93" w14:textId="77777777" w:rsidTr="00F83E26">
        <w:trPr>
          <w:cantSplit/>
        </w:trPr>
        <w:tc>
          <w:tcPr>
            <w:tcW w:w="736" w:type="dxa"/>
            <w:vMerge/>
            <w:shd w:val="clear" w:color="auto" w:fill="auto"/>
          </w:tcPr>
          <w:p w14:paraId="5DC5CD5E"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8647B33" w14:textId="51C364EC" w:rsidR="006B2DA9" w:rsidRPr="00F83E26" w:rsidRDefault="00F83E2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D</w:t>
            </w:r>
            <w:r w:rsidR="006B2DA9" w:rsidRPr="00F83E26">
              <w:rPr>
                <w:rFonts w:ascii="Arial" w:hAnsi="Arial" w:cs="Arial"/>
                <w:color w:val="000000" w:themeColor="text1"/>
                <w:sz w:val="18"/>
                <w:szCs w:val="18"/>
              </w:rPr>
              <w:t>m</w:t>
            </w:r>
            <w:r>
              <w:rPr>
                <w:rFonts w:ascii="Arial" w:hAnsi="Arial" w:cs="Arial"/>
                <w:color w:val="000000" w:themeColor="text1"/>
                <w:sz w:val="18"/>
                <w:szCs w:val="18"/>
              </w:rPr>
              <w:t xml:space="preserve"> </w:t>
            </w:r>
            <w:r w:rsidR="006B2DA9" w:rsidRPr="00F83E26">
              <w:rPr>
                <w:rFonts w:ascii="Arial" w:hAnsi="Arial" w:cs="Arial"/>
                <w:color w:val="000000" w:themeColor="text1"/>
                <w:sz w:val="18"/>
                <w:szCs w:val="18"/>
              </w:rPr>
              <w:t>dur</w:t>
            </w:r>
            <w:r>
              <w:rPr>
                <w:rFonts w:ascii="Arial" w:hAnsi="Arial" w:cs="Arial"/>
                <w:color w:val="000000" w:themeColor="text1"/>
                <w:sz w:val="18"/>
                <w:szCs w:val="18"/>
              </w:rPr>
              <w:t>ation</w:t>
            </w:r>
          </w:p>
        </w:tc>
        <w:tc>
          <w:tcPr>
            <w:tcW w:w="1338" w:type="dxa"/>
            <w:shd w:val="clear" w:color="auto" w:fill="auto"/>
          </w:tcPr>
          <w:p w14:paraId="11D70429" w14:textId="07A22DA0"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2</w:t>
            </w:r>
          </w:p>
        </w:tc>
        <w:tc>
          <w:tcPr>
            <w:tcW w:w="1338" w:type="dxa"/>
            <w:shd w:val="clear" w:color="auto" w:fill="auto"/>
          </w:tcPr>
          <w:p w14:paraId="00C747F4" w14:textId="11961AD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.01</w:t>
            </w:r>
          </w:p>
        </w:tc>
        <w:tc>
          <w:tcPr>
            <w:tcW w:w="1476" w:type="dxa"/>
            <w:shd w:val="clear" w:color="auto" w:fill="auto"/>
          </w:tcPr>
          <w:p w14:paraId="782011D0" w14:textId="620C45D6"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3</w:t>
            </w:r>
          </w:p>
        </w:tc>
        <w:tc>
          <w:tcPr>
            <w:tcW w:w="1030" w:type="dxa"/>
            <w:shd w:val="clear" w:color="auto" w:fill="auto"/>
          </w:tcPr>
          <w:p w14:paraId="01583EEB" w14:textId="477E80C4"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1.1</w:t>
            </w:r>
            <w:r w:rsidR="009D6FEB" w:rsidRPr="00F83E26">
              <w:rPr>
                <w:rFonts w:ascii="Arial" w:hAnsi="Arial" w:cs="Arial"/>
                <w:color w:val="000000" w:themeColor="text1"/>
                <w:sz w:val="18"/>
                <w:szCs w:val="18"/>
              </w:rPr>
              <w:t>7</w:t>
            </w:r>
          </w:p>
        </w:tc>
        <w:tc>
          <w:tcPr>
            <w:tcW w:w="1030" w:type="dxa"/>
            <w:shd w:val="clear" w:color="auto" w:fill="auto"/>
          </w:tcPr>
          <w:p w14:paraId="31728108" w14:textId="7663E11E"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.244</w:t>
            </w:r>
          </w:p>
        </w:tc>
      </w:tr>
      <w:tr w:rsidR="00F83E26" w:rsidRPr="00F83E26" w14:paraId="4D9131F6" w14:textId="77777777" w:rsidTr="00F83E26">
        <w:trPr>
          <w:cantSplit/>
        </w:trPr>
        <w:tc>
          <w:tcPr>
            <w:tcW w:w="736" w:type="dxa"/>
            <w:vMerge/>
            <w:shd w:val="clear" w:color="auto" w:fill="auto"/>
          </w:tcPr>
          <w:p w14:paraId="204FC024"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2E8ADFC9"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job</w:t>
            </w:r>
          </w:p>
        </w:tc>
        <w:tc>
          <w:tcPr>
            <w:tcW w:w="1338" w:type="dxa"/>
            <w:shd w:val="clear" w:color="auto" w:fill="auto"/>
          </w:tcPr>
          <w:p w14:paraId="20B7F4C8" w14:textId="73BCFD75"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.21</w:t>
            </w:r>
          </w:p>
        </w:tc>
        <w:tc>
          <w:tcPr>
            <w:tcW w:w="1338" w:type="dxa"/>
            <w:shd w:val="clear" w:color="auto" w:fill="auto"/>
          </w:tcPr>
          <w:p w14:paraId="4C3654D1" w14:textId="2D698176"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8</w:t>
            </w:r>
          </w:p>
        </w:tc>
        <w:tc>
          <w:tcPr>
            <w:tcW w:w="1476" w:type="dxa"/>
            <w:shd w:val="clear" w:color="auto" w:fill="auto"/>
          </w:tcPr>
          <w:p w14:paraId="5B60A1F0" w14:textId="0BE014D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.06</w:t>
            </w:r>
          </w:p>
        </w:tc>
        <w:tc>
          <w:tcPr>
            <w:tcW w:w="1030" w:type="dxa"/>
            <w:shd w:val="clear" w:color="auto" w:fill="auto"/>
          </w:tcPr>
          <w:p w14:paraId="25316BC6" w14:textId="48377ED9"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2.7</w:t>
            </w:r>
            <w:r w:rsidR="009D6FEB" w:rsidRPr="00F83E26">
              <w:rPr>
                <w:rFonts w:ascii="Arial" w:hAnsi="Arial" w:cs="Arial"/>
                <w:color w:val="000000" w:themeColor="text1"/>
                <w:sz w:val="18"/>
                <w:szCs w:val="18"/>
              </w:rPr>
              <w:t>5</w:t>
            </w:r>
          </w:p>
        </w:tc>
        <w:tc>
          <w:tcPr>
            <w:tcW w:w="1030" w:type="dxa"/>
            <w:shd w:val="clear" w:color="auto" w:fill="auto"/>
          </w:tcPr>
          <w:p w14:paraId="740060DF" w14:textId="70C03DBF"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.006</w:t>
            </w:r>
          </w:p>
        </w:tc>
      </w:tr>
      <w:tr w:rsidR="00F83E26" w:rsidRPr="00F83E26" w14:paraId="20D551FF" w14:textId="77777777" w:rsidTr="00F83E26">
        <w:trPr>
          <w:cantSplit/>
        </w:trPr>
        <w:tc>
          <w:tcPr>
            <w:tcW w:w="736" w:type="dxa"/>
            <w:vMerge/>
            <w:shd w:val="clear" w:color="auto" w:fill="auto"/>
          </w:tcPr>
          <w:p w14:paraId="56369A62"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7CD90A6" w14:textId="0D0F51F5" w:rsidR="006B2DA9" w:rsidRPr="00F83E26" w:rsidRDefault="005125B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BMI</w:t>
            </w:r>
          </w:p>
        </w:tc>
        <w:tc>
          <w:tcPr>
            <w:tcW w:w="1338" w:type="dxa"/>
            <w:shd w:val="clear" w:color="auto" w:fill="auto"/>
          </w:tcPr>
          <w:p w14:paraId="7432EB1F" w14:textId="3454636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.06</w:t>
            </w:r>
          </w:p>
        </w:tc>
        <w:tc>
          <w:tcPr>
            <w:tcW w:w="1338" w:type="dxa"/>
            <w:shd w:val="clear" w:color="auto" w:fill="auto"/>
          </w:tcPr>
          <w:p w14:paraId="6072F4A7" w14:textId="58E2445F"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3</w:t>
            </w:r>
          </w:p>
        </w:tc>
        <w:tc>
          <w:tcPr>
            <w:tcW w:w="1476" w:type="dxa"/>
            <w:shd w:val="clear" w:color="auto" w:fill="auto"/>
          </w:tcPr>
          <w:p w14:paraId="35209631" w14:textId="66461434"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w:t>
            </w:r>
            <w:r w:rsidR="005125B6" w:rsidRPr="00F83E26">
              <w:rPr>
                <w:rFonts w:ascii="Arial" w:hAnsi="Arial" w:cs="Arial"/>
                <w:color w:val="000000" w:themeColor="text1"/>
                <w:sz w:val="18"/>
                <w:szCs w:val="18"/>
              </w:rPr>
              <w:t>6</w:t>
            </w:r>
          </w:p>
        </w:tc>
        <w:tc>
          <w:tcPr>
            <w:tcW w:w="1030" w:type="dxa"/>
            <w:shd w:val="clear" w:color="auto" w:fill="auto"/>
          </w:tcPr>
          <w:p w14:paraId="3E2EA261" w14:textId="586F759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2.3</w:t>
            </w:r>
            <w:r w:rsidR="009D6FEB" w:rsidRPr="00F83E26">
              <w:rPr>
                <w:rFonts w:ascii="Arial" w:hAnsi="Arial" w:cs="Arial"/>
                <w:color w:val="000000" w:themeColor="text1"/>
                <w:sz w:val="18"/>
                <w:szCs w:val="18"/>
              </w:rPr>
              <w:t>5</w:t>
            </w:r>
          </w:p>
        </w:tc>
        <w:tc>
          <w:tcPr>
            <w:tcW w:w="1030" w:type="dxa"/>
            <w:shd w:val="clear" w:color="auto" w:fill="auto"/>
          </w:tcPr>
          <w:p w14:paraId="1E182F25" w14:textId="1A0DC059"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.019</w:t>
            </w:r>
          </w:p>
        </w:tc>
      </w:tr>
      <w:tr w:rsidR="00F83E26" w:rsidRPr="00F83E26" w14:paraId="19617705" w14:textId="77777777" w:rsidTr="00F83E26">
        <w:trPr>
          <w:cantSplit/>
        </w:trPr>
        <w:tc>
          <w:tcPr>
            <w:tcW w:w="736" w:type="dxa"/>
            <w:vMerge/>
            <w:shd w:val="clear" w:color="auto" w:fill="auto"/>
          </w:tcPr>
          <w:p w14:paraId="32B755EA"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E67C747"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F83E26">
              <w:rPr>
                <w:rFonts w:ascii="Arial" w:hAnsi="Arial" w:cs="Arial"/>
                <w:color w:val="000000" w:themeColor="text1"/>
                <w:sz w:val="18"/>
                <w:szCs w:val="18"/>
              </w:rPr>
              <w:t>fbg</w:t>
            </w:r>
            <w:proofErr w:type="spellEnd"/>
          </w:p>
        </w:tc>
        <w:tc>
          <w:tcPr>
            <w:tcW w:w="1338" w:type="dxa"/>
            <w:shd w:val="clear" w:color="auto" w:fill="auto"/>
          </w:tcPr>
          <w:p w14:paraId="2E54BD65" w14:textId="12E80569"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7</w:t>
            </w:r>
          </w:p>
        </w:tc>
        <w:tc>
          <w:tcPr>
            <w:tcW w:w="1338" w:type="dxa"/>
            <w:shd w:val="clear" w:color="auto" w:fill="auto"/>
          </w:tcPr>
          <w:p w14:paraId="03F293ED" w14:textId="7AA57B7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3</w:t>
            </w:r>
          </w:p>
        </w:tc>
        <w:tc>
          <w:tcPr>
            <w:tcW w:w="1476" w:type="dxa"/>
            <w:shd w:val="clear" w:color="auto" w:fill="auto"/>
          </w:tcPr>
          <w:p w14:paraId="0C21A279" w14:textId="0D97F4D8"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6</w:t>
            </w:r>
          </w:p>
        </w:tc>
        <w:tc>
          <w:tcPr>
            <w:tcW w:w="1030" w:type="dxa"/>
            <w:shd w:val="clear" w:color="auto" w:fill="auto"/>
          </w:tcPr>
          <w:p w14:paraId="0162B85A" w14:textId="46FF777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2.33</w:t>
            </w:r>
          </w:p>
        </w:tc>
        <w:tc>
          <w:tcPr>
            <w:tcW w:w="1030" w:type="dxa"/>
            <w:shd w:val="clear" w:color="auto" w:fill="auto"/>
          </w:tcPr>
          <w:p w14:paraId="4347179B" w14:textId="1C98E8D5"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.020</w:t>
            </w:r>
          </w:p>
        </w:tc>
      </w:tr>
      <w:tr w:rsidR="00F83E26" w:rsidRPr="00F83E26" w14:paraId="32C85555" w14:textId="77777777" w:rsidTr="00F83E26">
        <w:trPr>
          <w:cantSplit/>
        </w:trPr>
        <w:tc>
          <w:tcPr>
            <w:tcW w:w="736" w:type="dxa"/>
            <w:vMerge/>
            <w:shd w:val="clear" w:color="auto" w:fill="auto"/>
          </w:tcPr>
          <w:p w14:paraId="4B1FB45C"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A571A7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F83E26">
              <w:rPr>
                <w:rFonts w:ascii="Arial" w:hAnsi="Arial" w:cs="Arial"/>
                <w:color w:val="000000" w:themeColor="text1"/>
                <w:sz w:val="18"/>
                <w:szCs w:val="18"/>
              </w:rPr>
              <w:t>hdl</w:t>
            </w:r>
            <w:proofErr w:type="spellEnd"/>
          </w:p>
        </w:tc>
        <w:tc>
          <w:tcPr>
            <w:tcW w:w="1338" w:type="dxa"/>
            <w:shd w:val="clear" w:color="auto" w:fill="auto"/>
          </w:tcPr>
          <w:p w14:paraId="1A9E45E8" w14:textId="6A2446F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-17.38</w:t>
            </w:r>
          </w:p>
        </w:tc>
        <w:tc>
          <w:tcPr>
            <w:tcW w:w="1338" w:type="dxa"/>
            <w:shd w:val="clear" w:color="auto" w:fill="auto"/>
          </w:tcPr>
          <w:p w14:paraId="44EC9B7D" w14:textId="397DAE5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.93</w:t>
            </w:r>
          </w:p>
        </w:tc>
        <w:tc>
          <w:tcPr>
            <w:tcW w:w="1476" w:type="dxa"/>
            <w:shd w:val="clear" w:color="auto" w:fill="auto"/>
          </w:tcPr>
          <w:p w14:paraId="4415EBD1" w14:textId="1998BBC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-1.18</w:t>
            </w:r>
          </w:p>
        </w:tc>
        <w:tc>
          <w:tcPr>
            <w:tcW w:w="1030" w:type="dxa"/>
            <w:shd w:val="clear" w:color="auto" w:fill="auto"/>
          </w:tcPr>
          <w:p w14:paraId="18048FDD" w14:textId="519757B0"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18.62</w:t>
            </w:r>
          </w:p>
        </w:tc>
        <w:tc>
          <w:tcPr>
            <w:tcW w:w="1030" w:type="dxa"/>
            <w:shd w:val="clear" w:color="auto" w:fill="auto"/>
          </w:tcPr>
          <w:p w14:paraId="020FCA16" w14:textId="2C5C5237"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&lt;0.0001</w:t>
            </w:r>
          </w:p>
        </w:tc>
      </w:tr>
      <w:tr w:rsidR="00F83E26" w:rsidRPr="00F83E26" w14:paraId="10BF2C6F" w14:textId="77777777" w:rsidTr="00F83E26">
        <w:trPr>
          <w:cantSplit/>
        </w:trPr>
        <w:tc>
          <w:tcPr>
            <w:tcW w:w="736" w:type="dxa"/>
            <w:vMerge/>
            <w:shd w:val="clear" w:color="auto" w:fill="auto"/>
          </w:tcPr>
          <w:p w14:paraId="4A7E5F3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D17C0CE"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F83E26">
              <w:rPr>
                <w:rFonts w:ascii="Arial" w:hAnsi="Arial" w:cs="Arial"/>
                <w:color w:val="000000" w:themeColor="text1"/>
                <w:sz w:val="18"/>
                <w:szCs w:val="18"/>
              </w:rPr>
              <w:t>ldl</w:t>
            </w:r>
            <w:proofErr w:type="spellEnd"/>
          </w:p>
        </w:tc>
        <w:tc>
          <w:tcPr>
            <w:tcW w:w="1338" w:type="dxa"/>
            <w:shd w:val="clear" w:color="auto" w:fill="auto"/>
          </w:tcPr>
          <w:p w14:paraId="434C9A65" w14:textId="0CC43A7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.98</w:t>
            </w:r>
          </w:p>
        </w:tc>
        <w:tc>
          <w:tcPr>
            <w:tcW w:w="1338" w:type="dxa"/>
            <w:shd w:val="clear" w:color="auto" w:fill="auto"/>
          </w:tcPr>
          <w:p w14:paraId="6CCBDC65" w14:textId="367B4A3F"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.3</w:t>
            </w:r>
            <w:r w:rsidRPr="00F83E26">
              <w:rPr>
                <w:rFonts w:ascii="Arial" w:hAnsi="Arial" w:cs="Arial"/>
                <w:color w:val="000000" w:themeColor="text1"/>
                <w:sz w:val="18"/>
                <w:szCs w:val="18"/>
              </w:rPr>
              <w:t>4</w:t>
            </w:r>
          </w:p>
        </w:tc>
        <w:tc>
          <w:tcPr>
            <w:tcW w:w="1476" w:type="dxa"/>
            <w:shd w:val="clear" w:color="auto" w:fill="auto"/>
          </w:tcPr>
          <w:p w14:paraId="63D30860" w14:textId="74044924"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w:t>
            </w:r>
            <w:r w:rsidRPr="00F83E26">
              <w:rPr>
                <w:rFonts w:ascii="Arial" w:hAnsi="Arial" w:cs="Arial"/>
                <w:color w:val="000000" w:themeColor="text1"/>
                <w:sz w:val="18"/>
                <w:szCs w:val="18"/>
              </w:rPr>
              <w:t>3</w:t>
            </w:r>
          </w:p>
        </w:tc>
        <w:tc>
          <w:tcPr>
            <w:tcW w:w="1030" w:type="dxa"/>
            <w:shd w:val="clear" w:color="auto" w:fill="auto"/>
          </w:tcPr>
          <w:p w14:paraId="31F5241E" w14:textId="72F23699"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2.9</w:t>
            </w:r>
            <w:r w:rsidR="009D6FEB" w:rsidRPr="00F83E26">
              <w:rPr>
                <w:rFonts w:ascii="Arial" w:hAnsi="Arial" w:cs="Arial"/>
                <w:color w:val="000000" w:themeColor="text1"/>
                <w:sz w:val="18"/>
                <w:szCs w:val="18"/>
              </w:rPr>
              <w:t>3</w:t>
            </w:r>
          </w:p>
        </w:tc>
        <w:tc>
          <w:tcPr>
            <w:tcW w:w="1030" w:type="dxa"/>
            <w:shd w:val="clear" w:color="auto" w:fill="auto"/>
          </w:tcPr>
          <w:p w14:paraId="24775330" w14:textId="09191224"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.004</w:t>
            </w:r>
          </w:p>
        </w:tc>
      </w:tr>
      <w:tr w:rsidR="00F83E26" w:rsidRPr="00F83E26" w14:paraId="7D5AD574" w14:textId="77777777" w:rsidTr="00F83E26">
        <w:trPr>
          <w:cantSplit/>
        </w:trPr>
        <w:tc>
          <w:tcPr>
            <w:tcW w:w="736" w:type="dxa"/>
            <w:vMerge/>
            <w:shd w:val="clear" w:color="auto" w:fill="auto"/>
          </w:tcPr>
          <w:p w14:paraId="1118698E"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70962E25" w14:textId="01367AE4" w:rsidR="006B2DA9" w:rsidRPr="00F83E26" w:rsidRDefault="005125B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VLDL</w:t>
            </w:r>
          </w:p>
        </w:tc>
        <w:tc>
          <w:tcPr>
            <w:tcW w:w="1338" w:type="dxa"/>
            <w:shd w:val="clear" w:color="auto" w:fill="auto"/>
          </w:tcPr>
          <w:p w14:paraId="4C753F2C" w14:textId="5CB48BDF"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4.3</w:t>
            </w:r>
            <w:r w:rsidR="005125B6" w:rsidRPr="00F83E26">
              <w:rPr>
                <w:rFonts w:ascii="Arial" w:hAnsi="Arial" w:cs="Arial"/>
                <w:color w:val="000000" w:themeColor="text1"/>
                <w:sz w:val="18"/>
                <w:szCs w:val="18"/>
              </w:rPr>
              <w:t>8</w:t>
            </w:r>
          </w:p>
        </w:tc>
        <w:tc>
          <w:tcPr>
            <w:tcW w:w="1338" w:type="dxa"/>
            <w:shd w:val="clear" w:color="auto" w:fill="auto"/>
          </w:tcPr>
          <w:p w14:paraId="49054D08" w14:textId="4CAB339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2.1</w:t>
            </w:r>
            <w:r w:rsidR="005125B6" w:rsidRPr="00F83E26">
              <w:rPr>
                <w:rFonts w:ascii="Arial" w:hAnsi="Arial" w:cs="Arial"/>
                <w:color w:val="000000" w:themeColor="text1"/>
                <w:sz w:val="18"/>
                <w:szCs w:val="18"/>
              </w:rPr>
              <w:t>3</w:t>
            </w:r>
          </w:p>
        </w:tc>
        <w:tc>
          <w:tcPr>
            <w:tcW w:w="1476" w:type="dxa"/>
            <w:shd w:val="clear" w:color="auto" w:fill="auto"/>
          </w:tcPr>
          <w:p w14:paraId="6B6901C6" w14:textId="1EA0D8C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w:t>
            </w:r>
            <w:r w:rsidRPr="00F83E26">
              <w:rPr>
                <w:rFonts w:ascii="Arial" w:hAnsi="Arial" w:cs="Arial"/>
                <w:color w:val="000000" w:themeColor="text1"/>
                <w:sz w:val="18"/>
                <w:szCs w:val="18"/>
              </w:rPr>
              <w:t>5</w:t>
            </w:r>
          </w:p>
        </w:tc>
        <w:tc>
          <w:tcPr>
            <w:tcW w:w="1030" w:type="dxa"/>
            <w:shd w:val="clear" w:color="auto" w:fill="auto"/>
          </w:tcPr>
          <w:p w14:paraId="3675E8EA" w14:textId="1C23FE2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2.0</w:t>
            </w:r>
            <w:r w:rsidR="009D6FEB" w:rsidRPr="00F83E26">
              <w:rPr>
                <w:rFonts w:ascii="Arial" w:hAnsi="Arial" w:cs="Arial"/>
                <w:color w:val="000000" w:themeColor="text1"/>
                <w:sz w:val="18"/>
                <w:szCs w:val="18"/>
              </w:rPr>
              <w:t>6</w:t>
            </w:r>
          </w:p>
        </w:tc>
        <w:tc>
          <w:tcPr>
            <w:tcW w:w="1030" w:type="dxa"/>
            <w:shd w:val="clear" w:color="auto" w:fill="auto"/>
          </w:tcPr>
          <w:p w14:paraId="647526B5" w14:textId="21D99897"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.040</w:t>
            </w:r>
          </w:p>
        </w:tc>
      </w:tr>
      <w:tr w:rsidR="00F83E26" w:rsidRPr="00F83E26" w14:paraId="3E995BEC" w14:textId="77777777" w:rsidTr="00F83E26">
        <w:trPr>
          <w:cantSplit/>
        </w:trPr>
        <w:tc>
          <w:tcPr>
            <w:tcW w:w="736" w:type="dxa"/>
            <w:vMerge/>
            <w:shd w:val="clear" w:color="auto" w:fill="auto"/>
          </w:tcPr>
          <w:p w14:paraId="20BBABF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AC10110"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HDL/LDL</w:t>
            </w:r>
          </w:p>
        </w:tc>
        <w:tc>
          <w:tcPr>
            <w:tcW w:w="1338" w:type="dxa"/>
            <w:shd w:val="clear" w:color="auto" w:fill="auto"/>
          </w:tcPr>
          <w:p w14:paraId="3952B6F4" w14:textId="718EF5E9"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29.6</w:t>
            </w:r>
            <w:r w:rsidR="005125B6" w:rsidRPr="00F83E26">
              <w:rPr>
                <w:rFonts w:ascii="Arial" w:hAnsi="Arial" w:cs="Arial"/>
                <w:color w:val="000000" w:themeColor="text1"/>
                <w:sz w:val="18"/>
                <w:szCs w:val="18"/>
              </w:rPr>
              <w:t>5</w:t>
            </w:r>
          </w:p>
        </w:tc>
        <w:tc>
          <w:tcPr>
            <w:tcW w:w="1338" w:type="dxa"/>
            <w:shd w:val="clear" w:color="auto" w:fill="auto"/>
          </w:tcPr>
          <w:p w14:paraId="354176F3" w14:textId="1B48B83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3.1</w:t>
            </w:r>
            <w:r w:rsidR="005125B6" w:rsidRPr="00F83E26">
              <w:rPr>
                <w:rFonts w:ascii="Arial" w:hAnsi="Arial" w:cs="Arial"/>
                <w:color w:val="000000" w:themeColor="text1"/>
                <w:sz w:val="18"/>
                <w:szCs w:val="18"/>
              </w:rPr>
              <w:t>1</w:t>
            </w:r>
          </w:p>
        </w:tc>
        <w:tc>
          <w:tcPr>
            <w:tcW w:w="1476" w:type="dxa"/>
            <w:shd w:val="clear" w:color="auto" w:fill="auto"/>
          </w:tcPr>
          <w:p w14:paraId="2B7D069F" w14:textId="1BA9E227"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.75</w:t>
            </w:r>
          </w:p>
        </w:tc>
        <w:tc>
          <w:tcPr>
            <w:tcW w:w="1030" w:type="dxa"/>
            <w:shd w:val="clear" w:color="auto" w:fill="auto"/>
          </w:tcPr>
          <w:p w14:paraId="7673BA08" w14:textId="2BD98FB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9.54</w:t>
            </w:r>
          </w:p>
        </w:tc>
        <w:tc>
          <w:tcPr>
            <w:tcW w:w="1030" w:type="dxa"/>
            <w:shd w:val="clear" w:color="auto" w:fill="auto"/>
          </w:tcPr>
          <w:p w14:paraId="50B4AE8E" w14:textId="3B212B2C"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&lt;0.0001</w:t>
            </w:r>
          </w:p>
        </w:tc>
      </w:tr>
      <w:tr w:rsidR="00F83E26" w:rsidRPr="00F83E26" w14:paraId="7BEC73B7" w14:textId="77777777" w:rsidTr="00F83E26">
        <w:trPr>
          <w:cantSplit/>
        </w:trPr>
        <w:tc>
          <w:tcPr>
            <w:tcW w:w="736" w:type="dxa"/>
            <w:vMerge/>
            <w:shd w:val="clear" w:color="auto" w:fill="auto"/>
          </w:tcPr>
          <w:p w14:paraId="1C683A83"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5997BE5"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TG/CHOL</w:t>
            </w:r>
          </w:p>
        </w:tc>
        <w:tc>
          <w:tcPr>
            <w:tcW w:w="1338" w:type="dxa"/>
            <w:shd w:val="clear" w:color="auto" w:fill="auto"/>
          </w:tcPr>
          <w:p w14:paraId="4C32E4E5" w14:textId="5A4D4692"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-15.8</w:t>
            </w:r>
            <w:r w:rsidR="005125B6" w:rsidRPr="00F83E26">
              <w:rPr>
                <w:rFonts w:ascii="Arial" w:hAnsi="Arial" w:cs="Arial"/>
                <w:color w:val="000000" w:themeColor="text1"/>
                <w:sz w:val="18"/>
                <w:szCs w:val="18"/>
              </w:rPr>
              <w:t>1</w:t>
            </w:r>
          </w:p>
        </w:tc>
        <w:tc>
          <w:tcPr>
            <w:tcW w:w="1338" w:type="dxa"/>
            <w:shd w:val="clear" w:color="auto" w:fill="auto"/>
          </w:tcPr>
          <w:p w14:paraId="578403D3" w14:textId="4FD03FC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5.23</w:t>
            </w:r>
          </w:p>
        </w:tc>
        <w:tc>
          <w:tcPr>
            <w:tcW w:w="1476" w:type="dxa"/>
            <w:shd w:val="clear" w:color="auto" w:fill="auto"/>
          </w:tcPr>
          <w:p w14:paraId="7E939F4C" w14:textId="5F55B60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.32</w:t>
            </w:r>
          </w:p>
        </w:tc>
        <w:tc>
          <w:tcPr>
            <w:tcW w:w="1030" w:type="dxa"/>
            <w:shd w:val="clear" w:color="auto" w:fill="auto"/>
          </w:tcPr>
          <w:p w14:paraId="00532B29" w14:textId="546AEA6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3.02</w:t>
            </w:r>
          </w:p>
        </w:tc>
        <w:tc>
          <w:tcPr>
            <w:tcW w:w="1030" w:type="dxa"/>
            <w:shd w:val="clear" w:color="auto" w:fill="auto"/>
          </w:tcPr>
          <w:p w14:paraId="11AB83D0" w14:textId="5A1500E8"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.003</w:t>
            </w:r>
          </w:p>
        </w:tc>
      </w:tr>
      <w:tr w:rsidR="00F83E26" w:rsidRPr="00F83E26" w14:paraId="28A2E33B" w14:textId="77777777" w:rsidTr="00F83E26">
        <w:trPr>
          <w:cantSplit/>
        </w:trPr>
        <w:tc>
          <w:tcPr>
            <w:tcW w:w="736" w:type="dxa"/>
            <w:vMerge/>
            <w:tcBorders>
              <w:bottom w:val="single" w:sz="4" w:space="0" w:color="auto"/>
            </w:tcBorders>
            <w:shd w:val="clear" w:color="auto" w:fill="auto"/>
          </w:tcPr>
          <w:p w14:paraId="392021AF"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tcBorders>
              <w:bottom w:val="single" w:sz="4" w:space="0" w:color="auto"/>
            </w:tcBorders>
            <w:shd w:val="clear" w:color="auto" w:fill="auto"/>
          </w:tcPr>
          <w:p w14:paraId="20B8F956"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NON-HDL</w:t>
            </w:r>
          </w:p>
        </w:tc>
        <w:tc>
          <w:tcPr>
            <w:tcW w:w="1338" w:type="dxa"/>
            <w:tcBorders>
              <w:bottom w:val="single" w:sz="4" w:space="0" w:color="auto"/>
            </w:tcBorders>
            <w:shd w:val="clear" w:color="auto" w:fill="auto"/>
          </w:tcPr>
          <w:p w14:paraId="73422C02" w14:textId="6199474C"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1.66</w:t>
            </w:r>
          </w:p>
        </w:tc>
        <w:tc>
          <w:tcPr>
            <w:tcW w:w="1338" w:type="dxa"/>
            <w:tcBorders>
              <w:bottom w:val="single" w:sz="4" w:space="0" w:color="auto"/>
            </w:tcBorders>
            <w:shd w:val="clear" w:color="auto" w:fill="auto"/>
          </w:tcPr>
          <w:p w14:paraId="4C9F4BC7" w14:textId="58323F7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.4</w:t>
            </w:r>
            <w:r w:rsidRPr="00F83E26">
              <w:rPr>
                <w:rFonts w:ascii="Arial" w:hAnsi="Arial" w:cs="Arial"/>
                <w:color w:val="000000" w:themeColor="text1"/>
                <w:sz w:val="18"/>
                <w:szCs w:val="18"/>
              </w:rPr>
              <w:t>2</w:t>
            </w:r>
          </w:p>
        </w:tc>
        <w:tc>
          <w:tcPr>
            <w:tcW w:w="1476" w:type="dxa"/>
            <w:tcBorders>
              <w:bottom w:val="single" w:sz="4" w:space="0" w:color="auto"/>
            </w:tcBorders>
            <w:shd w:val="clear" w:color="auto" w:fill="auto"/>
          </w:tcPr>
          <w:p w14:paraId="162ADF4C" w14:textId="7636004A"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.40</w:t>
            </w:r>
          </w:p>
        </w:tc>
        <w:tc>
          <w:tcPr>
            <w:tcW w:w="1030" w:type="dxa"/>
            <w:tcBorders>
              <w:bottom w:val="single" w:sz="4" w:space="0" w:color="auto"/>
            </w:tcBorders>
            <w:shd w:val="clear" w:color="auto" w:fill="auto"/>
          </w:tcPr>
          <w:p w14:paraId="05C51D76" w14:textId="46BD84B0"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3.9</w:t>
            </w:r>
            <w:r w:rsidR="009D6FEB" w:rsidRPr="00F83E26">
              <w:rPr>
                <w:rFonts w:ascii="Arial" w:hAnsi="Arial" w:cs="Arial"/>
                <w:color w:val="000000" w:themeColor="text1"/>
                <w:sz w:val="18"/>
                <w:szCs w:val="18"/>
              </w:rPr>
              <w:t>9</w:t>
            </w:r>
          </w:p>
        </w:tc>
        <w:tc>
          <w:tcPr>
            <w:tcW w:w="1030" w:type="dxa"/>
            <w:tcBorders>
              <w:bottom w:val="single" w:sz="4" w:space="0" w:color="auto"/>
            </w:tcBorders>
            <w:shd w:val="clear" w:color="auto" w:fill="auto"/>
          </w:tcPr>
          <w:p w14:paraId="7607E9D7" w14:textId="5333BBAB"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&lt;0.0001</w:t>
            </w:r>
          </w:p>
        </w:tc>
      </w:tr>
      <w:tr w:rsidR="00F83E26" w:rsidRPr="00F83E26" w14:paraId="2BC91002" w14:textId="77777777" w:rsidTr="00F83E26">
        <w:trPr>
          <w:cantSplit/>
        </w:trPr>
        <w:tc>
          <w:tcPr>
            <w:tcW w:w="8132" w:type="dxa"/>
            <w:gridSpan w:val="7"/>
            <w:tcBorders>
              <w:top w:val="single" w:sz="4" w:space="0" w:color="auto"/>
            </w:tcBorders>
            <w:shd w:val="clear" w:color="auto" w:fill="auto"/>
          </w:tcPr>
          <w:p w14:paraId="0BF4074F"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Dependent Variable: Castelli's risk index 1</w:t>
            </w:r>
          </w:p>
        </w:tc>
      </w:tr>
    </w:tbl>
    <w:p w14:paraId="5B77D9F1"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FF0DBC1" w14:textId="7110F20E"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3222FB0C" w14:textId="77777777" w:rsidR="00F83E26" w:rsidRDefault="00F83E26" w:rsidP="006B2DA9">
      <w:pPr>
        <w:autoSpaceDE w:val="0"/>
        <w:autoSpaceDN w:val="0"/>
        <w:adjustRightInd w:val="0"/>
        <w:spacing w:after="0" w:line="400" w:lineRule="atLeast"/>
        <w:rPr>
          <w:rFonts w:ascii="Times New Roman" w:hAnsi="Times New Roman" w:cs="Times New Roman"/>
          <w:sz w:val="24"/>
          <w:szCs w:val="24"/>
        </w:rPr>
      </w:pPr>
    </w:p>
    <w:p w14:paraId="53E9974D" w14:textId="50A0F398" w:rsidR="008C3658" w:rsidRPr="006B2DA9" w:rsidRDefault="008C3658" w:rsidP="006B2DA9">
      <w:pPr>
        <w:autoSpaceDE w:val="0"/>
        <w:autoSpaceDN w:val="0"/>
        <w:adjustRightInd w:val="0"/>
        <w:spacing w:after="0" w:line="400" w:lineRule="atLeast"/>
        <w:rPr>
          <w:rFonts w:ascii="Times New Roman" w:hAnsi="Times New Roman" w:cs="Times New Roman"/>
          <w:sz w:val="24"/>
          <w:szCs w:val="24"/>
        </w:rPr>
      </w:pPr>
      <w:r>
        <w:rPr>
          <w:rStyle w:val="Strong"/>
        </w:rPr>
        <w:t>Table 7a.</w:t>
      </w:r>
      <w:r>
        <w:t xml:space="preserve"> </w:t>
      </w:r>
      <w:r w:rsidRPr="001C423E">
        <w:rPr>
          <w:rStyle w:val="Emphasis"/>
          <w:i w:val="0"/>
          <w:iCs w:val="0"/>
        </w:rPr>
        <w:t>Model summary for predictors of the outcome variable.</w:t>
      </w:r>
    </w:p>
    <w:tbl>
      <w:tblPr>
        <w:tblW w:w="8719" w:type="dxa"/>
        <w:tblLayout w:type="fixed"/>
        <w:tblCellMar>
          <w:left w:w="0" w:type="dxa"/>
          <w:right w:w="0" w:type="dxa"/>
        </w:tblCellMar>
        <w:tblLook w:val="0000" w:firstRow="0" w:lastRow="0" w:firstColumn="0" w:lastColumn="0" w:noHBand="0" w:noVBand="0"/>
      </w:tblPr>
      <w:tblGrid>
        <w:gridCol w:w="1184"/>
        <w:gridCol w:w="1529"/>
        <w:gridCol w:w="1621"/>
        <w:gridCol w:w="2191"/>
        <w:gridCol w:w="2194"/>
      </w:tblGrid>
      <w:tr w:rsidR="00F83E26" w:rsidRPr="00F83E26" w14:paraId="7587F0EB" w14:textId="77777777" w:rsidTr="00F83E26">
        <w:trPr>
          <w:cantSplit/>
          <w:trHeight w:val="421"/>
        </w:trPr>
        <w:tc>
          <w:tcPr>
            <w:tcW w:w="1184" w:type="dxa"/>
            <w:tcBorders>
              <w:top w:val="nil"/>
              <w:left w:val="nil"/>
              <w:bottom w:val="single" w:sz="8" w:space="0" w:color="152935"/>
              <w:right w:val="nil"/>
            </w:tcBorders>
            <w:shd w:val="clear" w:color="auto" w:fill="auto"/>
            <w:vAlign w:val="bottom"/>
          </w:tcPr>
          <w:p w14:paraId="60179345"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Model</w:t>
            </w:r>
          </w:p>
        </w:tc>
        <w:tc>
          <w:tcPr>
            <w:tcW w:w="1529" w:type="dxa"/>
            <w:tcBorders>
              <w:top w:val="nil"/>
              <w:left w:val="nil"/>
              <w:bottom w:val="single" w:sz="8" w:space="0" w:color="152935"/>
              <w:right w:val="single" w:sz="8" w:space="0" w:color="E0E0E0"/>
            </w:tcBorders>
            <w:shd w:val="clear" w:color="auto" w:fill="auto"/>
            <w:vAlign w:val="bottom"/>
          </w:tcPr>
          <w:p w14:paraId="03799ECE"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R</w:t>
            </w:r>
          </w:p>
        </w:tc>
        <w:tc>
          <w:tcPr>
            <w:tcW w:w="1621" w:type="dxa"/>
            <w:tcBorders>
              <w:top w:val="nil"/>
              <w:left w:val="single" w:sz="8" w:space="0" w:color="E0E0E0"/>
              <w:bottom w:val="single" w:sz="8" w:space="0" w:color="152935"/>
              <w:right w:val="single" w:sz="8" w:space="0" w:color="E0E0E0"/>
            </w:tcBorders>
            <w:shd w:val="clear" w:color="auto" w:fill="auto"/>
            <w:vAlign w:val="bottom"/>
          </w:tcPr>
          <w:p w14:paraId="6BCDE50E"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R Square</w:t>
            </w:r>
          </w:p>
        </w:tc>
        <w:tc>
          <w:tcPr>
            <w:tcW w:w="2191" w:type="dxa"/>
            <w:tcBorders>
              <w:top w:val="nil"/>
              <w:left w:val="single" w:sz="8" w:space="0" w:color="E0E0E0"/>
              <w:bottom w:val="single" w:sz="8" w:space="0" w:color="152935"/>
              <w:right w:val="single" w:sz="8" w:space="0" w:color="E0E0E0"/>
            </w:tcBorders>
            <w:shd w:val="clear" w:color="auto" w:fill="auto"/>
            <w:vAlign w:val="bottom"/>
          </w:tcPr>
          <w:p w14:paraId="54D927F8"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Adjusted R Square</w:t>
            </w:r>
          </w:p>
        </w:tc>
        <w:tc>
          <w:tcPr>
            <w:tcW w:w="2194" w:type="dxa"/>
            <w:tcBorders>
              <w:top w:val="nil"/>
              <w:left w:val="single" w:sz="8" w:space="0" w:color="E0E0E0"/>
              <w:bottom w:val="single" w:sz="8" w:space="0" w:color="152935"/>
              <w:right w:val="nil"/>
            </w:tcBorders>
            <w:shd w:val="clear" w:color="auto" w:fill="auto"/>
            <w:vAlign w:val="bottom"/>
          </w:tcPr>
          <w:p w14:paraId="29DF45DD"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Std. Error of the Estimate</w:t>
            </w:r>
          </w:p>
        </w:tc>
      </w:tr>
      <w:tr w:rsidR="00F83E26" w:rsidRPr="00F83E26" w14:paraId="29E4A20E" w14:textId="77777777" w:rsidTr="00F83E26">
        <w:trPr>
          <w:cantSplit/>
          <w:trHeight w:val="214"/>
        </w:trPr>
        <w:tc>
          <w:tcPr>
            <w:tcW w:w="1184" w:type="dxa"/>
            <w:tcBorders>
              <w:top w:val="single" w:sz="8" w:space="0" w:color="152935"/>
              <w:left w:val="nil"/>
              <w:bottom w:val="single" w:sz="8" w:space="0" w:color="152935"/>
              <w:right w:val="nil"/>
            </w:tcBorders>
            <w:shd w:val="clear" w:color="auto" w:fill="auto"/>
          </w:tcPr>
          <w:p w14:paraId="7B326C11"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529" w:type="dxa"/>
            <w:tcBorders>
              <w:top w:val="single" w:sz="8" w:space="0" w:color="152935"/>
              <w:left w:val="nil"/>
              <w:bottom w:val="single" w:sz="8" w:space="0" w:color="152935"/>
              <w:right w:val="single" w:sz="8" w:space="0" w:color="E0E0E0"/>
            </w:tcBorders>
            <w:shd w:val="clear" w:color="auto" w:fill="auto"/>
          </w:tcPr>
          <w:p w14:paraId="5868BC63" w14:textId="1B391301" w:rsidR="006B2DA9" w:rsidRPr="00F83E26"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.85</w:t>
            </w:r>
            <w:r w:rsidR="006B2DA9" w:rsidRPr="00F83E26">
              <w:rPr>
                <w:rFonts w:ascii="Arial" w:hAnsi="Arial" w:cs="Arial"/>
                <w:color w:val="000000" w:themeColor="text1"/>
                <w:sz w:val="18"/>
                <w:szCs w:val="18"/>
                <w:vertAlign w:val="superscript"/>
              </w:rPr>
              <w:t>a</w:t>
            </w:r>
          </w:p>
        </w:tc>
        <w:tc>
          <w:tcPr>
            <w:tcW w:w="1621" w:type="dxa"/>
            <w:tcBorders>
              <w:top w:val="single" w:sz="8" w:space="0" w:color="152935"/>
              <w:left w:val="single" w:sz="8" w:space="0" w:color="E0E0E0"/>
              <w:bottom w:val="single" w:sz="8" w:space="0" w:color="152935"/>
              <w:right w:val="single" w:sz="8" w:space="0" w:color="E0E0E0"/>
            </w:tcBorders>
            <w:shd w:val="clear" w:color="auto" w:fill="auto"/>
          </w:tcPr>
          <w:p w14:paraId="451017AD" w14:textId="7A0D9484" w:rsidR="006B2DA9" w:rsidRPr="00F83E26"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w:t>
            </w:r>
            <w:r w:rsidRPr="00F83E26">
              <w:rPr>
                <w:rFonts w:ascii="Arial" w:hAnsi="Arial" w:cs="Arial"/>
                <w:color w:val="000000" w:themeColor="text1"/>
                <w:sz w:val="18"/>
                <w:szCs w:val="18"/>
              </w:rPr>
              <w:t>3</w:t>
            </w:r>
          </w:p>
        </w:tc>
        <w:tc>
          <w:tcPr>
            <w:tcW w:w="2191" w:type="dxa"/>
            <w:tcBorders>
              <w:top w:val="single" w:sz="8" w:space="0" w:color="152935"/>
              <w:left w:val="single" w:sz="8" w:space="0" w:color="E0E0E0"/>
              <w:bottom w:val="single" w:sz="8" w:space="0" w:color="152935"/>
              <w:right w:val="single" w:sz="8" w:space="0" w:color="E0E0E0"/>
            </w:tcBorders>
            <w:shd w:val="clear" w:color="auto" w:fill="auto"/>
          </w:tcPr>
          <w:p w14:paraId="15692F67" w14:textId="1911BDDE" w:rsidR="006B2DA9" w:rsidRPr="00F83E26"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.72</w:t>
            </w:r>
          </w:p>
        </w:tc>
        <w:tc>
          <w:tcPr>
            <w:tcW w:w="2194" w:type="dxa"/>
            <w:tcBorders>
              <w:top w:val="single" w:sz="8" w:space="0" w:color="152935"/>
              <w:left w:val="single" w:sz="8" w:space="0" w:color="E0E0E0"/>
              <w:bottom w:val="single" w:sz="8" w:space="0" w:color="152935"/>
              <w:right w:val="nil"/>
            </w:tcBorders>
            <w:shd w:val="clear" w:color="auto" w:fill="auto"/>
          </w:tcPr>
          <w:p w14:paraId="7F4C36F0" w14:textId="71393D6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2.1</w:t>
            </w:r>
            <w:r w:rsidR="009D6FEB" w:rsidRPr="00F83E26">
              <w:rPr>
                <w:rFonts w:ascii="Arial" w:hAnsi="Arial" w:cs="Arial"/>
                <w:color w:val="000000" w:themeColor="text1"/>
                <w:sz w:val="18"/>
                <w:szCs w:val="18"/>
              </w:rPr>
              <w:t>4</w:t>
            </w:r>
          </w:p>
        </w:tc>
      </w:tr>
      <w:tr w:rsidR="00F83E26" w:rsidRPr="00F83E26" w14:paraId="32B093EA" w14:textId="77777777" w:rsidTr="00F83E26">
        <w:trPr>
          <w:cantSplit/>
          <w:trHeight w:val="421"/>
        </w:trPr>
        <w:tc>
          <w:tcPr>
            <w:tcW w:w="8719" w:type="dxa"/>
            <w:gridSpan w:val="5"/>
            <w:tcBorders>
              <w:top w:val="nil"/>
              <w:left w:val="nil"/>
              <w:bottom w:val="nil"/>
              <w:right w:val="nil"/>
            </w:tcBorders>
            <w:shd w:val="clear" w:color="auto" w:fill="auto"/>
          </w:tcPr>
          <w:p w14:paraId="4329B925" w14:textId="1A739092"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Predictors: (Constant), NON-HDL, TG/CHOL, dm</w:t>
            </w:r>
            <w:r w:rsidR="009D6FEB" w:rsidRPr="00F83E26">
              <w:rPr>
                <w:rFonts w:ascii="Arial" w:hAnsi="Arial" w:cs="Arial"/>
                <w:color w:val="000000" w:themeColor="text1"/>
                <w:sz w:val="18"/>
                <w:szCs w:val="18"/>
              </w:rPr>
              <w:t xml:space="preserve"> </w:t>
            </w:r>
            <w:r w:rsidRPr="00F83E26">
              <w:rPr>
                <w:rFonts w:ascii="Arial" w:hAnsi="Arial" w:cs="Arial"/>
                <w:color w:val="000000" w:themeColor="text1"/>
                <w:sz w:val="18"/>
                <w:szCs w:val="18"/>
              </w:rPr>
              <w:t>dur</w:t>
            </w:r>
            <w:r w:rsidR="009D6FEB" w:rsidRPr="00F83E26">
              <w:rPr>
                <w:rFonts w:ascii="Arial" w:hAnsi="Arial" w:cs="Arial"/>
                <w:color w:val="000000" w:themeColor="text1"/>
                <w:sz w:val="18"/>
                <w:szCs w:val="18"/>
              </w:rPr>
              <w:t>ation</w:t>
            </w:r>
            <w:r w:rsidRPr="00F83E26">
              <w:rPr>
                <w:rFonts w:ascii="Arial" w:hAnsi="Arial" w:cs="Arial"/>
                <w:color w:val="000000" w:themeColor="text1"/>
                <w:sz w:val="18"/>
                <w:szCs w:val="18"/>
              </w:rPr>
              <w:t xml:space="preserve">, job, sex, </w:t>
            </w:r>
            <w:proofErr w:type="spellStart"/>
            <w:r w:rsidRPr="00F83E26">
              <w:rPr>
                <w:rFonts w:ascii="Arial" w:hAnsi="Arial" w:cs="Arial"/>
                <w:color w:val="000000" w:themeColor="text1"/>
                <w:sz w:val="18"/>
                <w:szCs w:val="18"/>
              </w:rPr>
              <w:t>hdl</w:t>
            </w:r>
            <w:proofErr w:type="spellEnd"/>
            <w:r w:rsidRPr="00F83E26">
              <w:rPr>
                <w:rFonts w:ascii="Arial" w:hAnsi="Arial" w:cs="Arial"/>
                <w:color w:val="000000" w:themeColor="text1"/>
                <w:sz w:val="18"/>
                <w:szCs w:val="18"/>
              </w:rPr>
              <w:t xml:space="preserve">, </w:t>
            </w:r>
            <w:proofErr w:type="spellStart"/>
            <w:r w:rsidRPr="00F83E26">
              <w:rPr>
                <w:rFonts w:ascii="Arial" w:hAnsi="Arial" w:cs="Arial"/>
                <w:color w:val="000000" w:themeColor="text1"/>
                <w:sz w:val="18"/>
                <w:szCs w:val="18"/>
              </w:rPr>
              <w:t>fbg</w:t>
            </w:r>
            <w:proofErr w:type="spellEnd"/>
            <w:r w:rsidRPr="00F83E26">
              <w:rPr>
                <w:rFonts w:ascii="Arial" w:hAnsi="Arial" w:cs="Arial"/>
                <w:color w:val="000000" w:themeColor="text1"/>
                <w:sz w:val="18"/>
                <w:szCs w:val="18"/>
              </w:rPr>
              <w:t xml:space="preserve">, </w:t>
            </w:r>
            <w:r w:rsidR="009D6FEB" w:rsidRPr="00F83E26">
              <w:rPr>
                <w:rFonts w:ascii="Arial" w:hAnsi="Arial" w:cs="Arial"/>
                <w:color w:val="000000" w:themeColor="text1"/>
                <w:sz w:val="18"/>
                <w:szCs w:val="18"/>
              </w:rPr>
              <w:t>BMI</w:t>
            </w:r>
            <w:r w:rsidRPr="00F83E26">
              <w:rPr>
                <w:rFonts w:ascii="Arial" w:hAnsi="Arial" w:cs="Arial"/>
                <w:color w:val="000000" w:themeColor="text1"/>
                <w:sz w:val="18"/>
                <w:szCs w:val="18"/>
              </w:rPr>
              <w:t xml:space="preserve">, age, </w:t>
            </w:r>
            <w:proofErr w:type="spellStart"/>
            <w:r w:rsidRPr="00F83E26">
              <w:rPr>
                <w:rFonts w:ascii="Arial" w:hAnsi="Arial" w:cs="Arial"/>
                <w:color w:val="000000" w:themeColor="text1"/>
                <w:sz w:val="18"/>
                <w:szCs w:val="18"/>
              </w:rPr>
              <w:t>ldl</w:t>
            </w:r>
            <w:proofErr w:type="spellEnd"/>
            <w:r w:rsidRPr="00F83E26">
              <w:rPr>
                <w:rFonts w:ascii="Arial" w:hAnsi="Arial" w:cs="Arial"/>
                <w:color w:val="000000" w:themeColor="text1"/>
                <w:sz w:val="18"/>
                <w:szCs w:val="18"/>
              </w:rPr>
              <w:t xml:space="preserve">, HDL/LDL, </w:t>
            </w:r>
            <w:r w:rsidR="009D6FEB" w:rsidRPr="00F83E26">
              <w:rPr>
                <w:rFonts w:ascii="Arial" w:hAnsi="Arial" w:cs="Arial"/>
                <w:color w:val="000000" w:themeColor="text1"/>
                <w:sz w:val="18"/>
                <w:szCs w:val="18"/>
              </w:rPr>
              <w:t>VLDL</w:t>
            </w:r>
          </w:p>
        </w:tc>
      </w:tr>
    </w:tbl>
    <w:p w14:paraId="3B2738D2"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6ABBAEB2" w14:textId="066AF2F2" w:rsidR="006B2DA9" w:rsidRPr="006B2DA9" w:rsidRDefault="001C423E" w:rsidP="006B2DA9">
      <w:pPr>
        <w:autoSpaceDE w:val="0"/>
        <w:autoSpaceDN w:val="0"/>
        <w:adjustRightInd w:val="0"/>
        <w:spacing w:after="0" w:line="400" w:lineRule="atLeast"/>
        <w:rPr>
          <w:rFonts w:ascii="Times New Roman" w:hAnsi="Times New Roman" w:cs="Times New Roman"/>
          <w:sz w:val="24"/>
          <w:szCs w:val="24"/>
        </w:rPr>
      </w:pPr>
      <w:r>
        <w:rPr>
          <w:rStyle w:val="Strong"/>
        </w:rPr>
        <w:t>Table 7b.</w:t>
      </w:r>
      <w:r>
        <w:t xml:space="preserve"> </w:t>
      </w:r>
      <w:r w:rsidRPr="001C423E">
        <w:rPr>
          <w:rStyle w:val="Emphasis"/>
          <w:i w:val="0"/>
          <w:iCs w:val="0"/>
        </w:rPr>
        <w:t>ANOVA for predictors of Castelli’s Risk Index 2</w:t>
      </w:r>
      <w:r>
        <w:rPr>
          <w:rStyle w:val="Emphasis"/>
        </w:rPr>
        <w:t>.</w:t>
      </w:r>
    </w:p>
    <w:tbl>
      <w:tblPr>
        <w:tblW w:w="9382" w:type="dxa"/>
        <w:tblBorders>
          <w:top w:val="single" w:sz="4" w:space="0" w:color="auto"/>
        </w:tblBorders>
        <w:tblLayout w:type="fixed"/>
        <w:tblCellMar>
          <w:left w:w="0" w:type="dxa"/>
          <w:right w:w="0" w:type="dxa"/>
        </w:tblCellMar>
        <w:tblLook w:val="0000" w:firstRow="0" w:lastRow="0" w:firstColumn="0" w:lastColumn="0" w:noHBand="0" w:noVBand="0"/>
      </w:tblPr>
      <w:tblGrid>
        <w:gridCol w:w="862"/>
        <w:gridCol w:w="1513"/>
        <w:gridCol w:w="1729"/>
        <w:gridCol w:w="1206"/>
        <w:gridCol w:w="1657"/>
        <w:gridCol w:w="1206"/>
        <w:gridCol w:w="1209"/>
      </w:tblGrid>
      <w:tr w:rsidR="00E74DAC" w:rsidRPr="00E74DAC" w14:paraId="054EB7CB" w14:textId="77777777" w:rsidTr="00E74DAC">
        <w:trPr>
          <w:cantSplit/>
          <w:trHeight w:val="295"/>
        </w:trPr>
        <w:tc>
          <w:tcPr>
            <w:tcW w:w="2375" w:type="dxa"/>
            <w:gridSpan w:val="2"/>
            <w:shd w:val="clear" w:color="auto" w:fill="auto"/>
            <w:vAlign w:val="bottom"/>
          </w:tcPr>
          <w:p w14:paraId="1723729E"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1729" w:type="dxa"/>
            <w:shd w:val="clear" w:color="auto" w:fill="auto"/>
            <w:vAlign w:val="bottom"/>
          </w:tcPr>
          <w:p w14:paraId="45F0CC26"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Sum of Squares</w:t>
            </w:r>
          </w:p>
        </w:tc>
        <w:tc>
          <w:tcPr>
            <w:tcW w:w="1206" w:type="dxa"/>
            <w:shd w:val="clear" w:color="auto" w:fill="auto"/>
            <w:vAlign w:val="bottom"/>
          </w:tcPr>
          <w:p w14:paraId="41D4A2D9"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df</w:t>
            </w:r>
          </w:p>
        </w:tc>
        <w:tc>
          <w:tcPr>
            <w:tcW w:w="1657" w:type="dxa"/>
            <w:shd w:val="clear" w:color="auto" w:fill="auto"/>
            <w:vAlign w:val="bottom"/>
          </w:tcPr>
          <w:p w14:paraId="15783EE5"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Mean Square</w:t>
            </w:r>
          </w:p>
        </w:tc>
        <w:tc>
          <w:tcPr>
            <w:tcW w:w="1206" w:type="dxa"/>
            <w:shd w:val="clear" w:color="auto" w:fill="auto"/>
            <w:vAlign w:val="bottom"/>
          </w:tcPr>
          <w:p w14:paraId="4111856C"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F</w:t>
            </w:r>
          </w:p>
        </w:tc>
        <w:tc>
          <w:tcPr>
            <w:tcW w:w="1209" w:type="dxa"/>
            <w:shd w:val="clear" w:color="auto" w:fill="auto"/>
            <w:vAlign w:val="bottom"/>
          </w:tcPr>
          <w:p w14:paraId="58385CD8"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Sig.</w:t>
            </w:r>
          </w:p>
        </w:tc>
      </w:tr>
      <w:tr w:rsidR="00E74DAC" w:rsidRPr="00E74DAC" w14:paraId="6A7FF953" w14:textId="77777777" w:rsidTr="00E74DAC">
        <w:trPr>
          <w:cantSplit/>
          <w:trHeight w:val="284"/>
        </w:trPr>
        <w:tc>
          <w:tcPr>
            <w:tcW w:w="862" w:type="dxa"/>
            <w:vMerge w:val="restart"/>
            <w:shd w:val="clear" w:color="auto" w:fill="auto"/>
          </w:tcPr>
          <w:p w14:paraId="37ED9ABF"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513" w:type="dxa"/>
            <w:shd w:val="clear" w:color="auto" w:fill="auto"/>
          </w:tcPr>
          <w:p w14:paraId="31566D7A"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Regression</w:t>
            </w:r>
          </w:p>
        </w:tc>
        <w:tc>
          <w:tcPr>
            <w:tcW w:w="1729" w:type="dxa"/>
            <w:shd w:val="clear" w:color="auto" w:fill="auto"/>
          </w:tcPr>
          <w:p w14:paraId="5BB29DDC" w14:textId="12B836F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7596.2</w:t>
            </w:r>
            <w:r w:rsidR="009D6FEB" w:rsidRPr="00E74DAC">
              <w:rPr>
                <w:rFonts w:ascii="Arial" w:hAnsi="Arial" w:cs="Arial"/>
                <w:color w:val="000000" w:themeColor="text1"/>
                <w:sz w:val="18"/>
                <w:szCs w:val="18"/>
              </w:rPr>
              <w:t>1</w:t>
            </w:r>
          </w:p>
        </w:tc>
        <w:tc>
          <w:tcPr>
            <w:tcW w:w="1206" w:type="dxa"/>
            <w:shd w:val="clear" w:color="auto" w:fill="auto"/>
          </w:tcPr>
          <w:p w14:paraId="6E5EF821"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12</w:t>
            </w:r>
          </w:p>
        </w:tc>
        <w:tc>
          <w:tcPr>
            <w:tcW w:w="1657" w:type="dxa"/>
            <w:shd w:val="clear" w:color="auto" w:fill="auto"/>
          </w:tcPr>
          <w:p w14:paraId="4C6209D1" w14:textId="1FF677D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633.0</w:t>
            </w:r>
            <w:r w:rsidR="009D6FEB" w:rsidRPr="00E74DAC">
              <w:rPr>
                <w:rFonts w:ascii="Arial" w:hAnsi="Arial" w:cs="Arial"/>
                <w:color w:val="000000" w:themeColor="text1"/>
                <w:sz w:val="18"/>
                <w:szCs w:val="18"/>
              </w:rPr>
              <w:t>2</w:t>
            </w:r>
          </w:p>
        </w:tc>
        <w:tc>
          <w:tcPr>
            <w:tcW w:w="1206" w:type="dxa"/>
            <w:shd w:val="clear" w:color="auto" w:fill="auto"/>
          </w:tcPr>
          <w:p w14:paraId="681F6C44" w14:textId="28B38DD2"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138.</w:t>
            </w:r>
            <w:r w:rsidR="009D6FEB" w:rsidRPr="00E74DAC">
              <w:rPr>
                <w:rFonts w:ascii="Arial" w:hAnsi="Arial" w:cs="Arial"/>
                <w:color w:val="000000" w:themeColor="text1"/>
                <w:sz w:val="18"/>
                <w:szCs w:val="18"/>
              </w:rPr>
              <w:t>30</w:t>
            </w:r>
          </w:p>
        </w:tc>
        <w:tc>
          <w:tcPr>
            <w:tcW w:w="1209" w:type="dxa"/>
            <w:shd w:val="clear" w:color="auto" w:fill="auto"/>
          </w:tcPr>
          <w:p w14:paraId="188968A3" w14:textId="4A295B3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w:t>
            </w:r>
            <w:r w:rsidR="006B2DA9" w:rsidRPr="00E74DAC">
              <w:rPr>
                <w:rFonts w:ascii="Arial" w:hAnsi="Arial" w:cs="Arial"/>
                <w:color w:val="000000" w:themeColor="text1"/>
                <w:sz w:val="18"/>
                <w:szCs w:val="18"/>
              </w:rPr>
              <w:t>.000</w:t>
            </w:r>
            <w:r w:rsidRPr="00E74DAC">
              <w:rPr>
                <w:rFonts w:ascii="Arial" w:hAnsi="Arial" w:cs="Arial"/>
                <w:color w:val="000000" w:themeColor="text1"/>
                <w:sz w:val="18"/>
                <w:szCs w:val="18"/>
              </w:rPr>
              <w:t>1</w:t>
            </w:r>
            <w:r w:rsidR="006B2DA9" w:rsidRPr="00E74DAC">
              <w:rPr>
                <w:rFonts w:ascii="Arial" w:hAnsi="Arial" w:cs="Arial"/>
                <w:color w:val="000000" w:themeColor="text1"/>
                <w:sz w:val="18"/>
                <w:szCs w:val="18"/>
                <w:vertAlign w:val="superscript"/>
              </w:rPr>
              <w:t>b</w:t>
            </w:r>
          </w:p>
        </w:tc>
      </w:tr>
      <w:tr w:rsidR="00E74DAC" w:rsidRPr="00E74DAC" w14:paraId="49E9BADC" w14:textId="77777777" w:rsidTr="00E74DAC">
        <w:trPr>
          <w:cantSplit/>
          <w:trHeight w:val="316"/>
        </w:trPr>
        <w:tc>
          <w:tcPr>
            <w:tcW w:w="862" w:type="dxa"/>
            <w:vMerge/>
            <w:shd w:val="clear" w:color="auto" w:fill="auto"/>
          </w:tcPr>
          <w:p w14:paraId="4A8CC343"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513" w:type="dxa"/>
            <w:shd w:val="clear" w:color="auto" w:fill="auto"/>
          </w:tcPr>
          <w:p w14:paraId="152BC094"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Residual</w:t>
            </w:r>
          </w:p>
        </w:tc>
        <w:tc>
          <w:tcPr>
            <w:tcW w:w="1729" w:type="dxa"/>
            <w:shd w:val="clear" w:color="auto" w:fill="auto"/>
          </w:tcPr>
          <w:p w14:paraId="4A879C12" w14:textId="17091BE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2869.9</w:t>
            </w:r>
            <w:r w:rsidR="009D6FEB" w:rsidRPr="00E74DAC">
              <w:rPr>
                <w:rFonts w:ascii="Arial" w:hAnsi="Arial" w:cs="Arial"/>
                <w:color w:val="000000" w:themeColor="text1"/>
                <w:sz w:val="18"/>
                <w:szCs w:val="18"/>
              </w:rPr>
              <w:t>3</w:t>
            </w:r>
          </w:p>
        </w:tc>
        <w:tc>
          <w:tcPr>
            <w:tcW w:w="1206" w:type="dxa"/>
            <w:shd w:val="clear" w:color="auto" w:fill="auto"/>
          </w:tcPr>
          <w:p w14:paraId="4F7B421E"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627</w:t>
            </w:r>
          </w:p>
        </w:tc>
        <w:tc>
          <w:tcPr>
            <w:tcW w:w="1657" w:type="dxa"/>
            <w:shd w:val="clear" w:color="auto" w:fill="auto"/>
          </w:tcPr>
          <w:p w14:paraId="46A46219" w14:textId="0FEA87D0"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4.5</w:t>
            </w:r>
            <w:r w:rsidR="009D6FEB" w:rsidRPr="00E74DAC">
              <w:rPr>
                <w:rFonts w:ascii="Arial" w:hAnsi="Arial" w:cs="Arial"/>
                <w:color w:val="000000" w:themeColor="text1"/>
                <w:sz w:val="18"/>
                <w:szCs w:val="18"/>
              </w:rPr>
              <w:t>8</w:t>
            </w:r>
          </w:p>
        </w:tc>
        <w:tc>
          <w:tcPr>
            <w:tcW w:w="1206" w:type="dxa"/>
            <w:shd w:val="clear" w:color="auto" w:fill="auto"/>
            <w:vAlign w:val="center"/>
          </w:tcPr>
          <w:p w14:paraId="2B5433D2"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09" w:type="dxa"/>
            <w:shd w:val="clear" w:color="auto" w:fill="auto"/>
            <w:vAlign w:val="center"/>
          </w:tcPr>
          <w:p w14:paraId="5854D7DA"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550A5DB5" w14:textId="77777777" w:rsidTr="00E74DAC">
        <w:trPr>
          <w:cantSplit/>
          <w:trHeight w:val="305"/>
        </w:trPr>
        <w:tc>
          <w:tcPr>
            <w:tcW w:w="862" w:type="dxa"/>
            <w:vMerge/>
            <w:tcBorders>
              <w:bottom w:val="single" w:sz="4" w:space="0" w:color="auto"/>
            </w:tcBorders>
            <w:shd w:val="clear" w:color="auto" w:fill="auto"/>
          </w:tcPr>
          <w:p w14:paraId="26B25CA5"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513" w:type="dxa"/>
            <w:tcBorders>
              <w:bottom w:val="single" w:sz="4" w:space="0" w:color="auto"/>
            </w:tcBorders>
            <w:shd w:val="clear" w:color="auto" w:fill="auto"/>
          </w:tcPr>
          <w:p w14:paraId="2398EDCD"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Total</w:t>
            </w:r>
          </w:p>
        </w:tc>
        <w:tc>
          <w:tcPr>
            <w:tcW w:w="1729" w:type="dxa"/>
            <w:tcBorders>
              <w:bottom w:val="single" w:sz="4" w:space="0" w:color="auto"/>
            </w:tcBorders>
            <w:shd w:val="clear" w:color="auto" w:fill="auto"/>
          </w:tcPr>
          <w:p w14:paraId="3CE78C5E" w14:textId="53801B4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10466.13</w:t>
            </w:r>
          </w:p>
        </w:tc>
        <w:tc>
          <w:tcPr>
            <w:tcW w:w="1206" w:type="dxa"/>
            <w:tcBorders>
              <w:bottom w:val="single" w:sz="4" w:space="0" w:color="auto"/>
            </w:tcBorders>
            <w:shd w:val="clear" w:color="auto" w:fill="auto"/>
          </w:tcPr>
          <w:p w14:paraId="1A00C326"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639</w:t>
            </w:r>
          </w:p>
        </w:tc>
        <w:tc>
          <w:tcPr>
            <w:tcW w:w="1657" w:type="dxa"/>
            <w:tcBorders>
              <w:bottom w:val="single" w:sz="4" w:space="0" w:color="auto"/>
            </w:tcBorders>
            <w:shd w:val="clear" w:color="auto" w:fill="auto"/>
            <w:vAlign w:val="center"/>
          </w:tcPr>
          <w:p w14:paraId="2A4B49D8"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06" w:type="dxa"/>
            <w:tcBorders>
              <w:bottom w:val="single" w:sz="4" w:space="0" w:color="auto"/>
            </w:tcBorders>
            <w:shd w:val="clear" w:color="auto" w:fill="auto"/>
            <w:vAlign w:val="center"/>
          </w:tcPr>
          <w:p w14:paraId="255CB06C"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09" w:type="dxa"/>
            <w:tcBorders>
              <w:bottom w:val="single" w:sz="4" w:space="0" w:color="auto"/>
            </w:tcBorders>
            <w:shd w:val="clear" w:color="auto" w:fill="auto"/>
            <w:vAlign w:val="center"/>
          </w:tcPr>
          <w:p w14:paraId="6FE8E79D"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3687D199" w14:textId="77777777" w:rsidTr="00E74DAC">
        <w:trPr>
          <w:cantSplit/>
          <w:trHeight w:val="295"/>
        </w:trPr>
        <w:tc>
          <w:tcPr>
            <w:tcW w:w="9382" w:type="dxa"/>
            <w:gridSpan w:val="7"/>
            <w:tcBorders>
              <w:top w:val="single" w:sz="4" w:space="0" w:color="auto"/>
            </w:tcBorders>
            <w:shd w:val="clear" w:color="auto" w:fill="auto"/>
          </w:tcPr>
          <w:p w14:paraId="09B9C359"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Dependent Variable: Castelli's risk index 2</w:t>
            </w:r>
          </w:p>
        </w:tc>
      </w:tr>
      <w:tr w:rsidR="00E74DAC" w:rsidRPr="00E74DAC" w14:paraId="4B17EA99" w14:textId="77777777" w:rsidTr="00E74DAC">
        <w:trPr>
          <w:cantSplit/>
          <w:trHeight w:val="579"/>
        </w:trPr>
        <w:tc>
          <w:tcPr>
            <w:tcW w:w="9382" w:type="dxa"/>
            <w:gridSpan w:val="7"/>
            <w:shd w:val="clear" w:color="auto" w:fill="auto"/>
          </w:tcPr>
          <w:p w14:paraId="1380B121" w14:textId="1558BE0B"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b. Predictors: (Constant), NON-HDL, TG/CHOL, dm</w:t>
            </w:r>
            <w:r w:rsidR="009D6FEB" w:rsidRPr="00E74DAC">
              <w:rPr>
                <w:rFonts w:ascii="Arial" w:hAnsi="Arial" w:cs="Arial"/>
                <w:color w:val="000000" w:themeColor="text1"/>
                <w:sz w:val="18"/>
                <w:szCs w:val="18"/>
              </w:rPr>
              <w:t xml:space="preserve"> </w:t>
            </w:r>
            <w:r w:rsidRPr="00E74DAC">
              <w:rPr>
                <w:rFonts w:ascii="Arial" w:hAnsi="Arial" w:cs="Arial"/>
                <w:color w:val="000000" w:themeColor="text1"/>
                <w:sz w:val="18"/>
                <w:szCs w:val="18"/>
              </w:rPr>
              <w:t>dur</w:t>
            </w:r>
            <w:r w:rsidR="009D6FEB" w:rsidRPr="00E74DAC">
              <w:rPr>
                <w:rFonts w:ascii="Arial" w:hAnsi="Arial" w:cs="Arial"/>
                <w:color w:val="000000" w:themeColor="text1"/>
                <w:sz w:val="18"/>
                <w:szCs w:val="18"/>
              </w:rPr>
              <w:t>ation</w:t>
            </w:r>
            <w:r w:rsidRPr="00E74DAC">
              <w:rPr>
                <w:rFonts w:ascii="Arial" w:hAnsi="Arial" w:cs="Arial"/>
                <w:color w:val="000000" w:themeColor="text1"/>
                <w:sz w:val="18"/>
                <w:szCs w:val="18"/>
              </w:rPr>
              <w:t xml:space="preserve">, job, sex, </w:t>
            </w:r>
            <w:proofErr w:type="spellStart"/>
            <w:r w:rsidRPr="00E74DAC">
              <w:rPr>
                <w:rFonts w:ascii="Arial" w:hAnsi="Arial" w:cs="Arial"/>
                <w:color w:val="000000" w:themeColor="text1"/>
                <w:sz w:val="18"/>
                <w:szCs w:val="18"/>
              </w:rPr>
              <w:t>hdl</w:t>
            </w:r>
            <w:proofErr w:type="spellEnd"/>
            <w:r w:rsidRPr="00E74DAC">
              <w:rPr>
                <w:rFonts w:ascii="Arial" w:hAnsi="Arial" w:cs="Arial"/>
                <w:color w:val="000000" w:themeColor="text1"/>
                <w:sz w:val="18"/>
                <w:szCs w:val="18"/>
              </w:rPr>
              <w:t xml:space="preserve">, </w:t>
            </w:r>
            <w:r w:rsidR="009D6FEB" w:rsidRPr="00E74DAC">
              <w:rPr>
                <w:rFonts w:ascii="Arial" w:hAnsi="Arial" w:cs="Arial"/>
                <w:color w:val="000000" w:themeColor="text1"/>
                <w:sz w:val="18"/>
                <w:szCs w:val="18"/>
              </w:rPr>
              <w:t>FBG</w:t>
            </w:r>
            <w:r w:rsidRPr="00E74DAC">
              <w:rPr>
                <w:rFonts w:ascii="Arial" w:hAnsi="Arial" w:cs="Arial"/>
                <w:color w:val="000000" w:themeColor="text1"/>
                <w:sz w:val="18"/>
                <w:szCs w:val="18"/>
              </w:rPr>
              <w:t xml:space="preserve">, </w:t>
            </w:r>
            <w:r w:rsidR="009D6FEB" w:rsidRPr="00E74DAC">
              <w:rPr>
                <w:rFonts w:ascii="Arial" w:hAnsi="Arial" w:cs="Arial"/>
                <w:color w:val="000000" w:themeColor="text1"/>
                <w:sz w:val="18"/>
                <w:szCs w:val="18"/>
              </w:rPr>
              <w:t>BMI</w:t>
            </w:r>
            <w:r w:rsidRPr="00E74DAC">
              <w:rPr>
                <w:rFonts w:ascii="Arial" w:hAnsi="Arial" w:cs="Arial"/>
                <w:color w:val="000000" w:themeColor="text1"/>
                <w:sz w:val="18"/>
                <w:szCs w:val="18"/>
              </w:rPr>
              <w:t xml:space="preserve">, age, </w:t>
            </w:r>
            <w:proofErr w:type="spellStart"/>
            <w:r w:rsidRPr="00E74DAC">
              <w:rPr>
                <w:rFonts w:ascii="Arial" w:hAnsi="Arial" w:cs="Arial"/>
                <w:color w:val="000000" w:themeColor="text1"/>
                <w:sz w:val="18"/>
                <w:szCs w:val="18"/>
              </w:rPr>
              <w:t>ldl</w:t>
            </w:r>
            <w:proofErr w:type="spellEnd"/>
            <w:r w:rsidRPr="00E74DAC">
              <w:rPr>
                <w:rFonts w:ascii="Arial" w:hAnsi="Arial" w:cs="Arial"/>
                <w:color w:val="000000" w:themeColor="text1"/>
                <w:sz w:val="18"/>
                <w:szCs w:val="18"/>
              </w:rPr>
              <w:t xml:space="preserve">, HDL/LDL, </w:t>
            </w:r>
            <w:r w:rsidR="009D6FEB" w:rsidRPr="00E74DAC">
              <w:rPr>
                <w:rFonts w:ascii="Arial" w:hAnsi="Arial" w:cs="Arial"/>
                <w:color w:val="000000" w:themeColor="text1"/>
                <w:sz w:val="18"/>
                <w:szCs w:val="18"/>
              </w:rPr>
              <w:t>VLDL</w:t>
            </w:r>
          </w:p>
        </w:tc>
      </w:tr>
    </w:tbl>
    <w:p w14:paraId="788B58C9" w14:textId="66E299DD"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E3590F3" w14:textId="66C08223" w:rsidR="001C423E" w:rsidRPr="006B2DA9" w:rsidRDefault="001C423E" w:rsidP="006B2DA9">
      <w:pPr>
        <w:autoSpaceDE w:val="0"/>
        <w:autoSpaceDN w:val="0"/>
        <w:adjustRightInd w:val="0"/>
        <w:spacing w:after="0" w:line="400" w:lineRule="atLeast"/>
        <w:rPr>
          <w:rFonts w:ascii="Times New Roman" w:hAnsi="Times New Roman" w:cs="Times New Roman"/>
          <w:sz w:val="24"/>
          <w:szCs w:val="24"/>
        </w:rPr>
      </w:pPr>
      <w:r>
        <w:rPr>
          <w:rStyle w:val="Strong"/>
        </w:rPr>
        <w:t>Table 7c.</w:t>
      </w:r>
      <w:r>
        <w:t xml:space="preserve"> </w:t>
      </w:r>
      <w:r>
        <w:rPr>
          <w:rStyle w:val="Emphasis"/>
        </w:rPr>
        <w:t>Regression coefficients for Castelli’s Risk Index 2.</w:t>
      </w:r>
    </w:p>
    <w:tbl>
      <w:tblPr>
        <w:tblW w:w="8132"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E74DAC" w:rsidRPr="00E74DAC" w14:paraId="534CD106" w14:textId="77777777" w:rsidTr="00E74DAC">
        <w:trPr>
          <w:cantSplit/>
        </w:trPr>
        <w:tc>
          <w:tcPr>
            <w:tcW w:w="1920" w:type="dxa"/>
            <w:gridSpan w:val="2"/>
            <w:vMerge w:val="restart"/>
            <w:shd w:val="clear" w:color="auto" w:fill="auto"/>
            <w:vAlign w:val="bottom"/>
          </w:tcPr>
          <w:p w14:paraId="4A8A3FDE"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2676" w:type="dxa"/>
            <w:gridSpan w:val="2"/>
            <w:shd w:val="clear" w:color="auto" w:fill="auto"/>
            <w:vAlign w:val="bottom"/>
          </w:tcPr>
          <w:p w14:paraId="34C0FF8A"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Unstandardized Coefficients</w:t>
            </w:r>
          </w:p>
        </w:tc>
        <w:tc>
          <w:tcPr>
            <w:tcW w:w="1476" w:type="dxa"/>
            <w:shd w:val="clear" w:color="auto" w:fill="auto"/>
            <w:vAlign w:val="bottom"/>
          </w:tcPr>
          <w:p w14:paraId="6B182D71"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Standardized Coefficients</w:t>
            </w:r>
          </w:p>
        </w:tc>
        <w:tc>
          <w:tcPr>
            <w:tcW w:w="1030" w:type="dxa"/>
            <w:vMerge w:val="restart"/>
            <w:shd w:val="clear" w:color="auto" w:fill="auto"/>
            <w:vAlign w:val="bottom"/>
          </w:tcPr>
          <w:p w14:paraId="19943FDD" w14:textId="56046431" w:rsidR="006B2DA9" w:rsidRPr="00E74DAC" w:rsidRDefault="009D6FEB"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t</w:t>
            </w:r>
          </w:p>
        </w:tc>
        <w:tc>
          <w:tcPr>
            <w:tcW w:w="1030" w:type="dxa"/>
            <w:vMerge w:val="restart"/>
            <w:shd w:val="clear" w:color="auto" w:fill="auto"/>
            <w:vAlign w:val="bottom"/>
          </w:tcPr>
          <w:p w14:paraId="6762C5D8"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Sig.</w:t>
            </w:r>
          </w:p>
        </w:tc>
      </w:tr>
      <w:tr w:rsidR="00E74DAC" w:rsidRPr="00E74DAC" w14:paraId="632D84D6" w14:textId="77777777" w:rsidTr="00E74DAC">
        <w:trPr>
          <w:cantSplit/>
        </w:trPr>
        <w:tc>
          <w:tcPr>
            <w:tcW w:w="1920" w:type="dxa"/>
            <w:gridSpan w:val="2"/>
            <w:vMerge/>
            <w:tcBorders>
              <w:bottom w:val="single" w:sz="4" w:space="0" w:color="auto"/>
            </w:tcBorders>
            <w:shd w:val="clear" w:color="auto" w:fill="auto"/>
            <w:vAlign w:val="bottom"/>
          </w:tcPr>
          <w:p w14:paraId="44FBC00D"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338" w:type="dxa"/>
            <w:tcBorders>
              <w:bottom w:val="single" w:sz="4" w:space="0" w:color="auto"/>
            </w:tcBorders>
            <w:shd w:val="clear" w:color="auto" w:fill="auto"/>
            <w:vAlign w:val="bottom"/>
          </w:tcPr>
          <w:p w14:paraId="090389A5"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w:t>
            </w:r>
          </w:p>
        </w:tc>
        <w:tc>
          <w:tcPr>
            <w:tcW w:w="1338" w:type="dxa"/>
            <w:tcBorders>
              <w:bottom w:val="single" w:sz="4" w:space="0" w:color="auto"/>
            </w:tcBorders>
            <w:shd w:val="clear" w:color="auto" w:fill="auto"/>
            <w:vAlign w:val="bottom"/>
          </w:tcPr>
          <w:p w14:paraId="67C42707"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Std. Error</w:t>
            </w:r>
          </w:p>
        </w:tc>
        <w:tc>
          <w:tcPr>
            <w:tcW w:w="1476" w:type="dxa"/>
            <w:tcBorders>
              <w:bottom w:val="single" w:sz="4" w:space="0" w:color="auto"/>
            </w:tcBorders>
            <w:shd w:val="clear" w:color="auto" w:fill="auto"/>
            <w:vAlign w:val="bottom"/>
          </w:tcPr>
          <w:p w14:paraId="6B1A1833"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Beta</w:t>
            </w:r>
          </w:p>
        </w:tc>
        <w:tc>
          <w:tcPr>
            <w:tcW w:w="1030" w:type="dxa"/>
            <w:vMerge/>
            <w:tcBorders>
              <w:bottom w:val="single" w:sz="4" w:space="0" w:color="auto"/>
            </w:tcBorders>
            <w:shd w:val="clear" w:color="auto" w:fill="auto"/>
            <w:vAlign w:val="bottom"/>
          </w:tcPr>
          <w:p w14:paraId="631F4281"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030" w:type="dxa"/>
            <w:vMerge/>
            <w:tcBorders>
              <w:bottom w:val="single" w:sz="4" w:space="0" w:color="auto"/>
            </w:tcBorders>
            <w:shd w:val="clear" w:color="auto" w:fill="auto"/>
            <w:vAlign w:val="bottom"/>
          </w:tcPr>
          <w:p w14:paraId="414730F2"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r>
      <w:tr w:rsidR="00E74DAC" w:rsidRPr="00E74DAC" w14:paraId="1135F0DD" w14:textId="77777777" w:rsidTr="00E74DAC">
        <w:trPr>
          <w:cantSplit/>
        </w:trPr>
        <w:tc>
          <w:tcPr>
            <w:tcW w:w="736" w:type="dxa"/>
            <w:vMerge w:val="restart"/>
            <w:tcBorders>
              <w:top w:val="single" w:sz="4" w:space="0" w:color="auto"/>
            </w:tcBorders>
            <w:shd w:val="clear" w:color="auto" w:fill="auto"/>
          </w:tcPr>
          <w:p w14:paraId="644DE62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184" w:type="dxa"/>
            <w:tcBorders>
              <w:top w:val="single" w:sz="4" w:space="0" w:color="auto"/>
            </w:tcBorders>
            <w:shd w:val="clear" w:color="auto" w:fill="auto"/>
          </w:tcPr>
          <w:p w14:paraId="1B841D6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(Constant)</w:t>
            </w:r>
          </w:p>
        </w:tc>
        <w:tc>
          <w:tcPr>
            <w:tcW w:w="1338" w:type="dxa"/>
            <w:tcBorders>
              <w:top w:val="single" w:sz="4" w:space="0" w:color="auto"/>
            </w:tcBorders>
            <w:shd w:val="clear" w:color="auto" w:fill="auto"/>
          </w:tcPr>
          <w:p w14:paraId="3669803E" w14:textId="25C7C86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6.5</w:t>
            </w:r>
            <w:r w:rsidR="009D6FEB" w:rsidRPr="00E74DAC">
              <w:rPr>
                <w:rFonts w:ascii="Arial" w:hAnsi="Arial" w:cs="Arial"/>
                <w:color w:val="000000" w:themeColor="text1"/>
                <w:sz w:val="18"/>
                <w:szCs w:val="18"/>
              </w:rPr>
              <w:t>9</w:t>
            </w:r>
          </w:p>
        </w:tc>
        <w:tc>
          <w:tcPr>
            <w:tcW w:w="1338" w:type="dxa"/>
            <w:tcBorders>
              <w:top w:val="single" w:sz="4" w:space="0" w:color="auto"/>
            </w:tcBorders>
            <w:shd w:val="clear" w:color="auto" w:fill="auto"/>
          </w:tcPr>
          <w:p w14:paraId="0869935C" w14:textId="7BE0186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1.6</w:t>
            </w:r>
            <w:r w:rsidR="009D6FEB" w:rsidRPr="00E74DAC">
              <w:rPr>
                <w:rFonts w:ascii="Arial" w:hAnsi="Arial" w:cs="Arial"/>
                <w:color w:val="000000" w:themeColor="text1"/>
                <w:sz w:val="18"/>
                <w:szCs w:val="18"/>
              </w:rPr>
              <w:t>9</w:t>
            </w:r>
          </w:p>
        </w:tc>
        <w:tc>
          <w:tcPr>
            <w:tcW w:w="1476" w:type="dxa"/>
            <w:tcBorders>
              <w:top w:val="single" w:sz="4" w:space="0" w:color="auto"/>
            </w:tcBorders>
            <w:shd w:val="clear" w:color="auto" w:fill="auto"/>
            <w:vAlign w:val="center"/>
          </w:tcPr>
          <w:p w14:paraId="5546D2D0"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top w:val="single" w:sz="4" w:space="0" w:color="auto"/>
            </w:tcBorders>
            <w:shd w:val="clear" w:color="auto" w:fill="auto"/>
          </w:tcPr>
          <w:p w14:paraId="19125DB7" w14:textId="61D0AAE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3.90</w:t>
            </w:r>
          </w:p>
        </w:tc>
        <w:tc>
          <w:tcPr>
            <w:tcW w:w="1030" w:type="dxa"/>
            <w:tcBorders>
              <w:top w:val="single" w:sz="4" w:space="0" w:color="auto"/>
            </w:tcBorders>
            <w:shd w:val="clear" w:color="auto" w:fill="auto"/>
          </w:tcPr>
          <w:p w14:paraId="70A1FB63" w14:textId="38A5A210"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w:t>
            </w:r>
            <w:r w:rsidR="006B2DA9" w:rsidRPr="00E74DAC">
              <w:rPr>
                <w:rFonts w:ascii="Arial" w:hAnsi="Arial" w:cs="Arial"/>
                <w:color w:val="000000" w:themeColor="text1"/>
                <w:sz w:val="18"/>
                <w:szCs w:val="18"/>
              </w:rPr>
              <w:t>.000</w:t>
            </w:r>
            <w:r w:rsidRPr="00E74DAC">
              <w:rPr>
                <w:rFonts w:ascii="Arial" w:hAnsi="Arial" w:cs="Arial"/>
                <w:color w:val="000000" w:themeColor="text1"/>
                <w:sz w:val="18"/>
                <w:szCs w:val="18"/>
              </w:rPr>
              <w:t>1</w:t>
            </w:r>
          </w:p>
        </w:tc>
      </w:tr>
      <w:tr w:rsidR="00E74DAC" w:rsidRPr="00E74DAC" w14:paraId="0BFC0942" w14:textId="77777777" w:rsidTr="00E74DAC">
        <w:trPr>
          <w:cantSplit/>
        </w:trPr>
        <w:tc>
          <w:tcPr>
            <w:tcW w:w="736" w:type="dxa"/>
            <w:vMerge/>
            <w:shd w:val="clear" w:color="auto" w:fill="auto"/>
          </w:tcPr>
          <w:p w14:paraId="5D661757"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09A4244"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sex</w:t>
            </w:r>
          </w:p>
        </w:tc>
        <w:tc>
          <w:tcPr>
            <w:tcW w:w="1338" w:type="dxa"/>
            <w:shd w:val="clear" w:color="auto" w:fill="auto"/>
          </w:tcPr>
          <w:p w14:paraId="28ED067E" w14:textId="7C60919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.35</w:t>
            </w:r>
          </w:p>
        </w:tc>
        <w:tc>
          <w:tcPr>
            <w:tcW w:w="1338" w:type="dxa"/>
            <w:shd w:val="clear" w:color="auto" w:fill="auto"/>
          </w:tcPr>
          <w:p w14:paraId="281ED6CF" w14:textId="5F14D319"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.20</w:t>
            </w:r>
          </w:p>
        </w:tc>
        <w:tc>
          <w:tcPr>
            <w:tcW w:w="1476" w:type="dxa"/>
            <w:shd w:val="clear" w:color="auto" w:fill="auto"/>
          </w:tcPr>
          <w:p w14:paraId="42237E2B" w14:textId="01848AB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.04</w:t>
            </w:r>
          </w:p>
        </w:tc>
        <w:tc>
          <w:tcPr>
            <w:tcW w:w="1030" w:type="dxa"/>
            <w:shd w:val="clear" w:color="auto" w:fill="auto"/>
          </w:tcPr>
          <w:p w14:paraId="66AC0F96" w14:textId="7AA07C16"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1.7</w:t>
            </w:r>
            <w:r w:rsidR="009D6FEB" w:rsidRPr="00E74DAC">
              <w:rPr>
                <w:rFonts w:ascii="Arial" w:hAnsi="Arial" w:cs="Arial"/>
                <w:color w:val="000000" w:themeColor="text1"/>
                <w:sz w:val="18"/>
                <w:szCs w:val="18"/>
              </w:rPr>
              <w:t>2</w:t>
            </w:r>
          </w:p>
        </w:tc>
        <w:tc>
          <w:tcPr>
            <w:tcW w:w="1030" w:type="dxa"/>
            <w:shd w:val="clear" w:color="auto" w:fill="auto"/>
          </w:tcPr>
          <w:p w14:paraId="71DED0C5" w14:textId="5463D73D"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9</w:t>
            </w:r>
          </w:p>
        </w:tc>
      </w:tr>
      <w:tr w:rsidR="00E74DAC" w:rsidRPr="00E74DAC" w14:paraId="63B9368A" w14:textId="77777777" w:rsidTr="00E74DAC">
        <w:trPr>
          <w:cantSplit/>
        </w:trPr>
        <w:tc>
          <w:tcPr>
            <w:tcW w:w="736" w:type="dxa"/>
            <w:vMerge/>
            <w:shd w:val="clear" w:color="auto" w:fill="auto"/>
          </w:tcPr>
          <w:p w14:paraId="5EFBEDD6"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1E001D0"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age</w:t>
            </w:r>
          </w:p>
        </w:tc>
        <w:tc>
          <w:tcPr>
            <w:tcW w:w="1338" w:type="dxa"/>
            <w:shd w:val="clear" w:color="auto" w:fill="auto"/>
          </w:tcPr>
          <w:p w14:paraId="09B23E97" w14:textId="1FBEADE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.04</w:t>
            </w:r>
          </w:p>
        </w:tc>
        <w:tc>
          <w:tcPr>
            <w:tcW w:w="1338" w:type="dxa"/>
            <w:shd w:val="clear" w:color="auto" w:fill="auto"/>
          </w:tcPr>
          <w:p w14:paraId="1617D8EA" w14:textId="3CF3626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w:t>
            </w:r>
          </w:p>
        </w:tc>
        <w:tc>
          <w:tcPr>
            <w:tcW w:w="1476" w:type="dxa"/>
            <w:shd w:val="clear" w:color="auto" w:fill="auto"/>
          </w:tcPr>
          <w:p w14:paraId="2BE93A01" w14:textId="54CB2D74"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.08</w:t>
            </w:r>
          </w:p>
        </w:tc>
        <w:tc>
          <w:tcPr>
            <w:tcW w:w="1030" w:type="dxa"/>
            <w:shd w:val="clear" w:color="auto" w:fill="auto"/>
          </w:tcPr>
          <w:p w14:paraId="2D62FB03" w14:textId="79C5568B"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2.91</w:t>
            </w:r>
          </w:p>
        </w:tc>
        <w:tc>
          <w:tcPr>
            <w:tcW w:w="1030" w:type="dxa"/>
            <w:shd w:val="clear" w:color="auto" w:fill="auto"/>
          </w:tcPr>
          <w:p w14:paraId="49447E97" w14:textId="51C18395"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.004</w:t>
            </w:r>
          </w:p>
        </w:tc>
      </w:tr>
      <w:tr w:rsidR="00E74DAC" w:rsidRPr="00E74DAC" w14:paraId="26E3E666" w14:textId="77777777" w:rsidTr="00E74DAC">
        <w:trPr>
          <w:cantSplit/>
        </w:trPr>
        <w:tc>
          <w:tcPr>
            <w:tcW w:w="736" w:type="dxa"/>
            <w:vMerge/>
            <w:shd w:val="clear" w:color="auto" w:fill="auto"/>
          </w:tcPr>
          <w:p w14:paraId="536E3FD2"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7934683" w14:textId="557E4956"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D</w:t>
            </w:r>
            <w:r w:rsidR="006B2DA9" w:rsidRPr="00E74DAC">
              <w:rPr>
                <w:rFonts w:ascii="Arial" w:hAnsi="Arial" w:cs="Arial"/>
                <w:color w:val="000000" w:themeColor="text1"/>
                <w:sz w:val="18"/>
                <w:szCs w:val="18"/>
              </w:rPr>
              <w:t>m</w:t>
            </w:r>
            <w:r w:rsidRPr="00E74DAC">
              <w:rPr>
                <w:rFonts w:ascii="Arial" w:hAnsi="Arial" w:cs="Arial"/>
                <w:color w:val="000000" w:themeColor="text1"/>
                <w:sz w:val="18"/>
                <w:szCs w:val="18"/>
              </w:rPr>
              <w:t xml:space="preserve"> </w:t>
            </w:r>
            <w:r w:rsidR="006B2DA9" w:rsidRPr="00E74DAC">
              <w:rPr>
                <w:rFonts w:ascii="Arial" w:hAnsi="Arial" w:cs="Arial"/>
                <w:color w:val="000000" w:themeColor="text1"/>
                <w:sz w:val="18"/>
                <w:szCs w:val="18"/>
              </w:rPr>
              <w:t>dur</w:t>
            </w:r>
            <w:r w:rsidRPr="00E74DAC">
              <w:rPr>
                <w:rFonts w:ascii="Arial" w:hAnsi="Arial" w:cs="Arial"/>
                <w:color w:val="000000" w:themeColor="text1"/>
                <w:sz w:val="18"/>
                <w:szCs w:val="18"/>
              </w:rPr>
              <w:t>ation</w:t>
            </w:r>
          </w:p>
        </w:tc>
        <w:tc>
          <w:tcPr>
            <w:tcW w:w="1338" w:type="dxa"/>
            <w:shd w:val="clear" w:color="auto" w:fill="auto"/>
          </w:tcPr>
          <w:p w14:paraId="7804E6A7" w14:textId="030F012B"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2</w:t>
            </w:r>
          </w:p>
        </w:tc>
        <w:tc>
          <w:tcPr>
            <w:tcW w:w="1338" w:type="dxa"/>
            <w:shd w:val="clear" w:color="auto" w:fill="auto"/>
          </w:tcPr>
          <w:p w14:paraId="6F11976A" w14:textId="601256EA"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w:t>
            </w:r>
          </w:p>
        </w:tc>
        <w:tc>
          <w:tcPr>
            <w:tcW w:w="1476" w:type="dxa"/>
            <w:shd w:val="clear" w:color="auto" w:fill="auto"/>
          </w:tcPr>
          <w:p w14:paraId="10EABC5D" w14:textId="5A3B66E4"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3</w:t>
            </w:r>
          </w:p>
        </w:tc>
        <w:tc>
          <w:tcPr>
            <w:tcW w:w="1030" w:type="dxa"/>
            <w:shd w:val="clear" w:color="auto" w:fill="auto"/>
          </w:tcPr>
          <w:p w14:paraId="18490332" w14:textId="12DF69E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1.1</w:t>
            </w:r>
            <w:r w:rsidR="009D6FEB" w:rsidRPr="00E74DAC">
              <w:rPr>
                <w:rFonts w:ascii="Arial" w:hAnsi="Arial" w:cs="Arial"/>
                <w:color w:val="000000" w:themeColor="text1"/>
                <w:sz w:val="18"/>
                <w:szCs w:val="18"/>
              </w:rPr>
              <w:t>5</w:t>
            </w:r>
          </w:p>
        </w:tc>
        <w:tc>
          <w:tcPr>
            <w:tcW w:w="1030" w:type="dxa"/>
            <w:shd w:val="clear" w:color="auto" w:fill="auto"/>
          </w:tcPr>
          <w:p w14:paraId="440C4C9C" w14:textId="15452D28"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.25</w:t>
            </w:r>
          </w:p>
        </w:tc>
      </w:tr>
      <w:tr w:rsidR="00E74DAC" w:rsidRPr="00E74DAC" w14:paraId="366870FA" w14:textId="77777777" w:rsidTr="00E74DAC">
        <w:trPr>
          <w:cantSplit/>
        </w:trPr>
        <w:tc>
          <w:tcPr>
            <w:tcW w:w="736" w:type="dxa"/>
            <w:vMerge/>
            <w:shd w:val="clear" w:color="auto" w:fill="auto"/>
          </w:tcPr>
          <w:p w14:paraId="100A95D9"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123618E" w14:textId="19362949"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J</w:t>
            </w:r>
            <w:r w:rsidR="006B2DA9" w:rsidRPr="00E74DAC">
              <w:rPr>
                <w:rFonts w:ascii="Arial" w:hAnsi="Arial" w:cs="Arial"/>
                <w:color w:val="000000" w:themeColor="text1"/>
                <w:sz w:val="18"/>
                <w:szCs w:val="18"/>
              </w:rPr>
              <w:t>ob</w:t>
            </w:r>
          </w:p>
        </w:tc>
        <w:tc>
          <w:tcPr>
            <w:tcW w:w="1338" w:type="dxa"/>
            <w:shd w:val="clear" w:color="auto" w:fill="auto"/>
          </w:tcPr>
          <w:p w14:paraId="45622F25" w14:textId="71AC7309"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.21</w:t>
            </w:r>
          </w:p>
        </w:tc>
        <w:tc>
          <w:tcPr>
            <w:tcW w:w="1338" w:type="dxa"/>
            <w:shd w:val="clear" w:color="auto" w:fill="auto"/>
          </w:tcPr>
          <w:p w14:paraId="62B77EE0" w14:textId="3A9D3EE0"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.07</w:t>
            </w:r>
          </w:p>
        </w:tc>
        <w:tc>
          <w:tcPr>
            <w:tcW w:w="1476" w:type="dxa"/>
            <w:shd w:val="clear" w:color="auto" w:fill="auto"/>
          </w:tcPr>
          <w:p w14:paraId="348B33EA" w14:textId="33E72CBE"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.07</w:t>
            </w:r>
          </w:p>
        </w:tc>
        <w:tc>
          <w:tcPr>
            <w:tcW w:w="1030" w:type="dxa"/>
            <w:shd w:val="clear" w:color="auto" w:fill="auto"/>
          </w:tcPr>
          <w:p w14:paraId="5B5357FF" w14:textId="1FEDA57F"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2.93</w:t>
            </w:r>
          </w:p>
        </w:tc>
        <w:tc>
          <w:tcPr>
            <w:tcW w:w="1030" w:type="dxa"/>
            <w:shd w:val="clear" w:color="auto" w:fill="auto"/>
          </w:tcPr>
          <w:p w14:paraId="2763B020" w14:textId="7DFA50FC"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.003</w:t>
            </w:r>
          </w:p>
        </w:tc>
      </w:tr>
      <w:tr w:rsidR="00E74DAC" w:rsidRPr="00E74DAC" w14:paraId="6A9304B8" w14:textId="77777777" w:rsidTr="00E74DAC">
        <w:trPr>
          <w:cantSplit/>
        </w:trPr>
        <w:tc>
          <w:tcPr>
            <w:tcW w:w="736" w:type="dxa"/>
            <w:vMerge/>
            <w:shd w:val="clear" w:color="auto" w:fill="auto"/>
          </w:tcPr>
          <w:p w14:paraId="5FC2E6E2"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320518E" w14:textId="10BD5EDC"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B</w:t>
            </w:r>
            <w:r w:rsidR="00E74DAC">
              <w:rPr>
                <w:rFonts w:ascii="Arial" w:hAnsi="Arial" w:cs="Arial"/>
                <w:color w:val="000000" w:themeColor="text1"/>
                <w:sz w:val="18"/>
                <w:szCs w:val="18"/>
              </w:rPr>
              <w:t>MI</w:t>
            </w:r>
          </w:p>
        </w:tc>
        <w:tc>
          <w:tcPr>
            <w:tcW w:w="1338" w:type="dxa"/>
            <w:shd w:val="clear" w:color="auto" w:fill="auto"/>
          </w:tcPr>
          <w:p w14:paraId="19E58C2E" w14:textId="2751CDB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w:t>
            </w:r>
            <w:r w:rsidR="009D6FEB" w:rsidRPr="00E74DAC">
              <w:rPr>
                <w:rFonts w:ascii="Arial" w:hAnsi="Arial" w:cs="Arial"/>
                <w:color w:val="000000" w:themeColor="text1"/>
                <w:sz w:val="18"/>
                <w:szCs w:val="18"/>
              </w:rPr>
              <w:t>6</w:t>
            </w:r>
          </w:p>
        </w:tc>
        <w:tc>
          <w:tcPr>
            <w:tcW w:w="1338" w:type="dxa"/>
            <w:shd w:val="clear" w:color="auto" w:fill="auto"/>
          </w:tcPr>
          <w:p w14:paraId="163F8127" w14:textId="3D81F87C"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w:t>
            </w:r>
          </w:p>
        </w:tc>
        <w:tc>
          <w:tcPr>
            <w:tcW w:w="1476" w:type="dxa"/>
            <w:shd w:val="clear" w:color="auto" w:fill="auto"/>
          </w:tcPr>
          <w:p w14:paraId="1D4A70BD" w14:textId="46AC4EC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.05</w:t>
            </w:r>
          </w:p>
        </w:tc>
        <w:tc>
          <w:tcPr>
            <w:tcW w:w="1030" w:type="dxa"/>
            <w:shd w:val="clear" w:color="auto" w:fill="auto"/>
          </w:tcPr>
          <w:p w14:paraId="4BD3C5A5" w14:textId="7AF2BAE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2.28</w:t>
            </w:r>
          </w:p>
        </w:tc>
        <w:tc>
          <w:tcPr>
            <w:tcW w:w="1030" w:type="dxa"/>
            <w:shd w:val="clear" w:color="auto" w:fill="auto"/>
          </w:tcPr>
          <w:p w14:paraId="1652339E" w14:textId="19E223E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w:t>
            </w:r>
          </w:p>
        </w:tc>
      </w:tr>
      <w:tr w:rsidR="00E74DAC" w:rsidRPr="00E74DAC" w14:paraId="48A93077" w14:textId="77777777" w:rsidTr="00E74DAC">
        <w:trPr>
          <w:cantSplit/>
        </w:trPr>
        <w:tc>
          <w:tcPr>
            <w:tcW w:w="736" w:type="dxa"/>
            <w:vMerge/>
            <w:shd w:val="clear" w:color="auto" w:fill="auto"/>
          </w:tcPr>
          <w:p w14:paraId="2528FC42"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0623BA8" w14:textId="1EBAC2A6"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F</w:t>
            </w:r>
            <w:r w:rsidR="006B2DA9" w:rsidRPr="00E74DAC">
              <w:rPr>
                <w:rFonts w:ascii="Arial" w:hAnsi="Arial" w:cs="Arial"/>
                <w:color w:val="000000" w:themeColor="text1"/>
                <w:sz w:val="18"/>
                <w:szCs w:val="18"/>
              </w:rPr>
              <w:t>bg</w:t>
            </w:r>
            <w:proofErr w:type="spellEnd"/>
          </w:p>
        </w:tc>
        <w:tc>
          <w:tcPr>
            <w:tcW w:w="1338" w:type="dxa"/>
            <w:shd w:val="clear" w:color="auto" w:fill="auto"/>
          </w:tcPr>
          <w:p w14:paraId="4397610A" w14:textId="084D573F"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.06</w:t>
            </w:r>
          </w:p>
        </w:tc>
        <w:tc>
          <w:tcPr>
            <w:tcW w:w="1338" w:type="dxa"/>
            <w:shd w:val="clear" w:color="auto" w:fill="auto"/>
          </w:tcPr>
          <w:p w14:paraId="2172A1A3" w14:textId="32694D58"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3</w:t>
            </w:r>
          </w:p>
        </w:tc>
        <w:tc>
          <w:tcPr>
            <w:tcW w:w="1476" w:type="dxa"/>
            <w:shd w:val="clear" w:color="auto" w:fill="auto"/>
          </w:tcPr>
          <w:p w14:paraId="45AFBE5C" w14:textId="2E021DB7"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6</w:t>
            </w:r>
          </w:p>
        </w:tc>
        <w:tc>
          <w:tcPr>
            <w:tcW w:w="1030" w:type="dxa"/>
            <w:shd w:val="clear" w:color="auto" w:fill="auto"/>
          </w:tcPr>
          <w:p w14:paraId="0226A897" w14:textId="4CF9DC0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2.35</w:t>
            </w:r>
          </w:p>
        </w:tc>
        <w:tc>
          <w:tcPr>
            <w:tcW w:w="1030" w:type="dxa"/>
            <w:shd w:val="clear" w:color="auto" w:fill="auto"/>
          </w:tcPr>
          <w:p w14:paraId="201E622E" w14:textId="61CF05F5"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2</w:t>
            </w:r>
          </w:p>
        </w:tc>
      </w:tr>
      <w:tr w:rsidR="00E74DAC" w:rsidRPr="00E74DAC" w14:paraId="6104D7ED" w14:textId="77777777" w:rsidTr="00E74DAC">
        <w:trPr>
          <w:cantSplit/>
        </w:trPr>
        <w:tc>
          <w:tcPr>
            <w:tcW w:w="736" w:type="dxa"/>
            <w:vMerge/>
            <w:shd w:val="clear" w:color="auto" w:fill="auto"/>
          </w:tcPr>
          <w:p w14:paraId="1DB52717" w14:textId="77777777" w:rsidR="009D6FEB" w:rsidRPr="00E74DAC" w:rsidRDefault="009D6FEB" w:rsidP="009D6FEB">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9A9595F" w14:textId="4CB5F55C" w:rsidR="009D6FEB" w:rsidRPr="00E74DAC" w:rsidRDefault="009D6FEB" w:rsidP="009D6FEB">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Hdl</w:t>
            </w:r>
            <w:proofErr w:type="spellEnd"/>
          </w:p>
        </w:tc>
        <w:tc>
          <w:tcPr>
            <w:tcW w:w="1338" w:type="dxa"/>
            <w:shd w:val="clear" w:color="auto" w:fill="auto"/>
          </w:tcPr>
          <w:p w14:paraId="00D67E50" w14:textId="60B0DE8F"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-15.95</w:t>
            </w:r>
          </w:p>
        </w:tc>
        <w:tc>
          <w:tcPr>
            <w:tcW w:w="1338" w:type="dxa"/>
            <w:shd w:val="clear" w:color="auto" w:fill="auto"/>
          </w:tcPr>
          <w:p w14:paraId="3FB86CA6" w14:textId="0CC8F865"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0.87</w:t>
            </w:r>
          </w:p>
        </w:tc>
        <w:tc>
          <w:tcPr>
            <w:tcW w:w="1476" w:type="dxa"/>
            <w:shd w:val="clear" w:color="auto" w:fill="auto"/>
          </w:tcPr>
          <w:p w14:paraId="212CEEE1" w14:textId="2C768BAD"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-1.17</w:t>
            </w:r>
          </w:p>
        </w:tc>
        <w:tc>
          <w:tcPr>
            <w:tcW w:w="1030" w:type="dxa"/>
            <w:shd w:val="clear" w:color="auto" w:fill="auto"/>
          </w:tcPr>
          <w:p w14:paraId="53D4F31F" w14:textId="2879FE56"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18.28</w:t>
            </w:r>
          </w:p>
        </w:tc>
        <w:tc>
          <w:tcPr>
            <w:tcW w:w="1030" w:type="dxa"/>
            <w:shd w:val="clear" w:color="auto" w:fill="auto"/>
          </w:tcPr>
          <w:p w14:paraId="2B7FCDBF" w14:textId="7CCAE2D1"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7352F7EF" w14:textId="77777777" w:rsidTr="00E74DAC">
        <w:trPr>
          <w:cantSplit/>
        </w:trPr>
        <w:tc>
          <w:tcPr>
            <w:tcW w:w="736" w:type="dxa"/>
            <w:vMerge/>
            <w:shd w:val="clear" w:color="auto" w:fill="auto"/>
          </w:tcPr>
          <w:p w14:paraId="11DC7A24" w14:textId="77777777" w:rsidR="009D6FEB" w:rsidRPr="00E74DAC" w:rsidRDefault="009D6FEB" w:rsidP="009D6FEB">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2465ECA" w14:textId="45F35626" w:rsidR="009D6FEB" w:rsidRPr="00E74DAC" w:rsidRDefault="009D6FEB" w:rsidP="009D6FEB">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Ldl</w:t>
            </w:r>
            <w:proofErr w:type="spellEnd"/>
          </w:p>
        </w:tc>
        <w:tc>
          <w:tcPr>
            <w:tcW w:w="1338" w:type="dxa"/>
            <w:shd w:val="clear" w:color="auto" w:fill="auto"/>
          </w:tcPr>
          <w:p w14:paraId="70AF4F8F" w14:textId="14E0C0CA"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1.97</w:t>
            </w:r>
          </w:p>
        </w:tc>
        <w:tc>
          <w:tcPr>
            <w:tcW w:w="1338" w:type="dxa"/>
            <w:shd w:val="clear" w:color="auto" w:fill="auto"/>
          </w:tcPr>
          <w:p w14:paraId="108C1B89" w14:textId="14EE02DA"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0.31</w:t>
            </w:r>
          </w:p>
        </w:tc>
        <w:tc>
          <w:tcPr>
            <w:tcW w:w="1476" w:type="dxa"/>
            <w:shd w:val="clear" w:color="auto" w:fill="auto"/>
          </w:tcPr>
          <w:p w14:paraId="6A091089" w14:textId="5AD92B9C"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0.49</w:t>
            </w:r>
          </w:p>
        </w:tc>
        <w:tc>
          <w:tcPr>
            <w:tcW w:w="1030" w:type="dxa"/>
            <w:shd w:val="clear" w:color="auto" w:fill="auto"/>
          </w:tcPr>
          <w:p w14:paraId="78CC59B1" w14:textId="6B1EF943"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6.28</w:t>
            </w:r>
          </w:p>
        </w:tc>
        <w:tc>
          <w:tcPr>
            <w:tcW w:w="1030" w:type="dxa"/>
            <w:shd w:val="clear" w:color="auto" w:fill="auto"/>
          </w:tcPr>
          <w:p w14:paraId="5299DA27" w14:textId="70B0BD68"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38C69FE8" w14:textId="77777777" w:rsidTr="00E74DAC">
        <w:trPr>
          <w:cantSplit/>
        </w:trPr>
        <w:tc>
          <w:tcPr>
            <w:tcW w:w="736" w:type="dxa"/>
            <w:vMerge/>
            <w:shd w:val="clear" w:color="auto" w:fill="auto"/>
          </w:tcPr>
          <w:p w14:paraId="50FE8FF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0E7135C" w14:textId="52E5305D"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vldl</w:t>
            </w:r>
            <w:proofErr w:type="spellEnd"/>
          </w:p>
        </w:tc>
        <w:tc>
          <w:tcPr>
            <w:tcW w:w="1338" w:type="dxa"/>
            <w:shd w:val="clear" w:color="auto" w:fill="auto"/>
          </w:tcPr>
          <w:p w14:paraId="4BDE9593" w14:textId="516B4F92"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3.9</w:t>
            </w:r>
            <w:r w:rsidR="009D6FEB" w:rsidRPr="00E74DAC">
              <w:rPr>
                <w:rFonts w:ascii="Arial" w:hAnsi="Arial" w:cs="Arial"/>
                <w:color w:val="000000" w:themeColor="text1"/>
                <w:sz w:val="18"/>
                <w:szCs w:val="18"/>
              </w:rPr>
              <w:t>4</w:t>
            </w:r>
          </w:p>
        </w:tc>
        <w:tc>
          <w:tcPr>
            <w:tcW w:w="1338" w:type="dxa"/>
            <w:shd w:val="clear" w:color="auto" w:fill="auto"/>
          </w:tcPr>
          <w:p w14:paraId="351D0A7C" w14:textId="09F0159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1.99</w:t>
            </w:r>
          </w:p>
        </w:tc>
        <w:tc>
          <w:tcPr>
            <w:tcW w:w="1476" w:type="dxa"/>
            <w:shd w:val="clear" w:color="auto" w:fill="auto"/>
          </w:tcPr>
          <w:p w14:paraId="362807F8" w14:textId="0F30117A"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w:t>
            </w:r>
            <w:r w:rsidRPr="00E74DAC">
              <w:rPr>
                <w:rFonts w:ascii="Arial" w:hAnsi="Arial" w:cs="Arial"/>
                <w:color w:val="000000" w:themeColor="text1"/>
                <w:sz w:val="18"/>
                <w:szCs w:val="18"/>
              </w:rPr>
              <w:t>4</w:t>
            </w:r>
          </w:p>
        </w:tc>
        <w:tc>
          <w:tcPr>
            <w:tcW w:w="1030" w:type="dxa"/>
            <w:shd w:val="clear" w:color="auto" w:fill="auto"/>
          </w:tcPr>
          <w:p w14:paraId="38C69587" w14:textId="7E75885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1.9</w:t>
            </w:r>
            <w:r w:rsidR="009D6FEB" w:rsidRPr="00E74DAC">
              <w:rPr>
                <w:rFonts w:ascii="Arial" w:hAnsi="Arial" w:cs="Arial"/>
                <w:color w:val="000000" w:themeColor="text1"/>
                <w:sz w:val="18"/>
                <w:szCs w:val="18"/>
              </w:rPr>
              <w:t>8</w:t>
            </w:r>
          </w:p>
        </w:tc>
        <w:tc>
          <w:tcPr>
            <w:tcW w:w="1030" w:type="dxa"/>
            <w:shd w:val="clear" w:color="auto" w:fill="auto"/>
          </w:tcPr>
          <w:p w14:paraId="35632D1E" w14:textId="6A70FEDB"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.048</w:t>
            </w:r>
          </w:p>
        </w:tc>
      </w:tr>
      <w:tr w:rsidR="00E74DAC" w:rsidRPr="00E74DAC" w14:paraId="539BB09B" w14:textId="77777777" w:rsidTr="00E74DAC">
        <w:trPr>
          <w:cantSplit/>
        </w:trPr>
        <w:tc>
          <w:tcPr>
            <w:tcW w:w="736" w:type="dxa"/>
            <w:vMerge/>
            <w:shd w:val="clear" w:color="auto" w:fill="auto"/>
          </w:tcPr>
          <w:p w14:paraId="36F1501D"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29B314A"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HDL/LDL</w:t>
            </w:r>
          </w:p>
        </w:tc>
        <w:tc>
          <w:tcPr>
            <w:tcW w:w="1338" w:type="dxa"/>
            <w:shd w:val="clear" w:color="auto" w:fill="auto"/>
          </w:tcPr>
          <w:p w14:paraId="76BECC08" w14:textId="1CD88376"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27.89</w:t>
            </w:r>
          </w:p>
        </w:tc>
        <w:tc>
          <w:tcPr>
            <w:tcW w:w="1338" w:type="dxa"/>
            <w:shd w:val="clear" w:color="auto" w:fill="auto"/>
          </w:tcPr>
          <w:p w14:paraId="10A63B2E" w14:textId="5A79757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2.90</w:t>
            </w:r>
          </w:p>
        </w:tc>
        <w:tc>
          <w:tcPr>
            <w:tcW w:w="1476" w:type="dxa"/>
            <w:shd w:val="clear" w:color="auto" w:fill="auto"/>
          </w:tcPr>
          <w:p w14:paraId="54391952" w14:textId="37E4A0AF"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.7</w:t>
            </w:r>
            <w:r w:rsidRPr="00E74DAC">
              <w:rPr>
                <w:rFonts w:ascii="Arial" w:hAnsi="Arial" w:cs="Arial"/>
                <w:color w:val="000000" w:themeColor="text1"/>
                <w:sz w:val="18"/>
                <w:szCs w:val="18"/>
              </w:rPr>
              <w:t>6</w:t>
            </w:r>
          </w:p>
        </w:tc>
        <w:tc>
          <w:tcPr>
            <w:tcW w:w="1030" w:type="dxa"/>
            <w:shd w:val="clear" w:color="auto" w:fill="auto"/>
          </w:tcPr>
          <w:p w14:paraId="2D8D2ED0" w14:textId="3549C86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9.6</w:t>
            </w:r>
            <w:r w:rsidR="009D6FEB" w:rsidRPr="00E74DAC">
              <w:rPr>
                <w:rFonts w:ascii="Arial" w:hAnsi="Arial" w:cs="Arial"/>
                <w:color w:val="000000" w:themeColor="text1"/>
                <w:sz w:val="18"/>
                <w:szCs w:val="18"/>
              </w:rPr>
              <w:t>1</w:t>
            </w:r>
          </w:p>
        </w:tc>
        <w:tc>
          <w:tcPr>
            <w:tcW w:w="1030" w:type="dxa"/>
            <w:shd w:val="clear" w:color="auto" w:fill="auto"/>
          </w:tcPr>
          <w:p w14:paraId="1C49BB1B" w14:textId="279C2DC9"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3FA1CC24" w14:textId="77777777" w:rsidTr="00E74DAC">
        <w:trPr>
          <w:cantSplit/>
        </w:trPr>
        <w:tc>
          <w:tcPr>
            <w:tcW w:w="736" w:type="dxa"/>
            <w:vMerge/>
            <w:shd w:val="clear" w:color="auto" w:fill="auto"/>
          </w:tcPr>
          <w:p w14:paraId="16D3142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ABA1BCD"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TG/CHOL</w:t>
            </w:r>
          </w:p>
        </w:tc>
        <w:tc>
          <w:tcPr>
            <w:tcW w:w="1338" w:type="dxa"/>
            <w:shd w:val="clear" w:color="auto" w:fill="auto"/>
          </w:tcPr>
          <w:p w14:paraId="10C96151" w14:textId="4E8C6364"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-14.7</w:t>
            </w:r>
            <w:r w:rsidR="009D6FEB" w:rsidRPr="00E74DAC">
              <w:rPr>
                <w:rFonts w:ascii="Arial" w:hAnsi="Arial" w:cs="Arial"/>
                <w:color w:val="000000" w:themeColor="text1"/>
                <w:sz w:val="18"/>
                <w:szCs w:val="18"/>
              </w:rPr>
              <w:t>6</w:t>
            </w:r>
          </w:p>
        </w:tc>
        <w:tc>
          <w:tcPr>
            <w:tcW w:w="1338" w:type="dxa"/>
            <w:shd w:val="clear" w:color="auto" w:fill="auto"/>
          </w:tcPr>
          <w:p w14:paraId="18A70BBD" w14:textId="009BF268"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4.89</w:t>
            </w:r>
          </w:p>
        </w:tc>
        <w:tc>
          <w:tcPr>
            <w:tcW w:w="1476" w:type="dxa"/>
            <w:shd w:val="clear" w:color="auto" w:fill="auto"/>
          </w:tcPr>
          <w:p w14:paraId="5B7A04AF" w14:textId="58F5239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.32</w:t>
            </w:r>
          </w:p>
        </w:tc>
        <w:tc>
          <w:tcPr>
            <w:tcW w:w="1030" w:type="dxa"/>
            <w:shd w:val="clear" w:color="auto" w:fill="auto"/>
          </w:tcPr>
          <w:p w14:paraId="7312A229" w14:textId="00418026"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3.0</w:t>
            </w:r>
            <w:r w:rsidR="009D6FEB" w:rsidRPr="00E74DAC">
              <w:rPr>
                <w:rFonts w:ascii="Arial" w:hAnsi="Arial" w:cs="Arial"/>
                <w:color w:val="000000" w:themeColor="text1"/>
                <w:sz w:val="18"/>
                <w:szCs w:val="18"/>
              </w:rPr>
              <w:t>2</w:t>
            </w:r>
          </w:p>
        </w:tc>
        <w:tc>
          <w:tcPr>
            <w:tcW w:w="1030" w:type="dxa"/>
            <w:shd w:val="clear" w:color="auto" w:fill="auto"/>
          </w:tcPr>
          <w:p w14:paraId="2CE3F103" w14:textId="0BEE0C3A"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.003</w:t>
            </w:r>
          </w:p>
        </w:tc>
      </w:tr>
      <w:tr w:rsidR="00E74DAC" w:rsidRPr="00E74DAC" w14:paraId="07413267" w14:textId="77777777" w:rsidTr="00E74DAC">
        <w:trPr>
          <w:cantSplit/>
        </w:trPr>
        <w:tc>
          <w:tcPr>
            <w:tcW w:w="736" w:type="dxa"/>
            <w:vMerge/>
            <w:tcBorders>
              <w:bottom w:val="single" w:sz="4" w:space="0" w:color="auto"/>
            </w:tcBorders>
            <w:shd w:val="clear" w:color="auto" w:fill="auto"/>
          </w:tcPr>
          <w:p w14:paraId="3D2168EE"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tcBorders>
              <w:bottom w:val="single" w:sz="4" w:space="0" w:color="auto"/>
            </w:tcBorders>
            <w:shd w:val="clear" w:color="auto" w:fill="auto"/>
          </w:tcPr>
          <w:p w14:paraId="45C342D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NON-HDL</w:t>
            </w:r>
          </w:p>
        </w:tc>
        <w:tc>
          <w:tcPr>
            <w:tcW w:w="1338" w:type="dxa"/>
            <w:tcBorders>
              <w:bottom w:val="single" w:sz="4" w:space="0" w:color="auto"/>
            </w:tcBorders>
            <w:shd w:val="clear" w:color="auto" w:fill="auto"/>
          </w:tcPr>
          <w:p w14:paraId="6EE8C7F0" w14:textId="7ACDD4A8"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.61</w:t>
            </w:r>
          </w:p>
        </w:tc>
        <w:tc>
          <w:tcPr>
            <w:tcW w:w="1338" w:type="dxa"/>
            <w:tcBorders>
              <w:bottom w:val="single" w:sz="4" w:space="0" w:color="auto"/>
            </w:tcBorders>
            <w:shd w:val="clear" w:color="auto" w:fill="auto"/>
          </w:tcPr>
          <w:p w14:paraId="734B301B" w14:textId="79AF3EA5"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.39</w:t>
            </w:r>
          </w:p>
        </w:tc>
        <w:tc>
          <w:tcPr>
            <w:tcW w:w="1476" w:type="dxa"/>
            <w:tcBorders>
              <w:bottom w:val="single" w:sz="4" w:space="0" w:color="auto"/>
            </w:tcBorders>
            <w:shd w:val="clear" w:color="auto" w:fill="auto"/>
          </w:tcPr>
          <w:p w14:paraId="268167A2" w14:textId="4399F1E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.1</w:t>
            </w:r>
            <w:r w:rsidRPr="00E74DAC">
              <w:rPr>
                <w:rFonts w:ascii="Arial" w:hAnsi="Arial" w:cs="Arial"/>
                <w:color w:val="000000" w:themeColor="text1"/>
                <w:sz w:val="18"/>
                <w:szCs w:val="18"/>
              </w:rPr>
              <w:t>6</w:t>
            </w:r>
          </w:p>
        </w:tc>
        <w:tc>
          <w:tcPr>
            <w:tcW w:w="1030" w:type="dxa"/>
            <w:tcBorders>
              <w:bottom w:val="single" w:sz="4" w:space="0" w:color="auto"/>
            </w:tcBorders>
            <w:shd w:val="clear" w:color="auto" w:fill="auto"/>
          </w:tcPr>
          <w:p w14:paraId="4D717403" w14:textId="53B472A4"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1.5</w:t>
            </w:r>
            <w:r w:rsidR="009D6FEB" w:rsidRPr="00E74DAC">
              <w:rPr>
                <w:rFonts w:ascii="Arial" w:hAnsi="Arial" w:cs="Arial"/>
                <w:color w:val="000000" w:themeColor="text1"/>
                <w:sz w:val="18"/>
                <w:szCs w:val="18"/>
              </w:rPr>
              <w:t>7</w:t>
            </w:r>
          </w:p>
        </w:tc>
        <w:tc>
          <w:tcPr>
            <w:tcW w:w="1030" w:type="dxa"/>
            <w:tcBorders>
              <w:bottom w:val="single" w:sz="4" w:space="0" w:color="auto"/>
            </w:tcBorders>
            <w:shd w:val="clear" w:color="auto" w:fill="auto"/>
          </w:tcPr>
          <w:p w14:paraId="147C7FD8" w14:textId="1B81B661"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.1</w:t>
            </w:r>
            <w:r w:rsidR="00031E9A" w:rsidRPr="00E74DAC">
              <w:rPr>
                <w:rFonts w:ascii="Arial" w:hAnsi="Arial" w:cs="Arial"/>
                <w:color w:val="000000" w:themeColor="text1"/>
                <w:sz w:val="18"/>
                <w:szCs w:val="18"/>
              </w:rPr>
              <w:t>2</w:t>
            </w:r>
          </w:p>
        </w:tc>
      </w:tr>
      <w:tr w:rsidR="00E74DAC" w:rsidRPr="00E74DAC" w14:paraId="4151B899" w14:textId="77777777" w:rsidTr="00E74DAC">
        <w:trPr>
          <w:cantSplit/>
        </w:trPr>
        <w:tc>
          <w:tcPr>
            <w:tcW w:w="8132" w:type="dxa"/>
            <w:gridSpan w:val="7"/>
            <w:tcBorders>
              <w:top w:val="single" w:sz="4" w:space="0" w:color="auto"/>
            </w:tcBorders>
            <w:shd w:val="clear" w:color="auto" w:fill="auto"/>
          </w:tcPr>
          <w:p w14:paraId="6B373DFB"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Dependent Variable: Castelli's risk index 2</w:t>
            </w:r>
          </w:p>
        </w:tc>
      </w:tr>
    </w:tbl>
    <w:p w14:paraId="7723AD81" w14:textId="0DFC5E19"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57B40185" w14:textId="77777777" w:rsidR="00E74DAC" w:rsidRDefault="00E74DAC" w:rsidP="006B2DA9">
      <w:pPr>
        <w:autoSpaceDE w:val="0"/>
        <w:autoSpaceDN w:val="0"/>
        <w:adjustRightInd w:val="0"/>
        <w:spacing w:after="0" w:line="400" w:lineRule="atLeast"/>
        <w:rPr>
          <w:rStyle w:val="Strong"/>
        </w:rPr>
      </w:pPr>
    </w:p>
    <w:p w14:paraId="52C60C53" w14:textId="77777777" w:rsidR="00E74DAC" w:rsidRDefault="00E74DAC" w:rsidP="006B2DA9">
      <w:pPr>
        <w:autoSpaceDE w:val="0"/>
        <w:autoSpaceDN w:val="0"/>
        <w:adjustRightInd w:val="0"/>
        <w:spacing w:after="0" w:line="400" w:lineRule="atLeast"/>
        <w:rPr>
          <w:rStyle w:val="Strong"/>
        </w:rPr>
      </w:pPr>
    </w:p>
    <w:p w14:paraId="5DE143F1" w14:textId="77777777" w:rsidR="00E74DAC" w:rsidRDefault="00E74DAC" w:rsidP="006B2DA9">
      <w:pPr>
        <w:autoSpaceDE w:val="0"/>
        <w:autoSpaceDN w:val="0"/>
        <w:adjustRightInd w:val="0"/>
        <w:spacing w:after="0" w:line="400" w:lineRule="atLeast"/>
        <w:rPr>
          <w:rStyle w:val="Strong"/>
        </w:rPr>
      </w:pPr>
    </w:p>
    <w:p w14:paraId="25B2A632" w14:textId="12D3AEB0" w:rsidR="00FB2C2A" w:rsidRDefault="00FB2C2A" w:rsidP="006B2DA9">
      <w:pPr>
        <w:autoSpaceDE w:val="0"/>
        <w:autoSpaceDN w:val="0"/>
        <w:adjustRightInd w:val="0"/>
        <w:spacing w:after="0" w:line="400" w:lineRule="atLeast"/>
        <w:rPr>
          <w:rFonts w:ascii="Times New Roman" w:hAnsi="Times New Roman" w:cs="Times New Roman"/>
          <w:sz w:val="24"/>
          <w:szCs w:val="24"/>
        </w:rPr>
      </w:pPr>
      <w:r>
        <w:rPr>
          <w:rStyle w:val="Strong"/>
        </w:rPr>
        <w:t>Table 8a.</w:t>
      </w:r>
      <w:r>
        <w:t xml:space="preserve"> </w:t>
      </w:r>
      <w:r>
        <w:rPr>
          <w:rStyle w:val="Emphasis"/>
        </w:rPr>
        <w:t>Model summary for predictors of the outcome variable.</w:t>
      </w:r>
      <w:r>
        <w:t xml:space="preserve"> </w:t>
      </w:r>
    </w:p>
    <w:tbl>
      <w:tblPr>
        <w:tblW w:w="9296" w:type="dxa"/>
        <w:tblBorders>
          <w:top w:val="single" w:sz="4" w:space="0" w:color="auto"/>
        </w:tblBorders>
        <w:tblLayout w:type="fixed"/>
        <w:tblCellMar>
          <w:left w:w="0" w:type="dxa"/>
          <w:right w:w="0" w:type="dxa"/>
        </w:tblCellMar>
        <w:tblLook w:val="0000" w:firstRow="0" w:lastRow="0" w:firstColumn="0" w:lastColumn="0" w:noHBand="0" w:noVBand="0"/>
      </w:tblPr>
      <w:tblGrid>
        <w:gridCol w:w="1262"/>
        <w:gridCol w:w="1629"/>
        <w:gridCol w:w="1728"/>
        <w:gridCol w:w="2336"/>
        <w:gridCol w:w="2341"/>
      </w:tblGrid>
      <w:tr w:rsidR="00E74DAC" w:rsidRPr="00E74DAC" w14:paraId="6358CFA2" w14:textId="77777777" w:rsidTr="00E74DAC">
        <w:trPr>
          <w:cantSplit/>
          <w:trHeight w:val="566"/>
        </w:trPr>
        <w:tc>
          <w:tcPr>
            <w:tcW w:w="1262" w:type="dxa"/>
            <w:shd w:val="clear" w:color="auto" w:fill="auto"/>
            <w:vAlign w:val="bottom"/>
          </w:tcPr>
          <w:p w14:paraId="37B8E706"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1629" w:type="dxa"/>
            <w:shd w:val="clear" w:color="auto" w:fill="auto"/>
            <w:vAlign w:val="bottom"/>
          </w:tcPr>
          <w:p w14:paraId="4B839ECE"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R</w:t>
            </w:r>
          </w:p>
        </w:tc>
        <w:tc>
          <w:tcPr>
            <w:tcW w:w="1728" w:type="dxa"/>
            <w:shd w:val="clear" w:color="auto" w:fill="auto"/>
            <w:vAlign w:val="bottom"/>
          </w:tcPr>
          <w:p w14:paraId="13702592"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R Square</w:t>
            </w:r>
          </w:p>
        </w:tc>
        <w:tc>
          <w:tcPr>
            <w:tcW w:w="2336" w:type="dxa"/>
            <w:shd w:val="clear" w:color="auto" w:fill="auto"/>
            <w:vAlign w:val="bottom"/>
          </w:tcPr>
          <w:p w14:paraId="505E189F"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Adjusted R Square</w:t>
            </w:r>
          </w:p>
        </w:tc>
        <w:tc>
          <w:tcPr>
            <w:tcW w:w="2341" w:type="dxa"/>
            <w:shd w:val="clear" w:color="auto" w:fill="auto"/>
            <w:vAlign w:val="bottom"/>
          </w:tcPr>
          <w:p w14:paraId="44E369A6"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Std. Error of the Estimate</w:t>
            </w:r>
          </w:p>
        </w:tc>
      </w:tr>
      <w:tr w:rsidR="00E74DAC" w:rsidRPr="00E74DAC" w14:paraId="6786ECC6" w14:textId="77777777" w:rsidTr="00E74DAC">
        <w:trPr>
          <w:cantSplit/>
          <w:trHeight w:val="288"/>
        </w:trPr>
        <w:tc>
          <w:tcPr>
            <w:tcW w:w="1262" w:type="dxa"/>
            <w:tcBorders>
              <w:bottom w:val="single" w:sz="4" w:space="0" w:color="auto"/>
            </w:tcBorders>
            <w:shd w:val="clear" w:color="auto" w:fill="auto"/>
          </w:tcPr>
          <w:p w14:paraId="61225AE2"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629" w:type="dxa"/>
            <w:tcBorders>
              <w:bottom w:val="single" w:sz="4" w:space="0" w:color="auto"/>
            </w:tcBorders>
            <w:shd w:val="clear" w:color="auto" w:fill="auto"/>
          </w:tcPr>
          <w:p w14:paraId="7E05728E" w14:textId="075DADC4"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.978</w:t>
            </w:r>
            <w:r w:rsidR="006B2DA9" w:rsidRPr="00E74DAC">
              <w:rPr>
                <w:rFonts w:ascii="Arial" w:hAnsi="Arial" w:cs="Arial"/>
                <w:color w:val="000000" w:themeColor="text1"/>
                <w:sz w:val="18"/>
                <w:szCs w:val="18"/>
                <w:vertAlign w:val="superscript"/>
              </w:rPr>
              <w:t>a</w:t>
            </w:r>
          </w:p>
        </w:tc>
        <w:tc>
          <w:tcPr>
            <w:tcW w:w="1728" w:type="dxa"/>
            <w:tcBorders>
              <w:bottom w:val="single" w:sz="4" w:space="0" w:color="auto"/>
            </w:tcBorders>
            <w:shd w:val="clear" w:color="auto" w:fill="auto"/>
          </w:tcPr>
          <w:p w14:paraId="3208A55A" w14:textId="2FDFF1F9"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.956</w:t>
            </w:r>
          </w:p>
        </w:tc>
        <w:tc>
          <w:tcPr>
            <w:tcW w:w="2336" w:type="dxa"/>
            <w:tcBorders>
              <w:bottom w:val="single" w:sz="4" w:space="0" w:color="auto"/>
            </w:tcBorders>
            <w:shd w:val="clear" w:color="auto" w:fill="auto"/>
          </w:tcPr>
          <w:p w14:paraId="10BC399A" w14:textId="3D52B905"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.955</w:t>
            </w:r>
          </w:p>
        </w:tc>
        <w:tc>
          <w:tcPr>
            <w:tcW w:w="2341" w:type="dxa"/>
            <w:tcBorders>
              <w:bottom w:val="single" w:sz="4" w:space="0" w:color="auto"/>
            </w:tcBorders>
            <w:shd w:val="clear" w:color="auto" w:fill="auto"/>
          </w:tcPr>
          <w:p w14:paraId="1FFA7C80" w14:textId="372DF239"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.0</w:t>
            </w:r>
            <w:r>
              <w:rPr>
                <w:rFonts w:ascii="Arial" w:hAnsi="Arial" w:cs="Arial"/>
                <w:color w:val="000000" w:themeColor="text1"/>
                <w:sz w:val="18"/>
                <w:szCs w:val="18"/>
              </w:rPr>
              <w:t>7</w:t>
            </w:r>
          </w:p>
        </w:tc>
      </w:tr>
      <w:tr w:rsidR="00E74DAC" w:rsidRPr="00E74DAC" w14:paraId="479659EA" w14:textId="77777777" w:rsidTr="00E74DAC">
        <w:trPr>
          <w:cantSplit/>
          <w:trHeight w:val="566"/>
        </w:trPr>
        <w:tc>
          <w:tcPr>
            <w:tcW w:w="9296" w:type="dxa"/>
            <w:gridSpan w:val="5"/>
            <w:tcBorders>
              <w:top w:val="single" w:sz="4" w:space="0" w:color="auto"/>
            </w:tcBorders>
            <w:shd w:val="clear" w:color="auto" w:fill="auto"/>
          </w:tcPr>
          <w:p w14:paraId="3E366390" w14:textId="7623182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Predictors: (Constant), NON-HDL, TG/CHOL, dm</w:t>
            </w:r>
            <w:r w:rsidR="00031E9A" w:rsidRPr="00E74DAC">
              <w:rPr>
                <w:rFonts w:ascii="Arial" w:hAnsi="Arial" w:cs="Arial"/>
                <w:color w:val="000000" w:themeColor="text1"/>
                <w:sz w:val="18"/>
                <w:szCs w:val="18"/>
              </w:rPr>
              <w:t xml:space="preserve"> </w:t>
            </w:r>
            <w:r w:rsidRPr="00E74DAC">
              <w:rPr>
                <w:rFonts w:ascii="Arial" w:hAnsi="Arial" w:cs="Arial"/>
                <w:color w:val="000000" w:themeColor="text1"/>
                <w:sz w:val="18"/>
                <w:szCs w:val="18"/>
              </w:rPr>
              <w:t>dur</w:t>
            </w:r>
            <w:r w:rsidR="00031E9A" w:rsidRPr="00E74DAC">
              <w:rPr>
                <w:rFonts w:ascii="Arial" w:hAnsi="Arial" w:cs="Arial"/>
                <w:color w:val="000000" w:themeColor="text1"/>
                <w:sz w:val="18"/>
                <w:szCs w:val="18"/>
              </w:rPr>
              <w:t>ation</w:t>
            </w:r>
            <w:r w:rsidRPr="00E74DAC">
              <w:rPr>
                <w:rFonts w:ascii="Arial" w:hAnsi="Arial" w:cs="Arial"/>
                <w:color w:val="000000" w:themeColor="text1"/>
                <w:sz w:val="18"/>
                <w:szCs w:val="18"/>
              </w:rPr>
              <w:t xml:space="preserve">, job, sex, </w:t>
            </w:r>
            <w:proofErr w:type="spellStart"/>
            <w:r w:rsidRPr="00E74DAC">
              <w:rPr>
                <w:rFonts w:ascii="Arial" w:hAnsi="Arial" w:cs="Arial"/>
                <w:color w:val="000000" w:themeColor="text1"/>
                <w:sz w:val="18"/>
                <w:szCs w:val="18"/>
              </w:rPr>
              <w:t>hdl</w:t>
            </w:r>
            <w:proofErr w:type="spellEnd"/>
            <w:r w:rsidRPr="00E74DAC">
              <w:rPr>
                <w:rFonts w:ascii="Arial" w:hAnsi="Arial" w:cs="Arial"/>
                <w:color w:val="000000" w:themeColor="text1"/>
                <w:sz w:val="18"/>
                <w:szCs w:val="18"/>
              </w:rPr>
              <w:t xml:space="preserve">, </w:t>
            </w:r>
            <w:proofErr w:type="spellStart"/>
            <w:r w:rsidRPr="00E74DAC">
              <w:rPr>
                <w:rFonts w:ascii="Arial" w:hAnsi="Arial" w:cs="Arial"/>
                <w:color w:val="000000" w:themeColor="text1"/>
                <w:sz w:val="18"/>
                <w:szCs w:val="18"/>
              </w:rPr>
              <w:t>fbg</w:t>
            </w:r>
            <w:proofErr w:type="spellEnd"/>
            <w:r w:rsidRPr="00E74DAC">
              <w:rPr>
                <w:rFonts w:ascii="Arial" w:hAnsi="Arial" w:cs="Arial"/>
                <w:color w:val="000000" w:themeColor="text1"/>
                <w:sz w:val="18"/>
                <w:szCs w:val="18"/>
              </w:rPr>
              <w:t xml:space="preserve">, </w:t>
            </w:r>
            <w:proofErr w:type="spellStart"/>
            <w:r w:rsidRPr="00E74DAC">
              <w:rPr>
                <w:rFonts w:ascii="Arial" w:hAnsi="Arial" w:cs="Arial"/>
                <w:color w:val="000000" w:themeColor="text1"/>
                <w:sz w:val="18"/>
                <w:szCs w:val="18"/>
              </w:rPr>
              <w:t>bmi</w:t>
            </w:r>
            <w:proofErr w:type="spellEnd"/>
            <w:r w:rsidRPr="00E74DAC">
              <w:rPr>
                <w:rFonts w:ascii="Arial" w:hAnsi="Arial" w:cs="Arial"/>
                <w:color w:val="000000" w:themeColor="text1"/>
                <w:sz w:val="18"/>
                <w:szCs w:val="18"/>
              </w:rPr>
              <w:t xml:space="preserve">, age, </w:t>
            </w:r>
            <w:proofErr w:type="spellStart"/>
            <w:r w:rsidRPr="00E74DAC">
              <w:rPr>
                <w:rFonts w:ascii="Arial" w:hAnsi="Arial" w:cs="Arial"/>
                <w:color w:val="000000" w:themeColor="text1"/>
                <w:sz w:val="18"/>
                <w:szCs w:val="18"/>
              </w:rPr>
              <w:t>ldl</w:t>
            </w:r>
            <w:proofErr w:type="spellEnd"/>
            <w:r w:rsidRPr="00E74DAC">
              <w:rPr>
                <w:rFonts w:ascii="Arial" w:hAnsi="Arial" w:cs="Arial"/>
                <w:color w:val="000000" w:themeColor="text1"/>
                <w:sz w:val="18"/>
                <w:szCs w:val="18"/>
              </w:rPr>
              <w:t xml:space="preserve">, HDL/LDL, </w:t>
            </w:r>
            <w:r w:rsidR="00031E9A" w:rsidRPr="00E74DAC">
              <w:rPr>
                <w:rFonts w:ascii="Arial" w:hAnsi="Arial" w:cs="Arial"/>
                <w:color w:val="000000" w:themeColor="text1"/>
                <w:sz w:val="18"/>
                <w:szCs w:val="18"/>
              </w:rPr>
              <w:t>VLDL</w:t>
            </w:r>
          </w:p>
        </w:tc>
      </w:tr>
    </w:tbl>
    <w:p w14:paraId="6E042E3C" w14:textId="6F901906"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061CE19D" w14:textId="5B33C319" w:rsidR="00FB2C2A" w:rsidRPr="006B2DA9" w:rsidRDefault="00B43835" w:rsidP="006B2DA9">
      <w:pPr>
        <w:autoSpaceDE w:val="0"/>
        <w:autoSpaceDN w:val="0"/>
        <w:adjustRightInd w:val="0"/>
        <w:spacing w:after="0" w:line="400" w:lineRule="atLeast"/>
        <w:rPr>
          <w:rFonts w:ascii="Times New Roman" w:hAnsi="Times New Roman" w:cs="Times New Roman"/>
          <w:sz w:val="24"/>
          <w:szCs w:val="24"/>
        </w:rPr>
      </w:pPr>
      <w:r>
        <w:rPr>
          <w:rStyle w:val="Strong"/>
        </w:rPr>
        <w:t>Table 8b.</w:t>
      </w:r>
      <w:r>
        <w:t xml:space="preserve"> </w:t>
      </w:r>
      <w:r>
        <w:rPr>
          <w:rStyle w:val="Emphasis"/>
        </w:rPr>
        <w:t xml:space="preserve">ANOVA for predictors of the </w:t>
      </w:r>
      <w:proofErr w:type="spellStart"/>
      <w:r>
        <w:rPr>
          <w:rStyle w:val="Emphasis"/>
        </w:rPr>
        <w:t>TyG</w:t>
      </w:r>
      <w:proofErr w:type="spellEnd"/>
      <w:r>
        <w:rPr>
          <w:rStyle w:val="Emphasis"/>
        </w:rPr>
        <w:t xml:space="preserve"> index.</w:t>
      </w:r>
    </w:p>
    <w:tbl>
      <w:tblPr>
        <w:tblW w:w="8992" w:type="dxa"/>
        <w:tblBorders>
          <w:top w:val="single" w:sz="4" w:space="0" w:color="auto"/>
        </w:tblBorders>
        <w:tblLayout w:type="fixed"/>
        <w:tblCellMar>
          <w:left w:w="0" w:type="dxa"/>
          <w:right w:w="0" w:type="dxa"/>
        </w:tblCellMar>
        <w:tblLook w:val="0000" w:firstRow="0" w:lastRow="0" w:firstColumn="0" w:lastColumn="0" w:noHBand="0" w:noVBand="0"/>
      </w:tblPr>
      <w:tblGrid>
        <w:gridCol w:w="820"/>
        <w:gridCol w:w="1438"/>
        <w:gridCol w:w="1644"/>
        <w:gridCol w:w="1147"/>
        <w:gridCol w:w="1576"/>
        <w:gridCol w:w="1216"/>
        <w:gridCol w:w="1151"/>
      </w:tblGrid>
      <w:tr w:rsidR="00E74DAC" w:rsidRPr="00E74DAC" w14:paraId="1F382782" w14:textId="77777777" w:rsidTr="00E74DAC">
        <w:trPr>
          <w:cantSplit/>
          <w:trHeight w:val="288"/>
        </w:trPr>
        <w:tc>
          <w:tcPr>
            <w:tcW w:w="2258" w:type="dxa"/>
            <w:gridSpan w:val="2"/>
            <w:tcBorders>
              <w:bottom w:val="single" w:sz="4" w:space="0" w:color="auto"/>
            </w:tcBorders>
            <w:shd w:val="clear" w:color="auto" w:fill="auto"/>
            <w:vAlign w:val="bottom"/>
          </w:tcPr>
          <w:p w14:paraId="3FBD742F"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Model</w:t>
            </w:r>
          </w:p>
        </w:tc>
        <w:tc>
          <w:tcPr>
            <w:tcW w:w="1644" w:type="dxa"/>
            <w:tcBorders>
              <w:bottom w:val="single" w:sz="4" w:space="0" w:color="auto"/>
            </w:tcBorders>
            <w:shd w:val="clear" w:color="auto" w:fill="auto"/>
            <w:vAlign w:val="bottom"/>
          </w:tcPr>
          <w:p w14:paraId="621F11D4"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Sum of Squares</w:t>
            </w:r>
          </w:p>
        </w:tc>
        <w:tc>
          <w:tcPr>
            <w:tcW w:w="1147" w:type="dxa"/>
            <w:tcBorders>
              <w:bottom w:val="single" w:sz="4" w:space="0" w:color="auto"/>
            </w:tcBorders>
            <w:shd w:val="clear" w:color="auto" w:fill="auto"/>
            <w:vAlign w:val="bottom"/>
          </w:tcPr>
          <w:p w14:paraId="5CFBDB4A"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df</w:t>
            </w:r>
          </w:p>
        </w:tc>
        <w:tc>
          <w:tcPr>
            <w:tcW w:w="1576" w:type="dxa"/>
            <w:tcBorders>
              <w:bottom w:val="single" w:sz="4" w:space="0" w:color="auto"/>
            </w:tcBorders>
            <w:shd w:val="clear" w:color="auto" w:fill="auto"/>
            <w:vAlign w:val="bottom"/>
          </w:tcPr>
          <w:p w14:paraId="45188797"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Mean Square</w:t>
            </w:r>
          </w:p>
        </w:tc>
        <w:tc>
          <w:tcPr>
            <w:tcW w:w="1216" w:type="dxa"/>
            <w:tcBorders>
              <w:bottom w:val="single" w:sz="4" w:space="0" w:color="auto"/>
            </w:tcBorders>
            <w:shd w:val="clear" w:color="auto" w:fill="auto"/>
            <w:vAlign w:val="bottom"/>
          </w:tcPr>
          <w:p w14:paraId="5916804C"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F</w:t>
            </w:r>
          </w:p>
        </w:tc>
        <w:tc>
          <w:tcPr>
            <w:tcW w:w="1147" w:type="dxa"/>
            <w:tcBorders>
              <w:bottom w:val="single" w:sz="4" w:space="0" w:color="auto"/>
            </w:tcBorders>
            <w:shd w:val="clear" w:color="auto" w:fill="auto"/>
            <w:vAlign w:val="bottom"/>
          </w:tcPr>
          <w:p w14:paraId="4F44D8A6"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Sig.</w:t>
            </w:r>
          </w:p>
        </w:tc>
      </w:tr>
      <w:tr w:rsidR="00E74DAC" w:rsidRPr="00E74DAC" w14:paraId="61070E67" w14:textId="77777777" w:rsidTr="00E74DAC">
        <w:trPr>
          <w:cantSplit/>
          <w:trHeight w:val="277"/>
        </w:trPr>
        <w:tc>
          <w:tcPr>
            <w:tcW w:w="820" w:type="dxa"/>
            <w:vMerge w:val="restart"/>
            <w:tcBorders>
              <w:top w:val="single" w:sz="4" w:space="0" w:color="auto"/>
            </w:tcBorders>
            <w:shd w:val="clear" w:color="auto" w:fill="auto"/>
          </w:tcPr>
          <w:p w14:paraId="4850597A"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1</w:t>
            </w:r>
          </w:p>
        </w:tc>
        <w:tc>
          <w:tcPr>
            <w:tcW w:w="1438" w:type="dxa"/>
            <w:tcBorders>
              <w:top w:val="single" w:sz="4" w:space="0" w:color="auto"/>
            </w:tcBorders>
            <w:shd w:val="clear" w:color="auto" w:fill="auto"/>
          </w:tcPr>
          <w:p w14:paraId="4D858073"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Regression</w:t>
            </w:r>
          </w:p>
        </w:tc>
        <w:tc>
          <w:tcPr>
            <w:tcW w:w="1644" w:type="dxa"/>
            <w:tcBorders>
              <w:top w:val="single" w:sz="4" w:space="0" w:color="auto"/>
            </w:tcBorders>
            <w:shd w:val="clear" w:color="auto" w:fill="auto"/>
          </w:tcPr>
          <w:p w14:paraId="159DA188" w14:textId="77777777"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60.017</w:t>
            </w:r>
          </w:p>
        </w:tc>
        <w:tc>
          <w:tcPr>
            <w:tcW w:w="1147" w:type="dxa"/>
            <w:tcBorders>
              <w:top w:val="single" w:sz="4" w:space="0" w:color="auto"/>
            </w:tcBorders>
            <w:shd w:val="clear" w:color="auto" w:fill="auto"/>
          </w:tcPr>
          <w:p w14:paraId="5B4AAB82" w14:textId="77777777"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12</w:t>
            </w:r>
          </w:p>
        </w:tc>
        <w:tc>
          <w:tcPr>
            <w:tcW w:w="1576" w:type="dxa"/>
            <w:tcBorders>
              <w:top w:val="single" w:sz="4" w:space="0" w:color="auto"/>
            </w:tcBorders>
            <w:shd w:val="clear" w:color="auto" w:fill="auto"/>
          </w:tcPr>
          <w:p w14:paraId="5AA2708B" w14:textId="77777777"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5.001</w:t>
            </w:r>
          </w:p>
        </w:tc>
        <w:tc>
          <w:tcPr>
            <w:tcW w:w="1216" w:type="dxa"/>
            <w:tcBorders>
              <w:top w:val="single" w:sz="4" w:space="0" w:color="auto"/>
            </w:tcBorders>
            <w:shd w:val="clear" w:color="auto" w:fill="auto"/>
          </w:tcPr>
          <w:p w14:paraId="24C467EE" w14:textId="6222C7B3"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1125.7</w:t>
            </w:r>
            <w:r w:rsidR="00031E9A" w:rsidRPr="00E74DAC">
              <w:rPr>
                <w:rFonts w:ascii="Arial" w:hAnsi="Arial" w:cs="Arial"/>
                <w:b/>
                <w:bCs/>
                <w:color w:val="000000" w:themeColor="text1"/>
                <w:sz w:val="18"/>
                <w:szCs w:val="18"/>
              </w:rPr>
              <w:t>9</w:t>
            </w:r>
          </w:p>
        </w:tc>
        <w:tc>
          <w:tcPr>
            <w:tcW w:w="1147" w:type="dxa"/>
            <w:tcBorders>
              <w:top w:val="single" w:sz="4" w:space="0" w:color="auto"/>
            </w:tcBorders>
            <w:shd w:val="clear" w:color="auto" w:fill="auto"/>
          </w:tcPr>
          <w:p w14:paraId="1DD3CA5D" w14:textId="19AEEE69" w:rsidR="006B2DA9" w:rsidRPr="00E74DAC" w:rsidRDefault="00031E9A"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&lt;0</w:t>
            </w:r>
            <w:r w:rsidR="006B2DA9" w:rsidRPr="00E74DAC">
              <w:rPr>
                <w:rFonts w:ascii="Arial" w:hAnsi="Arial" w:cs="Arial"/>
                <w:b/>
                <w:bCs/>
                <w:color w:val="000000" w:themeColor="text1"/>
                <w:sz w:val="18"/>
                <w:szCs w:val="18"/>
              </w:rPr>
              <w:t>.000</w:t>
            </w:r>
            <w:r w:rsidRPr="00E74DAC">
              <w:rPr>
                <w:rFonts w:ascii="Arial" w:hAnsi="Arial" w:cs="Arial"/>
                <w:b/>
                <w:bCs/>
                <w:color w:val="000000" w:themeColor="text1"/>
                <w:sz w:val="18"/>
                <w:szCs w:val="18"/>
              </w:rPr>
              <w:t>1</w:t>
            </w:r>
            <w:r w:rsidR="006B2DA9" w:rsidRPr="00E74DAC">
              <w:rPr>
                <w:rFonts w:ascii="Arial" w:hAnsi="Arial" w:cs="Arial"/>
                <w:b/>
                <w:bCs/>
                <w:color w:val="000000" w:themeColor="text1"/>
                <w:sz w:val="18"/>
                <w:szCs w:val="18"/>
                <w:vertAlign w:val="superscript"/>
              </w:rPr>
              <w:t>b</w:t>
            </w:r>
          </w:p>
        </w:tc>
      </w:tr>
      <w:tr w:rsidR="00E74DAC" w:rsidRPr="00E74DAC" w14:paraId="7ABAAD94" w14:textId="77777777" w:rsidTr="00E74DAC">
        <w:trPr>
          <w:cantSplit/>
          <w:trHeight w:val="308"/>
        </w:trPr>
        <w:tc>
          <w:tcPr>
            <w:tcW w:w="820" w:type="dxa"/>
            <w:vMerge/>
            <w:shd w:val="clear" w:color="auto" w:fill="auto"/>
          </w:tcPr>
          <w:p w14:paraId="66C05D3B"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38" w:type="dxa"/>
            <w:shd w:val="clear" w:color="auto" w:fill="auto"/>
          </w:tcPr>
          <w:p w14:paraId="7CC59C23"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Residual</w:t>
            </w:r>
          </w:p>
        </w:tc>
        <w:tc>
          <w:tcPr>
            <w:tcW w:w="1644" w:type="dxa"/>
            <w:shd w:val="clear" w:color="auto" w:fill="auto"/>
          </w:tcPr>
          <w:p w14:paraId="4403E6A5"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2.786</w:t>
            </w:r>
          </w:p>
        </w:tc>
        <w:tc>
          <w:tcPr>
            <w:tcW w:w="1147" w:type="dxa"/>
            <w:shd w:val="clear" w:color="auto" w:fill="auto"/>
          </w:tcPr>
          <w:p w14:paraId="64B43290"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627</w:t>
            </w:r>
          </w:p>
        </w:tc>
        <w:tc>
          <w:tcPr>
            <w:tcW w:w="1576" w:type="dxa"/>
            <w:shd w:val="clear" w:color="auto" w:fill="auto"/>
          </w:tcPr>
          <w:p w14:paraId="7004AA5B"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.004</w:t>
            </w:r>
          </w:p>
        </w:tc>
        <w:tc>
          <w:tcPr>
            <w:tcW w:w="1216" w:type="dxa"/>
            <w:shd w:val="clear" w:color="auto" w:fill="auto"/>
            <w:vAlign w:val="center"/>
          </w:tcPr>
          <w:p w14:paraId="7E086269"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47" w:type="dxa"/>
            <w:shd w:val="clear" w:color="auto" w:fill="auto"/>
            <w:vAlign w:val="center"/>
          </w:tcPr>
          <w:p w14:paraId="22B45201"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02D69719" w14:textId="77777777" w:rsidTr="00E74DAC">
        <w:trPr>
          <w:cantSplit/>
          <w:trHeight w:val="298"/>
        </w:trPr>
        <w:tc>
          <w:tcPr>
            <w:tcW w:w="820" w:type="dxa"/>
            <w:vMerge/>
            <w:tcBorders>
              <w:bottom w:val="single" w:sz="4" w:space="0" w:color="auto"/>
            </w:tcBorders>
            <w:shd w:val="clear" w:color="auto" w:fill="auto"/>
          </w:tcPr>
          <w:p w14:paraId="66A1EFF7"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438" w:type="dxa"/>
            <w:tcBorders>
              <w:bottom w:val="single" w:sz="4" w:space="0" w:color="auto"/>
            </w:tcBorders>
            <w:shd w:val="clear" w:color="auto" w:fill="auto"/>
          </w:tcPr>
          <w:p w14:paraId="6D7FB177"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Total</w:t>
            </w:r>
          </w:p>
        </w:tc>
        <w:tc>
          <w:tcPr>
            <w:tcW w:w="1644" w:type="dxa"/>
            <w:tcBorders>
              <w:bottom w:val="single" w:sz="4" w:space="0" w:color="auto"/>
            </w:tcBorders>
            <w:shd w:val="clear" w:color="auto" w:fill="auto"/>
          </w:tcPr>
          <w:p w14:paraId="56C82128"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62.802</w:t>
            </w:r>
          </w:p>
        </w:tc>
        <w:tc>
          <w:tcPr>
            <w:tcW w:w="1147" w:type="dxa"/>
            <w:tcBorders>
              <w:bottom w:val="single" w:sz="4" w:space="0" w:color="auto"/>
            </w:tcBorders>
            <w:shd w:val="clear" w:color="auto" w:fill="auto"/>
          </w:tcPr>
          <w:p w14:paraId="56ACF058"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639</w:t>
            </w:r>
          </w:p>
        </w:tc>
        <w:tc>
          <w:tcPr>
            <w:tcW w:w="1576" w:type="dxa"/>
            <w:tcBorders>
              <w:bottom w:val="single" w:sz="4" w:space="0" w:color="auto"/>
            </w:tcBorders>
            <w:shd w:val="clear" w:color="auto" w:fill="auto"/>
            <w:vAlign w:val="center"/>
          </w:tcPr>
          <w:p w14:paraId="438D40A0"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16" w:type="dxa"/>
            <w:tcBorders>
              <w:bottom w:val="single" w:sz="4" w:space="0" w:color="auto"/>
            </w:tcBorders>
            <w:shd w:val="clear" w:color="auto" w:fill="auto"/>
            <w:vAlign w:val="center"/>
          </w:tcPr>
          <w:p w14:paraId="1CF5201B"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47" w:type="dxa"/>
            <w:tcBorders>
              <w:bottom w:val="single" w:sz="4" w:space="0" w:color="auto"/>
            </w:tcBorders>
            <w:shd w:val="clear" w:color="auto" w:fill="auto"/>
            <w:vAlign w:val="center"/>
          </w:tcPr>
          <w:p w14:paraId="02DD6775"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339A5D20" w14:textId="77777777" w:rsidTr="00E74DAC">
        <w:trPr>
          <w:cantSplit/>
          <w:trHeight w:val="288"/>
        </w:trPr>
        <w:tc>
          <w:tcPr>
            <w:tcW w:w="8992" w:type="dxa"/>
            <w:gridSpan w:val="7"/>
            <w:tcBorders>
              <w:top w:val="single" w:sz="4" w:space="0" w:color="auto"/>
            </w:tcBorders>
            <w:shd w:val="clear" w:color="auto" w:fill="auto"/>
          </w:tcPr>
          <w:p w14:paraId="7D6F5845"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lastRenderedPageBreak/>
              <w:t>a. Dependent Variable: TYG</w:t>
            </w:r>
          </w:p>
        </w:tc>
      </w:tr>
      <w:tr w:rsidR="00E74DAC" w:rsidRPr="00E74DAC" w14:paraId="6E010FF8" w14:textId="77777777" w:rsidTr="00E74DAC">
        <w:trPr>
          <w:cantSplit/>
          <w:trHeight w:val="566"/>
        </w:trPr>
        <w:tc>
          <w:tcPr>
            <w:tcW w:w="8992" w:type="dxa"/>
            <w:gridSpan w:val="7"/>
            <w:shd w:val="clear" w:color="auto" w:fill="auto"/>
          </w:tcPr>
          <w:p w14:paraId="43F375F5" w14:textId="1314D12C"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b. Predictors: (Constant), NON-HDL, TG/CHOL, dm</w:t>
            </w:r>
            <w:r w:rsidR="00E74DAC">
              <w:rPr>
                <w:rFonts w:ascii="Arial" w:hAnsi="Arial" w:cs="Arial"/>
                <w:color w:val="000000" w:themeColor="text1"/>
                <w:sz w:val="18"/>
                <w:szCs w:val="18"/>
              </w:rPr>
              <w:t xml:space="preserve"> </w:t>
            </w:r>
            <w:r w:rsidRPr="00E74DAC">
              <w:rPr>
                <w:rFonts w:ascii="Arial" w:hAnsi="Arial" w:cs="Arial"/>
                <w:color w:val="000000" w:themeColor="text1"/>
                <w:sz w:val="18"/>
                <w:szCs w:val="18"/>
              </w:rPr>
              <w:t>dur</w:t>
            </w:r>
            <w:r w:rsidR="00E74DAC">
              <w:rPr>
                <w:rFonts w:ascii="Arial" w:hAnsi="Arial" w:cs="Arial"/>
                <w:color w:val="000000" w:themeColor="text1"/>
                <w:sz w:val="18"/>
                <w:szCs w:val="18"/>
              </w:rPr>
              <w:t>ation</w:t>
            </w:r>
            <w:r w:rsidRPr="00E74DAC">
              <w:rPr>
                <w:rFonts w:ascii="Arial" w:hAnsi="Arial" w:cs="Arial"/>
                <w:color w:val="000000" w:themeColor="text1"/>
                <w:sz w:val="18"/>
                <w:szCs w:val="18"/>
              </w:rPr>
              <w:t xml:space="preserve">, job, sex, </w:t>
            </w:r>
            <w:proofErr w:type="spellStart"/>
            <w:r w:rsidRPr="00E74DAC">
              <w:rPr>
                <w:rFonts w:ascii="Arial" w:hAnsi="Arial" w:cs="Arial"/>
                <w:color w:val="000000" w:themeColor="text1"/>
                <w:sz w:val="18"/>
                <w:szCs w:val="18"/>
              </w:rPr>
              <w:t>hdl</w:t>
            </w:r>
            <w:proofErr w:type="spellEnd"/>
            <w:r w:rsidRPr="00E74DAC">
              <w:rPr>
                <w:rFonts w:ascii="Arial" w:hAnsi="Arial" w:cs="Arial"/>
                <w:color w:val="000000" w:themeColor="text1"/>
                <w:sz w:val="18"/>
                <w:szCs w:val="18"/>
              </w:rPr>
              <w:t xml:space="preserve">, </w:t>
            </w:r>
            <w:proofErr w:type="spellStart"/>
            <w:r w:rsidRPr="00E74DAC">
              <w:rPr>
                <w:rFonts w:ascii="Arial" w:hAnsi="Arial" w:cs="Arial"/>
                <w:color w:val="000000" w:themeColor="text1"/>
                <w:sz w:val="18"/>
                <w:szCs w:val="18"/>
              </w:rPr>
              <w:t>fbg</w:t>
            </w:r>
            <w:proofErr w:type="spellEnd"/>
            <w:r w:rsidRPr="00E74DAC">
              <w:rPr>
                <w:rFonts w:ascii="Arial" w:hAnsi="Arial" w:cs="Arial"/>
                <w:color w:val="000000" w:themeColor="text1"/>
                <w:sz w:val="18"/>
                <w:szCs w:val="18"/>
              </w:rPr>
              <w:t xml:space="preserve">, </w:t>
            </w:r>
            <w:r w:rsidR="00E74DAC">
              <w:rPr>
                <w:rFonts w:ascii="Arial" w:hAnsi="Arial" w:cs="Arial"/>
                <w:color w:val="000000" w:themeColor="text1"/>
                <w:sz w:val="18"/>
                <w:szCs w:val="18"/>
              </w:rPr>
              <w:t>BMI</w:t>
            </w:r>
            <w:r w:rsidRPr="00E74DAC">
              <w:rPr>
                <w:rFonts w:ascii="Arial" w:hAnsi="Arial" w:cs="Arial"/>
                <w:color w:val="000000" w:themeColor="text1"/>
                <w:sz w:val="18"/>
                <w:szCs w:val="18"/>
              </w:rPr>
              <w:t xml:space="preserve">, age, </w:t>
            </w:r>
            <w:proofErr w:type="spellStart"/>
            <w:r w:rsidRPr="00E74DAC">
              <w:rPr>
                <w:rFonts w:ascii="Arial" w:hAnsi="Arial" w:cs="Arial"/>
                <w:color w:val="000000" w:themeColor="text1"/>
                <w:sz w:val="18"/>
                <w:szCs w:val="18"/>
              </w:rPr>
              <w:t>ldl</w:t>
            </w:r>
            <w:proofErr w:type="spellEnd"/>
            <w:r w:rsidRPr="00E74DAC">
              <w:rPr>
                <w:rFonts w:ascii="Arial" w:hAnsi="Arial" w:cs="Arial"/>
                <w:color w:val="000000" w:themeColor="text1"/>
                <w:sz w:val="18"/>
                <w:szCs w:val="18"/>
              </w:rPr>
              <w:t xml:space="preserve">, HDL/LDL, </w:t>
            </w:r>
            <w:r w:rsidR="00E74DAC">
              <w:rPr>
                <w:rFonts w:ascii="Arial" w:hAnsi="Arial" w:cs="Arial"/>
                <w:color w:val="000000" w:themeColor="text1"/>
                <w:sz w:val="18"/>
                <w:szCs w:val="18"/>
              </w:rPr>
              <w:t>VLDL</w:t>
            </w:r>
          </w:p>
        </w:tc>
      </w:tr>
    </w:tbl>
    <w:p w14:paraId="39CE8060"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421FB047" w14:textId="003B8950" w:rsidR="006B2DA9" w:rsidRPr="006B2DA9" w:rsidRDefault="00B43835" w:rsidP="006B2DA9">
      <w:pPr>
        <w:autoSpaceDE w:val="0"/>
        <w:autoSpaceDN w:val="0"/>
        <w:adjustRightInd w:val="0"/>
        <w:spacing w:after="0" w:line="400" w:lineRule="atLeast"/>
        <w:rPr>
          <w:rFonts w:ascii="Times New Roman" w:hAnsi="Times New Roman" w:cs="Times New Roman"/>
          <w:sz w:val="24"/>
          <w:szCs w:val="24"/>
        </w:rPr>
      </w:pPr>
      <w:r>
        <w:rPr>
          <w:rStyle w:val="Strong"/>
        </w:rPr>
        <w:t>Table 8c.</w:t>
      </w:r>
      <w:r>
        <w:t xml:space="preserve"> </w:t>
      </w:r>
      <w:r w:rsidRPr="00E74DAC">
        <w:rPr>
          <w:rStyle w:val="Emphasis"/>
          <w:i w:val="0"/>
          <w:iCs w:val="0"/>
        </w:rPr>
        <w:t xml:space="preserve">Regression coefficients for the </w:t>
      </w:r>
      <w:proofErr w:type="spellStart"/>
      <w:r w:rsidRPr="00E74DAC">
        <w:rPr>
          <w:rStyle w:val="Emphasis"/>
          <w:i w:val="0"/>
          <w:iCs w:val="0"/>
        </w:rPr>
        <w:t>TyG</w:t>
      </w:r>
      <w:proofErr w:type="spellEnd"/>
      <w:r w:rsidRPr="00E74DAC">
        <w:rPr>
          <w:rStyle w:val="Emphasis"/>
          <w:i w:val="0"/>
          <w:iCs w:val="0"/>
        </w:rPr>
        <w:t xml:space="preserve"> index.</w:t>
      </w:r>
    </w:p>
    <w:tbl>
      <w:tblPr>
        <w:tblW w:w="8834" w:type="dxa"/>
        <w:tblBorders>
          <w:top w:val="single" w:sz="4" w:space="0" w:color="auto"/>
        </w:tblBorders>
        <w:tblLayout w:type="fixed"/>
        <w:tblCellMar>
          <w:left w:w="0" w:type="dxa"/>
          <w:right w:w="0" w:type="dxa"/>
        </w:tblCellMar>
        <w:tblLook w:val="0000" w:firstRow="0" w:lastRow="0" w:firstColumn="0" w:lastColumn="0" w:noHBand="0" w:noVBand="0"/>
      </w:tblPr>
      <w:tblGrid>
        <w:gridCol w:w="799"/>
        <w:gridCol w:w="1286"/>
        <w:gridCol w:w="1453"/>
        <w:gridCol w:w="1454"/>
        <w:gridCol w:w="1603"/>
        <w:gridCol w:w="1118"/>
        <w:gridCol w:w="1121"/>
      </w:tblGrid>
      <w:tr w:rsidR="00E74DAC" w:rsidRPr="00E74DAC" w14:paraId="439CD939" w14:textId="77777777" w:rsidTr="00E74DAC">
        <w:trPr>
          <w:cantSplit/>
          <w:trHeight w:val="650"/>
        </w:trPr>
        <w:tc>
          <w:tcPr>
            <w:tcW w:w="2085" w:type="dxa"/>
            <w:gridSpan w:val="2"/>
            <w:vMerge w:val="restart"/>
            <w:shd w:val="clear" w:color="auto" w:fill="auto"/>
            <w:vAlign w:val="bottom"/>
          </w:tcPr>
          <w:p w14:paraId="6793E183"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2907" w:type="dxa"/>
            <w:gridSpan w:val="2"/>
            <w:shd w:val="clear" w:color="auto" w:fill="auto"/>
            <w:vAlign w:val="bottom"/>
          </w:tcPr>
          <w:p w14:paraId="2F3F59D9"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Unstandardized Coefficients</w:t>
            </w:r>
          </w:p>
        </w:tc>
        <w:tc>
          <w:tcPr>
            <w:tcW w:w="1603" w:type="dxa"/>
            <w:shd w:val="clear" w:color="auto" w:fill="auto"/>
            <w:vAlign w:val="bottom"/>
          </w:tcPr>
          <w:p w14:paraId="2C66ABF4"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Standardized Coefficients</w:t>
            </w:r>
          </w:p>
        </w:tc>
        <w:tc>
          <w:tcPr>
            <w:tcW w:w="1118" w:type="dxa"/>
            <w:vMerge w:val="restart"/>
            <w:shd w:val="clear" w:color="auto" w:fill="auto"/>
            <w:vAlign w:val="bottom"/>
          </w:tcPr>
          <w:p w14:paraId="79DF8C79"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t</w:t>
            </w:r>
          </w:p>
        </w:tc>
        <w:tc>
          <w:tcPr>
            <w:tcW w:w="1118" w:type="dxa"/>
            <w:vMerge w:val="restart"/>
            <w:shd w:val="clear" w:color="auto" w:fill="auto"/>
            <w:vAlign w:val="bottom"/>
          </w:tcPr>
          <w:p w14:paraId="101D0030"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Sig.</w:t>
            </w:r>
          </w:p>
        </w:tc>
      </w:tr>
      <w:tr w:rsidR="00E74DAC" w:rsidRPr="00E74DAC" w14:paraId="088981EA" w14:textId="77777777" w:rsidTr="00E74DAC">
        <w:trPr>
          <w:cantSplit/>
          <w:trHeight w:val="331"/>
        </w:trPr>
        <w:tc>
          <w:tcPr>
            <w:tcW w:w="2085" w:type="dxa"/>
            <w:gridSpan w:val="2"/>
            <w:vMerge/>
            <w:tcBorders>
              <w:bottom w:val="single" w:sz="4" w:space="0" w:color="auto"/>
            </w:tcBorders>
            <w:shd w:val="clear" w:color="auto" w:fill="auto"/>
            <w:vAlign w:val="bottom"/>
          </w:tcPr>
          <w:p w14:paraId="73464ADA"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453" w:type="dxa"/>
            <w:tcBorders>
              <w:bottom w:val="single" w:sz="4" w:space="0" w:color="auto"/>
            </w:tcBorders>
            <w:shd w:val="clear" w:color="auto" w:fill="auto"/>
            <w:vAlign w:val="bottom"/>
          </w:tcPr>
          <w:p w14:paraId="6AB283A8"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w:t>
            </w:r>
          </w:p>
        </w:tc>
        <w:tc>
          <w:tcPr>
            <w:tcW w:w="1453" w:type="dxa"/>
            <w:tcBorders>
              <w:bottom w:val="single" w:sz="4" w:space="0" w:color="auto"/>
            </w:tcBorders>
            <w:shd w:val="clear" w:color="auto" w:fill="auto"/>
            <w:vAlign w:val="bottom"/>
          </w:tcPr>
          <w:p w14:paraId="5D71A49D"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Std. Error</w:t>
            </w:r>
          </w:p>
        </w:tc>
        <w:tc>
          <w:tcPr>
            <w:tcW w:w="1603" w:type="dxa"/>
            <w:tcBorders>
              <w:bottom w:val="single" w:sz="4" w:space="0" w:color="auto"/>
            </w:tcBorders>
            <w:shd w:val="clear" w:color="auto" w:fill="auto"/>
            <w:vAlign w:val="bottom"/>
          </w:tcPr>
          <w:p w14:paraId="6BC4FA0B"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Beta</w:t>
            </w:r>
          </w:p>
        </w:tc>
        <w:tc>
          <w:tcPr>
            <w:tcW w:w="1118" w:type="dxa"/>
            <w:vMerge/>
            <w:tcBorders>
              <w:bottom w:val="single" w:sz="4" w:space="0" w:color="auto"/>
            </w:tcBorders>
            <w:shd w:val="clear" w:color="auto" w:fill="auto"/>
            <w:vAlign w:val="bottom"/>
          </w:tcPr>
          <w:p w14:paraId="7EB95E1F"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118" w:type="dxa"/>
            <w:vMerge/>
            <w:tcBorders>
              <w:bottom w:val="single" w:sz="4" w:space="0" w:color="auto"/>
            </w:tcBorders>
            <w:shd w:val="clear" w:color="auto" w:fill="auto"/>
            <w:vAlign w:val="bottom"/>
          </w:tcPr>
          <w:p w14:paraId="285CBB48"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r>
      <w:tr w:rsidR="00E74DAC" w:rsidRPr="00E74DAC" w14:paraId="298494C3" w14:textId="77777777" w:rsidTr="00E74DAC">
        <w:trPr>
          <w:cantSplit/>
          <w:trHeight w:val="318"/>
        </w:trPr>
        <w:tc>
          <w:tcPr>
            <w:tcW w:w="799" w:type="dxa"/>
            <w:vMerge w:val="restart"/>
            <w:tcBorders>
              <w:top w:val="single" w:sz="4" w:space="0" w:color="auto"/>
            </w:tcBorders>
            <w:shd w:val="clear" w:color="auto" w:fill="auto"/>
          </w:tcPr>
          <w:p w14:paraId="1E49AFC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286" w:type="dxa"/>
            <w:tcBorders>
              <w:top w:val="single" w:sz="4" w:space="0" w:color="auto"/>
            </w:tcBorders>
            <w:shd w:val="clear" w:color="auto" w:fill="auto"/>
          </w:tcPr>
          <w:p w14:paraId="0BE9EB05"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(Constant)</w:t>
            </w:r>
          </w:p>
        </w:tc>
        <w:tc>
          <w:tcPr>
            <w:tcW w:w="1453" w:type="dxa"/>
            <w:tcBorders>
              <w:top w:val="single" w:sz="4" w:space="0" w:color="auto"/>
            </w:tcBorders>
            <w:shd w:val="clear" w:color="auto" w:fill="auto"/>
          </w:tcPr>
          <w:p w14:paraId="27E9E45A" w14:textId="66FD041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.594</w:t>
            </w:r>
          </w:p>
        </w:tc>
        <w:tc>
          <w:tcPr>
            <w:tcW w:w="1453" w:type="dxa"/>
            <w:tcBorders>
              <w:top w:val="single" w:sz="4" w:space="0" w:color="auto"/>
            </w:tcBorders>
            <w:shd w:val="clear" w:color="auto" w:fill="auto"/>
          </w:tcPr>
          <w:p w14:paraId="52EA19C0" w14:textId="7D269353"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.053</w:t>
            </w:r>
          </w:p>
        </w:tc>
        <w:tc>
          <w:tcPr>
            <w:tcW w:w="1603" w:type="dxa"/>
            <w:tcBorders>
              <w:top w:val="single" w:sz="4" w:space="0" w:color="auto"/>
            </w:tcBorders>
            <w:shd w:val="clear" w:color="auto" w:fill="auto"/>
            <w:vAlign w:val="center"/>
          </w:tcPr>
          <w:p w14:paraId="79EAB868"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18" w:type="dxa"/>
            <w:tcBorders>
              <w:top w:val="single" w:sz="4" w:space="0" w:color="auto"/>
            </w:tcBorders>
            <w:shd w:val="clear" w:color="auto" w:fill="auto"/>
          </w:tcPr>
          <w:p w14:paraId="3CB16FEF" w14:textId="307951E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11.</w:t>
            </w:r>
            <w:r w:rsidR="00031E9A" w:rsidRPr="00E74DAC">
              <w:rPr>
                <w:rFonts w:ascii="Arial" w:hAnsi="Arial" w:cs="Arial"/>
                <w:color w:val="000000" w:themeColor="text1"/>
                <w:sz w:val="18"/>
                <w:szCs w:val="18"/>
              </w:rPr>
              <w:t>30</w:t>
            </w:r>
          </w:p>
        </w:tc>
        <w:tc>
          <w:tcPr>
            <w:tcW w:w="1118" w:type="dxa"/>
            <w:tcBorders>
              <w:top w:val="single" w:sz="4" w:space="0" w:color="auto"/>
            </w:tcBorders>
            <w:shd w:val="clear" w:color="auto" w:fill="auto"/>
          </w:tcPr>
          <w:p w14:paraId="7E1FEAED" w14:textId="5D7009B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w:t>
            </w:r>
            <w:r w:rsidR="006B2DA9" w:rsidRPr="00E74DAC">
              <w:rPr>
                <w:rFonts w:ascii="Arial" w:hAnsi="Arial" w:cs="Arial"/>
                <w:color w:val="000000" w:themeColor="text1"/>
                <w:sz w:val="18"/>
                <w:szCs w:val="18"/>
              </w:rPr>
              <w:t>.000</w:t>
            </w:r>
            <w:r w:rsidRPr="00E74DAC">
              <w:rPr>
                <w:rFonts w:ascii="Arial" w:hAnsi="Arial" w:cs="Arial"/>
                <w:color w:val="000000" w:themeColor="text1"/>
                <w:sz w:val="18"/>
                <w:szCs w:val="18"/>
              </w:rPr>
              <w:t>1</w:t>
            </w:r>
          </w:p>
        </w:tc>
      </w:tr>
      <w:tr w:rsidR="00E74DAC" w:rsidRPr="00E74DAC" w14:paraId="2BC8DBB9" w14:textId="77777777" w:rsidTr="00E74DAC">
        <w:trPr>
          <w:cantSplit/>
          <w:trHeight w:val="331"/>
        </w:trPr>
        <w:tc>
          <w:tcPr>
            <w:tcW w:w="799" w:type="dxa"/>
            <w:vMerge/>
            <w:shd w:val="clear" w:color="auto" w:fill="auto"/>
          </w:tcPr>
          <w:p w14:paraId="5E4BD0A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1D91AD3B"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sex</w:t>
            </w:r>
          </w:p>
        </w:tc>
        <w:tc>
          <w:tcPr>
            <w:tcW w:w="1453" w:type="dxa"/>
            <w:shd w:val="clear" w:color="auto" w:fill="auto"/>
          </w:tcPr>
          <w:p w14:paraId="78AF7A3C" w14:textId="1393C1C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.022</w:t>
            </w:r>
          </w:p>
        </w:tc>
        <w:tc>
          <w:tcPr>
            <w:tcW w:w="1453" w:type="dxa"/>
            <w:shd w:val="clear" w:color="auto" w:fill="auto"/>
          </w:tcPr>
          <w:p w14:paraId="7EF14CC6" w14:textId="4BEED33C"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.006</w:t>
            </w:r>
          </w:p>
        </w:tc>
        <w:tc>
          <w:tcPr>
            <w:tcW w:w="1603" w:type="dxa"/>
            <w:shd w:val="clear" w:color="auto" w:fill="auto"/>
          </w:tcPr>
          <w:p w14:paraId="0A1B473D" w14:textId="7513771F"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.033</w:t>
            </w:r>
          </w:p>
        </w:tc>
        <w:tc>
          <w:tcPr>
            <w:tcW w:w="1118" w:type="dxa"/>
            <w:shd w:val="clear" w:color="auto" w:fill="auto"/>
          </w:tcPr>
          <w:p w14:paraId="538893A6" w14:textId="73E408B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3.4</w:t>
            </w:r>
            <w:r w:rsidR="00031E9A" w:rsidRPr="00E74DAC">
              <w:rPr>
                <w:rFonts w:ascii="Arial" w:hAnsi="Arial" w:cs="Arial"/>
                <w:color w:val="000000" w:themeColor="text1"/>
                <w:sz w:val="18"/>
                <w:szCs w:val="18"/>
              </w:rPr>
              <w:t>2</w:t>
            </w:r>
          </w:p>
        </w:tc>
        <w:tc>
          <w:tcPr>
            <w:tcW w:w="1118" w:type="dxa"/>
            <w:shd w:val="clear" w:color="auto" w:fill="auto"/>
          </w:tcPr>
          <w:p w14:paraId="399532C1" w14:textId="019D3203"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.001</w:t>
            </w:r>
          </w:p>
        </w:tc>
      </w:tr>
      <w:tr w:rsidR="00E74DAC" w:rsidRPr="00E74DAC" w14:paraId="47B92F9D" w14:textId="77777777" w:rsidTr="00E74DAC">
        <w:trPr>
          <w:cantSplit/>
          <w:trHeight w:val="318"/>
        </w:trPr>
        <w:tc>
          <w:tcPr>
            <w:tcW w:w="799" w:type="dxa"/>
            <w:vMerge/>
            <w:shd w:val="clear" w:color="auto" w:fill="auto"/>
          </w:tcPr>
          <w:p w14:paraId="53A2183B"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0C8868FA"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age</w:t>
            </w:r>
          </w:p>
        </w:tc>
        <w:tc>
          <w:tcPr>
            <w:tcW w:w="1453" w:type="dxa"/>
            <w:shd w:val="clear" w:color="auto" w:fill="auto"/>
          </w:tcPr>
          <w:p w14:paraId="682FF49E" w14:textId="267E933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0.002</w:t>
            </w:r>
          </w:p>
        </w:tc>
        <w:tc>
          <w:tcPr>
            <w:tcW w:w="1453" w:type="dxa"/>
            <w:shd w:val="clear" w:color="auto" w:fill="auto"/>
          </w:tcPr>
          <w:p w14:paraId="12C83B46" w14:textId="242A76D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0.000</w:t>
            </w:r>
          </w:p>
        </w:tc>
        <w:tc>
          <w:tcPr>
            <w:tcW w:w="1603" w:type="dxa"/>
            <w:shd w:val="clear" w:color="auto" w:fill="auto"/>
          </w:tcPr>
          <w:p w14:paraId="2696B928" w14:textId="06CDCA9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0.058</w:t>
            </w:r>
          </w:p>
        </w:tc>
        <w:tc>
          <w:tcPr>
            <w:tcW w:w="1118" w:type="dxa"/>
            <w:shd w:val="clear" w:color="auto" w:fill="auto"/>
          </w:tcPr>
          <w:p w14:paraId="7F4A0D5E" w14:textId="0E302450"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5.22</w:t>
            </w:r>
          </w:p>
        </w:tc>
        <w:tc>
          <w:tcPr>
            <w:tcW w:w="1118" w:type="dxa"/>
            <w:shd w:val="clear" w:color="auto" w:fill="auto"/>
          </w:tcPr>
          <w:p w14:paraId="56EFC72F" w14:textId="27511D6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4362932E" w14:textId="77777777" w:rsidTr="00E74DAC">
        <w:trPr>
          <w:cantSplit/>
          <w:trHeight w:val="331"/>
        </w:trPr>
        <w:tc>
          <w:tcPr>
            <w:tcW w:w="799" w:type="dxa"/>
            <w:vMerge/>
            <w:shd w:val="clear" w:color="auto" w:fill="auto"/>
          </w:tcPr>
          <w:p w14:paraId="26647633"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77174609" w14:textId="7ECEB9F7" w:rsidR="00031E9A" w:rsidRPr="00E74DAC" w:rsidRDefault="00E74DAC"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D</w:t>
            </w:r>
            <w:r w:rsidR="00031E9A" w:rsidRPr="00E74DAC">
              <w:rPr>
                <w:rFonts w:ascii="Arial" w:hAnsi="Arial" w:cs="Arial"/>
                <w:color w:val="000000" w:themeColor="text1"/>
                <w:sz w:val="18"/>
                <w:szCs w:val="18"/>
              </w:rPr>
              <w:t>m</w:t>
            </w:r>
            <w:r>
              <w:rPr>
                <w:rFonts w:ascii="Arial" w:hAnsi="Arial" w:cs="Arial"/>
                <w:color w:val="000000" w:themeColor="text1"/>
                <w:sz w:val="18"/>
                <w:szCs w:val="18"/>
              </w:rPr>
              <w:t xml:space="preserve"> </w:t>
            </w:r>
            <w:r w:rsidR="00031E9A" w:rsidRPr="00E74DAC">
              <w:rPr>
                <w:rFonts w:ascii="Arial" w:hAnsi="Arial" w:cs="Arial"/>
                <w:color w:val="000000" w:themeColor="text1"/>
                <w:sz w:val="18"/>
                <w:szCs w:val="18"/>
              </w:rPr>
              <w:t>dur</w:t>
            </w:r>
            <w:r>
              <w:rPr>
                <w:rFonts w:ascii="Arial" w:hAnsi="Arial" w:cs="Arial"/>
                <w:color w:val="000000" w:themeColor="text1"/>
                <w:sz w:val="18"/>
                <w:szCs w:val="18"/>
              </w:rPr>
              <w:t>ation</w:t>
            </w:r>
          </w:p>
        </w:tc>
        <w:tc>
          <w:tcPr>
            <w:tcW w:w="1453" w:type="dxa"/>
            <w:shd w:val="clear" w:color="auto" w:fill="auto"/>
          </w:tcPr>
          <w:p w14:paraId="52E6BA5C" w14:textId="60E2723B"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0.003</w:t>
            </w:r>
          </w:p>
        </w:tc>
        <w:tc>
          <w:tcPr>
            <w:tcW w:w="1453" w:type="dxa"/>
            <w:shd w:val="clear" w:color="auto" w:fill="auto"/>
          </w:tcPr>
          <w:p w14:paraId="78883542" w14:textId="0C1E125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0.000</w:t>
            </w:r>
          </w:p>
        </w:tc>
        <w:tc>
          <w:tcPr>
            <w:tcW w:w="1603" w:type="dxa"/>
            <w:shd w:val="clear" w:color="auto" w:fill="auto"/>
          </w:tcPr>
          <w:p w14:paraId="1C701D04" w14:textId="1FE1ACBE"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0.064</w:t>
            </w:r>
          </w:p>
        </w:tc>
        <w:tc>
          <w:tcPr>
            <w:tcW w:w="1118" w:type="dxa"/>
            <w:shd w:val="clear" w:color="auto" w:fill="auto"/>
          </w:tcPr>
          <w:p w14:paraId="1415D5A2" w14:textId="67EDC90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6.79</w:t>
            </w:r>
          </w:p>
        </w:tc>
        <w:tc>
          <w:tcPr>
            <w:tcW w:w="1118" w:type="dxa"/>
            <w:shd w:val="clear" w:color="auto" w:fill="auto"/>
          </w:tcPr>
          <w:p w14:paraId="24B15DA7" w14:textId="11EED33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5E2B8F6D" w14:textId="77777777" w:rsidTr="00E74DAC">
        <w:trPr>
          <w:cantSplit/>
          <w:trHeight w:val="318"/>
        </w:trPr>
        <w:tc>
          <w:tcPr>
            <w:tcW w:w="799" w:type="dxa"/>
            <w:vMerge/>
            <w:shd w:val="clear" w:color="auto" w:fill="auto"/>
          </w:tcPr>
          <w:p w14:paraId="37B51870"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39775A87"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job</w:t>
            </w:r>
          </w:p>
        </w:tc>
        <w:tc>
          <w:tcPr>
            <w:tcW w:w="1453" w:type="dxa"/>
            <w:shd w:val="clear" w:color="auto" w:fill="auto"/>
          </w:tcPr>
          <w:p w14:paraId="32D8BEB7" w14:textId="6A4525AF"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.002</w:t>
            </w:r>
          </w:p>
        </w:tc>
        <w:tc>
          <w:tcPr>
            <w:tcW w:w="1453" w:type="dxa"/>
            <w:shd w:val="clear" w:color="auto" w:fill="auto"/>
          </w:tcPr>
          <w:p w14:paraId="40194BDF" w14:textId="78B24D39"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.002</w:t>
            </w:r>
          </w:p>
        </w:tc>
        <w:tc>
          <w:tcPr>
            <w:tcW w:w="1603" w:type="dxa"/>
            <w:shd w:val="clear" w:color="auto" w:fill="auto"/>
          </w:tcPr>
          <w:p w14:paraId="2580783D" w14:textId="2FACBD1B"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.008</w:t>
            </w:r>
          </w:p>
        </w:tc>
        <w:tc>
          <w:tcPr>
            <w:tcW w:w="1118" w:type="dxa"/>
            <w:shd w:val="clear" w:color="auto" w:fill="auto"/>
          </w:tcPr>
          <w:p w14:paraId="4C9187EA" w14:textId="5AFEAE76"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.8</w:t>
            </w:r>
            <w:r w:rsidRPr="00E74DAC">
              <w:rPr>
                <w:rFonts w:ascii="Arial" w:hAnsi="Arial" w:cs="Arial"/>
                <w:color w:val="000000" w:themeColor="text1"/>
                <w:sz w:val="18"/>
                <w:szCs w:val="18"/>
              </w:rPr>
              <w:t>6</w:t>
            </w:r>
          </w:p>
        </w:tc>
        <w:tc>
          <w:tcPr>
            <w:tcW w:w="1118" w:type="dxa"/>
            <w:shd w:val="clear" w:color="auto" w:fill="auto"/>
          </w:tcPr>
          <w:p w14:paraId="0617E7FD" w14:textId="09BE838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.39</w:t>
            </w:r>
          </w:p>
        </w:tc>
      </w:tr>
      <w:tr w:rsidR="00E74DAC" w:rsidRPr="00E74DAC" w14:paraId="2D9C0DA6" w14:textId="77777777" w:rsidTr="00E74DAC">
        <w:trPr>
          <w:cantSplit/>
          <w:trHeight w:val="331"/>
        </w:trPr>
        <w:tc>
          <w:tcPr>
            <w:tcW w:w="799" w:type="dxa"/>
            <w:vMerge/>
            <w:shd w:val="clear" w:color="auto" w:fill="auto"/>
          </w:tcPr>
          <w:p w14:paraId="482A437B"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186B9B54" w14:textId="1D2B3D51" w:rsidR="006B2DA9" w:rsidRPr="00E74DAC" w:rsidRDefault="00E74DAC"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BMI</w:t>
            </w:r>
          </w:p>
        </w:tc>
        <w:tc>
          <w:tcPr>
            <w:tcW w:w="1453" w:type="dxa"/>
            <w:shd w:val="clear" w:color="auto" w:fill="auto"/>
          </w:tcPr>
          <w:p w14:paraId="7332B097" w14:textId="79C3AC1F"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.001</w:t>
            </w:r>
          </w:p>
        </w:tc>
        <w:tc>
          <w:tcPr>
            <w:tcW w:w="1453" w:type="dxa"/>
            <w:shd w:val="clear" w:color="auto" w:fill="auto"/>
          </w:tcPr>
          <w:p w14:paraId="7AAD9134" w14:textId="6B4977B2"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.001</w:t>
            </w:r>
          </w:p>
        </w:tc>
        <w:tc>
          <w:tcPr>
            <w:tcW w:w="1603" w:type="dxa"/>
            <w:shd w:val="clear" w:color="auto" w:fill="auto"/>
          </w:tcPr>
          <w:p w14:paraId="6FA87DEF" w14:textId="10DF849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.013</w:t>
            </w:r>
          </w:p>
        </w:tc>
        <w:tc>
          <w:tcPr>
            <w:tcW w:w="1118" w:type="dxa"/>
            <w:shd w:val="clear" w:color="auto" w:fill="auto"/>
          </w:tcPr>
          <w:p w14:paraId="2DF43861" w14:textId="6E4A6323"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1.3</w:t>
            </w:r>
            <w:r w:rsidR="00031E9A" w:rsidRPr="00E74DAC">
              <w:rPr>
                <w:rFonts w:ascii="Arial" w:hAnsi="Arial" w:cs="Arial"/>
                <w:color w:val="000000" w:themeColor="text1"/>
                <w:sz w:val="18"/>
                <w:szCs w:val="18"/>
              </w:rPr>
              <w:t>5</w:t>
            </w:r>
          </w:p>
        </w:tc>
        <w:tc>
          <w:tcPr>
            <w:tcW w:w="1118" w:type="dxa"/>
            <w:shd w:val="clear" w:color="auto" w:fill="auto"/>
          </w:tcPr>
          <w:p w14:paraId="0D23B323" w14:textId="6CC7B27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.18</w:t>
            </w:r>
          </w:p>
        </w:tc>
      </w:tr>
      <w:tr w:rsidR="00E74DAC" w:rsidRPr="00E74DAC" w14:paraId="437DE30C" w14:textId="77777777" w:rsidTr="00E74DAC">
        <w:trPr>
          <w:cantSplit/>
          <w:trHeight w:val="331"/>
        </w:trPr>
        <w:tc>
          <w:tcPr>
            <w:tcW w:w="799" w:type="dxa"/>
            <w:vMerge/>
            <w:shd w:val="clear" w:color="auto" w:fill="auto"/>
          </w:tcPr>
          <w:p w14:paraId="56C45B2A"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45EA4D7F"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fbg</w:t>
            </w:r>
            <w:proofErr w:type="spellEnd"/>
          </w:p>
        </w:tc>
        <w:tc>
          <w:tcPr>
            <w:tcW w:w="1453" w:type="dxa"/>
            <w:shd w:val="clear" w:color="auto" w:fill="auto"/>
          </w:tcPr>
          <w:p w14:paraId="48ABE8EA" w14:textId="62AF23A3"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0.055</w:t>
            </w:r>
          </w:p>
        </w:tc>
        <w:tc>
          <w:tcPr>
            <w:tcW w:w="1453" w:type="dxa"/>
            <w:shd w:val="clear" w:color="auto" w:fill="auto"/>
          </w:tcPr>
          <w:p w14:paraId="06132271" w14:textId="7C81C865"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0.001</w:t>
            </w:r>
          </w:p>
        </w:tc>
        <w:tc>
          <w:tcPr>
            <w:tcW w:w="1603" w:type="dxa"/>
            <w:shd w:val="clear" w:color="auto" w:fill="auto"/>
          </w:tcPr>
          <w:p w14:paraId="271CFCD4" w14:textId="69EF194E"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0.671</w:t>
            </w:r>
          </w:p>
        </w:tc>
        <w:tc>
          <w:tcPr>
            <w:tcW w:w="1118" w:type="dxa"/>
            <w:shd w:val="clear" w:color="auto" w:fill="auto"/>
          </w:tcPr>
          <w:p w14:paraId="1E1C1833" w14:textId="1B7988BC"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66.16</w:t>
            </w:r>
          </w:p>
        </w:tc>
        <w:tc>
          <w:tcPr>
            <w:tcW w:w="1118" w:type="dxa"/>
            <w:shd w:val="clear" w:color="auto" w:fill="auto"/>
          </w:tcPr>
          <w:p w14:paraId="36D9256F" w14:textId="6DE4C3DF"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50F54422" w14:textId="77777777" w:rsidTr="00E74DAC">
        <w:trPr>
          <w:cantSplit/>
          <w:trHeight w:val="318"/>
        </w:trPr>
        <w:tc>
          <w:tcPr>
            <w:tcW w:w="799" w:type="dxa"/>
            <w:vMerge/>
            <w:shd w:val="clear" w:color="auto" w:fill="auto"/>
          </w:tcPr>
          <w:p w14:paraId="4F7C2763"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68FFED9C"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hdl</w:t>
            </w:r>
            <w:proofErr w:type="spellEnd"/>
          </w:p>
        </w:tc>
        <w:tc>
          <w:tcPr>
            <w:tcW w:w="1453" w:type="dxa"/>
            <w:shd w:val="clear" w:color="auto" w:fill="auto"/>
          </w:tcPr>
          <w:p w14:paraId="3D4B620C" w14:textId="73F70026"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0.218</w:t>
            </w:r>
          </w:p>
        </w:tc>
        <w:tc>
          <w:tcPr>
            <w:tcW w:w="1453" w:type="dxa"/>
            <w:shd w:val="clear" w:color="auto" w:fill="auto"/>
          </w:tcPr>
          <w:p w14:paraId="0FFD412D" w14:textId="19F1B7B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0.027</w:t>
            </w:r>
          </w:p>
        </w:tc>
        <w:tc>
          <w:tcPr>
            <w:tcW w:w="1603" w:type="dxa"/>
            <w:shd w:val="clear" w:color="auto" w:fill="auto"/>
          </w:tcPr>
          <w:p w14:paraId="01BA1486" w14:textId="14AAADDD"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0.206</w:t>
            </w:r>
          </w:p>
        </w:tc>
        <w:tc>
          <w:tcPr>
            <w:tcW w:w="1118" w:type="dxa"/>
            <w:shd w:val="clear" w:color="auto" w:fill="auto"/>
          </w:tcPr>
          <w:p w14:paraId="5AB1FC7E" w14:textId="6BD40E5D"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8.03</w:t>
            </w:r>
          </w:p>
        </w:tc>
        <w:tc>
          <w:tcPr>
            <w:tcW w:w="1118" w:type="dxa"/>
            <w:shd w:val="clear" w:color="auto" w:fill="auto"/>
          </w:tcPr>
          <w:p w14:paraId="7930673B" w14:textId="07375771"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79ED32FF" w14:textId="77777777" w:rsidTr="00E74DAC">
        <w:trPr>
          <w:cantSplit/>
          <w:trHeight w:val="331"/>
        </w:trPr>
        <w:tc>
          <w:tcPr>
            <w:tcW w:w="799" w:type="dxa"/>
            <w:vMerge/>
            <w:shd w:val="clear" w:color="auto" w:fill="auto"/>
          </w:tcPr>
          <w:p w14:paraId="6C43B65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7CB85B89"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ldl</w:t>
            </w:r>
            <w:proofErr w:type="spellEnd"/>
          </w:p>
        </w:tc>
        <w:tc>
          <w:tcPr>
            <w:tcW w:w="1453" w:type="dxa"/>
            <w:shd w:val="clear" w:color="auto" w:fill="auto"/>
          </w:tcPr>
          <w:p w14:paraId="479C8EE1" w14:textId="65CDAD22"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.023</w:t>
            </w:r>
          </w:p>
        </w:tc>
        <w:tc>
          <w:tcPr>
            <w:tcW w:w="1453" w:type="dxa"/>
            <w:shd w:val="clear" w:color="auto" w:fill="auto"/>
          </w:tcPr>
          <w:p w14:paraId="5C222E2B" w14:textId="6921A60B"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.010</w:t>
            </w:r>
          </w:p>
        </w:tc>
        <w:tc>
          <w:tcPr>
            <w:tcW w:w="1603" w:type="dxa"/>
            <w:shd w:val="clear" w:color="auto" w:fill="auto"/>
          </w:tcPr>
          <w:p w14:paraId="26521F0F" w14:textId="72DCB9AB"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.072</w:t>
            </w:r>
          </w:p>
        </w:tc>
        <w:tc>
          <w:tcPr>
            <w:tcW w:w="1118" w:type="dxa"/>
            <w:shd w:val="clear" w:color="auto" w:fill="auto"/>
          </w:tcPr>
          <w:p w14:paraId="377E4A75"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2.306</w:t>
            </w:r>
          </w:p>
        </w:tc>
        <w:tc>
          <w:tcPr>
            <w:tcW w:w="1118" w:type="dxa"/>
            <w:shd w:val="clear" w:color="auto" w:fill="auto"/>
          </w:tcPr>
          <w:p w14:paraId="02FB3357" w14:textId="44159D4D"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w:t>
            </w:r>
          </w:p>
        </w:tc>
      </w:tr>
      <w:tr w:rsidR="00E74DAC" w:rsidRPr="00E74DAC" w14:paraId="42C8A715" w14:textId="77777777" w:rsidTr="00E74DAC">
        <w:trPr>
          <w:cantSplit/>
          <w:trHeight w:val="318"/>
        </w:trPr>
        <w:tc>
          <w:tcPr>
            <w:tcW w:w="799" w:type="dxa"/>
            <w:vMerge/>
            <w:shd w:val="clear" w:color="auto" w:fill="auto"/>
          </w:tcPr>
          <w:p w14:paraId="1BCA48CB"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3A574A5F" w14:textId="1075400B" w:rsidR="006B2DA9" w:rsidRPr="00E74DAC" w:rsidRDefault="00031E9A"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VLDL</w:t>
            </w:r>
          </w:p>
        </w:tc>
        <w:tc>
          <w:tcPr>
            <w:tcW w:w="1453" w:type="dxa"/>
            <w:shd w:val="clear" w:color="auto" w:fill="auto"/>
          </w:tcPr>
          <w:p w14:paraId="41CCE1F3" w14:textId="1E77F0F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.159</w:t>
            </w:r>
          </w:p>
        </w:tc>
        <w:tc>
          <w:tcPr>
            <w:tcW w:w="1453" w:type="dxa"/>
            <w:shd w:val="clear" w:color="auto" w:fill="auto"/>
          </w:tcPr>
          <w:p w14:paraId="6C04ED09" w14:textId="40F20865"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.062</w:t>
            </w:r>
          </w:p>
        </w:tc>
        <w:tc>
          <w:tcPr>
            <w:tcW w:w="1603" w:type="dxa"/>
            <w:shd w:val="clear" w:color="auto" w:fill="auto"/>
          </w:tcPr>
          <w:p w14:paraId="1406503C" w14:textId="18CBD2C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.124</w:t>
            </w:r>
          </w:p>
        </w:tc>
        <w:tc>
          <w:tcPr>
            <w:tcW w:w="1118" w:type="dxa"/>
            <w:shd w:val="clear" w:color="auto" w:fill="auto"/>
          </w:tcPr>
          <w:p w14:paraId="5140B8E1" w14:textId="4E71D4A9"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2.560</w:t>
            </w:r>
          </w:p>
        </w:tc>
        <w:tc>
          <w:tcPr>
            <w:tcW w:w="1118" w:type="dxa"/>
            <w:shd w:val="clear" w:color="auto" w:fill="auto"/>
          </w:tcPr>
          <w:p w14:paraId="3B017A96" w14:textId="0C405D6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w:t>
            </w:r>
          </w:p>
        </w:tc>
      </w:tr>
      <w:tr w:rsidR="00E74DAC" w:rsidRPr="00E74DAC" w14:paraId="5A02D797" w14:textId="77777777" w:rsidTr="00E74DAC">
        <w:trPr>
          <w:cantSplit/>
          <w:trHeight w:val="331"/>
        </w:trPr>
        <w:tc>
          <w:tcPr>
            <w:tcW w:w="799" w:type="dxa"/>
            <w:vMerge/>
            <w:shd w:val="clear" w:color="auto" w:fill="auto"/>
          </w:tcPr>
          <w:p w14:paraId="26BE9B42"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79570984"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HDL/LDL</w:t>
            </w:r>
          </w:p>
        </w:tc>
        <w:tc>
          <w:tcPr>
            <w:tcW w:w="1453" w:type="dxa"/>
            <w:shd w:val="clear" w:color="auto" w:fill="auto"/>
          </w:tcPr>
          <w:p w14:paraId="1B15054A" w14:textId="7A63A74A"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-0.626</w:t>
            </w:r>
          </w:p>
        </w:tc>
        <w:tc>
          <w:tcPr>
            <w:tcW w:w="1453" w:type="dxa"/>
            <w:shd w:val="clear" w:color="auto" w:fill="auto"/>
          </w:tcPr>
          <w:p w14:paraId="1078B6EF" w14:textId="2038E655"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0.090</w:t>
            </w:r>
          </w:p>
        </w:tc>
        <w:tc>
          <w:tcPr>
            <w:tcW w:w="1603" w:type="dxa"/>
            <w:shd w:val="clear" w:color="auto" w:fill="auto"/>
          </w:tcPr>
          <w:p w14:paraId="020EBA82" w14:textId="5E61E74B"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-0.219</w:t>
            </w:r>
          </w:p>
        </w:tc>
        <w:tc>
          <w:tcPr>
            <w:tcW w:w="1118" w:type="dxa"/>
            <w:shd w:val="clear" w:color="auto" w:fill="auto"/>
          </w:tcPr>
          <w:p w14:paraId="0A15ABE0" w14:textId="7FF830A1"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6.921</w:t>
            </w:r>
          </w:p>
        </w:tc>
        <w:tc>
          <w:tcPr>
            <w:tcW w:w="1118" w:type="dxa"/>
            <w:shd w:val="clear" w:color="auto" w:fill="auto"/>
          </w:tcPr>
          <w:p w14:paraId="7C6F6F04" w14:textId="06382F13"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6F8DD088" w14:textId="77777777" w:rsidTr="00E74DAC">
        <w:trPr>
          <w:cantSplit/>
          <w:trHeight w:val="318"/>
        </w:trPr>
        <w:tc>
          <w:tcPr>
            <w:tcW w:w="799" w:type="dxa"/>
            <w:vMerge/>
            <w:shd w:val="clear" w:color="auto" w:fill="auto"/>
          </w:tcPr>
          <w:p w14:paraId="3A15A32F"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6B22080E"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TG/CHOL</w:t>
            </w:r>
          </w:p>
        </w:tc>
        <w:tc>
          <w:tcPr>
            <w:tcW w:w="1453" w:type="dxa"/>
            <w:shd w:val="clear" w:color="auto" w:fill="auto"/>
          </w:tcPr>
          <w:p w14:paraId="139BF3F4" w14:textId="7777777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2.695</w:t>
            </w:r>
          </w:p>
        </w:tc>
        <w:tc>
          <w:tcPr>
            <w:tcW w:w="1453" w:type="dxa"/>
            <w:shd w:val="clear" w:color="auto" w:fill="auto"/>
          </w:tcPr>
          <w:p w14:paraId="60EA9CA6" w14:textId="41E903F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0.152</w:t>
            </w:r>
          </w:p>
        </w:tc>
        <w:tc>
          <w:tcPr>
            <w:tcW w:w="1603" w:type="dxa"/>
            <w:shd w:val="clear" w:color="auto" w:fill="auto"/>
          </w:tcPr>
          <w:p w14:paraId="2388714F" w14:textId="6CF321A1"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0.765</w:t>
            </w:r>
          </w:p>
        </w:tc>
        <w:tc>
          <w:tcPr>
            <w:tcW w:w="1118" w:type="dxa"/>
            <w:shd w:val="clear" w:color="auto" w:fill="auto"/>
          </w:tcPr>
          <w:p w14:paraId="446FB7D8" w14:textId="7777777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17.689</w:t>
            </w:r>
          </w:p>
        </w:tc>
        <w:tc>
          <w:tcPr>
            <w:tcW w:w="1118" w:type="dxa"/>
            <w:shd w:val="clear" w:color="auto" w:fill="auto"/>
          </w:tcPr>
          <w:p w14:paraId="0CECB2A3" w14:textId="2A14780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0C1399FA" w14:textId="77777777" w:rsidTr="00E74DAC">
        <w:trPr>
          <w:cantSplit/>
          <w:trHeight w:val="331"/>
        </w:trPr>
        <w:tc>
          <w:tcPr>
            <w:tcW w:w="799" w:type="dxa"/>
            <w:vMerge/>
            <w:tcBorders>
              <w:bottom w:val="single" w:sz="4" w:space="0" w:color="auto"/>
            </w:tcBorders>
            <w:shd w:val="clear" w:color="auto" w:fill="auto"/>
          </w:tcPr>
          <w:p w14:paraId="2E85EFE3"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tcBorders>
              <w:bottom w:val="single" w:sz="4" w:space="0" w:color="auto"/>
            </w:tcBorders>
            <w:shd w:val="clear" w:color="auto" w:fill="auto"/>
          </w:tcPr>
          <w:p w14:paraId="6350A251"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NON-HDL</w:t>
            </w:r>
          </w:p>
        </w:tc>
        <w:tc>
          <w:tcPr>
            <w:tcW w:w="1453" w:type="dxa"/>
            <w:tcBorders>
              <w:bottom w:val="single" w:sz="4" w:space="0" w:color="auto"/>
            </w:tcBorders>
            <w:shd w:val="clear" w:color="auto" w:fill="auto"/>
          </w:tcPr>
          <w:p w14:paraId="276FE8E0" w14:textId="5C15BC3D"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0.064</w:t>
            </w:r>
          </w:p>
        </w:tc>
        <w:tc>
          <w:tcPr>
            <w:tcW w:w="1453" w:type="dxa"/>
            <w:tcBorders>
              <w:bottom w:val="single" w:sz="4" w:space="0" w:color="auto"/>
            </w:tcBorders>
            <w:shd w:val="clear" w:color="auto" w:fill="auto"/>
          </w:tcPr>
          <w:p w14:paraId="0B459EFD" w14:textId="234A510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0.012</w:t>
            </w:r>
          </w:p>
        </w:tc>
        <w:tc>
          <w:tcPr>
            <w:tcW w:w="1603" w:type="dxa"/>
            <w:tcBorders>
              <w:bottom w:val="single" w:sz="4" w:space="0" w:color="auto"/>
            </w:tcBorders>
            <w:shd w:val="clear" w:color="auto" w:fill="auto"/>
          </w:tcPr>
          <w:p w14:paraId="08F0F993" w14:textId="465E013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0.216</w:t>
            </w:r>
          </w:p>
        </w:tc>
        <w:tc>
          <w:tcPr>
            <w:tcW w:w="1118" w:type="dxa"/>
            <w:tcBorders>
              <w:bottom w:val="single" w:sz="4" w:space="0" w:color="auto"/>
            </w:tcBorders>
            <w:shd w:val="clear" w:color="auto" w:fill="auto"/>
          </w:tcPr>
          <w:p w14:paraId="1FA32F95" w14:textId="7777777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5.280</w:t>
            </w:r>
          </w:p>
        </w:tc>
        <w:tc>
          <w:tcPr>
            <w:tcW w:w="1118" w:type="dxa"/>
            <w:tcBorders>
              <w:bottom w:val="single" w:sz="4" w:space="0" w:color="auto"/>
            </w:tcBorders>
            <w:shd w:val="clear" w:color="auto" w:fill="auto"/>
          </w:tcPr>
          <w:p w14:paraId="52651CED" w14:textId="37A9D78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06EE8EEB" w14:textId="77777777" w:rsidTr="00E74DAC">
        <w:trPr>
          <w:cantSplit/>
          <w:trHeight w:val="318"/>
        </w:trPr>
        <w:tc>
          <w:tcPr>
            <w:tcW w:w="8834" w:type="dxa"/>
            <w:gridSpan w:val="7"/>
            <w:tcBorders>
              <w:top w:val="single" w:sz="4" w:space="0" w:color="auto"/>
            </w:tcBorders>
            <w:shd w:val="clear" w:color="auto" w:fill="auto"/>
          </w:tcPr>
          <w:p w14:paraId="6706B22E"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Dependent Variable: TYG</w:t>
            </w:r>
          </w:p>
        </w:tc>
      </w:tr>
    </w:tbl>
    <w:p w14:paraId="08ED78AF"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E45AFCD"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2676CE93" w14:textId="36DF94DA" w:rsidR="00F30E70" w:rsidRDefault="00F30E70"/>
    <w:p w14:paraId="3A5E328E" w14:textId="77184A42" w:rsidR="00F30E70" w:rsidRDefault="00F30E70"/>
    <w:p w14:paraId="7ABCF3DC" w14:textId="0D43BA5F" w:rsidR="00FE6E9E" w:rsidRPr="00FE6E9E" w:rsidRDefault="00FE6E9E">
      <w:pPr>
        <w:rPr>
          <w:rFonts w:ascii="Times New Roman" w:hAnsi="Times New Roman" w:cs="Times New Roman"/>
          <w:b/>
          <w:bCs/>
          <w:sz w:val="24"/>
          <w:szCs w:val="24"/>
        </w:rPr>
      </w:pPr>
      <w:r w:rsidRPr="00FE6E9E">
        <w:rPr>
          <w:rFonts w:ascii="Times New Roman" w:hAnsi="Times New Roman" w:cs="Times New Roman"/>
          <w:b/>
          <w:bCs/>
          <w:sz w:val="24"/>
          <w:szCs w:val="24"/>
        </w:rPr>
        <w:t>DISCUSSION</w:t>
      </w:r>
    </w:p>
    <w:p w14:paraId="437B0970" w14:textId="77777777" w:rsidR="00FE6E9E" w:rsidRPr="00FE6E9E" w:rsidRDefault="00FE6E9E" w:rsidP="00FE6E9E">
      <w:pPr>
        <w:pStyle w:val="NormalWeb"/>
      </w:pPr>
      <w:r w:rsidRPr="00FE6E9E">
        <w:lastRenderedPageBreak/>
        <w:t xml:space="preserve">Evidence from longitudinal and observational studies indicates that cardiovascular risk in diabetes mellitus accumulates progressively with disease duration rather than peaking within a discrete 5–10-year window. Cohort data, including findings from the </w:t>
      </w:r>
      <w:proofErr w:type="spellStart"/>
      <w:r w:rsidRPr="00FE6E9E">
        <w:rPr>
          <w:rStyle w:val="whitespace-normal"/>
        </w:rPr>
        <w:t>FinnDiane</w:t>
      </w:r>
      <w:proofErr w:type="spellEnd"/>
      <w:r w:rsidRPr="00FE6E9E">
        <w:rPr>
          <w:rStyle w:val="whitespace-normal"/>
        </w:rPr>
        <w:t xml:space="preserve"> Study</w:t>
      </w:r>
      <w:r w:rsidRPr="00FE6E9E">
        <w:t>, demonstrate a steady rise in cumulative cardiovascular disease (CVD) incidence over decades, reflecting sustained lifetime risk rather than a transient mid-term surge (</w:t>
      </w:r>
      <w:proofErr w:type="spellStart"/>
      <w:r w:rsidRPr="00FE6E9E">
        <w:t>Harjutsalo</w:t>
      </w:r>
      <w:proofErr w:type="spellEnd"/>
      <w:r w:rsidRPr="00FE6E9E">
        <w:t xml:space="preserve"> et al., 2021). Similarly, duration beyond 10 years has been strongly associated with markedly increased 10-year atherosclerotic cardiovascular disease (ASCVD) risk (OR = 8.15, 95% CI 5.25–14.42), supporting a threshold effect after the first decade of disease (Basil et al., 2024). In contrast, studies in younger cohorts with type 1 diabetes show relatively low short-term risk for most complications beyond five years, except for myocardial infarction, further arguing against a universal 5–10-year peak (Tawfik et al., 2025). Collectively, current evidence favors a model of cumulative risk escalation, particularly pronounced after prolonged disease duration.</w:t>
      </w:r>
    </w:p>
    <w:p w14:paraId="6225D88A" w14:textId="77777777" w:rsidR="00FE6E9E" w:rsidRPr="00FE6E9E" w:rsidRDefault="00FE6E9E" w:rsidP="00FE6E9E">
      <w:pPr>
        <w:pStyle w:val="NormalWeb"/>
      </w:pPr>
      <w:r w:rsidRPr="00FE6E9E">
        <w:t xml:space="preserve">Body mass index (BMI) and markers of visceral adiposity show consistent associations with both diabetes duration and cardiovascular risk. Data from the </w:t>
      </w:r>
      <w:proofErr w:type="spellStart"/>
      <w:r w:rsidRPr="00FE6E9E">
        <w:rPr>
          <w:rStyle w:val="whitespace-normal"/>
        </w:rPr>
        <w:t>Société</w:t>
      </w:r>
      <w:proofErr w:type="spellEnd"/>
      <w:r w:rsidRPr="00FE6E9E">
        <w:rPr>
          <w:rStyle w:val="whitespace-normal"/>
        </w:rPr>
        <w:t xml:space="preserve"> Francophone du </w:t>
      </w:r>
      <w:proofErr w:type="spellStart"/>
      <w:r w:rsidRPr="00FE6E9E">
        <w:rPr>
          <w:rStyle w:val="whitespace-normal"/>
        </w:rPr>
        <w:t>Diabète</w:t>
      </w:r>
      <w:proofErr w:type="spellEnd"/>
      <w:r w:rsidRPr="00FE6E9E">
        <w:rPr>
          <w:rStyle w:val="whitespace-normal"/>
        </w:rPr>
        <w:t xml:space="preserve"> Type 1 cohort</w:t>
      </w:r>
      <w:r w:rsidRPr="00FE6E9E">
        <w:t xml:space="preserve"> indicate that higher BMI categories are linked to longer diabetes duration and independently predict prior cardiovascular events and elevated 5- and 10-year risk estimates (Salle et al., 2024). Measures of central adiposity, such as waist-to-height ratio, have demonstrated even stronger predictive value for cardiovascular risk in some cohorts (Tawfik et al., 2025). In sub-Saharan African populations, including Nigerian cohorts, BMI and waist circumference correlate significantly with blood pressure and contribute meaningfully to cardiovascular risk prediction models (Azeez, 2023). Although socioeconomic indicators such as education and physical activity levels have been associated with variations in risk, consistent and quantifiable effects of occupational status remain insufficiently characterized in the available literature (</w:t>
      </w:r>
      <w:proofErr w:type="spellStart"/>
      <w:r w:rsidRPr="00FE6E9E">
        <w:t>Borhanuddin</w:t>
      </w:r>
      <w:proofErr w:type="spellEnd"/>
      <w:r w:rsidRPr="00FE6E9E">
        <w:t xml:space="preserve"> et al., 2024a, 2024b). Overall, adiposity—particularly visceral fat—emerges as a robust and reproducible determinant of cardiovascular risk across populations.</w:t>
      </w:r>
    </w:p>
    <w:p w14:paraId="60F11194" w14:textId="77777777" w:rsidR="00FE6E9E" w:rsidRPr="00FE6E9E" w:rsidRDefault="00FE6E9E" w:rsidP="00FE6E9E">
      <w:pPr>
        <w:pStyle w:val="NormalWeb"/>
      </w:pPr>
      <w:r w:rsidRPr="00FE6E9E">
        <w:t xml:space="preserve">Lipid abnormalities are strongly associated with atherogenicity and cardiovascular risk; however, current evidence does not establish their superiority over </w:t>
      </w:r>
      <w:proofErr w:type="spellStart"/>
      <w:r w:rsidRPr="00FE6E9E">
        <w:t>glycaemic</w:t>
      </w:r>
      <w:proofErr w:type="spellEnd"/>
      <w:r w:rsidRPr="00FE6E9E">
        <w:t xml:space="preserve"> measures such as fasting blood glucose (FBG). </w:t>
      </w:r>
      <w:proofErr w:type="spellStart"/>
      <w:r w:rsidRPr="00FE6E9E">
        <w:t>Dyslipidaemia</w:t>
      </w:r>
      <w:proofErr w:type="spellEnd"/>
      <w:r w:rsidRPr="00FE6E9E">
        <w:t xml:space="preserve">, including elevated non-HDL cholesterol and atherogenic indices, has been consistently linked to higher ASCVD risk (Basil et al., 2024; </w:t>
      </w:r>
      <w:proofErr w:type="spellStart"/>
      <w:r w:rsidRPr="00FE6E9E">
        <w:t>Borhanuddin</w:t>
      </w:r>
      <w:proofErr w:type="spellEnd"/>
      <w:r w:rsidRPr="00FE6E9E">
        <w:t xml:space="preserve"> et al., 2024b). Concurrently, </w:t>
      </w:r>
      <w:proofErr w:type="spellStart"/>
      <w:r w:rsidRPr="00FE6E9E">
        <w:t>glycaemic</w:t>
      </w:r>
      <w:proofErr w:type="spellEnd"/>
      <w:r w:rsidRPr="00FE6E9E">
        <w:t xml:space="preserve"> markers—particularly HbA1c and its variability—have been associated with incident cardiovascular events and mortality, especially in long-duration diabetes (</w:t>
      </w:r>
      <w:proofErr w:type="spellStart"/>
      <w:r w:rsidRPr="00FE6E9E">
        <w:t>Harjutsalo</w:t>
      </w:r>
      <w:proofErr w:type="spellEnd"/>
      <w:r w:rsidRPr="00FE6E9E">
        <w:t xml:space="preserve"> et al., 2021). Emerging lipid biomarkers such as </w:t>
      </w:r>
      <w:proofErr w:type="spellStart"/>
      <w:r w:rsidRPr="00FE6E9E">
        <w:t>apolipoprotein</w:t>
      </w:r>
      <w:proofErr w:type="spellEnd"/>
      <w:r w:rsidRPr="00FE6E9E">
        <w:t xml:space="preserve"> B and </w:t>
      </w:r>
      <w:proofErr w:type="spellStart"/>
      <w:r w:rsidRPr="00FE6E9E">
        <w:t>apoB</w:t>
      </w:r>
      <w:proofErr w:type="spellEnd"/>
      <w:r w:rsidRPr="00FE6E9E">
        <w:t xml:space="preserve">/apoA1 ratios also correlate with cardiovascular risk estimates, particularly in younger populations (Tawfik et al., 2025). Nonetheless, the absence of direct comparative analyses precludes definitive conclusions regarding whether lipid parameters outperform FBG in predicting atherogenic indices. Thus, both lipid and </w:t>
      </w:r>
      <w:proofErr w:type="spellStart"/>
      <w:r w:rsidRPr="00FE6E9E">
        <w:t>glycaemic</w:t>
      </w:r>
      <w:proofErr w:type="spellEnd"/>
      <w:r w:rsidRPr="00FE6E9E">
        <w:t xml:space="preserve"> parameters should be regarded as complementary contributors to cardiovascular risk stratification.</w:t>
      </w:r>
    </w:p>
    <w:p w14:paraId="1B3C46BD" w14:textId="77777777" w:rsidR="00FE6E9E" w:rsidRPr="00FE6E9E" w:rsidRDefault="00FE6E9E" w:rsidP="00FE6E9E">
      <w:pPr>
        <w:pStyle w:val="NormalWeb"/>
      </w:pPr>
      <w:r w:rsidRPr="00FE6E9E">
        <w:t>The influence of sex and diabetes duration on cardiovascular risk appears variable across studies, whereas metabolic factors demonstrate more consistent associations. Some cohorts report higher myocardial infarction risk and stronger BMI–risk relationships in males, while others find adiposity indices predictive across both sexes (Tawfik et al., 2025; Azeez, 2023). In contrast, longer diabetes duration consistently correlates with increased cardiovascular risk, particularly beyond 10 years (</w:t>
      </w:r>
      <w:proofErr w:type="spellStart"/>
      <w:r w:rsidRPr="00FE6E9E">
        <w:t>Harjutsalo</w:t>
      </w:r>
      <w:proofErr w:type="spellEnd"/>
      <w:r w:rsidRPr="00FE6E9E">
        <w:t xml:space="preserve"> et al., 2021; Basil et al., 2024). Importantly, metabolic abnormalities—including elevated BMI, visceral adiposity, and </w:t>
      </w:r>
      <w:proofErr w:type="spellStart"/>
      <w:r w:rsidRPr="00FE6E9E">
        <w:t>dyslipidaemia</w:t>
      </w:r>
      <w:proofErr w:type="spellEnd"/>
      <w:r w:rsidRPr="00FE6E9E">
        <w:t>—exhibit robust and reproducible relationships with cardiovascular risk, often independent of sex and duration (Salle et al., 2024; Tawfik et al., 2025).</w:t>
      </w:r>
    </w:p>
    <w:p w14:paraId="727290AE" w14:textId="77777777" w:rsidR="00FE6E9E" w:rsidRPr="00FE6E9E" w:rsidRDefault="00FE6E9E" w:rsidP="00FE6E9E">
      <w:pPr>
        <w:pStyle w:val="NormalWeb"/>
      </w:pPr>
      <w:r w:rsidRPr="00FE6E9E">
        <w:lastRenderedPageBreak/>
        <w:t xml:space="preserve">In summary, current evidence supports a model in which cardiovascular risk in diabetes is driven predominantly by cumulative exposure to metabolic derangements, with risk intensifying over time rather than peaking within a defined early window. Adiposity and lipid abnormalities play central roles in this process, while </w:t>
      </w:r>
      <w:proofErr w:type="spellStart"/>
      <w:r w:rsidRPr="00FE6E9E">
        <w:t>glycaemic</w:t>
      </w:r>
      <w:proofErr w:type="spellEnd"/>
      <w:r w:rsidRPr="00FE6E9E">
        <w:t xml:space="preserve"> control remains an equally important determinant. Sex and duration exert modifying but less consistent effects across populations.</w:t>
      </w:r>
    </w:p>
    <w:p w14:paraId="73F5EF21" w14:textId="77777777" w:rsidR="00FE6E9E" w:rsidRPr="00FE6E9E" w:rsidRDefault="00FE6E9E" w:rsidP="00FE6E9E">
      <w:pPr>
        <w:rPr>
          <w:rFonts w:ascii="Times New Roman" w:hAnsi="Times New Roman" w:cs="Times New Roman"/>
          <w:sz w:val="24"/>
          <w:szCs w:val="24"/>
        </w:rPr>
      </w:pPr>
    </w:p>
    <w:p w14:paraId="2196208C" w14:textId="77777777" w:rsidR="00FE6E9E" w:rsidRPr="00FE6E9E" w:rsidRDefault="00FE6E9E" w:rsidP="00FE6E9E">
      <w:pPr>
        <w:spacing w:before="100" w:beforeAutospacing="1" w:after="100" w:afterAutospacing="1" w:line="240" w:lineRule="auto"/>
        <w:rPr>
          <w:rFonts w:ascii="Times New Roman" w:eastAsia="Times New Roman" w:hAnsi="Times New Roman" w:cs="Times New Roman"/>
          <w:sz w:val="24"/>
          <w:szCs w:val="24"/>
        </w:rPr>
      </w:pPr>
      <w:r w:rsidRPr="00FE6E9E">
        <w:rPr>
          <w:rFonts w:ascii="Times New Roman" w:eastAsia="Times New Roman" w:hAnsi="Times New Roman" w:cs="Times New Roman"/>
          <w:b/>
          <w:bCs/>
          <w:sz w:val="24"/>
          <w:szCs w:val="24"/>
        </w:rPr>
        <w:t>Conclusion</w:t>
      </w:r>
    </w:p>
    <w:p w14:paraId="093BD8B0" w14:textId="6D5DC30C" w:rsidR="00FE6E9E" w:rsidRPr="00FE6E9E" w:rsidRDefault="00FE6E9E" w:rsidP="00FE6E9E">
      <w:pPr>
        <w:rPr>
          <w:rFonts w:ascii="Times New Roman" w:hAnsi="Times New Roman" w:cs="Times New Roman"/>
          <w:sz w:val="24"/>
          <w:szCs w:val="24"/>
        </w:rPr>
      </w:pPr>
      <w:r w:rsidRPr="00FE6E9E">
        <w:rPr>
          <w:rFonts w:ascii="Times New Roman" w:hAnsi="Times New Roman" w:cs="Times New Roman"/>
          <w:sz w:val="24"/>
          <w:szCs w:val="24"/>
        </w:rPr>
        <w:t xml:space="preserve">Cardiovascular risk in diabetes mellitus increases cumulatively with disease duration, rather than peaking within an early discrete period, with a marked escalation beyond the first decade. Adiposity, particularly visceral fat, represents a key modifiable determinant with consistent associations across populations. Both lipid abnormalities and </w:t>
      </w:r>
      <w:proofErr w:type="spellStart"/>
      <w:r w:rsidRPr="00FE6E9E">
        <w:rPr>
          <w:rFonts w:ascii="Times New Roman" w:hAnsi="Times New Roman" w:cs="Times New Roman"/>
          <w:sz w:val="24"/>
          <w:szCs w:val="24"/>
        </w:rPr>
        <w:t>glycaemic</w:t>
      </w:r>
      <w:proofErr w:type="spellEnd"/>
      <w:r w:rsidRPr="00FE6E9E">
        <w:rPr>
          <w:rFonts w:ascii="Times New Roman" w:hAnsi="Times New Roman" w:cs="Times New Roman"/>
          <w:sz w:val="24"/>
          <w:szCs w:val="24"/>
        </w:rPr>
        <w:t xml:space="preserve"> indices independently and jointly contribute to atherogenic risk, serving complementary roles in cardiovascular risk stratification. In contrast, the effects of sex and duration are less consistent across studies. These findings underscore the necessity for sustained, integrated management strategies focusing on weight control, lipid optimization, and </w:t>
      </w:r>
      <w:proofErr w:type="spellStart"/>
      <w:r w:rsidRPr="00FE6E9E">
        <w:rPr>
          <w:rFonts w:ascii="Times New Roman" w:hAnsi="Times New Roman" w:cs="Times New Roman"/>
          <w:sz w:val="24"/>
          <w:szCs w:val="24"/>
        </w:rPr>
        <w:t>glycaemic</w:t>
      </w:r>
      <w:proofErr w:type="spellEnd"/>
      <w:r w:rsidRPr="00FE6E9E">
        <w:rPr>
          <w:rFonts w:ascii="Times New Roman" w:hAnsi="Times New Roman" w:cs="Times New Roman"/>
          <w:sz w:val="24"/>
          <w:szCs w:val="24"/>
        </w:rPr>
        <w:t xml:space="preserve"> regulation to effectively reduce long-term cardiovascular morbidity and mortality in individuals with diabetes.</w:t>
      </w:r>
    </w:p>
    <w:p w14:paraId="5A16E461" w14:textId="77777777" w:rsidR="00FE6E9E" w:rsidRPr="00FE6E9E" w:rsidRDefault="00FE6E9E" w:rsidP="00FE6E9E">
      <w:pPr>
        <w:rPr>
          <w:rFonts w:ascii="Times New Roman" w:hAnsi="Times New Roman" w:cs="Times New Roman"/>
          <w:sz w:val="24"/>
          <w:szCs w:val="24"/>
        </w:rPr>
      </w:pPr>
    </w:p>
    <w:p w14:paraId="449719B4" w14:textId="77777777" w:rsidR="00FE6E9E" w:rsidRPr="00FE6E9E" w:rsidRDefault="00FE6E9E" w:rsidP="00FE6E9E">
      <w:pPr>
        <w:rPr>
          <w:rFonts w:ascii="Times New Roman" w:hAnsi="Times New Roman" w:cs="Times New Roman"/>
          <w:sz w:val="24"/>
          <w:szCs w:val="24"/>
        </w:rPr>
      </w:pPr>
    </w:p>
    <w:p w14:paraId="700E1B94" w14:textId="77777777" w:rsidR="00FE6E9E" w:rsidRPr="00FE6E9E" w:rsidRDefault="00FE6E9E" w:rsidP="00FE6E9E">
      <w:pPr>
        <w:rPr>
          <w:rFonts w:ascii="Times New Roman" w:hAnsi="Times New Roman" w:cs="Times New Roman"/>
          <w:sz w:val="24"/>
          <w:szCs w:val="24"/>
        </w:rPr>
      </w:pPr>
    </w:p>
    <w:p w14:paraId="37E35C46" w14:textId="77777777" w:rsidR="00FE6E9E" w:rsidRPr="00FE6E9E" w:rsidRDefault="00FE6E9E" w:rsidP="00FE6E9E">
      <w:pPr>
        <w:rPr>
          <w:rFonts w:ascii="Times New Roman" w:hAnsi="Times New Roman" w:cs="Times New Roman"/>
          <w:sz w:val="24"/>
          <w:szCs w:val="24"/>
        </w:rPr>
      </w:pPr>
    </w:p>
    <w:p w14:paraId="4ABCD64C" w14:textId="77777777" w:rsidR="00FE6E9E" w:rsidRPr="00FE6E9E" w:rsidRDefault="00FE6E9E" w:rsidP="00FE6E9E">
      <w:pPr>
        <w:rPr>
          <w:rFonts w:ascii="Times New Roman" w:hAnsi="Times New Roman" w:cs="Times New Roman"/>
          <w:sz w:val="24"/>
          <w:szCs w:val="24"/>
        </w:rPr>
      </w:pPr>
    </w:p>
    <w:p w14:paraId="4F13D2C0" w14:textId="77777777" w:rsidR="00FE6E9E" w:rsidRPr="00FE6E9E" w:rsidRDefault="00FE6E9E" w:rsidP="00FE6E9E">
      <w:pPr>
        <w:rPr>
          <w:rFonts w:ascii="Times New Roman" w:hAnsi="Times New Roman" w:cs="Times New Roman"/>
          <w:sz w:val="24"/>
          <w:szCs w:val="24"/>
        </w:rPr>
      </w:pPr>
    </w:p>
    <w:p w14:paraId="0D117C0F" w14:textId="77777777" w:rsidR="00FE6E9E" w:rsidRPr="00FE6E9E" w:rsidRDefault="00FE6E9E" w:rsidP="00FE6E9E">
      <w:pPr>
        <w:rPr>
          <w:rFonts w:ascii="Times New Roman" w:hAnsi="Times New Roman" w:cs="Times New Roman"/>
          <w:sz w:val="24"/>
          <w:szCs w:val="24"/>
        </w:rPr>
      </w:pPr>
    </w:p>
    <w:p w14:paraId="555DCC74" w14:textId="77777777" w:rsidR="00FE6E9E" w:rsidRPr="00FE6E9E" w:rsidRDefault="00FE6E9E" w:rsidP="00FE6E9E">
      <w:pPr>
        <w:rPr>
          <w:rFonts w:ascii="Times New Roman" w:hAnsi="Times New Roman" w:cs="Times New Roman"/>
          <w:sz w:val="24"/>
          <w:szCs w:val="24"/>
        </w:rPr>
      </w:pPr>
    </w:p>
    <w:p w14:paraId="6B50D3F1" w14:textId="77777777" w:rsidR="00FE6E9E" w:rsidRPr="00FE6E9E" w:rsidRDefault="00FE6E9E" w:rsidP="00FE6E9E">
      <w:pPr>
        <w:rPr>
          <w:rFonts w:ascii="Times New Roman" w:hAnsi="Times New Roman" w:cs="Times New Roman"/>
          <w:sz w:val="24"/>
          <w:szCs w:val="24"/>
        </w:rPr>
      </w:pPr>
    </w:p>
    <w:p w14:paraId="1DE89BC4" w14:textId="77777777" w:rsidR="00FE6E9E" w:rsidRPr="00FE6E9E" w:rsidRDefault="00FE6E9E" w:rsidP="00FE6E9E">
      <w:pPr>
        <w:rPr>
          <w:rFonts w:ascii="Times New Roman" w:hAnsi="Times New Roman" w:cs="Times New Roman"/>
          <w:sz w:val="24"/>
          <w:szCs w:val="24"/>
        </w:rPr>
      </w:pPr>
    </w:p>
    <w:p w14:paraId="1306C391" w14:textId="77777777" w:rsidR="00FE6E9E" w:rsidRPr="00FE6E9E" w:rsidRDefault="00FE6E9E" w:rsidP="00FE6E9E">
      <w:pPr>
        <w:rPr>
          <w:rFonts w:ascii="Times New Roman" w:hAnsi="Times New Roman" w:cs="Times New Roman"/>
          <w:sz w:val="24"/>
          <w:szCs w:val="24"/>
        </w:rPr>
      </w:pPr>
    </w:p>
    <w:p w14:paraId="0067E13D" w14:textId="5794F953" w:rsidR="00FE6E9E" w:rsidRPr="00FE6E9E" w:rsidRDefault="00FE6E9E" w:rsidP="00FE6E9E">
      <w:pPr>
        <w:rPr>
          <w:rFonts w:ascii="Times New Roman" w:hAnsi="Times New Roman" w:cs="Times New Roman"/>
          <w:sz w:val="24"/>
          <w:szCs w:val="24"/>
        </w:rPr>
      </w:pPr>
    </w:p>
    <w:p w14:paraId="100D1584" w14:textId="418F2D84" w:rsidR="00FE6E9E" w:rsidRPr="00FE6E9E" w:rsidRDefault="00FE6E9E" w:rsidP="00FE6E9E">
      <w:pPr>
        <w:rPr>
          <w:rFonts w:ascii="Times New Roman" w:hAnsi="Times New Roman" w:cs="Times New Roman"/>
          <w:b/>
          <w:bCs/>
          <w:sz w:val="24"/>
          <w:szCs w:val="24"/>
        </w:rPr>
      </w:pPr>
      <w:r w:rsidRPr="00FE6E9E">
        <w:rPr>
          <w:rFonts w:ascii="Times New Roman" w:hAnsi="Times New Roman" w:cs="Times New Roman"/>
          <w:b/>
          <w:bCs/>
          <w:sz w:val="24"/>
          <w:szCs w:val="24"/>
        </w:rPr>
        <w:lastRenderedPageBreak/>
        <w:t xml:space="preserve">References </w:t>
      </w:r>
    </w:p>
    <w:p w14:paraId="60290FCB" w14:textId="77777777" w:rsidR="00FE6E9E" w:rsidRPr="00FE6E9E" w:rsidRDefault="00FE6E9E" w:rsidP="00FE6E9E">
      <w:pPr>
        <w:pStyle w:val="NormalWeb"/>
      </w:pPr>
      <w:r w:rsidRPr="00FE6E9E">
        <w:t xml:space="preserve">Ayodele, O., et al. (2024). Insulin resistance in type 2 diabetes mellitus: Pattern, determinants, and correlates in a resource-challenged Nigerian setting. </w:t>
      </w:r>
      <w:r w:rsidRPr="00FE6E9E">
        <w:rPr>
          <w:rStyle w:val="Emphasis"/>
        </w:rPr>
        <w:t>Assam Journal of Internal Medicine, 14</w:t>
      </w:r>
      <w:r w:rsidRPr="00FE6E9E">
        <w:t>(2), 101–108. https://doi.org/10.4103/ajoim.ajoim_19_24</w:t>
      </w:r>
    </w:p>
    <w:p w14:paraId="224FD702" w14:textId="77777777" w:rsidR="00FE6E9E" w:rsidRPr="00FE6E9E" w:rsidRDefault="00FE6E9E" w:rsidP="00FE6E9E">
      <w:pPr>
        <w:pStyle w:val="NormalWeb"/>
      </w:pPr>
      <w:r w:rsidRPr="00FE6E9E">
        <w:t>Azeez, T. (2023). Anthropometric indices as predictors of 10-year cardiovascular risk among Sub-Saharan Africans with type 2 diabetes. https://doi.org/10.17352/2455-2976.000174</w:t>
      </w:r>
    </w:p>
    <w:p w14:paraId="6BF82FA8" w14:textId="77777777" w:rsidR="00FE6E9E" w:rsidRPr="00FE6E9E" w:rsidRDefault="00FE6E9E" w:rsidP="00FE6E9E">
      <w:pPr>
        <w:pStyle w:val="NormalWeb"/>
      </w:pPr>
      <w:r w:rsidRPr="00FE6E9E">
        <w:t xml:space="preserve">Basil, B., Mohammed, J. A., &amp; </w:t>
      </w:r>
      <w:proofErr w:type="spellStart"/>
      <w:r w:rsidRPr="00FE6E9E">
        <w:t>Nnachi</w:t>
      </w:r>
      <w:proofErr w:type="spellEnd"/>
      <w:r w:rsidRPr="00FE6E9E">
        <w:t>, I. (2024). Hypertension in type 2 diabetes mellitus: Prevalence, patterns, determinants and implications for cardiovascular risk prediction in Nigerian patients. https://doi.org/10.21203/rs.3.rs-5476606/v1</w:t>
      </w:r>
    </w:p>
    <w:p w14:paraId="2B492842" w14:textId="77777777" w:rsidR="00FE6E9E" w:rsidRPr="00FE6E9E" w:rsidRDefault="00FE6E9E" w:rsidP="00FE6E9E">
      <w:pPr>
        <w:pStyle w:val="NormalWeb"/>
      </w:pPr>
      <w:r w:rsidRPr="00FE6E9E">
        <w:t xml:space="preserve">Basil, B., Mohammed, J., &amp; </w:t>
      </w:r>
      <w:proofErr w:type="spellStart"/>
      <w:r w:rsidRPr="00FE6E9E">
        <w:t>Mba</w:t>
      </w:r>
      <w:proofErr w:type="spellEnd"/>
      <w:r w:rsidRPr="00FE6E9E">
        <w:t xml:space="preserve">, I. (2024). Beyond blood pressure and glucose: Exploring potential biochemical predictors of cardiovascular disease risk in type 2 diabetes mellitus patients. </w:t>
      </w:r>
      <w:r w:rsidRPr="00FE6E9E">
        <w:rPr>
          <w:rStyle w:val="Emphasis"/>
        </w:rPr>
        <w:t>Research Square</w:t>
      </w:r>
      <w:r w:rsidRPr="00FE6E9E">
        <w:t xml:space="preserve">. </w:t>
      </w:r>
      <w:hyperlink r:id="rId8" w:tgtFrame="_new" w:history="1">
        <w:r w:rsidRPr="00FE6E9E">
          <w:rPr>
            <w:rStyle w:val="Hyperlink"/>
          </w:rPr>
          <w:t>https://assets-eu.researchsquare.com/files/rs-6626378/v1/ecc521d7-3a25-4c8f-bafc-d185d3a2c2f5.pdf</w:t>
        </w:r>
      </w:hyperlink>
    </w:p>
    <w:p w14:paraId="309A38EE" w14:textId="77777777" w:rsidR="00FE6E9E" w:rsidRPr="00FE6E9E" w:rsidRDefault="00FE6E9E" w:rsidP="00FE6E9E">
      <w:pPr>
        <w:pStyle w:val="NormalWeb"/>
      </w:pPr>
      <w:proofErr w:type="spellStart"/>
      <w:r w:rsidRPr="00FE6E9E">
        <w:t>Bolarinwa</w:t>
      </w:r>
      <w:proofErr w:type="spellEnd"/>
      <w:r w:rsidRPr="00FE6E9E">
        <w:t xml:space="preserve">, A. O., et al. (2018). Atherogenic risk pattern among Nigerian hypertensive and diabetic patients undergoing follow-up visit in a tertiary hospital. </w:t>
      </w:r>
      <w:r w:rsidRPr="00FE6E9E">
        <w:rPr>
          <w:rStyle w:val="Emphasis"/>
        </w:rPr>
        <w:t>Research Journal of Health Sciences, 6</w:t>
      </w:r>
      <w:r w:rsidRPr="00FE6E9E">
        <w:t>(4), 208–217. https://doi.org/10.4314/rejhs.v6i4.7</w:t>
      </w:r>
    </w:p>
    <w:p w14:paraId="2786CAD8" w14:textId="77777777" w:rsidR="00FE6E9E" w:rsidRPr="00FE6E9E" w:rsidRDefault="00FE6E9E" w:rsidP="00FE6E9E">
      <w:pPr>
        <w:pStyle w:val="NormalWeb"/>
      </w:pPr>
      <w:proofErr w:type="spellStart"/>
      <w:r w:rsidRPr="00FE6E9E">
        <w:t>Borhanuddin</w:t>
      </w:r>
      <w:proofErr w:type="spellEnd"/>
      <w:r w:rsidRPr="00FE6E9E">
        <w:t>, B., et al. (2024a). 10-year cardiovascular disease risk estimation based on lipid profile-based and BMI-based Framingham risk scores across multiple sociodemographic characteristics: The Malaysian Cohort Project. https://doi.org/10.60692/hge4y-zzn18</w:t>
      </w:r>
    </w:p>
    <w:p w14:paraId="792085C6" w14:textId="77777777" w:rsidR="00FE6E9E" w:rsidRPr="00FE6E9E" w:rsidRDefault="00FE6E9E" w:rsidP="00FE6E9E">
      <w:pPr>
        <w:pStyle w:val="NormalWeb"/>
      </w:pPr>
      <w:proofErr w:type="spellStart"/>
      <w:r w:rsidRPr="00FE6E9E">
        <w:t>Borhanuddin</w:t>
      </w:r>
      <w:proofErr w:type="spellEnd"/>
      <w:r w:rsidRPr="00FE6E9E">
        <w:t>, B., et al. (2024b). 10-year cardiovascular disease risk estimation based on lipid profile-based and BMI-based Framingham risk scores across multiple sociodemographic characteristics: The Malaysian Cohort Project. https://doi.org/10.60692/wr9jc-5hr02</w:t>
      </w:r>
    </w:p>
    <w:p w14:paraId="6FB8FDCE" w14:textId="77777777" w:rsidR="00FE6E9E" w:rsidRPr="00FE6E9E" w:rsidRDefault="00FE6E9E" w:rsidP="00FE6E9E">
      <w:pPr>
        <w:pStyle w:val="NormalWeb"/>
      </w:pPr>
      <w:proofErr w:type="spellStart"/>
      <w:r w:rsidRPr="00FE6E9E">
        <w:t>Harjutsalo</w:t>
      </w:r>
      <w:proofErr w:type="spellEnd"/>
      <w:r w:rsidRPr="00FE6E9E">
        <w:t xml:space="preserve">, V., et al. (2021). Presence and determinants of cardiovascular disease and mortality in individuals with type 1 diabetes of long duration: The </w:t>
      </w:r>
      <w:proofErr w:type="spellStart"/>
      <w:r w:rsidRPr="00FE6E9E">
        <w:t>FinnDiane</w:t>
      </w:r>
      <w:proofErr w:type="spellEnd"/>
      <w:r w:rsidRPr="00FE6E9E">
        <w:t xml:space="preserve"> 50 years of diabetes study. </w:t>
      </w:r>
      <w:r w:rsidRPr="00FE6E9E">
        <w:rPr>
          <w:rStyle w:val="Emphasis"/>
        </w:rPr>
        <w:t>Diabetes Care, 44</w:t>
      </w:r>
      <w:r w:rsidRPr="00FE6E9E">
        <w:t>(8), 1885–1893. https://doi.org/10.2337/dc20-2816</w:t>
      </w:r>
    </w:p>
    <w:p w14:paraId="26EDB1DD" w14:textId="77777777" w:rsidR="00FE6E9E" w:rsidRPr="00FE6E9E" w:rsidRDefault="00FE6E9E" w:rsidP="00FE6E9E">
      <w:pPr>
        <w:pStyle w:val="NormalWeb"/>
      </w:pPr>
      <w:proofErr w:type="spellStart"/>
      <w:r w:rsidRPr="00FE6E9E">
        <w:t>Mba</w:t>
      </w:r>
      <w:proofErr w:type="spellEnd"/>
      <w:r w:rsidRPr="00FE6E9E">
        <w:t xml:space="preserve">, I., Basil, B., Mohammed, J., &amp; </w:t>
      </w:r>
      <w:proofErr w:type="spellStart"/>
      <w:r w:rsidRPr="00FE6E9E">
        <w:t>Akujieze</w:t>
      </w:r>
      <w:proofErr w:type="spellEnd"/>
      <w:r w:rsidRPr="00FE6E9E">
        <w:t xml:space="preserve">, C. (2025). Lipid-based atherogenic indices and their relationship with cardiovascular disease risk in an African population of type 2 diabetes mellitus patients. </w:t>
      </w:r>
      <w:hyperlink r:id="rId9" w:tgtFrame="_new" w:history="1">
        <w:r w:rsidRPr="00FE6E9E">
          <w:rPr>
            <w:rStyle w:val="Hyperlink"/>
          </w:rPr>
          <w:t>https://link.springer.com/article/10.1186/s40842-025-00269-x</w:t>
        </w:r>
      </w:hyperlink>
    </w:p>
    <w:p w14:paraId="07CD1FAA" w14:textId="77777777" w:rsidR="00FE6E9E" w:rsidRPr="00FE6E9E" w:rsidRDefault="00FE6E9E" w:rsidP="00FE6E9E">
      <w:pPr>
        <w:pStyle w:val="NormalWeb"/>
      </w:pPr>
      <w:r w:rsidRPr="00FE6E9E">
        <w:t xml:space="preserve">Mohammed, J. A., Basil, B., </w:t>
      </w:r>
      <w:proofErr w:type="spellStart"/>
      <w:r w:rsidRPr="00FE6E9E">
        <w:t>Nnachi</w:t>
      </w:r>
      <w:proofErr w:type="spellEnd"/>
      <w:r w:rsidRPr="00FE6E9E">
        <w:t xml:space="preserve">, I., </w:t>
      </w:r>
      <w:proofErr w:type="spellStart"/>
      <w:r w:rsidRPr="00FE6E9E">
        <w:t>Kenechi</w:t>
      </w:r>
      <w:proofErr w:type="spellEnd"/>
      <w:r w:rsidRPr="00FE6E9E">
        <w:t>, M.-M. B., &amp; Okoro, N. I. (2025). Patterns and determinants of cardiovascular disease risk in type 2 diabetes mellitus: Insights into the current state of diabetes management in Nigeria. https://doi.org/10.21203/rs.3.rs-5754393/v2</w:t>
      </w:r>
    </w:p>
    <w:p w14:paraId="63446EF5" w14:textId="77777777" w:rsidR="00FE6E9E" w:rsidRPr="00FE6E9E" w:rsidRDefault="00FE6E9E" w:rsidP="00FE6E9E">
      <w:pPr>
        <w:pStyle w:val="NormalWeb"/>
      </w:pPr>
      <w:proofErr w:type="spellStart"/>
      <w:r w:rsidRPr="00FE6E9E">
        <w:lastRenderedPageBreak/>
        <w:t>Onwukwe</w:t>
      </w:r>
      <w:proofErr w:type="spellEnd"/>
      <w:r w:rsidRPr="00FE6E9E">
        <w:t xml:space="preserve">, C. H., </w:t>
      </w:r>
      <w:proofErr w:type="spellStart"/>
      <w:r w:rsidRPr="00FE6E9E">
        <w:t>Chikezie</w:t>
      </w:r>
      <w:proofErr w:type="spellEnd"/>
      <w:r w:rsidRPr="00FE6E9E">
        <w:t xml:space="preserve">, N. I., Okorie, K. C., </w:t>
      </w:r>
      <w:proofErr w:type="spellStart"/>
      <w:r w:rsidRPr="00FE6E9E">
        <w:t>Umeh</w:t>
      </w:r>
      <w:proofErr w:type="spellEnd"/>
      <w:r w:rsidRPr="00FE6E9E">
        <w:t xml:space="preserve">, E. O., Osuji, C., &amp; </w:t>
      </w:r>
      <w:proofErr w:type="spellStart"/>
      <w:r w:rsidRPr="00FE6E9E">
        <w:t>Ohwovoriole</w:t>
      </w:r>
      <w:proofErr w:type="spellEnd"/>
      <w:r w:rsidRPr="00FE6E9E">
        <w:t xml:space="preserve">, A. (2022). Socioeconomic and clinical determinants of coronary artery disease in symptom-free type 2 diabetes mellitus patients. </w:t>
      </w:r>
      <w:r w:rsidRPr="00FE6E9E">
        <w:rPr>
          <w:rStyle w:val="Emphasis"/>
        </w:rPr>
        <w:t>Annals of Clinical Cardiology, 4</w:t>
      </w:r>
      <w:r w:rsidRPr="00FE6E9E">
        <w:t>(2), 59–65. https://doi.org/10.4103/accj.accj_25_22</w:t>
      </w:r>
    </w:p>
    <w:p w14:paraId="5361A1AB" w14:textId="77777777" w:rsidR="00FE6E9E" w:rsidRPr="00FE6E9E" w:rsidRDefault="00FE6E9E" w:rsidP="00FE6E9E">
      <w:pPr>
        <w:pStyle w:val="NormalWeb"/>
      </w:pPr>
      <w:r w:rsidRPr="00FE6E9E">
        <w:t xml:space="preserve">Salle, L., et al. (2024). Cardiovascular risk is higher in people with type 1 diabetes living with overweight or obesity—Insights from the SFDT1 cohort. </w:t>
      </w:r>
      <w:r w:rsidRPr="00FE6E9E">
        <w:rPr>
          <w:rStyle w:val="Emphasis"/>
        </w:rPr>
        <w:t>Diabetes, 73</w:t>
      </w:r>
      <w:r w:rsidRPr="00FE6E9E">
        <w:t>(Suppl. 1). https://doi.org/10.2337/db24-1458-p</w:t>
      </w:r>
    </w:p>
    <w:p w14:paraId="5BBB4BF0" w14:textId="625FF050" w:rsidR="00F30E70" w:rsidRDefault="00FE6E9E" w:rsidP="008F7A07">
      <w:pPr>
        <w:pStyle w:val="NormalWeb"/>
      </w:pPr>
      <w:r w:rsidRPr="00FE6E9E">
        <w:t xml:space="preserve">Tawfik, M. Y., Mohamed, S. F., &amp; </w:t>
      </w:r>
      <w:proofErr w:type="spellStart"/>
      <w:r w:rsidRPr="00FE6E9E">
        <w:t>Elotla</w:t>
      </w:r>
      <w:proofErr w:type="spellEnd"/>
      <w:r w:rsidRPr="00FE6E9E">
        <w:t xml:space="preserve">, S. (2025). Association of novel visceral obesity indices with 10-year risk of major cardiovascular events in patients with type 2 diabetes mellitus. </w:t>
      </w:r>
      <w:r w:rsidRPr="00FE6E9E">
        <w:rPr>
          <w:rStyle w:val="Emphasis"/>
        </w:rPr>
        <w:t>Journal of the Egyptian Public Health Association, 100</w:t>
      </w:r>
      <w:r w:rsidRPr="00FE6E9E">
        <w:t>. https://doi.org/10.1186/s42506-025-00188-w</w:t>
      </w:r>
    </w:p>
    <w:sectPr w:rsidR="00F30E70" w:rsidSect="00F133D0">
      <w:footerReference w:type="default" r:id="rId10"/>
      <w:pgSz w:w="15840" w:h="12240" w:orient="landscape"/>
      <w:pgMar w:top="1094" w:right="607" w:bottom="607" w:left="6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8C0F8" w14:textId="77777777" w:rsidR="002A02C1" w:rsidRDefault="002A02C1" w:rsidP="00595F57">
      <w:pPr>
        <w:spacing w:after="0" w:line="240" w:lineRule="auto"/>
      </w:pPr>
      <w:r>
        <w:separator/>
      </w:r>
    </w:p>
  </w:endnote>
  <w:endnote w:type="continuationSeparator" w:id="0">
    <w:p w14:paraId="37CF8934" w14:textId="77777777" w:rsidR="002A02C1" w:rsidRDefault="002A02C1" w:rsidP="0059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218789"/>
      <w:docPartObj>
        <w:docPartGallery w:val="Page Numbers (Bottom of Page)"/>
        <w:docPartUnique/>
      </w:docPartObj>
    </w:sdtPr>
    <w:sdtEndPr>
      <w:rPr>
        <w:noProof/>
      </w:rPr>
    </w:sdtEndPr>
    <w:sdtContent>
      <w:p w14:paraId="05B06815" w14:textId="1743CF9F" w:rsidR="00595F57" w:rsidRDefault="00595F57">
        <w:pPr>
          <w:pStyle w:val="Footer"/>
          <w:jc w:val="right"/>
        </w:pPr>
        <w:r>
          <w:fldChar w:fldCharType="begin"/>
        </w:r>
        <w:r>
          <w:instrText xml:space="preserve"> PAGE   \* MERGEFORMAT </w:instrText>
        </w:r>
        <w:r>
          <w:fldChar w:fldCharType="separate"/>
        </w:r>
        <w:r w:rsidR="00EA6965">
          <w:rPr>
            <w:noProof/>
          </w:rPr>
          <w:t>5</w:t>
        </w:r>
        <w:r>
          <w:rPr>
            <w:noProof/>
          </w:rPr>
          <w:fldChar w:fldCharType="end"/>
        </w:r>
      </w:p>
    </w:sdtContent>
  </w:sdt>
  <w:p w14:paraId="61C34EF1" w14:textId="77777777" w:rsidR="00595F57" w:rsidRDefault="00595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FE4C3" w14:textId="77777777" w:rsidR="002A02C1" w:rsidRDefault="002A02C1" w:rsidP="00595F57">
      <w:pPr>
        <w:spacing w:after="0" w:line="240" w:lineRule="auto"/>
      </w:pPr>
      <w:r>
        <w:separator/>
      </w:r>
    </w:p>
  </w:footnote>
  <w:footnote w:type="continuationSeparator" w:id="0">
    <w:p w14:paraId="520A10AB" w14:textId="77777777" w:rsidR="002A02C1" w:rsidRDefault="002A02C1" w:rsidP="00595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6334"/>
    <w:multiLevelType w:val="multilevel"/>
    <w:tmpl w:val="3D06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00109"/>
    <w:multiLevelType w:val="multilevel"/>
    <w:tmpl w:val="A39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76FEB"/>
    <w:multiLevelType w:val="multilevel"/>
    <w:tmpl w:val="C53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BD66A7"/>
    <w:multiLevelType w:val="hybridMultilevel"/>
    <w:tmpl w:val="0B422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C45467"/>
    <w:multiLevelType w:val="multilevel"/>
    <w:tmpl w:val="577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56"/>
    <w:rsid w:val="00001510"/>
    <w:rsid w:val="000200C8"/>
    <w:rsid w:val="00031E9A"/>
    <w:rsid w:val="000A24BD"/>
    <w:rsid w:val="000D6385"/>
    <w:rsid w:val="000F7391"/>
    <w:rsid w:val="00185EDE"/>
    <w:rsid w:val="001875FF"/>
    <w:rsid w:val="001A0C48"/>
    <w:rsid w:val="001B3DF3"/>
    <w:rsid w:val="001B75FA"/>
    <w:rsid w:val="001C423E"/>
    <w:rsid w:val="001F1342"/>
    <w:rsid w:val="001F16CC"/>
    <w:rsid w:val="002447F0"/>
    <w:rsid w:val="0027300A"/>
    <w:rsid w:val="002A02C1"/>
    <w:rsid w:val="002A24E3"/>
    <w:rsid w:val="002B6803"/>
    <w:rsid w:val="002E3BBE"/>
    <w:rsid w:val="002E6D84"/>
    <w:rsid w:val="00314E55"/>
    <w:rsid w:val="003176D4"/>
    <w:rsid w:val="0034244E"/>
    <w:rsid w:val="00346F05"/>
    <w:rsid w:val="00370907"/>
    <w:rsid w:val="003A08B6"/>
    <w:rsid w:val="003A28B1"/>
    <w:rsid w:val="003E02FC"/>
    <w:rsid w:val="00441399"/>
    <w:rsid w:val="004927C3"/>
    <w:rsid w:val="004C65E6"/>
    <w:rsid w:val="004D572E"/>
    <w:rsid w:val="005125B6"/>
    <w:rsid w:val="0055408E"/>
    <w:rsid w:val="00583C21"/>
    <w:rsid w:val="00583D96"/>
    <w:rsid w:val="00585099"/>
    <w:rsid w:val="00595F57"/>
    <w:rsid w:val="005F51FE"/>
    <w:rsid w:val="00616CEF"/>
    <w:rsid w:val="006550FA"/>
    <w:rsid w:val="0066083D"/>
    <w:rsid w:val="0066686E"/>
    <w:rsid w:val="00675B7D"/>
    <w:rsid w:val="00693DA0"/>
    <w:rsid w:val="006975E8"/>
    <w:rsid w:val="006B25E4"/>
    <w:rsid w:val="006B2DA9"/>
    <w:rsid w:val="006E5DF7"/>
    <w:rsid w:val="006E6AFE"/>
    <w:rsid w:val="00712C4E"/>
    <w:rsid w:val="0072583D"/>
    <w:rsid w:val="00757E40"/>
    <w:rsid w:val="007C394B"/>
    <w:rsid w:val="007F1A13"/>
    <w:rsid w:val="007F6174"/>
    <w:rsid w:val="00846702"/>
    <w:rsid w:val="00850376"/>
    <w:rsid w:val="008504A7"/>
    <w:rsid w:val="00854B4A"/>
    <w:rsid w:val="008968E8"/>
    <w:rsid w:val="008B06C1"/>
    <w:rsid w:val="008B30C9"/>
    <w:rsid w:val="008C181D"/>
    <w:rsid w:val="008C3658"/>
    <w:rsid w:val="008F16A5"/>
    <w:rsid w:val="008F3EE6"/>
    <w:rsid w:val="008F7A07"/>
    <w:rsid w:val="00902023"/>
    <w:rsid w:val="00980964"/>
    <w:rsid w:val="009817A9"/>
    <w:rsid w:val="009975BC"/>
    <w:rsid w:val="009A0AED"/>
    <w:rsid w:val="009C239E"/>
    <w:rsid w:val="009D6FEB"/>
    <w:rsid w:val="009E4CC2"/>
    <w:rsid w:val="00A243C0"/>
    <w:rsid w:val="00A36DF2"/>
    <w:rsid w:val="00A7614A"/>
    <w:rsid w:val="00A86D34"/>
    <w:rsid w:val="00AC38A6"/>
    <w:rsid w:val="00AD3025"/>
    <w:rsid w:val="00AD360F"/>
    <w:rsid w:val="00B30400"/>
    <w:rsid w:val="00B31751"/>
    <w:rsid w:val="00B37E95"/>
    <w:rsid w:val="00B43835"/>
    <w:rsid w:val="00BB757C"/>
    <w:rsid w:val="00BC3F40"/>
    <w:rsid w:val="00BF18F4"/>
    <w:rsid w:val="00C17624"/>
    <w:rsid w:val="00C8355D"/>
    <w:rsid w:val="00CA270D"/>
    <w:rsid w:val="00CC54F0"/>
    <w:rsid w:val="00D15A33"/>
    <w:rsid w:val="00D174C5"/>
    <w:rsid w:val="00D502D9"/>
    <w:rsid w:val="00D629B2"/>
    <w:rsid w:val="00D70636"/>
    <w:rsid w:val="00DA7C78"/>
    <w:rsid w:val="00DB457C"/>
    <w:rsid w:val="00DD513A"/>
    <w:rsid w:val="00DE6E0C"/>
    <w:rsid w:val="00DE7256"/>
    <w:rsid w:val="00E20591"/>
    <w:rsid w:val="00E25468"/>
    <w:rsid w:val="00E5071D"/>
    <w:rsid w:val="00E74DAC"/>
    <w:rsid w:val="00EA4D68"/>
    <w:rsid w:val="00EA574A"/>
    <w:rsid w:val="00EA6965"/>
    <w:rsid w:val="00EB68D3"/>
    <w:rsid w:val="00EC0196"/>
    <w:rsid w:val="00EF29C0"/>
    <w:rsid w:val="00F133D0"/>
    <w:rsid w:val="00F1556C"/>
    <w:rsid w:val="00F30E70"/>
    <w:rsid w:val="00F50E9B"/>
    <w:rsid w:val="00F64CA2"/>
    <w:rsid w:val="00F83E26"/>
    <w:rsid w:val="00F979BC"/>
    <w:rsid w:val="00FA24E9"/>
    <w:rsid w:val="00FB2C2A"/>
    <w:rsid w:val="00FB7772"/>
    <w:rsid w:val="00FC4332"/>
    <w:rsid w:val="00FE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F40"/>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BC3F40"/>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BC3F40"/>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3F40"/>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BC3F40"/>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BC3F40"/>
    <w:rPr>
      <w:rFonts w:ascii="Courier New" w:hAnsi="Courier New" w:cs="Courier New"/>
      <w:b/>
      <w:bCs/>
      <w:color w:val="000000"/>
      <w:sz w:val="26"/>
      <w:szCs w:val="26"/>
    </w:rPr>
  </w:style>
  <w:style w:type="character" w:styleId="Strong">
    <w:name w:val="Strong"/>
    <w:basedOn w:val="DefaultParagraphFont"/>
    <w:uiPriority w:val="22"/>
    <w:qFormat/>
    <w:rsid w:val="004927C3"/>
    <w:rPr>
      <w:b/>
      <w:bCs/>
    </w:rPr>
  </w:style>
  <w:style w:type="paragraph" w:styleId="NormalWeb">
    <w:name w:val="Normal (Web)"/>
    <w:basedOn w:val="Normal"/>
    <w:uiPriority w:val="99"/>
    <w:unhideWhenUsed/>
    <w:rsid w:val="004927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27C3"/>
    <w:rPr>
      <w:i/>
      <w:iCs/>
    </w:rPr>
  </w:style>
  <w:style w:type="character" w:customStyle="1" w:styleId="whitespace-normal">
    <w:name w:val="whitespace-normal"/>
    <w:basedOn w:val="DefaultParagraphFont"/>
    <w:rsid w:val="008F16A5"/>
  </w:style>
  <w:style w:type="character" w:styleId="Hyperlink">
    <w:name w:val="Hyperlink"/>
    <w:basedOn w:val="DefaultParagraphFont"/>
    <w:uiPriority w:val="99"/>
    <w:semiHidden/>
    <w:unhideWhenUsed/>
    <w:rsid w:val="00EA574A"/>
    <w:rPr>
      <w:color w:val="0000FF"/>
      <w:u w:val="single"/>
    </w:rPr>
  </w:style>
  <w:style w:type="paragraph" w:styleId="Header">
    <w:name w:val="header"/>
    <w:basedOn w:val="Normal"/>
    <w:link w:val="HeaderChar"/>
    <w:uiPriority w:val="99"/>
    <w:unhideWhenUsed/>
    <w:rsid w:val="00595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57"/>
  </w:style>
  <w:style w:type="paragraph" w:styleId="Footer">
    <w:name w:val="footer"/>
    <w:basedOn w:val="Normal"/>
    <w:link w:val="FooterChar"/>
    <w:uiPriority w:val="99"/>
    <w:unhideWhenUsed/>
    <w:rsid w:val="0059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F40"/>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BC3F40"/>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BC3F40"/>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3F40"/>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BC3F40"/>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BC3F40"/>
    <w:rPr>
      <w:rFonts w:ascii="Courier New" w:hAnsi="Courier New" w:cs="Courier New"/>
      <w:b/>
      <w:bCs/>
      <w:color w:val="000000"/>
      <w:sz w:val="26"/>
      <w:szCs w:val="26"/>
    </w:rPr>
  </w:style>
  <w:style w:type="character" w:styleId="Strong">
    <w:name w:val="Strong"/>
    <w:basedOn w:val="DefaultParagraphFont"/>
    <w:uiPriority w:val="22"/>
    <w:qFormat/>
    <w:rsid w:val="004927C3"/>
    <w:rPr>
      <w:b/>
      <w:bCs/>
    </w:rPr>
  </w:style>
  <w:style w:type="paragraph" w:styleId="NormalWeb">
    <w:name w:val="Normal (Web)"/>
    <w:basedOn w:val="Normal"/>
    <w:uiPriority w:val="99"/>
    <w:unhideWhenUsed/>
    <w:rsid w:val="004927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27C3"/>
    <w:rPr>
      <w:i/>
      <w:iCs/>
    </w:rPr>
  </w:style>
  <w:style w:type="character" w:customStyle="1" w:styleId="whitespace-normal">
    <w:name w:val="whitespace-normal"/>
    <w:basedOn w:val="DefaultParagraphFont"/>
    <w:rsid w:val="008F16A5"/>
  </w:style>
  <w:style w:type="character" w:styleId="Hyperlink">
    <w:name w:val="Hyperlink"/>
    <w:basedOn w:val="DefaultParagraphFont"/>
    <w:uiPriority w:val="99"/>
    <w:semiHidden/>
    <w:unhideWhenUsed/>
    <w:rsid w:val="00EA574A"/>
    <w:rPr>
      <w:color w:val="0000FF"/>
      <w:u w:val="single"/>
    </w:rPr>
  </w:style>
  <w:style w:type="paragraph" w:styleId="Header">
    <w:name w:val="header"/>
    <w:basedOn w:val="Normal"/>
    <w:link w:val="HeaderChar"/>
    <w:uiPriority w:val="99"/>
    <w:unhideWhenUsed/>
    <w:rsid w:val="00595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57"/>
  </w:style>
  <w:style w:type="paragraph" w:styleId="Footer">
    <w:name w:val="footer"/>
    <w:basedOn w:val="Normal"/>
    <w:link w:val="FooterChar"/>
    <w:uiPriority w:val="99"/>
    <w:unhideWhenUsed/>
    <w:rsid w:val="0059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0737">
      <w:bodyDiv w:val="1"/>
      <w:marLeft w:val="0"/>
      <w:marRight w:val="0"/>
      <w:marTop w:val="0"/>
      <w:marBottom w:val="0"/>
      <w:divBdr>
        <w:top w:val="none" w:sz="0" w:space="0" w:color="auto"/>
        <w:left w:val="none" w:sz="0" w:space="0" w:color="auto"/>
        <w:bottom w:val="none" w:sz="0" w:space="0" w:color="auto"/>
        <w:right w:val="none" w:sz="0" w:space="0" w:color="auto"/>
      </w:divBdr>
    </w:div>
    <w:div w:id="363135124">
      <w:bodyDiv w:val="1"/>
      <w:marLeft w:val="0"/>
      <w:marRight w:val="0"/>
      <w:marTop w:val="0"/>
      <w:marBottom w:val="0"/>
      <w:divBdr>
        <w:top w:val="none" w:sz="0" w:space="0" w:color="auto"/>
        <w:left w:val="none" w:sz="0" w:space="0" w:color="auto"/>
        <w:bottom w:val="none" w:sz="0" w:space="0" w:color="auto"/>
        <w:right w:val="none" w:sz="0" w:space="0" w:color="auto"/>
      </w:divBdr>
    </w:div>
    <w:div w:id="587542587">
      <w:bodyDiv w:val="1"/>
      <w:marLeft w:val="0"/>
      <w:marRight w:val="0"/>
      <w:marTop w:val="0"/>
      <w:marBottom w:val="0"/>
      <w:divBdr>
        <w:top w:val="none" w:sz="0" w:space="0" w:color="auto"/>
        <w:left w:val="none" w:sz="0" w:space="0" w:color="auto"/>
        <w:bottom w:val="none" w:sz="0" w:space="0" w:color="auto"/>
        <w:right w:val="none" w:sz="0" w:space="0" w:color="auto"/>
      </w:divBdr>
      <w:divsChild>
        <w:div w:id="1471702935">
          <w:marLeft w:val="0"/>
          <w:marRight w:val="0"/>
          <w:marTop w:val="0"/>
          <w:marBottom w:val="0"/>
          <w:divBdr>
            <w:top w:val="none" w:sz="0" w:space="0" w:color="auto"/>
            <w:left w:val="none" w:sz="0" w:space="0" w:color="auto"/>
            <w:bottom w:val="none" w:sz="0" w:space="0" w:color="auto"/>
            <w:right w:val="none" w:sz="0" w:space="0" w:color="auto"/>
          </w:divBdr>
          <w:divsChild>
            <w:div w:id="927421204">
              <w:marLeft w:val="0"/>
              <w:marRight w:val="0"/>
              <w:marTop w:val="0"/>
              <w:marBottom w:val="0"/>
              <w:divBdr>
                <w:top w:val="none" w:sz="0" w:space="0" w:color="auto"/>
                <w:left w:val="none" w:sz="0" w:space="0" w:color="auto"/>
                <w:bottom w:val="none" w:sz="0" w:space="0" w:color="auto"/>
                <w:right w:val="none" w:sz="0" w:space="0" w:color="auto"/>
              </w:divBdr>
              <w:divsChild>
                <w:div w:id="2013798470">
                  <w:marLeft w:val="0"/>
                  <w:marRight w:val="0"/>
                  <w:marTop w:val="0"/>
                  <w:marBottom w:val="0"/>
                  <w:divBdr>
                    <w:top w:val="none" w:sz="0" w:space="0" w:color="auto"/>
                    <w:left w:val="none" w:sz="0" w:space="0" w:color="auto"/>
                    <w:bottom w:val="none" w:sz="0" w:space="0" w:color="auto"/>
                    <w:right w:val="none" w:sz="0" w:space="0" w:color="auto"/>
                  </w:divBdr>
                  <w:divsChild>
                    <w:div w:id="725378762">
                      <w:marLeft w:val="0"/>
                      <w:marRight w:val="0"/>
                      <w:marTop w:val="0"/>
                      <w:marBottom w:val="0"/>
                      <w:divBdr>
                        <w:top w:val="none" w:sz="0" w:space="0" w:color="auto"/>
                        <w:left w:val="none" w:sz="0" w:space="0" w:color="auto"/>
                        <w:bottom w:val="none" w:sz="0" w:space="0" w:color="auto"/>
                        <w:right w:val="none" w:sz="0" w:space="0" w:color="auto"/>
                      </w:divBdr>
                      <w:divsChild>
                        <w:div w:id="1381517735">
                          <w:marLeft w:val="0"/>
                          <w:marRight w:val="0"/>
                          <w:marTop w:val="0"/>
                          <w:marBottom w:val="0"/>
                          <w:divBdr>
                            <w:top w:val="none" w:sz="0" w:space="0" w:color="auto"/>
                            <w:left w:val="none" w:sz="0" w:space="0" w:color="auto"/>
                            <w:bottom w:val="none" w:sz="0" w:space="0" w:color="auto"/>
                            <w:right w:val="none" w:sz="0" w:space="0" w:color="auto"/>
                          </w:divBdr>
                          <w:divsChild>
                            <w:div w:id="1834293198">
                              <w:marLeft w:val="0"/>
                              <w:marRight w:val="0"/>
                              <w:marTop w:val="0"/>
                              <w:marBottom w:val="0"/>
                              <w:divBdr>
                                <w:top w:val="none" w:sz="0" w:space="0" w:color="auto"/>
                                <w:left w:val="none" w:sz="0" w:space="0" w:color="auto"/>
                                <w:bottom w:val="none" w:sz="0" w:space="0" w:color="auto"/>
                                <w:right w:val="none" w:sz="0" w:space="0" w:color="auto"/>
                              </w:divBdr>
                              <w:divsChild>
                                <w:div w:id="12355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076852">
      <w:bodyDiv w:val="1"/>
      <w:marLeft w:val="0"/>
      <w:marRight w:val="0"/>
      <w:marTop w:val="0"/>
      <w:marBottom w:val="0"/>
      <w:divBdr>
        <w:top w:val="none" w:sz="0" w:space="0" w:color="auto"/>
        <w:left w:val="none" w:sz="0" w:space="0" w:color="auto"/>
        <w:bottom w:val="none" w:sz="0" w:space="0" w:color="auto"/>
        <w:right w:val="none" w:sz="0" w:space="0" w:color="auto"/>
      </w:divBdr>
    </w:div>
    <w:div w:id="662701254">
      <w:bodyDiv w:val="1"/>
      <w:marLeft w:val="0"/>
      <w:marRight w:val="0"/>
      <w:marTop w:val="0"/>
      <w:marBottom w:val="0"/>
      <w:divBdr>
        <w:top w:val="none" w:sz="0" w:space="0" w:color="auto"/>
        <w:left w:val="none" w:sz="0" w:space="0" w:color="auto"/>
        <w:bottom w:val="none" w:sz="0" w:space="0" w:color="auto"/>
        <w:right w:val="none" w:sz="0" w:space="0" w:color="auto"/>
      </w:divBdr>
    </w:div>
    <w:div w:id="749929198">
      <w:bodyDiv w:val="1"/>
      <w:marLeft w:val="0"/>
      <w:marRight w:val="0"/>
      <w:marTop w:val="0"/>
      <w:marBottom w:val="0"/>
      <w:divBdr>
        <w:top w:val="none" w:sz="0" w:space="0" w:color="auto"/>
        <w:left w:val="none" w:sz="0" w:space="0" w:color="auto"/>
        <w:bottom w:val="none" w:sz="0" w:space="0" w:color="auto"/>
        <w:right w:val="none" w:sz="0" w:space="0" w:color="auto"/>
      </w:divBdr>
    </w:div>
    <w:div w:id="767120650">
      <w:bodyDiv w:val="1"/>
      <w:marLeft w:val="0"/>
      <w:marRight w:val="0"/>
      <w:marTop w:val="0"/>
      <w:marBottom w:val="0"/>
      <w:divBdr>
        <w:top w:val="none" w:sz="0" w:space="0" w:color="auto"/>
        <w:left w:val="none" w:sz="0" w:space="0" w:color="auto"/>
        <w:bottom w:val="none" w:sz="0" w:space="0" w:color="auto"/>
        <w:right w:val="none" w:sz="0" w:space="0" w:color="auto"/>
      </w:divBdr>
    </w:div>
    <w:div w:id="819731551">
      <w:bodyDiv w:val="1"/>
      <w:marLeft w:val="0"/>
      <w:marRight w:val="0"/>
      <w:marTop w:val="0"/>
      <w:marBottom w:val="0"/>
      <w:divBdr>
        <w:top w:val="none" w:sz="0" w:space="0" w:color="auto"/>
        <w:left w:val="none" w:sz="0" w:space="0" w:color="auto"/>
        <w:bottom w:val="none" w:sz="0" w:space="0" w:color="auto"/>
        <w:right w:val="none" w:sz="0" w:space="0" w:color="auto"/>
      </w:divBdr>
      <w:divsChild>
        <w:div w:id="927688536">
          <w:marLeft w:val="0"/>
          <w:marRight w:val="0"/>
          <w:marTop w:val="0"/>
          <w:marBottom w:val="0"/>
          <w:divBdr>
            <w:top w:val="none" w:sz="0" w:space="0" w:color="auto"/>
            <w:left w:val="none" w:sz="0" w:space="0" w:color="auto"/>
            <w:bottom w:val="none" w:sz="0" w:space="0" w:color="auto"/>
            <w:right w:val="none" w:sz="0" w:space="0" w:color="auto"/>
          </w:divBdr>
          <w:divsChild>
            <w:div w:id="1899902267">
              <w:marLeft w:val="0"/>
              <w:marRight w:val="0"/>
              <w:marTop w:val="0"/>
              <w:marBottom w:val="0"/>
              <w:divBdr>
                <w:top w:val="none" w:sz="0" w:space="0" w:color="auto"/>
                <w:left w:val="none" w:sz="0" w:space="0" w:color="auto"/>
                <w:bottom w:val="none" w:sz="0" w:space="0" w:color="auto"/>
                <w:right w:val="none" w:sz="0" w:space="0" w:color="auto"/>
              </w:divBdr>
              <w:divsChild>
                <w:div w:id="1308819959">
                  <w:marLeft w:val="0"/>
                  <w:marRight w:val="0"/>
                  <w:marTop w:val="0"/>
                  <w:marBottom w:val="0"/>
                  <w:divBdr>
                    <w:top w:val="none" w:sz="0" w:space="0" w:color="auto"/>
                    <w:left w:val="none" w:sz="0" w:space="0" w:color="auto"/>
                    <w:bottom w:val="none" w:sz="0" w:space="0" w:color="auto"/>
                    <w:right w:val="none" w:sz="0" w:space="0" w:color="auto"/>
                  </w:divBdr>
                  <w:divsChild>
                    <w:div w:id="807474299">
                      <w:marLeft w:val="0"/>
                      <w:marRight w:val="0"/>
                      <w:marTop w:val="0"/>
                      <w:marBottom w:val="0"/>
                      <w:divBdr>
                        <w:top w:val="none" w:sz="0" w:space="0" w:color="auto"/>
                        <w:left w:val="none" w:sz="0" w:space="0" w:color="auto"/>
                        <w:bottom w:val="none" w:sz="0" w:space="0" w:color="auto"/>
                        <w:right w:val="none" w:sz="0" w:space="0" w:color="auto"/>
                      </w:divBdr>
                      <w:divsChild>
                        <w:div w:id="198783127">
                          <w:marLeft w:val="0"/>
                          <w:marRight w:val="0"/>
                          <w:marTop w:val="0"/>
                          <w:marBottom w:val="0"/>
                          <w:divBdr>
                            <w:top w:val="none" w:sz="0" w:space="0" w:color="auto"/>
                            <w:left w:val="none" w:sz="0" w:space="0" w:color="auto"/>
                            <w:bottom w:val="none" w:sz="0" w:space="0" w:color="auto"/>
                            <w:right w:val="none" w:sz="0" w:space="0" w:color="auto"/>
                          </w:divBdr>
                          <w:divsChild>
                            <w:div w:id="1970430326">
                              <w:marLeft w:val="0"/>
                              <w:marRight w:val="0"/>
                              <w:marTop w:val="0"/>
                              <w:marBottom w:val="0"/>
                              <w:divBdr>
                                <w:top w:val="none" w:sz="0" w:space="0" w:color="auto"/>
                                <w:left w:val="none" w:sz="0" w:space="0" w:color="auto"/>
                                <w:bottom w:val="none" w:sz="0" w:space="0" w:color="auto"/>
                                <w:right w:val="none" w:sz="0" w:space="0" w:color="auto"/>
                              </w:divBdr>
                              <w:divsChild>
                                <w:div w:id="1408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884490">
      <w:bodyDiv w:val="1"/>
      <w:marLeft w:val="0"/>
      <w:marRight w:val="0"/>
      <w:marTop w:val="0"/>
      <w:marBottom w:val="0"/>
      <w:divBdr>
        <w:top w:val="none" w:sz="0" w:space="0" w:color="auto"/>
        <w:left w:val="none" w:sz="0" w:space="0" w:color="auto"/>
        <w:bottom w:val="none" w:sz="0" w:space="0" w:color="auto"/>
        <w:right w:val="none" w:sz="0" w:space="0" w:color="auto"/>
      </w:divBdr>
    </w:div>
    <w:div w:id="1135097628">
      <w:bodyDiv w:val="1"/>
      <w:marLeft w:val="0"/>
      <w:marRight w:val="0"/>
      <w:marTop w:val="0"/>
      <w:marBottom w:val="0"/>
      <w:divBdr>
        <w:top w:val="none" w:sz="0" w:space="0" w:color="auto"/>
        <w:left w:val="none" w:sz="0" w:space="0" w:color="auto"/>
        <w:bottom w:val="none" w:sz="0" w:space="0" w:color="auto"/>
        <w:right w:val="none" w:sz="0" w:space="0" w:color="auto"/>
      </w:divBdr>
    </w:div>
    <w:div w:id="1169445243">
      <w:bodyDiv w:val="1"/>
      <w:marLeft w:val="0"/>
      <w:marRight w:val="0"/>
      <w:marTop w:val="0"/>
      <w:marBottom w:val="0"/>
      <w:divBdr>
        <w:top w:val="none" w:sz="0" w:space="0" w:color="auto"/>
        <w:left w:val="none" w:sz="0" w:space="0" w:color="auto"/>
        <w:bottom w:val="none" w:sz="0" w:space="0" w:color="auto"/>
        <w:right w:val="none" w:sz="0" w:space="0" w:color="auto"/>
      </w:divBdr>
    </w:div>
    <w:div w:id="1263107969">
      <w:bodyDiv w:val="1"/>
      <w:marLeft w:val="0"/>
      <w:marRight w:val="0"/>
      <w:marTop w:val="0"/>
      <w:marBottom w:val="0"/>
      <w:divBdr>
        <w:top w:val="none" w:sz="0" w:space="0" w:color="auto"/>
        <w:left w:val="none" w:sz="0" w:space="0" w:color="auto"/>
        <w:bottom w:val="none" w:sz="0" w:space="0" w:color="auto"/>
        <w:right w:val="none" w:sz="0" w:space="0" w:color="auto"/>
      </w:divBdr>
    </w:div>
    <w:div w:id="1313565211">
      <w:bodyDiv w:val="1"/>
      <w:marLeft w:val="0"/>
      <w:marRight w:val="0"/>
      <w:marTop w:val="0"/>
      <w:marBottom w:val="0"/>
      <w:divBdr>
        <w:top w:val="none" w:sz="0" w:space="0" w:color="auto"/>
        <w:left w:val="none" w:sz="0" w:space="0" w:color="auto"/>
        <w:bottom w:val="none" w:sz="0" w:space="0" w:color="auto"/>
        <w:right w:val="none" w:sz="0" w:space="0" w:color="auto"/>
      </w:divBdr>
    </w:div>
    <w:div w:id="1429883574">
      <w:bodyDiv w:val="1"/>
      <w:marLeft w:val="0"/>
      <w:marRight w:val="0"/>
      <w:marTop w:val="0"/>
      <w:marBottom w:val="0"/>
      <w:divBdr>
        <w:top w:val="none" w:sz="0" w:space="0" w:color="auto"/>
        <w:left w:val="none" w:sz="0" w:space="0" w:color="auto"/>
        <w:bottom w:val="none" w:sz="0" w:space="0" w:color="auto"/>
        <w:right w:val="none" w:sz="0" w:space="0" w:color="auto"/>
      </w:divBdr>
    </w:div>
    <w:div w:id="1477524594">
      <w:bodyDiv w:val="1"/>
      <w:marLeft w:val="0"/>
      <w:marRight w:val="0"/>
      <w:marTop w:val="0"/>
      <w:marBottom w:val="0"/>
      <w:divBdr>
        <w:top w:val="none" w:sz="0" w:space="0" w:color="auto"/>
        <w:left w:val="none" w:sz="0" w:space="0" w:color="auto"/>
        <w:bottom w:val="none" w:sz="0" w:space="0" w:color="auto"/>
        <w:right w:val="none" w:sz="0" w:space="0" w:color="auto"/>
      </w:divBdr>
    </w:div>
    <w:div w:id="1503230367">
      <w:bodyDiv w:val="1"/>
      <w:marLeft w:val="0"/>
      <w:marRight w:val="0"/>
      <w:marTop w:val="0"/>
      <w:marBottom w:val="0"/>
      <w:divBdr>
        <w:top w:val="none" w:sz="0" w:space="0" w:color="auto"/>
        <w:left w:val="none" w:sz="0" w:space="0" w:color="auto"/>
        <w:bottom w:val="none" w:sz="0" w:space="0" w:color="auto"/>
        <w:right w:val="none" w:sz="0" w:space="0" w:color="auto"/>
      </w:divBdr>
      <w:divsChild>
        <w:div w:id="601839474">
          <w:marLeft w:val="0"/>
          <w:marRight w:val="0"/>
          <w:marTop w:val="0"/>
          <w:marBottom w:val="0"/>
          <w:divBdr>
            <w:top w:val="none" w:sz="0" w:space="0" w:color="auto"/>
            <w:left w:val="none" w:sz="0" w:space="0" w:color="auto"/>
            <w:bottom w:val="none" w:sz="0" w:space="0" w:color="auto"/>
            <w:right w:val="none" w:sz="0" w:space="0" w:color="auto"/>
          </w:divBdr>
          <w:divsChild>
            <w:div w:id="689914812">
              <w:marLeft w:val="0"/>
              <w:marRight w:val="0"/>
              <w:marTop w:val="0"/>
              <w:marBottom w:val="0"/>
              <w:divBdr>
                <w:top w:val="none" w:sz="0" w:space="0" w:color="auto"/>
                <w:left w:val="none" w:sz="0" w:space="0" w:color="auto"/>
                <w:bottom w:val="none" w:sz="0" w:space="0" w:color="auto"/>
                <w:right w:val="none" w:sz="0" w:space="0" w:color="auto"/>
              </w:divBdr>
              <w:divsChild>
                <w:div w:id="1043022954">
                  <w:marLeft w:val="0"/>
                  <w:marRight w:val="0"/>
                  <w:marTop w:val="0"/>
                  <w:marBottom w:val="0"/>
                  <w:divBdr>
                    <w:top w:val="none" w:sz="0" w:space="0" w:color="auto"/>
                    <w:left w:val="none" w:sz="0" w:space="0" w:color="auto"/>
                    <w:bottom w:val="none" w:sz="0" w:space="0" w:color="auto"/>
                    <w:right w:val="none" w:sz="0" w:space="0" w:color="auto"/>
                  </w:divBdr>
                  <w:divsChild>
                    <w:div w:id="1648169300">
                      <w:marLeft w:val="0"/>
                      <w:marRight w:val="0"/>
                      <w:marTop w:val="0"/>
                      <w:marBottom w:val="0"/>
                      <w:divBdr>
                        <w:top w:val="none" w:sz="0" w:space="0" w:color="auto"/>
                        <w:left w:val="none" w:sz="0" w:space="0" w:color="auto"/>
                        <w:bottom w:val="none" w:sz="0" w:space="0" w:color="auto"/>
                        <w:right w:val="none" w:sz="0" w:space="0" w:color="auto"/>
                      </w:divBdr>
                      <w:divsChild>
                        <w:div w:id="715351510">
                          <w:marLeft w:val="0"/>
                          <w:marRight w:val="0"/>
                          <w:marTop w:val="0"/>
                          <w:marBottom w:val="0"/>
                          <w:divBdr>
                            <w:top w:val="none" w:sz="0" w:space="0" w:color="auto"/>
                            <w:left w:val="none" w:sz="0" w:space="0" w:color="auto"/>
                            <w:bottom w:val="none" w:sz="0" w:space="0" w:color="auto"/>
                            <w:right w:val="none" w:sz="0" w:space="0" w:color="auto"/>
                          </w:divBdr>
                          <w:divsChild>
                            <w:div w:id="1046683691">
                              <w:marLeft w:val="0"/>
                              <w:marRight w:val="0"/>
                              <w:marTop w:val="0"/>
                              <w:marBottom w:val="0"/>
                              <w:divBdr>
                                <w:top w:val="none" w:sz="0" w:space="0" w:color="auto"/>
                                <w:left w:val="none" w:sz="0" w:space="0" w:color="auto"/>
                                <w:bottom w:val="none" w:sz="0" w:space="0" w:color="auto"/>
                                <w:right w:val="none" w:sz="0" w:space="0" w:color="auto"/>
                              </w:divBdr>
                              <w:divsChild>
                                <w:div w:id="20754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46625">
      <w:bodyDiv w:val="1"/>
      <w:marLeft w:val="0"/>
      <w:marRight w:val="0"/>
      <w:marTop w:val="0"/>
      <w:marBottom w:val="0"/>
      <w:divBdr>
        <w:top w:val="none" w:sz="0" w:space="0" w:color="auto"/>
        <w:left w:val="none" w:sz="0" w:space="0" w:color="auto"/>
        <w:bottom w:val="none" w:sz="0" w:space="0" w:color="auto"/>
        <w:right w:val="none" w:sz="0" w:space="0" w:color="auto"/>
      </w:divBdr>
    </w:div>
    <w:div w:id="1644893268">
      <w:bodyDiv w:val="1"/>
      <w:marLeft w:val="0"/>
      <w:marRight w:val="0"/>
      <w:marTop w:val="0"/>
      <w:marBottom w:val="0"/>
      <w:divBdr>
        <w:top w:val="none" w:sz="0" w:space="0" w:color="auto"/>
        <w:left w:val="none" w:sz="0" w:space="0" w:color="auto"/>
        <w:bottom w:val="none" w:sz="0" w:space="0" w:color="auto"/>
        <w:right w:val="none" w:sz="0" w:space="0" w:color="auto"/>
      </w:divBdr>
      <w:divsChild>
        <w:div w:id="226576528">
          <w:marLeft w:val="0"/>
          <w:marRight w:val="0"/>
          <w:marTop w:val="0"/>
          <w:marBottom w:val="0"/>
          <w:divBdr>
            <w:top w:val="none" w:sz="0" w:space="0" w:color="auto"/>
            <w:left w:val="none" w:sz="0" w:space="0" w:color="auto"/>
            <w:bottom w:val="none" w:sz="0" w:space="0" w:color="auto"/>
            <w:right w:val="none" w:sz="0" w:space="0" w:color="auto"/>
          </w:divBdr>
          <w:divsChild>
            <w:div w:id="597177638">
              <w:marLeft w:val="0"/>
              <w:marRight w:val="0"/>
              <w:marTop w:val="0"/>
              <w:marBottom w:val="0"/>
              <w:divBdr>
                <w:top w:val="none" w:sz="0" w:space="0" w:color="auto"/>
                <w:left w:val="none" w:sz="0" w:space="0" w:color="auto"/>
                <w:bottom w:val="none" w:sz="0" w:space="0" w:color="auto"/>
                <w:right w:val="none" w:sz="0" w:space="0" w:color="auto"/>
              </w:divBdr>
              <w:divsChild>
                <w:div w:id="1113939432">
                  <w:marLeft w:val="0"/>
                  <w:marRight w:val="0"/>
                  <w:marTop w:val="0"/>
                  <w:marBottom w:val="0"/>
                  <w:divBdr>
                    <w:top w:val="none" w:sz="0" w:space="0" w:color="auto"/>
                    <w:left w:val="none" w:sz="0" w:space="0" w:color="auto"/>
                    <w:bottom w:val="none" w:sz="0" w:space="0" w:color="auto"/>
                    <w:right w:val="none" w:sz="0" w:space="0" w:color="auto"/>
                  </w:divBdr>
                  <w:divsChild>
                    <w:div w:id="1173105212">
                      <w:marLeft w:val="0"/>
                      <w:marRight w:val="0"/>
                      <w:marTop w:val="0"/>
                      <w:marBottom w:val="0"/>
                      <w:divBdr>
                        <w:top w:val="none" w:sz="0" w:space="0" w:color="auto"/>
                        <w:left w:val="none" w:sz="0" w:space="0" w:color="auto"/>
                        <w:bottom w:val="none" w:sz="0" w:space="0" w:color="auto"/>
                        <w:right w:val="none" w:sz="0" w:space="0" w:color="auto"/>
                      </w:divBdr>
                      <w:divsChild>
                        <w:div w:id="338705604">
                          <w:marLeft w:val="0"/>
                          <w:marRight w:val="0"/>
                          <w:marTop w:val="0"/>
                          <w:marBottom w:val="0"/>
                          <w:divBdr>
                            <w:top w:val="none" w:sz="0" w:space="0" w:color="auto"/>
                            <w:left w:val="none" w:sz="0" w:space="0" w:color="auto"/>
                            <w:bottom w:val="none" w:sz="0" w:space="0" w:color="auto"/>
                            <w:right w:val="none" w:sz="0" w:space="0" w:color="auto"/>
                          </w:divBdr>
                          <w:divsChild>
                            <w:div w:id="576937571">
                              <w:marLeft w:val="0"/>
                              <w:marRight w:val="0"/>
                              <w:marTop w:val="0"/>
                              <w:marBottom w:val="0"/>
                              <w:divBdr>
                                <w:top w:val="none" w:sz="0" w:space="0" w:color="auto"/>
                                <w:left w:val="none" w:sz="0" w:space="0" w:color="auto"/>
                                <w:bottom w:val="none" w:sz="0" w:space="0" w:color="auto"/>
                                <w:right w:val="none" w:sz="0" w:space="0" w:color="auto"/>
                              </w:divBdr>
                              <w:divsChild>
                                <w:div w:id="18867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942481">
      <w:bodyDiv w:val="1"/>
      <w:marLeft w:val="0"/>
      <w:marRight w:val="0"/>
      <w:marTop w:val="0"/>
      <w:marBottom w:val="0"/>
      <w:divBdr>
        <w:top w:val="none" w:sz="0" w:space="0" w:color="auto"/>
        <w:left w:val="none" w:sz="0" w:space="0" w:color="auto"/>
        <w:bottom w:val="none" w:sz="0" w:space="0" w:color="auto"/>
        <w:right w:val="none" w:sz="0" w:space="0" w:color="auto"/>
      </w:divBdr>
    </w:div>
    <w:div w:id="1712536491">
      <w:bodyDiv w:val="1"/>
      <w:marLeft w:val="0"/>
      <w:marRight w:val="0"/>
      <w:marTop w:val="0"/>
      <w:marBottom w:val="0"/>
      <w:divBdr>
        <w:top w:val="none" w:sz="0" w:space="0" w:color="auto"/>
        <w:left w:val="none" w:sz="0" w:space="0" w:color="auto"/>
        <w:bottom w:val="none" w:sz="0" w:space="0" w:color="auto"/>
        <w:right w:val="none" w:sz="0" w:space="0" w:color="auto"/>
      </w:divBdr>
    </w:div>
    <w:div w:id="198156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eu.researchsquare.com/files/rs-6626378/v1/ecc521d7-3a25-4c8f-bafc-d185d3a2c2f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nk.springer.com/article/10.1186/s40842-025-002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4799</TotalTime>
  <Pages>22</Pages>
  <Words>5744</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Opurum</dc:creator>
  <cp:keywords/>
  <dc:description/>
  <cp:lastModifiedBy>qwert</cp:lastModifiedBy>
  <cp:revision>21</cp:revision>
  <dcterms:created xsi:type="dcterms:W3CDTF">2026-03-18T02:07:00Z</dcterms:created>
  <dcterms:modified xsi:type="dcterms:W3CDTF">2026-04-08T13:02:00Z</dcterms:modified>
</cp:coreProperties>
</file>