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8D94C" w14:textId="77777777" w:rsidR="00D241D9" w:rsidRPr="00F05709" w:rsidRDefault="00D241D9" w:rsidP="00D241D9">
      <w:pPr>
        <w:spacing w:after="120" w:line="240" w:lineRule="auto"/>
        <w:jc w:val="center"/>
        <w:rPr>
          <w:rFonts w:ascii="Times New Roman" w:hAnsi="Times New Roman" w:cs="Times New Roman"/>
          <w:b/>
          <w:bCs/>
          <w:sz w:val="36"/>
          <w:szCs w:val="36"/>
        </w:rPr>
      </w:pPr>
      <w:r w:rsidRPr="00F05709">
        <w:rPr>
          <w:rFonts w:ascii="Times New Roman" w:hAnsi="Times New Roman" w:cs="Times New Roman"/>
          <w:b/>
          <w:bCs/>
          <w:sz w:val="36"/>
          <w:szCs w:val="36"/>
        </w:rPr>
        <w:t xml:space="preserve">Molecular Epidemiology and Virulence Profiling of </w:t>
      </w:r>
      <w:r w:rsidRPr="00F05709">
        <w:rPr>
          <w:rFonts w:ascii="Times New Roman" w:hAnsi="Times New Roman" w:cs="Times New Roman"/>
          <w:b/>
          <w:bCs/>
          <w:i/>
          <w:iCs/>
          <w:sz w:val="36"/>
          <w:szCs w:val="36"/>
        </w:rPr>
        <w:t>Escherichia coli</w:t>
      </w:r>
      <w:r w:rsidRPr="00F05709">
        <w:rPr>
          <w:rFonts w:ascii="Times New Roman" w:hAnsi="Times New Roman" w:cs="Times New Roman"/>
          <w:b/>
          <w:bCs/>
          <w:sz w:val="36"/>
          <w:szCs w:val="36"/>
        </w:rPr>
        <w:t xml:space="preserve"> from Cattle Carcasses and Slaughterhouse Environments in Abuja, Nigeria</w:t>
      </w:r>
    </w:p>
    <w:p w14:paraId="74C840E2" w14:textId="77777777" w:rsidR="00D241D9" w:rsidRPr="00F05709" w:rsidRDefault="00D241D9" w:rsidP="00D241D9">
      <w:pPr>
        <w:spacing w:line="240" w:lineRule="auto"/>
        <w:jc w:val="both"/>
        <w:rPr>
          <w:rFonts w:ascii="Times New Roman" w:hAnsi="Times New Roman" w:cs="Times New Roman"/>
          <w:b/>
          <w:bCs/>
          <w:sz w:val="24"/>
          <w:szCs w:val="24"/>
        </w:rPr>
      </w:pPr>
    </w:p>
    <w:p w14:paraId="416E158A" w14:textId="77777777" w:rsidR="00D241D9" w:rsidRPr="00BF3C29" w:rsidRDefault="00D241D9" w:rsidP="00D241D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t>ABSTRACT</w:t>
      </w:r>
    </w:p>
    <w:p w14:paraId="373D174A" w14:textId="29E686C6"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investigated the molecular characteristics, virulence gene profiles, phylogroup distribution, and genetic relatedness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cattle carcasses and slaughterhouse environments in Abuja, Nigeria. A total of 540 swab samples were collected from processed carcasses and meat-contact surfaces, including butchers’ hands, knives, wheelbarrows, kill floors, washing water, and effluent, at a government-owned Gwagwalada slaughterhouse (n = 340) and a privately owned Dei-Dei slaughterhouse (n = 200). Standard microbiological methods were used for isolation and identification. Overall, 105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recovered, yielding a prevalence of 19.4% (18.5% in Gwagwalada and 21.0% in Dei-Dei). All isolates were screened by polymerase chain reaction (PCR) for eight virulence-associated genes (</w:t>
      </w:r>
      <w:r w:rsidRPr="00F05709">
        <w:rPr>
          <w:rFonts w:ascii="Times New Roman" w:hAnsi="Times New Roman" w:cs="Times New Roman"/>
          <w:i/>
          <w:iCs/>
          <w:sz w:val="24"/>
          <w:szCs w:val="24"/>
        </w:rPr>
        <w:t>eaeA, EAST, traT, hly, omp, bfp, stx,</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and classified into phylogroups using the Clermont quadruplex PCR method. The most prevalent virulence genes were </w:t>
      </w:r>
      <w:r w:rsidRPr="00F05709">
        <w:rPr>
          <w:rFonts w:ascii="Times New Roman" w:hAnsi="Times New Roman" w:cs="Times New Roman"/>
          <w:i/>
          <w:iCs/>
          <w:sz w:val="24"/>
          <w:szCs w:val="24"/>
        </w:rPr>
        <w:t>omp</w:t>
      </w:r>
      <w:r w:rsidRPr="00F05709">
        <w:rPr>
          <w:rFonts w:ascii="Times New Roman" w:hAnsi="Times New Roman" w:cs="Times New Roman"/>
          <w:sz w:val="24"/>
          <w:szCs w:val="24"/>
        </w:rPr>
        <w:t xml:space="preserve"> (96.4%),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(74.5%), and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(72.7%). Phylogroup analysis revealed predominance of B1 (38.1%) and A (28.6%), while virulence-associated phylogroups B2 and D accounted for 21.9% of isolates. No statistically significant association was observed between virulence gene carriage and sample source (p &gt; 0.05). Genetic relatedness assessed using the unweighted pair group method with arithmetic mean (UPGMA) clustering demonstrated five major clusters and one singleton at an 80% similarity threshold. Clusters comprised isolation from carcasses, knives, effluent, and washing water, indicating potential intra-facility cross-contamination and shared contamination routes. The coexistence of diverse phylogroups and high prevalence of Shiga toxin and </w:t>
      </w:r>
      <w:r w:rsidR="00970D15" w:rsidRPr="00F05709">
        <w:rPr>
          <w:rFonts w:ascii="Times New Roman" w:hAnsi="Times New Roman" w:cs="Times New Roman"/>
          <w:sz w:val="24"/>
          <w:szCs w:val="24"/>
        </w:rPr>
        <w:t>necro toxigenic</w:t>
      </w:r>
      <w:r w:rsidRPr="00F05709">
        <w:rPr>
          <w:rFonts w:ascii="Times New Roman" w:hAnsi="Times New Roman" w:cs="Times New Roman"/>
          <w:sz w:val="24"/>
          <w:szCs w:val="24"/>
        </w:rPr>
        <w:t xml:space="preserve"> determinants underscores significant food safety and occupational health risks. These findings highlight slaughterhouses as critical convergence points for pathogen amplification within animal–human–environment interfaces. Strengthening hygiene enforcement, wastewater treatment, and routine molecular surveillance under a One Health framework is essential to mitigate zoonotic and foodborne transmission in Nigeria and similar settings.</w:t>
      </w:r>
    </w:p>
    <w:p w14:paraId="3DB348A6" w14:textId="77777777"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b/>
          <w:bCs/>
          <w:sz w:val="24"/>
          <w:szCs w:val="24"/>
        </w:rPr>
        <w:t xml:space="preserve">Keywords: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virulent genes; phylogroups; molecular epidemiology; food safety.</w:t>
      </w:r>
    </w:p>
    <w:p w14:paraId="21F6EF2F" w14:textId="03468F9D" w:rsidR="00D241D9" w:rsidRPr="00970D15" w:rsidRDefault="00D241D9" w:rsidP="00D241D9">
      <w:pPr>
        <w:spacing w:line="240" w:lineRule="auto"/>
        <w:jc w:val="both"/>
        <w:rPr>
          <w:rFonts w:ascii="Times New Roman" w:hAnsi="Times New Roman" w:cs="Times New Roman"/>
          <w:sz w:val="24"/>
          <w:szCs w:val="24"/>
        </w:rPr>
      </w:pPr>
      <w:r w:rsidRPr="00F05709">
        <w:rPr>
          <w:noProof/>
          <w:sz w:val="24"/>
          <w:szCs w:val="24"/>
        </w:rPr>
        <w:lastRenderedPageBreak/>
        <mc:AlternateContent>
          <mc:Choice Requires="wps">
            <w:drawing>
              <wp:inline distT="0" distB="0" distL="0" distR="0" wp14:anchorId="7DF62136" wp14:editId="6665151E">
                <wp:extent cx="304800" cy="304800"/>
                <wp:effectExtent l="0" t="0" r="0" b="0"/>
                <wp:docPr id="154452550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47986"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noProof/>
          <w:sz w:val="24"/>
          <w:szCs w:val="24"/>
        </w:rPr>
        <mc:AlternateContent>
          <mc:Choice Requires="wps">
            <w:drawing>
              <wp:inline distT="0" distB="0" distL="0" distR="0" wp14:anchorId="4EE80D85" wp14:editId="375B7731">
                <wp:extent cx="304800" cy="304800"/>
                <wp:effectExtent l="0" t="0" r="0" b="0"/>
                <wp:docPr id="68329073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528829"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b/>
          <w:bCs/>
          <w:noProof/>
          <w:sz w:val="24"/>
          <w:szCs w:val="24"/>
        </w:rPr>
        <w:drawing>
          <wp:inline distT="0" distB="0" distL="0" distR="0" wp14:anchorId="4AF85E67" wp14:editId="354A79D3">
            <wp:extent cx="5943600" cy="3962400"/>
            <wp:effectExtent l="0" t="0" r="0" b="0"/>
            <wp:docPr id="1313946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C279A6">
        <w:rPr>
          <w:b/>
          <w:bCs/>
          <w:sz w:val="24"/>
          <w:szCs w:val="24"/>
        </w:rPr>
        <w:t xml:space="preserve">Fig 1: </w:t>
      </w:r>
      <w:r w:rsidRPr="00F05709">
        <w:rPr>
          <w:b/>
          <w:bCs/>
          <w:sz w:val="24"/>
          <w:szCs w:val="24"/>
        </w:rPr>
        <w:t>GRAPHICAL ABSTRACT</w:t>
      </w:r>
    </w:p>
    <w:p w14:paraId="1942A09D" w14:textId="77777777" w:rsidR="00D241D9" w:rsidRPr="007C271C" w:rsidRDefault="00D241D9" w:rsidP="00D241D9">
      <w:pPr>
        <w:spacing w:line="240" w:lineRule="auto"/>
        <w:jc w:val="both"/>
        <w:rPr>
          <w:rFonts w:ascii="Times New Roman" w:hAnsi="Times New Roman" w:cs="Times New Roman"/>
          <w:b/>
          <w:bCs/>
          <w:sz w:val="28"/>
          <w:szCs w:val="28"/>
        </w:rPr>
      </w:pPr>
      <w:r w:rsidRPr="007C271C">
        <w:rPr>
          <w:rFonts w:ascii="Times New Roman" w:hAnsi="Times New Roman" w:cs="Times New Roman"/>
          <w:b/>
          <w:bCs/>
          <w:sz w:val="28"/>
          <w:szCs w:val="28"/>
        </w:rPr>
        <w:t>INTRODUCTION</w:t>
      </w:r>
    </w:p>
    <w:p w14:paraId="2C1865E7" w14:textId="77777777"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(E. coli) is the most prevalent and clinically significant species within the genus </w:t>
      </w:r>
      <w:r w:rsidRPr="00F05709">
        <w:rPr>
          <w:rFonts w:ascii="Times New Roman" w:hAnsi="Times New Roman" w:cs="Times New Roman"/>
          <w:i/>
          <w:iCs/>
          <w:sz w:val="24"/>
          <w:szCs w:val="24"/>
        </w:rPr>
        <w:t>Escherichia</w:t>
      </w:r>
      <w:r w:rsidRPr="00F05709">
        <w:rPr>
          <w:rFonts w:ascii="Times New Roman" w:hAnsi="Times New Roman" w:cs="Times New Roman"/>
          <w:sz w:val="24"/>
          <w:szCs w:val="24"/>
        </w:rPr>
        <w:t>. This Gram-negative, rod-shaped, facultatively anaerobic bacterium commonly inhabits the lower gastrointestinal tract of humans and other warm-blooded animals as part of the normal intestinal microbiota. While most strains are harmless commensals that contribute to intestinal homeostasis, certain strains possess specific virulent determinants that enable them to cause a wide spectrum of intestinal and extraintestinal diseases (</w:t>
      </w:r>
      <w:r>
        <w:rPr>
          <w:rFonts w:ascii="Times New Roman" w:hAnsi="Times New Roman" w:cs="Times New Roman"/>
          <w:sz w:val="24"/>
          <w:szCs w:val="24"/>
        </w:rPr>
        <w:t>1</w:t>
      </w:r>
      <w:r w:rsidRPr="00F05709">
        <w:rPr>
          <w:rFonts w:ascii="Times New Roman" w:hAnsi="Times New Roman" w:cs="Times New Roman"/>
          <w:sz w:val="24"/>
          <w:szCs w:val="24"/>
        </w:rPr>
        <w:t>).</w:t>
      </w:r>
    </w:p>
    <w:p w14:paraId="3F0A119B" w14:textId="1565BCAB"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Based on clinical manifestations and molecular characteristics, human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broadly categorized into three groups: commensal strains, 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and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(ExPEC). Although most strains residing in the colon are non-pathogenic, pathogenic variants harbor virulence-associated genes that facilitate colonization, immune evasion, toxin production, and tissue invasion. Most extraintestinal infections, except gastroenteritis and neonatal meningitis, are endogenous in origin. These infections occur when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from the host’s normal microbiota gains access to normally sterile body sites, particularly when host defenses are compromised due to trauma, immune suppression, or underlying disease (</w:t>
      </w:r>
      <w:r w:rsidR="00343F4D">
        <w:rPr>
          <w:rFonts w:ascii="Times New Roman" w:hAnsi="Times New Roman" w:cs="Times New Roman"/>
          <w:sz w:val="24"/>
          <w:szCs w:val="24"/>
        </w:rPr>
        <w:t>1</w:t>
      </w:r>
      <w:r w:rsidRPr="00F05709">
        <w:rPr>
          <w:rFonts w:ascii="Times New Roman" w:hAnsi="Times New Roman" w:cs="Times New Roman"/>
          <w:sz w:val="24"/>
          <w:szCs w:val="24"/>
        </w:rPr>
        <w:t xml:space="preserve">). Clinically,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 implicated in gastroenteritis, urinary tract infections (UTIs), septicemia, bacteremia, neonatal meningitis, cholecystitis, and cholangitis, making it one of the most versatile bacterial pathogens in both community and hospital settings.</w:t>
      </w:r>
    </w:p>
    <w:p w14:paraId="0052341D" w14:textId="3F27D0DA"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strains are subdivided into several pathotypes according to their virulence factors, pathogenic mechanisms, and disease presentations. Enterotoxigenic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(ETEC) is a major cause of watery diarrhea characterized by dehydration, nausea, vomiting, fever, and abdominal discomfort. It predominantly affects children under five years of age in developing countries and adults traveling to endemic regions. The pathogenicity of ETEC is mediated by the production of heat-stable (ST) and heat-labile (LT) enterotoxins, along with colonization factors that promote adherence to the small intestinal epithelium</w:t>
      </w:r>
      <w:r>
        <w:rPr>
          <w:rFonts w:ascii="Times New Roman" w:hAnsi="Times New Roman" w:cs="Times New Roman"/>
          <w:sz w:val="24"/>
          <w:szCs w:val="24"/>
        </w:rPr>
        <w:t xml:space="preserve"> (</w:t>
      </w:r>
      <w:r w:rsidR="00343F4D">
        <w:rPr>
          <w:rFonts w:ascii="Times New Roman" w:hAnsi="Times New Roman" w:cs="Times New Roman"/>
          <w:sz w:val="24"/>
          <w:szCs w:val="24"/>
        </w:rPr>
        <w:t>2</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Enteropathogenic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(EPEC) is primarily associated with secretory and persistent diarrhea in infants and young children, occasionally affecting adults. EPEC pathogenesis involves the locus of enterocyte effacement (LEE), plasmid-encoded adherence factor (pEAF), bundle-forming pili (BFP), and non-LEE encoded effectors, which together facilitate attaching-and-effacing lesions on intestinal epithelial cells</w:t>
      </w:r>
      <w:r>
        <w:rPr>
          <w:rFonts w:ascii="Times New Roman" w:hAnsi="Times New Roman" w:cs="Times New Roman"/>
          <w:sz w:val="24"/>
          <w:szCs w:val="24"/>
        </w:rPr>
        <w:t xml:space="preserve"> (</w:t>
      </w:r>
      <w:r w:rsidR="00343F4D">
        <w:rPr>
          <w:rFonts w:ascii="Times New Roman" w:hAnsi="Times New Roman" w:cs="Times New Roman"/>
          <w:sz w:val="24"/>
          <w:szCs w:val="24"/>
        </w:rPr>
        <w:t>3</w:t>
      </w:r>
      <w:r>
        <w:rPr>
          <w:rFonts w:ascii="Times New Roman" w:hAnsi="Times New Roman" w:cs="Times New Roman"/>
          <w:sz w:val="24"/>
          <w:szCs w:val="24"/>
        </w:rPr>
        <w:t>)</w:t>
      </w:r>
      <w:r w:rsidRPr="00F05709">
        <w:rPr>
          <w:rFonts w:ascii="Times New Roman" w:hAnsi="Times New Roman" w:cs="Times New Roman"/>
          <w:sz w:val="24"/>
          <w:szCs w:val="24"/>
        </w:rPr>
        <w:t>.</w:t>
      </w:r>
    </w:p>
    <w:p w14:paraId="6CA5F6FA" w14:textId="4D84C7FD"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Enteroaggregative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(EAEC) causes persistent and acute diarrhea across all age groups, including immunocompromised individuals such as those infected with HIV. EAEC exhibits a characteristic aggregative “stacked-brick” adherence pattern mediated by aggregative adherence fimbriae (AAF) and produces toxins such as enteroaggregative heat-stable toxin (EAST-1), plasmid-encoded toxin (Pet), protein involved in colonization (Pic), and Shigella enterotoxin-1 (ShET-1)</w:t>
      </w:r>
      <w:r>
        <w:rPr>
          <w:rFonts w:ascii="Times New Roman" w:hAnsi="Times New Roman" w:cs="Times New Roman"/>
          <w:sz w:val="24"/>
          <w:szCs w:val="24"/>
        </w:rPr>
        <w:t xml:space="preserve"> (</w:t>
      </w:r>
      <w:r w:rsidR="00343F4D">
        <w:rPr>
          <w:rFonts w:ascii="Times New Roman" w:hAnsi="Times New Roman" w:cs="Times New Roman"/>
          <w:sz w:val="24"/>
          <w:szCs w:val="24"/>
        </w:rPr>
        <w:t>4</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Shiga 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(STEC), also referred to as verotoxin-producing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(VTEC) or enterohemorrhagic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(EHEC), can cause disease ranging from mild diarrhea to severe hemorrhagic colitis with bloody diarrhea and abdominal pain. These strains produce Shiga toxins (Stx1 and Stx2), which are central to their virulence and may lead to hemolytic uremic syndrome (HUS), particularly in young children</w:t>
      </w:r>
      <w:r>
        <w:rPr>
          <w:rFonts w:ascii="Times New Roman" w:hAnsi="Times New Roman" w:cs="Times New Roman"/>
          <w:sz w:val="24"/>
          <w:szCs w:val="24"/>
        </w:rPr>
        <w:t xml:space="preserve"> (</w:t>
      </w:r>
      <w:r w:rsidR="00343F4D">
        <w:rPr>
          <w:rFonts w:ascii="Times New Roman" w:hAnsi="Times New Roman" w:cs="Times New Roman"/>
          <w:sz w:val="24"/>
          <w:szCs w:val="24"/>
        </w:rPr>
        <w:t>5</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Enteroinvasive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(EIEC) invades and destroys colonic epithelial cells, initially producing watery diarrhea that may progress to dysentery characterized by fever, abdominal cramps, and blood and leukocytes in stool. Diffusely adherent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(DAEC) has been implicated in watery diarrhea in children and is characterized by the expression of Afa/Dr adhesins. Adherent-invasive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(AIEC), although not typically associated with acute gastroenteritis, has been linked to chronic intestinal inflammation and Crohn’s disease due to its ability to adhere to epithelial cells, invade tissues, and persist within macrophages</w:t>
      </w:r>
      <w:r>
        <w:rPr>
          <w:rFonts w:ascii="Times New Roman" w:hAnsi="Times New Roman" w:cs="Times New Roman"/>
          <w:sz w:val="24"/>
          <w:szCs w:val="24"/>
        </w:rPr>
        <w:t xml:space="preserve"> (</w:t>
      </w:r>
      <w:r w:rsidR="00343F4D">
        <w:rPr>
          <w:rFonts w:ascii="Times New Roman" w:hAnsi="Times New Roman" w:cs="Times New Roman"/>
          <w:sz w:val="24"/>
          <w:szCs w:val="24"/>
        </w:rPr>
        <w:t>6)</w:t>
      </w:r>
      <w:r w:rsidRPr="00F05709">
        <w:rPr>
          <w:rFonts w:ascii="Times New Roman" w:hAnsi="Times New Roman" w:cs="Times New Roman"/>
          <w:sz w:val="24"/>
          <w:szCs w:val="24"/>
        </w:rPr>
        <w:t>.</w:t>
      </w:r>
    </w:p>
    <w:p w14:paraId="3600C8BD" w14:textId="61A97994"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Beyond human infections,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important causes of disease in animals. In cattle, ETEC is a principal agent of neonatal diarrhea affecting the small intestine, while EPEC and STEC are associated with hemorrhagic dysentery in young calves, and certain strains contribute to bovine mastitis in adult cows. In pigs, ETEC is responsible for neonatal, post-weaning, and young pig diarrhea, whereas STEC strains are implicated in edema disease. Poultry may experience embryonic mortality, dermatitis, cellulitis, and intestinal infections associated with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Similarly, dogs, cats, and rabbits may develop diarrheal illnesses linked to ETEC or EPEC infections. These animal infections are of both economic and public health importance, particularly because of food-producing animals, especially cattle—serve as reservoirs for zoonotic STEC strains</w:t>
      </w:r>
      <w:r>
        <w:rPr>
          <w:rFonts w:ascii="Times New Roman" w:hAnsi="Times New Roman" w:cs="Times New Roman"/>
          <w:sz w:val="24"/>
          <w:szCs w:val="24"/>
        </w:rPr>
        <w:t xml:space="preserve"> (</w:t>
      </w:r>
      <w:r w:rsidR="00343F4D">
        <w:rPr>
          <w:rFonts w:ascii="Times New Roman" w:hAnsi="Times New Roman" w:cs="Times New Roman"/>
          <w:sz w:val="24"/>
          <w:szCs w:val="24"/>
        </w:rPr>
        <w:t>7</w:t>
      </w:r>
      <w:r>
        <w:rPr>
          <w:rFonts w:ascii="Times New Roman" w:hAnsi="Times New Roman" w:cs="Times New Roman"/>
          <w:sz w:val="24"/>
          <w:szCs w:val="24"/>
        </w:rPr>
        <w:t>)</w:t>
      </w:r>
      <w:r w:rsidRPr="00F05709">
        <w:rPr>
          <w:rFonts w:ascii="Times New Roman" w:hAnsi="Times New Roman" w:cs="Times New Roman"/>
          <w:sz w:val="24"/>
          <w:szCs w:val="24"/>
        </w:rPr>
        <w:t>.</w:t>
      </w:r>
    </w:p>
    <w:p w14:paraId="5721BC85" w14:textId="6942EA79"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pathogenicity of both intestinal and extraintestinal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is mediated by a wide range of virulence factors, including fimbrial and afimbrial adhesins, capsules, hemolysins, exotoxins, enterotoxins, invasins, and iron acquisition systems. In ExPEC strains, virulence-associated genes encode proteins that enhance colonization of extraintestinal sites, promote serum resistance, facilitate iron uptake, and enable systemic dissemination. The diversity and distribution of these virulence genes determine the pathogenic potential of specific isolates</w:t>
      </w:r>
      <w:r>
        <w:rPr>
          <w:rFonts w:ascii="Times New Roman" w:hAnsi="Times New Roman" w:cs="Times New Roman"/>
          <w:sz w:val="24"/>
          <w:szCs w:val="24"/>
        </w:rPr>
        <w:t xml:space="preserve"> (</w:t>
      </w:r>
      <w:r w:rsidR="00343F4D">
        <w:rPr>
          <w:rFonts w:ascii="Times New Roman" w:hAnsi="Times New Roman" w:cs="Times New Roman"/>
          <w:sz w:val="24"/>
          <w:szCs w:val="24"/>
        </w:rPr>
        <w:t>8</w:t>
      </w:r>
      <w:r>
        <w:rPr>
          <w:rFonts w:ascii="Times New Roman" w:hAnsi="Times New Roman" w:cs="Times New Roman"/>
          <w:sz w:val="24"/>
          <w:szCs w:val="24"/>
        </w:rPr>
        <w:t>)</w:t>
      </w:r>
      <w:r w:rsidRPr="00F05709">
        <w:rPr>
          <w:rFonts w:ascii="Times New Roman" w:hAnsi="Times New Roman" w:cs="Times New Roman"/>
          <w:sz w:val="24"/>
          <w:szCs w:val="24"/>
        </w:rPr>
        <w:t>.</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In developing countries, slaughterhouses frequently operate under suboptimal sanitary conditions, thereby facilitating the </w:t>
      </w:r>
      <w:r w:rsidRPr="00F05709">
        <w:rPr>
          <w:rFonts w:ascii="Times New Roman" w:hAnsi="Times New Roman" w:cs="Times New Roman"/>
          <w:sz w:val="24"/>
          <w:szCs w:val="24"/>
        </w:rPr>
        <w:lastRenderedPageBreak/>
        <w:t xml:space="preserve">transmission of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from animal carcasses to workers, equipment, and the surrounding environment (</w:t>
      </w:r>
      <w:r w:rsidR="00343F4D">
        <w:rPr>
          <w:rFonts w:ascii="Times New Roman" w:hAnsi="Times New Roman" w:cs="Times New Roman"/>
          <w:sz w:val="24"/>
          <w:szCs w:val="24"/>
        </w:rPr>
        <w:t>9</w:t>
      </w:r>
      <w:r w:rsidRPr="00F05709">
        <w:rPr>
          <w:rFonts w:ascii="Times New Roman" w:hAnsi="Times New Roman" w:cs="Times New Roman"/>
          <w:sz w:val="24"/>
          <w:szCs w:val="24"/>
        </w:rPr>
        <w:t>). Inadequate carcass handling, contaminated water used for washing, poor effluent management, and improper sanitation of meat-contact surfaces contribute to cross-contamination within abattoir systems. Such contamination poses significant risks to food safety and public health, particularly when meat products enter the consumer market without adequate processing or cooking.</w:t>
      </w:r>
    </w:p>
    <w:p w14:paraId="444A2D8E" w14:textId="69EFE902" w:rsidR="00D241D9" w:rsidRPr="00F05709" w:rsidRDefault="00D241D9" w:rsidP="00D241D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Molecular detection of virulence-associated genes and analysis of phylogenetic relatedness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provide critical insights into contamination sources, transmission pathways, and zoonotic risk. Although several studies have reported the presence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Nigerian abattoirs (</w:t>
      </w:r>
      <w:r>
        <w:rPr>
          <w:rFonts w:ascii="Times New Roman" w:hAnsi="Times New Roman" w:cs="Times New Roman"/>
          <w:sz w:val="24"/>
          <w:szCs w:val="24"/>
        </w:rPr>
        <w:t>1</w:t>
      </w:r>
      <w:r w:rsidR="00343F4D">
        <w:rPr>
          <w:rFonts w:ascii="Times New Roman" w:hAnsi="Times New Roman" w:cs="Times New Roman"/>
          <w:sz w:val="24"/>
          <w:szCs w:val="24"/>
        </w:rPr>
        <w:t>0</w:t>
      </w:r>
      <w:r>
        <w:rPr>
          <w:rFonts w:ascii="Times New Roman" w:hAnsi="Times New Roman" w:cs="Times New Roman"/>
          <w:sz w:val="24"/>
          <w:szCs w:val="24"/>
        </w:rPr>
        <w:t>, 1</w:t>
      </w:r>
      <w:r w:rsidR="00343F4D">
        <w:rPr>
          <w:rFonts w:ascii="Times New Roman" w:hAnsi="Times New Roman" w:cs="Times New Roman"/>
          <w:sz w:val="24"/>
          <w:szCs w:val="24"/>
        </w:rPr>
        <w:t>1</w:t>
      </w:r>
      <w:r w:rsidRPr="00F05709">
        <w:rPr>
          <w:rFonts w:ascii="Times New Roman" w:hAnsi="Times New Roman" w:cs="Times New Roman"/>
          <w:sz w:val="24"/>
          <w:szCs w:val="24"/>
        </w:rPr>
        <w:t>), limited research has simultaneously examined both virulence gene profiles and genetic relatedness of isolates recovered from multiple slaughterhouse niches, particularly within Abuja.</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Therefore, this study aimed to (i) analyze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from cattle carcasses and meat-contact surfaces for virulence-encoding genes and (ii) determine their phylogenetic relatedness. The findings will enhance understanding of the public health implications of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abattoir environments and support the development of evidence-based strategies to improve slaughterhouse hygiene and food safety in Nigeria</w:t>
      </w:r>
    </w:p>
    <w:p w14:paraId="6CC2885C" w14:textId="77777777" w:rsidR="00D241D9" w:rsidRPr="00BF3C29" w:rsidRDefault="00D241D9" w:rsidP="00D241D9">
      <w:pPr>
        <w:spacing w:line="240" w:lineRule="auto"/>
        <w:jc w:val="both"/>
        <w:rPr>
          <w:rFonts w:ascii="Times New Roman" w:hAnsi="Times New Roman" w:cs="Times New Roman"/>
          <w:b/>
          <w:bCs/>
          <w:sz w:val="28"/>
          <w:szCs w:val="28"/>
        </w:rPr>
      </w:pPr>
      <w:r w:rsidRPr="00F05709">
        <w:rPr>
          <w:rFonts w:ascii="Times New Roman" w:hAnsi="Times New Roman" w:cs="Times New Roman"/>
          <w:b/>
          <w:bCs/>
          <w:sz w:val="24"/>
          <w:szCs w:val="24"/>
        </w:rPr>
        <w:t xml:space="preserve">2. </w:t>
      </w:r>
      <w:r w:rsidRPr="00BF3C29">
        <w:rPr>
          <w:rFonts w:ascii="Times New Roman" w:hAnsi="Times New Roman" w:cs="Times New Roman"/>
          <w:b/>
          <w:bCs/>
          <w:sz w:val="28"/>
          <w:szCs w:val="28"/>
        </w:rPr>
        <w:t>MATERIALS AND METHODS</w:t>
      </w:r>
    </w:p>
    <w:p w14:paraId="4C39D78F"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2.1 Study Area and Study Design</w:t>
      </w:r>
    </w:p>
    <w:p w14:paraId="14373C9A" w14:textId="6D63F6C4" w:rsid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This cross-sectional study was conducted in two major slaughterhouses located in Abuja, Federal Capital Territory (FCT), Nigeria: the government-owned Gwagwalada slaughterhouse and the privately owned Dei-Dei slaughterhouse.</w:t>
      </w:r>
      <w:r>
        <w:rPr>
          <w:rFonts w:ascii="Times New Roman" w:hAnsi="Times New Roman" w:cs="Times New Roman"/>
          <w:sz w:val="24"/>
          <w:szCs w:val="24"/>
        </w:rPr>
        <w:t xml:space="preserve"> </w:t>
      </w:r>
      <w:r w:rsidRPr="00D241D9">
        <w:rPr>
          <w:rFonts w:ascii="Times New Roman" w:hAnsi="Times New Roman" w:cs="Times New Roman"/>
          <w:sz w:val="24"/>
          <w:szCs w:val="24"/>
        </w:rPr>
        <w:t>The Gwagwalada slaughterhouse is situated in New Kutunku Ward, a densely populated residential area adjacent to a tributary of the River Usuma. The facility comprises three operational sections: slaughtering, processing, and waste disposal. Geographically, it lies between latitudes 08°55′N and 09°00′N, and longitudes 07°00′E and 07°05′E (1</w:t>
      </w:r>
      <w:r w:rsidR="00343F4D">
        <w:rPr>
          <w:rFonts w:ascii="Times New Roman" w:hAnsi="Times New Roman" w:cs="Times New Roman"/>
          <w:sz w:val="24"/>
          <w:szCs w:val="24"/>
        </w:rPr>
        <w:t>2</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The Dei-Dei slaughterhouse is located within the Abuja International Livestock Market (latitude 9.0993°N, longitude 7.2789°E). It is operated under the supervision of the Federal Capital Territory Administration (FCTA) and represents one of the largest privately managed slaughter facilities in the region, processing both indigenous and exotic livestock breeds (1</w:t>
      </w:r>
      <w:r w:rsidR="00343F4D">
        <w:rPr>
          <w:rFonts w:ascii="Times New Roman" w:hAnsi="Times New Roman" w:cs="Times New Roman"/>
          <w:sz w:val="24"/>
          <w:szCs w:val="24"/>
        </w:rPr>
        <w:t>3</w:t>
      </w:r>
      <w:r w:rsidRPr="00D241D9">
        <w:rPr>
          <w:rFonts w:ascii="Times New Roman" w:hAnsi="Times New Roman" w:cs="Times New Roman"/>
          <w:sz w:val="24"/>
          <w:szCs w:val="24"/>
        </w:rPr>
        <w:t xml:space="preserve">, </w:t>
      </w:r>
      <w:r w:rsidR="00343F4D">
        <w:rPr>
          <w:rFonts w:ascii="Times New Roman" w:hAnsi="Times New Roman" w:cs="Times New Roman"/>
          <w:sz w:val="24"/>
          <w:szCs w:val="24"/>
        </w:rPr>
        <w:t>14</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The study targeted cattle carcasses, meat-contact surfaces (MCS), and environmental samples within both facilities</w:t>
      </w:r>
      <w:r w:rsidR="000D72B8">
        <w:rPr>
          <w:rFonts w:ascii="Times New Roman" w:hAnsi="Times New Roman" w:cs="Times New Roman"/>
          <w:sz w:val="24"/>
          <w:szCs w:val="24"/>
        </w:rPr>
        <w:t xml:space="preserve"> (Fig 2)</w:t>
      </w:r>
      <w:r w:rsidRPr="00D241D9">
        <w:rPr>
          <w:rFonts w:ascii="Times New Roman" w:hAnsi="Times New Roman" w:cs="Times New Roman"/>
          <w:sz w:val="24"/>
          <w:szCs w:val="24"/>
        </w:rPr>
        <w:t>.</w:t>
      </w:r>
    </w:p>
    <w:p w14:paraId="629D265C" w14:textId="41D592C1" w:rsidR="00D241D9" w:rsidRPr="00D241D9" w:rsidRDefault="00D241D9" w:rsidP="00D241D9">
      <w:pPr>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396BCF34" wp14:editId="4EB9EBA7">
            <wp:extent cx="5943600" cy="3962400"/>
            <wp:effectExtent l="0" t="0" r="0" b="0"/>
            <wp:docPr id="734105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46E25D2" w14:textId="62CF2B38" w:rsidR="00C279A6" w:rsidRDefault="00C279A6" w:rsidP="00D241D9">
      <w:pPr>
        <w:jc w:val="both"/>
        <w:rPr>
          <w:rFonts w:ascii="Times New Roman" w:hAnsi="Times New Roman" w:cs="Times New Roman"/>
          <w:b/>
          <w:bCs/>
          <w:sz w:val="24"/>
          <w:szCs w:val="24"/>
        </w:rPr>
      </w:pPr>
      <w:r>
        <w:rPr>
          <w:rFonts w:ascii="Times New Roman" w:hAnsi="Times New Roman" w:cs="Times New Roman"/>
          <w:b/>
          <w:bCs/>
          <w:sz w:val="24"/>
          <w:szCs w:val="24"/>
        </w:rPr>
        <w:t xml:space="preserve">Fig 2: Map </w:t>
      </w:r>
      <w:r w:rsidR="009A46D7">
        <w:rPr>
          <w:rFonts w:ascii="Times New Roman" w:hAnsi="Times New Roman" w:cs="Times New Roman"/>
          <w:b/>
          <w:bCs/>
          <w:sz w:val="24"/>
          <w:szCs w:val="24"/>
        </w:rPr>
        <w:t xml:space="preserve">of Abuja </w:t>
      </w:r>
      <w:r>
        <w:rPr>
          <w:rFonts w:ascii="Times New Roman" w:hAnsi="Times New Roman" w:cs="Times New Roman"/>
          <w:b/>
          <w:bCs/>
          <w:sz w:val="24"/>
          <w:szCs w:val="24"/>
        </w:rPr>
        <w:t xml:space="preserve">indicating the Study Area </w:t>
      </w:r>
    </w:p>
    <w:p w14:paraId="261C9E70" w14:textId="375EA1B3"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2.2 Sample Size Determination and Sample Collection</w:t>
      </w:r>
    </w:p>
    <w:p w14:paraId="4ED4C91D" w14:textId="2DF9CED9"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The sample size was determined using the Raosoft® Sample Size Calculator (</w:t>
      </w:r>
      <w:hyperlink r:id="rId7" w:tgtFrame="_new" w:history="1">
        <w:r w:rsidRPr="00D241D9">
          <w:rPr>
            <w:rStyle w:val="Hyperlink"/>
            <w:rFonts w:ascii="Times New Roman" w:hAnsi="Times New Roman" w:cs="Times New Roman"/>
            <w:sz w:val="24"/>
            <w:szCs w:val="24"/>
          </w:rPr>
          <w:t>https://www.raosoft.com/samplesize.html</w:t>
        </w:r>
      </w:hyperlink>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For cattle carcasses, a 95% confidence level, 5% margin of error, and an assumed prevalence of 50% yielded a minimum sample size of 277. This was increased to 300 to enhance statistical robustness (1</w:t>
      </w:r>
      <w:r w:rsidR="00343F4D">
        <w:rPr>
          <w:rFonts w:ascii="Times New Roman" w:hAnsi="Times New Roman" w:cs="Times New Roman"/>
          <w:sz w:val="24"/>
          <w:szCs w:val="24"/>
        </w:rPr>
        <w:t>5</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For meat-contact surfaces, a previously reported prevalence of 36% yielded a minimum sample size of 240 (1</w:t>
      </w:r>
      <w:r w:rsidR="00343F4D">
        <w:rPr>
          <w:rFonts w:ascii="Times New Roman" w:hAnsi="Times New Roman" w:cs="Times New Roman"/>
          <w:sz w:val="24"/>
          <w:szCs w:val="24"/>
        </w:rPr>
        <w:t>6</w:t>
      </w:r>
      <w:r w:rsidRPr="00D241D9">
        <w:rPr>
          <w:rFonts w:ascii="Times New Roman" w:hAnsi="Times New Roman" w:cs="Times New Roman"/>
          <w:sz w:val="24"/>
          <w:szCs w:val="24"/>
        </w:rPr>
        <w:t>).</w:t>
      </w:r>
      <w:r>
        <w:rPr>
          <w:rFonts w:ascii="Times New Roman" w:hAnsi="Times New Roman" w:cs="Times New Roman"/>
          <w:sz w:val="24"/>
          <w:szCs w:val="24"/>
        </w:rPr>
        <w:t xml:space="preserve"> </w:t>
      </w:r>
      <w:r w:rsidRPr="00D241D9">
        <w:rPr>
          <w:rFonts w:ascii="Times New Roman" w:hAnsi="Times New Roman" w:cs="Times New Roman"/>
          <w:sz w:val="24"/>
          <w:szCs w:val="24"/>
        </w:rPr>
        <w:t>Sampling was conducted biweekly over a four-month period, comprising 20 visits to the Gwagwalada slaughterhouse and 15 visits to the Dei-Dei slaughterhouse.</w:t>
      </w:r>
    </w:p>
    <w:p w14:paraId="54342B3C"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Carcass Sampling</w:t>
      </w:r>
    </w:p>
    <w:p w14:paraId="706B847F" w14:textId="77777777"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Sterile swab samples were collected aseptically from three anatomical sites: the flank, loin, and neck of cattle carcasses.</w:t>
      </w:r>
    </w:p>
    <w:p w14:paraId="67C6E4F6"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Meat-Contact Surface Sampling</w:t>
      </w:r>
    </w:p>
    <w:p w14:paraId="4B2DCBED" w14:textId="16FBA4C8"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A total of 240 swab samples were collected from butchers’ hands, knives, wheelbarrows, slaughter floors, effluent channels, and washing water. Swabs were moistened with sterile normal saline and applied to predetermined surface areas using parallel and rotational strokes to maximize bacterial recovery.</w:t>
      </w:r>
      <w:r>
        <w:rPr>
          <w:rFonts w:ascii="Times New Roman" w:hAnsi="Times New Roman" w:cs="Times New Roman"/>
          <w:sz w:val="24"/>
          <w:szCs w:val="24"/>
        </w:rPr>
        <w:t xml:space="preserve"> </w:t>
      </w:r>
      <w:r w:rsidRPr="00D241D9">
        <w:rPr>
          <w:rFonts w:ascii="Times New Roman" w:hAnsi="Times New Roman" w:cs="Times New Roman"/>
          <w:sz w:val="24"/>
          <w:szCs w:val="24"/>
        </w:rPr>
        <w:t>All samples were transported in ice-packed containers under aseptic conditions to the Public Health Laboratory, University of Abuja, and were processed on the same day.</w:t>
      </w:r>
    </w:p>
    <w:p w14:paraId="36F527CD"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lastRenderedPageBreak/>
        <w:t xml:space="preserve">2.3 Isolation and Phenotypic Identification of </w:t>
      </w:r>
      <w:r w:rsidRPr="00D241D9">
        <w:rPr>
          <w:rFonts w:ascii="Times New Roman" w:hAnsi="Times New Roman" w:cs="Times New Roman"/>
          <w:b/>
          <w:bCs/>
          <w:i/>
          <w:iCs/>
          <w:sz w:val="24"/>
          <w:szCs w:val="24"/>
        </w:rPr>
        <w:t>Escherichia coli</w:t>
      </w:r>
    </w:p>
    <w:p w14:paraId="5F9BB9D6" w14:textId="6F38D75E"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Isolation and identification were performed using standard bacteriological procedures (1</w:t>
      </w:r>
      <w:r w:rsidR="00343F4D">
        <w:rPr>
          <w:rFonts w:ascii="Times New Roman" w:hAnsi="Times New Roman" w:cs="Times New Roman"/>
          <w:sz w:val="24"/>
          <w:szCs w:val="24"/>
        </w:rPr>
        <w:t>7</w:t>
      </w:r>
      <w:r w:rsidRPr="00D241D9">
        <w:rPr>
          <w:rFonts w:ascii="Times New Roman" w:hAnsi="Times New Roman" w:cs="Times New Roman"/>
          <w:sz w:val="24"/>
          <w:szCs w:val="24"/>
        </w:rPr>
        <w:t>). Swab samples were streaked onto MacConkey agar and incubated at 37°C for 18–24 hours. Lactose-fermenting (pink) colonies were subsequently subcultured onto Eosin Methylene Blue (EMB) agar and incubated under similar conditions.</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 xml:space="preserve">Colonies exhibiting a characteristic green metallic sheen on EMB agar were considered presumptive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These isolates were further characterized using Gram staining and standard biochemical tests.</w:t>
      </w:r>
    </w:p>
    <w:p w14:paraId="74353AE1"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 xml:space="preserve">2.4 Molecular Confirmation of </w:t>
      </w:r>
      <w:r w:rsidRPr="00D241D9">
        <w:rPr>
          <w:rFonts w:ascii="Times New Roman" w:hAnsi="Times New Roman" w:cs="Times New Roman"/>
          <w:b/>
          <w:bCs/>
          <w:i/>
          <w:iCs/>
          <w:sz w:val="24"/>
          <w:szCs w:val="24"/>
        </w:rPr>
        <w:t>Escherichia coli</w:t>
      </w:r>
    </w:p>
    <w:p w14:paraId="3920B868" w14:textId="77777777"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Genomic DNA was extracted from presumptive isolates using the phenol-chloroform extraction method. Fifteen isolates were randomly selected for molecular confirmation through amplification of the 16S rRNA gene using universal primers:</w:t>
      </w:r>
    </w:p>
    <w:p w14:paraId="374F5290" w14:textId="77777777" w:rsidR="00D241D9" w:rsidRPr="00D241D9" w:rsidRDefault="00D241D9" w:rsidP="00D241D9">
      <w:pPr>
        <w:numPr>
          <w:ilvl w:val="0"/>
          <w:numId w:val="1"/>
        </w:numPr>
        <w:tabs>
          <w:tab w:val="clear" w:pos="360"/>
          <w:tab w:val="num" w:pos="720"/>
        </w:tabs>
        <w:jc w:val="both"/>
        <w:rPr>
          <w:rFonts w:ascii="Times New Roman" w:hAnsi="Times New Roman" w:cs="Times New Roman"/>
          <w:sz w:val="24"/>
          <w:szCs w:val="24"/>
        </w:rPr>
      </w:pPr>
      <w:r w:rsidRPr="00D241D9">
        <w:rPr>
          <w:rFonts w:ascii="Times New Roman" w:hAnsi="Times New Roman" w:cs="Times New Roman"/>
          <w:sz w:val="24"/>
          <w:szCs w:val="24"/>
        </w:rPr>
        <w:t xml:space="preserve">27F: 5’-AGAGTTTGATCCTGGCTCAG-3’ </w:t>
      </w:r>
    </w:p>
    <w:p w14:paraId="791F1D8C" w14:textId="2CA53A9D" w:rsidR="00D241D9" w:rsidRPr="00D241D9" w:rsidRDefault="00D241D9" w:rsidP="00D241D9">
      <w:pPr>
        <w:numPr>
          <w:ilvl w:val="0"/>
          <w:numId w:val="1"/>
        </w:numPr>
        <w:tabs>
          <w:tab w:val="clear" w:pos="360"/>
          <w:tab w:val="num" w:pos="720"/>
        </w:tabs>
        <w:jc w:val="both"/>
        <w:rPr>
          <w:rFonts w:ascii="Times New Roman" w:hAnsi="Times New Roman" w:cs="Times New Roman"/>
          <w:sz w:val="24"/>
          <w:szCs w:val="24"/>
        </w:rPr>
      </w:pPr>
      <w:r w:rsidRPr="00D241D9">
        <w:rPr>
          <w:rFonts w:ascii="Times New Roman" w:hAnsi="Times New Roman" w:cs="Times New Roman"/>
          <w:sz w:val="24"/>
          <w:szCs w:val="24"/>
        </w:rPr>
        <w:t>1492R: 5’-GGTTACCTTGTTACGACTT-3’ (1</w:t>
      </w:r>
      <w:r w:rsidR="00343F4D">
        <w:rPr>
          <w:rFonts w:ascii="Times New Roman" w:hAnsi="Times New Roman" w:cs="Times New Roman"/>
          <w:sz w:val="24"/>
          <w:szCs w:val="24"/>
        </w:rPr>
        <w:t>8</w:t>
      </w:r>
      <w:r w:rsidRPr="00D241D9">
        <w:rPr>
          <w:rFonts w:ascii="Times New Roman" w:hAnsi="Times New Roman" w:cs="Times New Roman"/>
          <w:sz w:val="24"/>
          <w:szCs w:val="24"/>
        </w:rPr>
        <w:t xml:space="preserve">) </w:t>
      </w:r>
    </w:p>
    <w:p w14:paraId="20FC7441" w14:textId="0E88AFD9"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Polymerase Chain Reaction (PCR) was performed using a GeneAmp 9700 Thermal Cycler (Applied Biosystems, USA). Amplicons were resolved on a 1.5% agarose gel, purified, and sequenced using an Applied Biosystems 3130xl Genetic Analyzer.</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Sequence alignment was performed using ClustalW, and sequence similarity was assessed using the NCBI GenBank database via BLAST. Phylogenetic analysis was conducted using MEGA version 7. The obtained sequences were deposited in GenBank under accession numbers OP930819–OP930833.</w:t>
      </w:r>
    </w:p>
    <w:p w14:paraId="10049970"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2.5 Detection of Virulence Genes by PCR</w:t>
      </w:r>
    </w:p>
    <w:p w14:paraId="769C9496" w14:textId="7E0DB07E" w:rsid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A total of 55 confirmed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xml:space="preserve"> isolates were screened for eight </w:t>
      </w:r>
      <w:r w:rsidR="00B878D6" w:rsidRPr="00D241D9">
        <w:rPr>
          <w:rFonts w:ascii="Times New Roman" w:hAnsi="Times New Roman" w:cs="Times New Roman"/>
          <w:sz w:val="24"/>
          <w:szCs w:val="24"/>
        </w:rPr>
        <w:t>virulent</w:t>
      </w:r>
      <w:r w:rsidRPr="00D241D9">
        <w:rPr>
          <w:rFonts w:ascii="Times New Roman" w:hAnsi="Times New Roman" w:cs="Times New Roman"/>
          <w:sz w:val="24"/>
          <w:szCs w:val="24"/>
        </w:rPr>
        <w:t xml:space="preserve"> genes (eaeA, EAST, traT, hly, omp, bfp, stx, and cnf). Detection was performed using one multiplex PCR assay (targeting eaeA and EAST) and six singleplex PCR assays (</w:t>
      </w:r>
      <w:r w:rsidR="00343F4D">
        <w:rPr>
          <w:rFonts w:ascii="Times New Roman" w:hAnsi="Times New Roman" w:cs="Times New Roman"/>
          <w:sz w:val="24"/>
          <w:szCs w:val="24"/>
        </w:rPr>
        <w:t>19</w:t>
      </w:r>
      <w:r w:rsidRPr="00D241D9">
        <w:rPr>
          <w:rFonts w:ascii="Times New Roman" w:hAnsi="Times New Roman" w:cs="Times New Roman"/>
          <w:sz w:val="24"/>
          <w:szCs w:val="24"/>
        </w:rPr>
        <w:t>, 2</w:t>
      </w:r>
      <w:r w:rsidR="00343F4D">
        <w:rPr>
          <w:rFonts w:ascii="Times New Roman" w:hAnsi="Times New Roman" w:cs="Times New Roman"/>
          <w:sz w:val="24"/>
          <w:szCs w:val="24"/>
        </w:rPr>
        <w:t>0</w:t>
      </w:r>
      <w:r w:rsidRPr="00D241D9">
        <w:rPr>
          <w:rFonts w:ascii="Times New Roman" w:hAnsi="Times New Roman" w:cs="Times New Roman"/>
          <w:sz w:val="24"/>
          <w:szCs w:val="24"/>
        </w:rPr>
        <w:t>, 2</w:t>
      </w:r>
      <w:r w:rsidR="00343F4D">
        <w:rPr>
          <w:rFonts w:ascii="Times New Roman" w:hAnsi="Times New Roman" w:cs="Times New Roman"/>
          <w:sz w:val="24"/>
          <w:szCs w:val="24"/>
        </w:rPr>
        <w:t>1</w:t>
      </w:r>
      <w:r w:rsidRPr="00D241D9">
        <w:rPr>
          <w:rFonts w:ascii="Times New Roman" w:hAnsi="Times New Roman" w:cs="Times New Roman"/>
          <w:sz w:val="24"/>
          <w:szCs w:val="24"/>
        </w:rPr>
        <w:t>, 2</w:t>
      </w:r>
      <w:r w:rsidR="00343F4D">
        <w:rPr>
          <w:rFonts w:ascii="Times New Roman" w:hAnsi="Times New Roman" w:cs="Times New Roman"/>
          <w:sz w:val="24"/>
          <w:szCs w:val="24"/>
        </w:rPr>
        <w:t>2, 23</w:t>
      </w:r>
      <w:r w:rsidRPr="00D241D9">
        <w:rPr>
          <w:rFonts w:ascii="Times New Roman" w:hAnsi="Times New Roman" w:cs="Times New Roman"/>
          <w:sz w:val="24"/>
          <w:szCs w:val="24"/>
        </w:rPr>
        <w:t>).</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PCR amplification was carried out using a GeneAmp 9700 Thermal Cycler. Amplicons were resolved on 1.5% agarose gel at 120 V for 45 minutes and visualized under ultraviolet illumination. Band sizes were estimated using a 100-bp DNA ladder, and appropriate positive controls were included in each run.</w:t>
      </w:r>
    </w:p>
    <w:p w14:paraId="46C7187F" w14:textId="3495C76C" w:rsidR="00B878D6" w:rsidRPr="00D241D9" w:rsidRDefault="00B878D6" w:rsidP="00B878D6">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3: Primers Used for PCR Detection of Virulence Genes in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w:t>
      </w:r>
    </w:p>
    <w:tbl>
      <w:tblPr>
        <w:tblStyle w:val="TableGrid"/>
        <w:tblW w:w="10710" w:type="dxa"/>
        <w:tblInd w:w="-725" w:type="dxa"/>
        <w:tblLook w:val="04A0" w:firstRow="1" w:lastRow="0" w:firstColumn="1" w:lastColumn="0" w:noHBand="0" w:noVBand="1"/>
      </w:tblPr>
      <w:tblGrid>
        <w:gridCol w:w="1243"/>
        <w:gridCol w:w="816"/>
        <w:gridCol w:w="949"/>
        <w:gridCol w:w="4277"/>
        <w:gridCol w:w="1217"/>
        <w:gridCol w:w="1416"/>
        <w:gridCol w:w="1238"/>
      </w:tblGrid>
      <w:tr w:rsidR="00B878D6" w:rsidRPr="00F05709" w14:paraId="150BD4FC" w14:textId="77777777" w:rsidTr="00B878D6">
        <w:tc>
          <w:tcPr>
            <w:tcW w:w="1128" w:type="dxa"/>
            <w:hideMark/>
          </w:tcPr>
          <w:p w14:paraId="140A4BDA"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Type</w:t>
            </w:r>
          </w:p>
        </w:tc>
        <w:tc>
          <w:tcPr>
            <w:tcW w:w="0" w:type="auto"/>
            <w:hideMark/>
          </w:tcPr>
          <w:p w14:paraId="6A0C9461"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Gene</w:t>
            </w:r>
          </w:p>
        </w:tc>
        <w:tc>
          <w:tcPr>
            <w:tcW w:w="0" w:type="auto"/>
            <w:hideMark/>
          </w:tcPr>
          <w:p w14:paraId="7FA53130"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Primer</w:t>
            </w:r>
          </w:p>
        </w:tc>
        <w:tc>
          <w:tcPr>
            <w:tcW w:w="0" w:type="auto"/>
            <w:hideMark/>
          </w:tcPr>
          <w:p w14:paraId="7F5D0A7A"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Sequence (5' → 3')</w:t>
            </w:r>
          </w:p>
        </w:tc>
        <w:tc>
          <w:tcPr>
            <w:tcW w:w="0" w:type="auto"/>
            <w:hideMark/>
          </w:tcPr>
          <w:p w14:paraId="2F67D6E5"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Expected Amplicon Size (bp)</w:t>
            </w:r>
          </w:p>
        </w:tc>
        <w:tc>
          <w:tcPr>
            <w:tcW w:w="0" w:type="auto"/>
            <w:hideMark/>
          </w:tcPr>
          <w:p w14:paraId="3DABCA4F"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Conditions</w:t>
            </w:r>
          </w:p>
        </w:tc>
        <w:tc>
          <w:tcPr>
            <w:tcW w:w="1758" w:type="dxa"/>
            <w:hideMark/>
          </w:tcPr>
          <w:p w14:paraId="027D1E9B" w14:textId="77777777" w:rsidR="00B878D6" w:rsidRPr="00F05709" w:rsidRDefault="00B878D6" w:rsidP="00112E40">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Reference</w:t>
            </w:r>
          </w:p>
        </w:tc>
      </w:tr>
      <w:tr w:rsidR="00B878D6" w:rsidRPr="00F05709" w14:paraId="2FA0B761" w14:textId="77777777" w:rsidTr="00B878D6">
        <w:tc>
          <w:tcPr>
            <w:tcW w:w="1128" w:type="dxa"/>
            <w:hideMark/>
          </w:tcPr>
          <w:p w14:paraId="01F695A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6BD6EFF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2FBFE21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EAST-F</w:t>
            </w:r>
          </w:p>
        </w:tc>
        <w:tc>
          <w:tcPr>
            <w:tcW w:w="0" w:type="auto"/>
            <w:hideMark/>
          </w:tcPr>
          <w:p w14:paraId="6F509E2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CACAGTATATCCGAAGGC</w:t>
            </w:r>
          </w:p>
        </w:tc>
        <w:tc>
          <w:tcPr>
            <w:tcW w:w="0" w:type="auto"/>
            <w:hideMark/>
          </w:tcPr>
          <w:p w14:paraId="02CF772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6C1A4C0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60°C 30 s, 72°C 60 s; final </w:t>
            </w:r>
            <w:r w:rsidRPr="00F05709">
              <w:rPr>
                <w:rFonts w:ascii="Times New Roman" w:hAnsi="Times New Roman" w:cs="Times New Roman"/>
                <w:sz w:val="24"/>
                <w:szCs w:val="24"/>
              </w:rPr>
              <w:lastRenderedPageBreak/>
              <w:t>extension 72°C 10 min</w:t>
            </w:r>
          </w:p>
        </w:tc>
        <w:tc>
          <w:tcPr>
            <w:tcW w:w="1758" w:type="dxa"/>
            <w:hideMark/>
          </w:tcPr>
          <w:p w14:paraId="47E4CD31" w14:textId="01B0C68D"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p>
        </w:tc>
      </w:tr>
      <w:tr w:rsidR="00B878D6" w:rsidRPr="00F05709" w14:paraId="4EC50F58" w14:textId="77777777" w:rsidTr="00B878D6">
        <w:tc>
          <w:tcPr>
            <w:tcW w:w="1128" w:type="dxa"/>
            <w:hideMark/>
          </w:tcPr>
          <w:p w14:paraId="43A7D14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1813ED0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4F79F346"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EAST-R</w:t>
            </w:r>
          </w:p>
        </w:tc>
        <w:tc>
          <w:tcPr>
            <w:tcW w:w="0" w:type="auto"/>
            <w:hideMark/>
          </w:tcPr>
          <w:p w14:paraId="14769F5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CGAGTGACGGCTTTGTAG</w:t>
            </w:r>
          </w:p>
        </w:tc>
        <w:tc>
          <w:tcPr>
            <w:tcW w:w="0" w:type="auto"/>
            <w:hideMark/>
          </w:tcPr>
          <w:p w14:paraId="25CACCE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70248C8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452F9DC9" w14:textId="7FD08F22"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64BC260A" w14:textId="77777777" w:rsidTr="00B878D6">
        <w:tc>
          <w:tcPr>
            <w:tcW w:w="1128" w:type="dxa"/>
            <w:hideMark/>
          </w:tcPr>
          <w:p w14:paraId="78EA8F5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5988E2ED"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w:t>
            </w:r>
          </w:p>
        </w:tc>
        <w:tc>
          <w:tcPr>
            <w:tcW w:w="0" w:type="auto"/>
            <w:hideMark/>
          </w:tcPr>
          <w:p w14:paraId="73768978"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eaeA-F</w:t>
            </w:r>
          </w:p>
        </w:tc>
        <w:tc>
          <w:tcPr>
            <w:tcW w:w="0" w:type="auto"/>
            <w:hideMark/>
          </w:tcPr>
          <w:p w14:paraId="2584A59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GACCCGGCACAAGCATAAGC</w:t>
            </w:r>
          </w:p>
        </w:tc>
        <w:tc>
          <w:tcPr>
            <w:tcW w:w="0" w:type="auto"/>
            <w:hideMark/>
          </w:tcPr>
          <w:p w14:paraId="6CD1B2B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43C262B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55°C 30 s, 72°C 60 s; final extension 72°C 10 min</w:t>
            </w:r>
          </w:p>
        </w:tc>
        <w:tc>
          <w:tcPr>
            <w:tcW w:w="1758" w:type="dxa"/>
            <w:hideMark/>
          </w:tcPr>
          <w:p w14:paraId="1352A622" w14:textId="1A7EE976"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2E9D0B2B" w14:textId="77777777" w:rsidTr="00B878D6">
        <w:tc>
          <w:tcPr>
            <w:tcW w:w="1128" w:type="dxa"/>
            <w:hideMark/>
          </w:tcPr>
          <w:p w14:paraId="210C369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6C97C48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w:t>
            </w:r>
          </w:p>
        </w:tc>
        <w:tc>
          <w:tcPr>
            <w:tcW w:w="0" w:type="auto"/>
            <w:hideMark/>
          </w:tcPr>
          <w:p w14:paraId="155A6DC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eaeA-R</w:t>
            </w:r>
          </w:p>
        </w:tc>
        <w:tc>
          <w:tcPr>
            <w:tcW w:w="0" w:type="auto"/>
            <w:hideMark/>
          </w:tcPr>
          <w:p w14:paraId="4932D1F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CCACCTGCAGCAACAAGAGG</w:t>
            </w:r>
          </w:p>
        </w:tc>
        <w:tc>
          <w:tcPr>
            <w:tcW w:w="0" w:type="auto"/>
            <w:hideMark/>
          </w:tcPr>
          <w:p w14:paraId="3DAF07E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7ECE910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559E2277" w14:textId="4C7E698C"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1A6F7EBD" w14:textId="77777777" w:rsidTr="00B878D6">
        <w:tc>
          <w:tcPr>
            <w:tcW w:w="1128" w:type="dxa"/>
            <w:hideMark/>
          </w:tcPr>
          <w:p w14:paraId="59C2459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CF48AF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1C833EA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traT-F</w:t>
            </w:r>
          </w:p>
        </w:tc>
        <w:tc>
          <w:tcPr>
            <w:tcW w:w="0" w:type="auto"/>
            <w:hideMark/>
          </w:tcPr>
          <w:p w14:paraId="720682B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GGTGTGGTGCGATGAGCACAG</w:t>
            </w:r>
          </w:p>
        </w:tc>
        <w:tc>
          <w:tcPr>
            <w:tcW w:w="0" w:type="auto"/>
            <w:hideMark/>
          </w:tcPr>
          <w:p w14:paraId="7ED1E40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55268F7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20 s; final extension 72°C 10 min</w:t>
            </w:r>
          </w:p>
        </w:tc>
        <w:tc>
          <w:tcPr>
            <w:tcW w:w="1758" w:type="dxa"/>
            <w:hideMark/>
          </w:tcPr>
          <w:p w14:paraId="435B238C" w14:textId="35FCB635"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0</w:t>
            </w:r>
          </w:p>
        </w:tc>
      </w:tr>
      <w:tr w:rsidR="00B878D6" w:rsidRPr="00F05709" w14:paraId="73845D0C" w14:textId="77777777" w:rsidTr="00B878D6">
        <w:tc>
          <w:tcPr>
            <w:tcW w:w="1128" w:type="dxa"/>
            <w:hideMark/>
          </w:tcPr>
          <w:p w14:paraId="425DDA1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583D456"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4D759B0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traT-R</w:t>
            </w:r>
          </w:p>
        </w:tc>
        <w:tc>
          <w:tcPr>
            <w:tcW w:w="0" w:type="auto"/>
            <w:hideMark/>
          </w:tcPr>
          <w:p w14:paraId="33C8D60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CACGGTTCAGCCATCCCTGAG</w:t>
            </w:r>
          </w:p>
        </w:tc>
        <w:tc>
          <w:tcPr>
            <w:tcW w:w="0" w:type="auto"/>
            <w:hideMark/>
          </w:tcPr>
          <w:p w14:paraId="3AC686E8"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6D32420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3C1B0465" w14:textId="480A6992"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0</w:t>
            </w:r>
          </w:p>
        </w:tc>
      </w:tr>
      <w:tr w:rsidR="00B878D6" w:rsidRPr="00F05709" w14:paraId="0C2EE95A" w14:textId="77777777" w:rsidTr="00B878D6">
        <w:tc>
          <w:tcPr>
            <w:tcW w:w="1128" w:type="dxa"/>
            <w:hideMark/>
          </w:tcPr>
          <w:p w14:paraId="37F284B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6DD9C43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w:t>
            </w:r>
          </w:p>
        </w:tc>
        <w:tc>
          <w:tcPr>
            <w:tcW w:w="0" w:type="auto"/>
            <w:hideMark/>
          </w:tcPr>
          <w:p w14:paraId="5649F94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hly-F</w:t>
            </w:r>
          </w:p>
        </w:tc>
        <w:tc>
          <w:tcPr>
            <w:tcW w:w="0" w:type="auto"/>
            <w:hideMark/>
          </w:tcPr>
          <w:p w14:paraId="6EECFDB8"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AACAAGGATAAGCACTGTTCTGGCT</w:t>
            </w:r>
          </w:p>
        </w:tc>
        <w:tc>
          <w:tcPr>
            <w:tcW w:w="0" w:type="auto"/>
            <w:hideMark/>
          </w:tcPr>
          <w:p w14:paraId="14CE6F6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4E93E00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60 s; final extension 72°C 10 min</w:t>
            </w:r>
          </w:p>
        </w:tc>
        <w:tc>
          <w:tcPr>
            <w:tcW w:w="1758" w:type="dxa"/>
            <w:hideMark/>
          </w:tcPr>
          <w:p w14:paraId="1A06A685" w14:textId="06EF56CB"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0</w:t>
            </w:r>
          </w:p>
        </w:tc>
      </w:tr>
      <w:tr w:rsidR="00B878D6" w:rsidRPr="00F05709" w14:paraId="3DA6EB63" w14:textId="77777777" w:rsidTr="00B878D6">
        <w:tc>
          <w:tcPr>
            <w:tcW w:w="1128" w:type="dxa"/>
            <w:hideMark/>
          </w:tcPr>
          <w:p w14:paraId="7EBADB8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61851FA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w:t>
            </w:r>
          </w:p>
        </w:tc>
        <w:tc>
          <w:tcPr>
            <w:tcW w:w="0" w:type="auto"/>
            <w:hideMark/>
          </w:tcPr>
          <w:p w14:paraId="4B1C913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hly-R</w:t>
            </w:r>
          </w:p>
        </w:tc>
        <w:tc>
          <w:tcPr>
            <w:tcW w:w="0" w:type="auto"/>
            <w:hideMark/>
          </w:tcPr>
          <w:p w14:paraId="21FB469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ACCATATAAGCGGTCATTCCCGTCA</w:t>
            </w:r>
          </w:p>
        </w:tc>
        <w:tc>
          <w:tcPr>
            <w:tcW w:w="0" w:type="auto"/>
            <w:hideMark/>
          </w:tcPr>
          <w:p w14:paraId="3FCEF7E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020825F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0DA63E0B" w14:textId="069119EB"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B878D6" w:rsidRPr="00F05709" w14:paraId="7E1B80C4" w14:textId="77777777" w:rsidTr="00B878D6">
        <w:tc>
          <w:tcPr>
            <w:tcW w:w="1128" w:type="dxa"/>
            <w:hideMark/>
          </w:tcPr>
          <w:p w14:paraId="47A1191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Singleplex</w:t>
            </w:r>
          </w:p>
        </w:tc>
        <w:tc>
          <w:tcPr>
            <w:tcW w:w="0" w:type="auto"/>
            <w:hideMark/>
          </w:tcPr>
          <w:p w14:paraId="0A4B94C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w:t>
            </w:r>
          </w:p>
        </w:tc>
        <w:tc>
          <w:tcPr>
            <w:tcW w:w="0" w:type="auto"/>
            <w:hideMark/>
          </w:tcPr>
          <w:p w14:paraId="1097EDA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omp-F</w:t>
            </w:r>
          </w:p>
        </w:tc>
        <w:tc>
          <w:tcPr>
            <w:tcW w:w="0" w:type="auto"/>
            <w:hideMark/>
          </w:tcPr>
          <w:p w14:paraId="2F84616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AGCTATCGCGATTGCAGTG</w:t>
            </w:r>
          </w:p>
        </w:tc>
        <w:tc>
          <w:tcPr>
            <w:tcW w:w="0" w:type="auto"/>
            <w:hideMark/>
          </w:tcPr>
          <w:p w14:paraId="0499886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1113BFE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48°C 30 s, 72°C 50 s; final extension 72°C 10 min</w:t>
            </w:r>
          </w:p>
        </w:tc>
        <w:tc>
          <w:tcPr>
            <w:tcW w:w="1758" w:type="dxa"/>
            <w:hideMark/>
          </w:tcPr>
          <w:p w14:paraId="3DB5AF86" w14:textId="2D385719"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1</w:t>
            </w:r>
          </w:p>
        </w:tc>
      </w:tr>
      <w:tr w:rsidR="00B878D6" w:rsidRPr="00F05709" w14:paraId="7907DC25" w14:textId="77777777" w:rsidTr="00B878D6">
        <w:tc>
          <w:tcPr>
            <w:tcW w:w="1128" w:type="dxa"/>
            <w:hideMark/>
          </w:tcPr>
          <w:p w14:paraId="0027DE4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14874C65"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w:t>
            </w:r>
          </w:p>
        </w:tc>
        <w:tc>
          <w:tcPr>
            <w:tcW w:w="0" w:type="auto"/>
            <w:hideMark/>
          </w:tcPr>
          <w:p w14:paraId="258A892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omp-R</w:t>
            </w:r>
          </w:p>
        </w:tc>
        <w:tc>
          <w:tcPr>
            <w:tcW w:w="0" w:type="auto"/>
            <w:hideMark/>
          </w:tcPr>
          <w:p w14:paraId="4EBD33F5"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GGTGTTGCCAGTAACCGG</w:t>
            </w:r>
          </w:p>
        </w:tc>
        <w:tc>
          <w:tcPr>
            <w:tcW w:w="0" w:type="auto"/>
            <w:hideMark/>
          </w:tcPr>
          <w:p w14:paraId="4B7F1B4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6646C531"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4407C470" w14:textId="5AFF618D"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1</w:t>
            </w:r>
          </w:p>
        </w:tc>
      </w:tr>
      <w:tr w:rsidR="00B878D6" w:rsidRPr="00F05709" w14:paraId="3887BA57" w14:textId="77777777" w:rsidTr="00B878D6">
        <w:tc>
          <w:tcPr>
            <w:tcW w:w="1128" w:type="dxa"/>
            <w:hideMark/>
          </w:tcPr>
          <w:p w14:paraId="3D95610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6B7ADB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w:t>
            </w:r>
          </w:p>
        </w:tc>
        <w:tc>
          <w:tcPr>
            <w:tcW w:w="0" w:type="auto"/>
            <w:hideMark/>
          </w:tcPr>
          <w:p w14:paraId="6F91435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bfp-F</w:t>
            </w:r>
          </w:p>
        </w:tc>
        <w:tc>
          <w:tcPr>
            <w:tcW w:w="0" w:type="auto"/>
            <w:hideMark/>
          </w:tcPr>
          <w:p w14:paraId="32D0467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AATGGTGCTTGCGCTTGCTGC</w:t>
            </w:r>
          </w:p>
        </w:tc>
        <w:tc>
          <w:tcPr>
            <w:tcW w:w="0" w:type="auto"/>
            <w:hideMark/>
          </w:tcPr>
          <w:p w14:paraId="7B2C9E3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79BFAE4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52°C 30 s, 72°C 30 s; final extension 72°C 10 min</w:t>
            </w:r>
          </w:p>
        </w:tc>
        <w:tc>
          <w:tcPr>
            <w:tcW w:w="1758" w:type="dxa"/>
            <w:hideMark/>
          </w:tcPr>
          <w:p w14:paraId="498CC5A9" w14:textId="605BD1DE"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B878D6" w:rsidRPr="00F05709" w14:paraId="7B35AADF" w14:textId="77777777" w:rsidTr="00B878D6">
        <w:tc>
          <w:tcPr>
            <w:tcW w:w="1128" w:type="dxa"/>
            <w:hideMark/>
          </w:tcPr>
          <w:p w14:paraId="4A045C3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451B3A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w:t>
            </w:r>
          </w:p>
        </w:tc>
        <w:tc>
          <w:tcPr>
            <w:tcW w:w="0" w:type="auto"/>
            <w:hideMark/>
          </w:tcPr>
          <w:p w14:paraId="6D66883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bfp-R</w:t>
            </w:r>
          </w:p>
        </w:tc>
        <w:tc>
          <w:tcPr>
            <w:tcW w:w="0" w:type="auto"/>
            <w:hideMark/>
          </w:tcPr>
          <w:p w14:paraId="1185027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GCCGCTTTATCCAACCTGGTA</w:t>
            </w:r>
          </w:p>
        </w:tc>
        <w:tc>
          <w:tcPr>
            <w:tcW w:w="0" w:type="auto"/>
            <w:hideMark/>
          </w:tcPr>
          <w:p w14:paraId="36BD8B7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209D33F2"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49DE9637" w14:textId="35F49259" w:rsidR="00B878D6" w:rsidRPr="00F05709" w:rsidRDefault="00B878D6"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w:t>
            </w:r>
            <w:r w:rsidR="00343F4D">
              <w:rPr>
                <w:rFonts w:ascii="Times New Roman" w:hAnsi="Times New Roman" w:cs="Times New Roman"/>
                <w:sz w:val="24"/>
                <w:szCs w:val="24"/>
              </w:rPr>
              <w:t>2</w:t>
            </w:r>
          </w:p>
        </w:tc>
      </w:tr>
      <w:tr w:rsidR="00B878D6" w:rsidRPr="00F05709" w14:paraId="5E362AD6" w14:textId="77777777" w:rsidTr="00B878D6">
        <w:tc>
          <w:tcPr>
            <w:tcW w:w="1128" w:type="dxa"/>
            <w:hideMark/>
          </w:tcPr>
          <w:p w14:paraId="54E9269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F7B741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w:t>
            </w:r>
          </w:p>
        </w:tc>
        <w:tc>
          <w:tcPr>
            <w:tcW w:w="0" w:type="auto"/>
            <w:hideMark/>
          </w:tcPr>
          <w:p w14:paraId="0E22218E"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stx-F</w:t>
            </w:r>
          </w:p>
        </w:tc>
        <w:tc>
          <w:tcPr>
            <w:tcW w:w="0" w:type="auto"/>
            <w:hideMark/>
          </w:tcPr>
          <w:p w14:paraId="4E6DEDB9"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TCTCAGTGGGCGTTCTTATG</w:t>
            </w:r>
          </w:p>
        </w:tc>
        <w:tc>
          <w:tcPr>
            <w:tcW w:w="0" w:type="auto"/>
            <w:hideMark/>
          </w:tcPr>
          <w:p w14:paraId="6A45A15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0C4B0C8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47°C 30 s, 72°C 30 s; final extension 72°C 10 min</w:t>
            </w:r>
          </w:p>
        </w:tc>
        <w:tc>
          <w:tcPr>
            <w:tcW w:w="1758" w:type="dxa"/>
            <w:hideMark/>
          </w:tcPr>
          <w:p w14:paraId="362C57EF" w14:textId="3AAD7D1D"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42665774" w14:textId="77777777" w:rsidTr="00B878D6">
        <w:tc>
          <w:tcPr>
            <w:tcW w:w="1128" w:type="dxa"/>
            <w:hideMark/>
          </w:tcPr>
          <w:p w14:paraId="5F164AB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753DAC7D"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w:t>
            </w:r>
          </w:p>
        </w:tc>
        <w:tc>
          <w:tcPr>
            <w:tcW w:w="0" w:type="auto"/>
            <w:hideMark/>
          </w:tcPr>
          <w:p w14:paraId="5A0F3F54"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stx-R</w:t>
            </w:r>
          </w:p>
        </w:tc>
        <w:tc>
          <w:tcPr>
            <w:tcW w:w="0" w:type="auto"/>
            <w:hideMark/>
          </w:tcPr>
          <w:p w14:paraId="15FD668A"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TACCCCCTCAACTGCTAATA</w:t>
            </w:r>
          </w:p>
        </w:tc>
        <w:tc>
          <w:tcPr>
            <w:tcW w:w="0" w:type="auto"/>
            <w:hideMark/>
          </w:tcPr>
          <w:p w14:paraId="35537AA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5E941255"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71902848" w14:textId="6FA66199"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B878D6" w:rsidRPr="00F05709" w14:paraId="20676D46" w14:textId="77777777" w:rsidTr="00B878D6">
        <w:tc>
          <w:tcPr>
            <w:tcW w:w="1128" w:type="dxa"/>
            <w:hideMark/>
          </w:tcPr>
          <w:p w14:paraId="6B35DC5F"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C54238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w:t>
            </w:r>
          </w:p>
        </w:tc>
        <w:tc>
          <w:tcPr>
            <w:tcW w:w="0" w:type="auto"/>
            <w:hideMark/>
          </w:tcPr>
          <w:p w14:paraId="12E46F3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cnf-F</w:t>
            </w:r>
          </w:p>
        </w:tc>
        <w:tc>
          <w:tcPr>
            <w:tcW w:w="0" w:type="auto"/>
            <w:hideMark/>
          </w:tcPr>
          <w:p w14:paraId="608BD4D7"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TCGTTATAAAATCAAACAGTG</w:t>
            </w:r>
          </w:p>
        </w:tc>
        <w:tc>
          <w:tcPr>
            <w:tcW w:w="0" w:type="auto"/>
            <w:hideMark/>
          </w:tcPr>
          <w:p w14:paraId="6F7134F6"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6509C10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43°C 30 s, 72°C 30 s; </w:t>
            </w:r>
            <w:r w:rsidRPr="00F05709">
              <w:rPr>
                <w:rFonts w:ascii="Times New Roman" w:hAnsi="Times New Roman" w:cs="Times New Roman"/>
                <w:sz w:val="24"/>
                <w:szCs w:val="24"/>
              </w:rPr>
              <w:lastRenderedPageBreak/>
              <w:t>final extension 72°C 10 min</w:t>
            </w:r>
          </w:p>
        </w:tc>
        <w:tc>
          <w:tcPr>
            <w:tcW w:w="1758" w:type="dxa"/>
            <w:hideMark/>
          </w:tcPr>
          <w:p w14:paraId="423FB09E" w14:textId="2E36C766"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w:t>
            </w:r>
          </w:p>
        </w:tc>
      </w:tr>
      <w:tr w:rsidR="00B878D6" w:rsidRPr="00F05709" w14:paraId="4E1C4EF9" w14:textId="77777777" w:rsidTr="00B878D6">
        <w:tc>
          <w:tcPr>
            <w:tcW w:w="1128" w:type="dxa"/>
            <w:hideMark/>
          </w:tcPr>
          <w:p w14:paraId="3AD7E208"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7073150"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w:t>
            </w:r>
          </w:p>
        </w:tc>
        <w:tc>
          <w:tcPr>
            <w:tcW w:w="0" w:type="auto"/>
            <w:hideMark/>
          </w:tcPr>
          <w:p w14:paraId="39FB8CD3"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cnf-R</w:t>
            </w:r>
          </w:p>
        </w:tc>
        <w:tc>
          <w:tcPr>
            <w:tcW w:w="0" w:type="auto"/>
            <w:hideMark/>
          </w:tcPr>
          <w:p w14:paraId="02564E6D"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CTTTACAATATTGACATGCTG</w:t>
            </w:r>
          </w:p>
        </w:tc>
        <w:tc>
          <w:tcPr>
            <w:tcW w:w="0" w:type="auto"/>
            <w:hideMark/>
          </w:tcPr>
          <w:p w14:paraId="440B61EC"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03B868AB" w14:textId="77777777" w:rsidR="00B878D6" w:rsidRPr="00F05709" w:rsidRDefault="00B878D6"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1758" w:type="dxa"/>
            <w:hideMark/>
          </w:tcPr>
          <w:p w14:paraId="549408A4" w14:textId="433385CF" w:rsidR="00B878D6" w:rsidRPr="00F05709" w:rsidRDefault="00343F4D" w:rsidP="00112E40">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19</w:t>
            </w:r>
          </w:p>
        </w:tc>
      </w:tr>
    </w:tbl>
    <w:p w14:paraId="62DF1306" w14:textId="5576A91D" w:rsidR="00D241D9" w:rsidRPr="00D241D9" w:rsidRDefault="00D241D9" w:rsidP="00D241D9">
      <w:pPr>
        <w:jc w:val="both"/>
        <w:rPr>
          <w:rFonts w:ascii="Times New Roman" w:hAnsi="Times New Roman" w:cs="Times New Roman"/>
          <w:sz w:val="24"/>
          <w:szCs w:val="24"/>
        </w:rPr>
      </w:pPr>
    </w:p>
    <w:p w14:paraId="22E9C7B1"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 xml:space="preserve">2.6 Clermont Phylogrouping of </w:t>
      </w:r>
      <w:r w:rsidRPr="00D241D9">
        <w:rPr>
          <w:rFonts w:ascii="Times New Roman" w:hAnsi="Times New Roman" w:cs="Times New Roman"/>
          <w:b/>
          <w:bCs/>
          <w:i/>
          <w:iCs/>
          <w:sz w:val="24"/>
          <w:szCs w:val="24"/>
        </w:rPr>
        <w:t>Escherichia coli</w:t>
      </w:r>
    </w:p>
    <w:p w14:paraId="453EB921" w14:textId="14F61455"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Phylogenetic grouping of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xml:space="preserve"> isolates was performed using the updated Clermont quadruplex PCR method (2</w:t>
      </w:r>
      <w:r w:rsidR="00343F4D">
        <w:rPr>
          <w:rFonts w:ascii="Times New Roman" w:hAnsi="Times New Roman" w:cs="Times New Roman"/>
          <w:sz w:val="24"/>
          <w:szCs w:val="24"/>
        </w:rPr>
        <w:t>4</w:t>
      </w:r>
      <w:r w:rsidRPr="00D241D9">
        <w:rPr>
          <w:rFonts w:ascii="Times New Roman" w:hAnsi="Times New Roman" w:cs="Times New Roman"/>
          <w:sz w:val="24"/>
          <w:szCs w:val="24"/>
        </w:rPr>
        <w:t>), which classifies isolates into phylogroups A, B1, B2, C, D, E, and F.</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Genomic DNA extracted from confirmed isolates served as the template. Each 25 µL PCR reaction mixture contained 12.5 µL of 2× PCR Master Mix (Thermo Fisher Scientific, USA), 0.5 µM of each primer, 50 ng of DNA, and nuclease-free water.</w:t>
      </w:r>
    </w:p>
    <w:p w14:paraId="1250FF2F" w14:textId="77777777"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PCR cycling conditions were as follows:</w:t>
      </w:r>
    </w:p>
    <w:p w14:paraId="485A5988" w14:textId="77777777" w:rsidR="00D241D9" w:rsidRPr="00D241D9" w:rsidRDefault="00D241D9" w:rsidP="00D241D9">
      <w:pPr>
        <w:numPr>
          <w:ilvl w:val="0"/>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Initial denaturation at 94°C for 5 minutes </w:t>
      </w:r>
    </w:p>
    <w:p w14:paraId="4D299DBB" w14:textId="77777777" w:rsidR="00D241D9" w:rsidRPr="00D241D9" w:rsidRDefault="00D241D9" w:rsidP="00D241D9">
      <w:pPr>
        <w:numPr>
          <w:ilvl w:val="0"/>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30 cycles of: </w:t>
      </w:r>
    </w:p>
    <w:p w14:paraId="5094FB47" w14:textId="77777777" w:rsidR="00D241D9" w:rsidRPr="00D241D9" w:rsidRDefault="00D241D9" w:rsidP="00D241D9">
      <w:pPr>
        <w:numPr>
          <w:ilvl w:val="1"/>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Denaturation at 94°C for 30 seconds </w:t>
      </w:r>
    </w:p>
    <w:p w14:paraId="7E78C5A8" w14:textId="77777777" w:rsidR="00D241D9" w:rsidRPr="00D241D9" w:rsidRDefault="00D241D9" w:rsidP="00D241D9">
      <w:pPr>
        <w:numPr>
          <w:ilvl w:val="1"/>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Annealing at 57°C for 30 seconds </w:t>
      </w:r>
    </w:p>
    <w:p w14:paraId="7A43A953" w14:textId="77777777" w:rsidR="00D241D9" w:rsidRPr="00D241D9" w:rsidRDefault="00D241D9" w:rsidP="00D241D9">
      <w:pPr>
        <w:numPr>
          <w:ilvl w:val="1"/>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Extension at 72°C for 30 seconds </w:t>
      </w:r>
    </w:p>
    <w:p w14:paraId="10C3D98E" w14:textId="77777777" w:rsidR="00D241D9" w:rsidRPr="00D241D9" w:rsidRDefault="00D241D9" w:rsidP="00D241D9">
      <w:pPr>
        <w:numPr>
          <w:ilvl w:val="0"/>
          <w:numId w:val="2"/>
        </w:numPr>
        <w:jc w:val="both"/>
        <w:rPr>
          <w:rFonts w:ascii="Times New Roman" w:hAnsi="Times New Roman" w:cs="Times New Roman"/>
          <w:sz w:val="24"/>
          <w:szCs w:val="24"/>
        </w:rPr>
      </w:pPr>
      <w:r w:rsidRPr="00D241D9">
        <w:rPr>
          <w:rFonts w:ascii="Times New Roman" w:hAnsi="Times New Roman" w:cs="Times New Roman"/>
          <w:sz w:val="24"/>
          <w:szCs w:val="24"/>
        </w:rPr>
        <w:t xml:space="preserve">Final extension at 72°C for 5 minutes </w:t>
      </w:r>
    </w:p>
    <w:p w14:paraId="296A4A13" w14:textId="764F2621"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Amplicons were separated on 2% agarose gel, stained with ethidium bromide, and visualized under ultraviolet light. Phylogroup assignment was determined based on the presence or absence of target genes according to the Clermont algorithm. Representative isolates from each phylogroup served as internal controls.</w:t>
      </w:r>
    </w:p>
    <w:p w14:paraId="6DA8739F"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2.7 Genetic Relatedness and Phylogenetic Analysis</w:t>
      </w:r>
    </w:p>
    <w:p w14:paraId="7D8419C3" w14:textId="62FA9BCF" w:rsidR="00D241D9" w:rsidRPr="00D241D9"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 xml:space="preserve">Fifteen </w:t>
      </w:r>
      <w:r w:rsidRPr="00D241D9">
        <w:rPr>
          <w:rFonts w:ascii="Times New Roman" w:hAnsi="Times New Roman" w:cs="Times New Roman"/>
          <w:i/>
          <w:iCs/>
          <w:sz w:val="24"/>
          <w:szCs w:val="24"/>
        </w:rPr>
        <w:t>Escherichia coli</w:t>
      </w:r>
      <w:r w:rsidRPr="00D241D9">
        <w:rPr>
          <w:rFonts w:ascii="Times New Roman" w:hAnsi="Times New Roman" w:cs="Times New Roman"/>
          <w:sz w:val="24"/>
          <w:szCs w:val="24"/>
        </w:rPr>
        <w:t xml:space="preserve"> isolates were analyzed to determine nucleotide sequence variation within the 16S rRNA gene. Genetic distances were estimated using the Kimura two-parameter model.</w:t>
      </w:r>
      <w:r w:rsidR="00B878D6">
        <w:rPr>
          <w:rFonts w:ascii="Times New Roman" w:hAnsi="Times New Roman" w:cs="Times New Roman"/>
          <w:sz w:val="24"/>
          <w:szCs w:val="24"/>
        </w:rPr>
        <w:t xml:space="preserve"> </w:t>
      </w:r>
      <w:r w:rsidRPr="00D241D9">
        <w:rPr>
          <w:rFonts w:ascii="Times New Roman" w:hAnsi="Times New Roman" w:cs="Times New Roman"/>
          <w:sz w:val="24"/>
          <w:szCs w:val="24"/>
        </w:rPr>
        <w:t>Phylogenetic trees were constructed using the Neighbor-Joining method with 1,000 bootstrap replicates in MEGA version 7. Additionally, Unweighted Pair Group Method with Arithmetic Mean (UPGMA) clustering based on banding patterns was used to assess genetic similarity among isolates. Clusters exhibiting ≥80% similarity were considered genetically related (2</w:t>
      </w:r>
      <w:r w:rsidR="00343F4D">
        <w:rPr>
          <w:rFonts w:ascii="Times New Roman" w:hAnsi="Times New Roman" w:cs="Times New Roman"/>
          <w:sz w:val="24"/>
          <w:szCs w:val="24"/>
        </w:rPr>
        <w:t>5</w:t>
      </w:r>
      <w:r w:rsidRPr="00D241D9">
        <w:rPr>
          <w:rFonts w:ascii="Times New Roman" w:hAnsi="Times New Roman" w:cs="Times New Roman"/>
          <w:sz w:val="24"/>
          <w:szCs w:val="24"/>
        </w:rPr>
        <w:t>, 2</w:t>
      </w:r>
      <w:r w:rsidR="00343F4D">
        <w:rPr>
          <w:rFonts w:ascii="Times New Roman" w:hAnsi="Times New Roman" w:cs="Times New Roman"/>
          <w:sz w:val="24"/>
          <w:szCs w:val="24"/>
        </w:rPr>
        <w:t>6</w:t>
      </w:r>
      <w:r w:rsidRPr="00D241D9">
        <w:rPr>
          <w:rFonts w:ascii="Times New Roman" w:hAnsi="Times New Roman" w:cs="Times New Roman"/>
          <w:sz w:val="24"/>
          <w:szCs w:val="24"/>
        </w:rPr>
        <w:t>).</w:t>
      </w:r>
    </w:p>
    <w:p w14:paraId="4FDD3697" w14:textId="77777777" w:rsidR="00D241D9" w:rsidRPr="00D241D9" w:rsidRDefault="00D241D9" w:rsidP="00D241D9">
      <w:pPr>
        <w:jc w:val="both"/>
        <w:rPr>
          <w:rFonts w:ascii="Times New Roman" w:hAnsi="Times New Roman" w:cs="Times New Roman"/>
          <w:b/>
          <w:bCs/>
          <w:sz w:val="24"/>
          <w:szCs w:val="24"/>
        </w:rPr>
      </w:pPr>
      <w:r w:rsidRPr="00D241D9">
        <w:rPr>
          <w:rFonts w:ascii="Times New Roman" w:hAnsi="Times New Roman" w:cs="Times New Roman"/>
          <w:b/>
          <w:bCs/>
          <w:sz w:val="24"/>
          <w:szCs w:val="24"/>
        </w:rPr>
        <w:t>2.8 Statistical Analysis</w:t>
      </w:r>
    </w:p>
    <w:p w14:paraId="184ACD2F" w14:textId="70D09AF0" w:rsidR="002A066C" w:rsidRDefault="00D241D9" w:rsidP="00D241D9">
      <w:pPr>
        <w:jc w:val="both"/>
        <w:rPr>
          <w:rFonts w:ascii="Times New Roman" w:hAnsi="Times New Roman" w:cs="Times New Roman"/>
          <w:sz w:val="24"/>
          <w:szCs w:val="24"/>
        </w:rPr>
      </w:pPr>
      <w:r w:rsidRPr="00D241D9">
        <w:rPr>
          <w:rFonts w:ascii="Times New Roman" w:hAnsi="Times New Roman" w:cs="Times New Roman"/>
          <w:sz w:val="24"/>
          <w:szCs w:val="24"/>
        </w:rPr>
        <w:t>Data were analyzed using GraphPad Prism version 8.0.4 (GraphPad Software, USA). Associations between virulence gene distribution, phylogroups, and sample sources were evaluated using Fisher’s exact test. A p-value of less than 0.05 was considered statistically significant.</w:t>
      </w:r>
    </w:p>
    <w:p w14:paraId="24691E49" w14:textId="77777777" w:rsidR="00B878D6" w:rsidRPr="00B878D6" w:rsidRDefault="00B878D6" w:rsidP="00B878D6">
      <w:pPr>
        <w:jc w:val="both"/>
        <w:rPr>
          <w:rFonts w:ascii="Times New Roman" w:hAnsi="Times New Roman" w:cs="Times New Roman"/>
          <w:b/>
          <w:bCs/>
          <w:sz w:val="24"/>
          <w:szCs w:val="24"/>
        </w:rPr>
      </w:pPr>
      <w:r w:rsidRPr="00B878D6">
        <w:rPr>
          <w:rFonts w:ascii="Times New Roman" w:hAnsi="Times New Roman" w:cs="Times New Roman"/>
          <w:b/>
          <w:bCs/>
          <w:sz w:val="24"/>
          <w:szCs w:val="24"/>
        </w:rPr>
        <w:lastRenderedPageBreak/>
        <w:t>3. RESULTS</w:t>
      </w:r>
    </w:p>
    <w:p w14:paraId="6FBBA305" w14:textId="77777777" w:rsidR="00B878D6" w:rsidRPr="00B878D6" w:rsidRDefault="00B878D6" w:rsidP="00B878D6">
      <w:pPr>
        <w:jc w:val="both"/>
        <w:rPr>
          <w:rFonts w:ascii="Times New Roman" w:hAnsi="Times New Roman" w:cs="Times New Roman"/>
          <w:b/>
          <w:bCs/>
          <w:sz w:val="24"/>
          <w:szCs w:val="24"/>
        </w:rPr>
      </w:pPr>
      <w:r w:rsidRPr="00B878D6">
        <w:rPr>
          <w:rFonts w:ascii="Times New Roman" w:hAnsi="Times New Roman" w:cs="Times New Roman"/>
          <w:b/>
          <w:bCs/>
          <w:sz w:val="24"/>
          <w:szCs w:val="24"/>
        </w:rPr>
        <w:t xml:space="preserve">3.1 Isolation Rate of </w:t>
      </w:r>
      <w:r w:rsidRPr="00B878D6">
        <w:rPr>
          <w:rFonts w:ascii="Times New Roman" w:hAnsi="Times New Roman" w:cs="Times New Roman"/>
          <w:b/>
          <w:bCs/>
          <w:i/>
          <w:iCs/>
          <w:sz w:val="24"/>
          <w:szCs w:val="24"/>
        </w:rPr>
        <w:t>Escherichia coli</w:t>
      </w:r>
      <w:r w:rsidRPr="00B878D6">
        <w:rPr>
          <w:rFonts w:ascii="Times New Roman" w:hAnsi="Times New Roman" w:cs="Times New Roman"/>
          <w:b/>
          <w:bCs/>
          <w:sz w:val="24"/>
          <w:szCs w:val="24"/>
        </w:rPr>
        <w:t xml:space="preserve"> from Meat and Contact Surfaces</w:t>
      </w:r>
    </w:p>
    <w:p w14:paraId="55145092" w14:textId="09FBB907" w:rsidR="00B878D6" w:rsidRDefault="00B878D6" w:rsidP="00B878D6">
      <w:pPr>
        <w:jc w:val="both"/>
        <w:rPr>
          <w:rFonts w:ascii="Times New Roman" w:hAnsi="Times New Roman" w:cs="Times New Roman"/>
          <w:sz w:val="24"/>
          <w:szCs w:val="24"/>
        </w:rPr>
      </w:pPr>
      <w:r w:rsidRPr="00B878D6">
        <w:rPr>
          <w:rFonts w:ascii="Times New Roman" w:hAnsi="Times New Roman" w:cs="Times New Roman"/>
          <w:sz w:val="24"/>
          <w:szCs w:val="24"/>
        </w:rPr>
        <w:t>A total of 540 samples comprising cattle carcasses and associated contact surfaces were collected from two slaughterhouses: the government-owned Gwagwalada (GGs; n = 340) and the privately owned Dei-Dei (PDs; n = 200).</w:t>
      </w:r>
      <w:r w:rsidR="00B906CB">
        <w:rPr>
          <w:rFonts w:ascii="Times New Roman" w:hAnsi="Times New Roman" w:cs="Times New Roman"/>
          <w:sz w:val="24"/>
          <w:szCs w:val="24"/>
        </w:rPr>
        <w:t xml:space="preserve"> </w:t>
      </w:r>
      <w:r w:rsidRPr="00B878D6">
        <w:rPr>
          <w:rFonts w:ascii="Times New Roman" w:hAnsi="Times New Roman" w:cs="Times New Roman"/>
          <w:sz w:val="24"/>
          <w:szCs w:val="24"/>
        </w:rPr>
        <w:t>At Gwagwalada, samples included processed carcasses (n = 180), effluent (n = 45), slaughterhouse workers’ (SHWs) hands (n = 25), wheelbarrows (n = 20), knives (n = 35), kill floor (n = 20), and washing water (n = 15). Similarly, samples from Dei-Dei comprised processed carcasses (n = 90), effluent (n = 35), SHWs’ hands (n = 10), wheelbarrows (n = 15), knives (n = 20), kill floor (n = 15), and washing water (n = 15) (Table 4).</w:t>
      </w:r>
    </w:p>
    <w:p w14:paraId="51FDC74E" w14:textId="2074AEEB" w:rsidR="00DC56FE" w:rsidRPr="00DC56FE" w:rsidRDefault="00DC56FE" w:rsidP="00DC56FE">
      <w:pPr>
        <w:pStyle w:val="NoSpacing"/>
        <w:spacing w:after="120"/>
        <w:ind w:left="-446"/>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4: Distribution of </w:t>
      </w:r>
      <w:r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isolation rates in government-owned Gwagwalada (n = 63) and privately owned Dei-dei (n = 42) slaughterhouses in Abuja</w:t>
      </w:r>
    </w:p>
    <w:tbl>
      <w:tblPr>
        <w:tblStyle w:val="TableGrid"/>
        <w:tblW w:w="10980" w:type="dxa"/>
        <w:tblInd w:w="-725" w:type="dxa"/>
        <w:tblLook w:val="04A0" w:firstRow="1" w:lastRow="0" w:firstColumn="1" w:lastColumn="0" w:noHBand="0" w:noVBand="1"/>
      </w:tblPr>
      <w:tblGrid>
        <w:gridCol w:w="2387"/>
        <w:gridCol w:w="1760"/>
        <w:gridCol w:w="1170"/>
        <w:gridCol w:w="1356"/>
        <w:gridCol w:w="1170"/>
        <w:gridCol w:w="576"/>
        <w:gridCol w:w="847"/>
        <w:gridCol w:w="1714"/>
      </w:tblGrid>
      <w:tr w:rsidR="00DC56FE" w:rsidRPr="00F05709" w14:paraId="0B96CEF4" w14:textId="77777777" w:rsidTr="00DC56FE">
        <w:tc>
          <w:tcPr>
            <w:tcW w:w="2387" w:type="dxa"/>
            <w:hideMark/>
          </w:tcPr>
          <w:p w14:paraId="74A1082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Type</w:t>
            </w:r>
          </w:p>
        </w:tc>
        <w:tc>
          <w:tcPr>
            <w:tcW w:w="0" w:type="auto"/>
            <w:hideMark/>
          </w:tcPr>
          <w:p w14:paraId="60C35673"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40D86B4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4998FD34"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0D368F62"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01274DC4"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0" w:type="auto"/>
            <w:hideMark/>
          </w:tcPr>
          <w:p w14:paraId="5BDEFD4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1714" w:type="dxa"/>
            <w:hideMark/>
          </w:tcPr>
          <w:p w14:paraId="14A7FCB8"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DC56FE" w:rsidRPr="00F05709" w14:paraId="6008F740" w14:textId="77777777" w:rsidTr="00DC56FE">
        <w:tc>
          <w:tcPr>
            <w:tcW w:w="2387" w:type="dxa"/>
            <w:hideMark/>
          </w:tcPr>
          <w:p w14:paraId="338E0B48"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6B539C2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019B4E1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3E0F261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66360000"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40AAE0A8"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0" w:type="auto"/>
            <w:hideMark/>
          </w:tcPr>
          <w:p w14:paraId="76797301"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1714" w:type="dxa"/>
            <w:hideMark/>
          </w:tcPr>
          <w:p w14:paraId="2C3DF5BC"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r>
      <w:tr w:rsidR="00DC56FE" w:rsidRPr="00F05709" w14:paraId="307F43FB" w14:textId="77777777" w:rsidTr="00DC56FE">
        <w:tc>
          <w:tcPr>
            <w:tcW w:w="2387" w:type="dxa"/>
            <w:hideMark/>
          </w:tcPr>
          <w:p w14:paraId="530236C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SHWs’ hands</w:t>
            </w:r>
          </w:p>
        </w:tc>
        <w:tc>
          <w:tcPr>
            <w:tcW w:w="0" w:type="auto"/>
            <w:hideMark/>
          </w:tcPr>
          <w:p w14:paraId="16FD4D8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0E944C4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6A3FDD0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2F0FDC3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0E8109E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07665C9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1714" w:type="dxa"/>
            <w:hideMark/>
          </w:tcPr>
          <w:p w14:paraId="7CFA7C4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DC56FE" w:rsidRPr="00F05709" w14:paraId="088539A1" w14:textId="77777777" w:rsidTr="00DC56FE">
        <w:tc>
          <w:tcPr>
            <w:tcW w:w="2387" w:type="dxa"/>
            <w:hideMark/>
          </w:tcPr>
          <w:p w14:paraId="1D5FBC0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Processed carcasses</w:t>
            </w:r>
          </w:p>
        </w:tc>
        <w:tc>
          <w:tcPr>
            <w:tcW w:w="0" w:type="auto"/>
            <w:hideMark/>
          </w:tcPr>
          <w:p w14:paraId="7CBDACE3"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139E77D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4167C12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4468E2E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06D5C8E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0" w:type="auto"/>
            <w:hideMark/>
          </w:tcPr>
          <w:p w14:paraId="528931F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0.65–3.60</w:t>
            </w:r>
          </w:p>
        </w:tc>
        <w:tc>
          <w:tcPr>
            <w:tcW w:w="1714" w:type="dxa"/>
            <w:hideMark/>
          </w:tcPr>
          <w:p w14:paraId="744EA7B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DC56FE" w:rsidRPr="00F05709" w14:paraId="1FA50B21" w14:textId="77777777" w:rsidTr="00DC56FE">
        <w:tc>
          <w:tcPr>
            <w:tcW w:w="2387" w:type="dxa"/>
            <w:hideMark/>
          </w:tcPr>
          <w:p w14:paraId="7A008BA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Wheelbarrow swabs</w:t>
            </w:r>
          </w:p>
        </w:tc>
        <w:tc>
          <w:tcPr>
            <w:tcW w:w="0" w:type="auto"/>
            <w:hideMark/>
          </w:tcPr>
          <w:p w14:paraId="01FAB8C0"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0A8E560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1186E77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7F6AB56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3BBE4B0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2.2</w:t>
            </w:r>
          </w:p>
        </w:tc>
        <w:tc>
          <w:tcPr>
            <w:tcW w:w="0" w:type="auto"/>
            <w:hideMark/>
          </w:tcPr>
          <w:p w14:paraId="0E5157E3"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0.51–8.90</w:t>
            </w:r>
          </w:p>
        </w:tc>
        <w:tc>
          <w:tcPr>
            <w:tcW w:w="1714" w:type="dxa"/>
            <w:hideMark/>
          </w:tcPr>
          <w:p w14:paraId="61A55B1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0.458</w:t>
            </w:r>
          </w:p>
        </w:tc>
      </w:tr>
      <w:tr w:rsidR="00DC56FE" w:rsidRPr="00F05709" w14:paraId="0E21F85B" w14:textId="77777777" w:rsidTr="00DC56FE">
        <w:tc>
          <w:tcPr>
            <w:tcW w:w="2387" w:type="dxa"/>
            <w:hideMark/>
          </w:tcPr>
          <w:p w14:paraId="19A8AF2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Butchers’ knives</w:t>
            </w:r>
          </w:p>
        </w:tc>
        <w:tc>
          <w:tcPr>
            <w:tcW w:w="0" w:type="auto"/>
            <w:hideMark/>
          </w:tcPr>
          <w:p w14:paraId="7755486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1DC7AFA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 (31.4)</w:t>
            </w:r>
          </w:p>
        </w:tc>
        <w:tc>
          <w:tcPr>
            <w:tcW w:w="0" w:type="auto"/>
            <w:hideMark/>
          </w:tcPr>
          <w:p w14:paraId="10AB36E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1366C29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6844FAC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39561DF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0.34–4.10</w:t>
            </w:r>
          </w:p>
        </w:tc>
        <w:tc>
          <w:tcPr>
            <w:tcW w:w="1714" w:type="dxa"/>
            <w:hideMark/>
          </w:tcPr>
          <w:p w14:paraId="37C7FC2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0.989</w:t>
            </w:r>
          </w:p>
        </w:tc>
      </w:tr>
      <w:tr w:rsidR="00DC56FE" w:rsidRPr="00F05709" w14:paraId="4B103DFF" w14:textId="77777777" w:rsidTr="00DC56FE">
        <w:tc>
          <w:tcPr>
            <w:tcW w:w="2387" w:type="dxa"/>
            <w:hideMark/>
          </w:tcPr>
          <w:p w14:paraId="484182C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Meat washing water</w:t>
            </w:r>
          </w:p>
        </w:tc>
        <w:tc>
          <w:tcPr>
            <w:tcW w:w="0" w:type="auto"/>
            <w:hideMark/>
          </w:tcPr>
          <w:p w14:paraId="14426C8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534A29E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5F37030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5C7BD12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(26.7)</w:t>
            </w:r>
          </w:p>
        </w:tc>
        <w:tc>
          <w:tcPr>
            <w:tcW w:w="0" w:type="auto"/>
            <w:hideMark/>
          </w:tcPr>
          <w:p w14:paraId="1514769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4D15CD5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0.32–6.70</w:t>
            </w:r>
          </w:p>
        </w:tc>
        <w:tc>
          <w:tcPr>
            <w:tcW w:w="1714" w:type="dxa"/>
            <w:hideMark/>
          </w:tcPr>
          <w:p w14:paraId="5872E6E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DC56FE" w:rsidRPr="00F05709" w14:paraId="44AFE8F5" w14:textId="77777777" w:rsidTr="00DC56FE">
        <w:tc>
          <w:tcPr>
            <w:tcW w:w="2387" w:type="dxa"/>
            <w:hideMark/>
          </w:tcPr>
          <w:p w14:paraId="49274DE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Effluent</w:t>
            </w:r>
          </w:p>
        </w:tc>
        <w:tc>
          <w:tcPr>
            <w:tcW w:w="0" w:type="auto"/>
            <w:hideMark/>
          </w:tcPr>
          <w:p w14:paraId="03E58BB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45</w:t>
            </w:r>
          </w:p>
        </w:tc>
        <w:tc>
          <w:tcPr>
            <w:tcW w:w="0" w:type="auto"/>
            <w:hideMark/>
          </w:tcPr>
          <w:p w14:paraId="182CABD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(26.7)</w:t>
            </w:r>
          </w:p>
        </w:tc>
        <w:tc>
          <w:tcPr>
            <w:tcW w:w="0" w:type="auto"/>
            <w:hideMark/>
          </w:tcPr>
          <w:p w14:paraId="04C8325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0F3FFD0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(22.9)</w:t>
            </w:r>
          </w:p>
        </w:tc>
        <w:tc>
          <w:tcPr>
            <w:tcW w:w="0" w:type="auto"/>
            <w:hideMark/>
          </w:tcPr>
          <w:p w14:paraId="24DB1C6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04DDAF5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0.42–3.60</w:t>
            </w:r>
          </w:p>
        </w:tc>
        <w:tc>
          <w:tcPr>
            <w:tcW w:w="1714" w:type="dxa"/>
            <w:hideMark/>
          </w:tcPr>
          <w:p w14:paraId="479BF26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0.797</w:t>
            </w:r>
          </w:p>
        </w:tc>
      </w:tr>
      <w:tr w:rsidR="00DC56FE" w:rsidRPr="00F05709" w14:paraId="428378C6" w14:textId="77777777" w:rsidTr="00DC56FE">
        <w:tc>
          <w:tcPr>
            <w:tcW w:w="2387" w:type="dxa"/>
            <w:hideMark/>
          </w:tcPr>
          <w:p w14:paraId="2B88E30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Kill floor</w:t>
            </w:r>
          </w:p>
        </w:tc>
        <w:tc>
          <w:tcPr>
            <w:tcW w:w="0" w:type="auto"/>
            <w:hideMark/>
          </w:tcPr>
          <w:p w14:paraId="3D7A968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22EE879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(45.0)</w:t>
            </w:r>
          </w:p>
        </w:tc>
        <w:tc>
          <w:tcPr>
            <w:tcW w:w="0" w:type="auto"/>
            <w:hideMark/>
          </w:tcPr>
          <w:p w14:paraId="33D4D36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06BEA93B"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(46.7)</w:t>
            </w:r>
          </w:p>
        </w:tc>
        <w:tc>
          <w:tcPr>
            <w:tcW w:w="0" w:type="auto"/>
            <w:hideMark/>
          </w:tcPr>
          <w:p w14:paraId="5B6EE03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0" w:type="auto"/>
            <w:hideMark/>
          </w:tcPr>
          <w:p w14:paraId="479DCA5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0.29–4.40</w:t>
            </w:r>
          </w:p>
        </w:tc>
        <w:tc>
          <w:tcPr>
            <w:tcW w:w="1714" w:type="dxa"/>
            <w:hideMark/>
          </w:tcPr>
          <w:p w14:paraId="0B687CA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0.988</w:t>
            </w:r>
          </w:p>
        </w:tc>
      </w:tr>
      <w:tr w:rsidR="00DC56FE" w:rsidRPr="00F05709" w14:paraId="18D63A20" w14:textId="77777777" w:rsidTr="00DC56FE">
        <w:tc>
          <w:tcPr>
            <w:tcW w:w="2387" w:type="dxa"/>
            <w:hideMark/>
          </w:tcPr>
          <w:p w14:paraId="48BD16C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Total</w:t>
            </w:r>
          </w:p>
        </w:tc>
        <w:tc>
          <w:tcPr>
            <w:tcW w:w="0" w:type="auto"/>
            <w:hideMark/>
          </w:tcPr>
          <w:p w14:paraId="19208C4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340</w:t>
            </w:r>
          </w:p>
        </w:tc>
        <w:tc>
          <w:tcPr>
            <w:tcW w:w="0" w:type="auto"/>
            <w:hideMark/>
          </w:tcPr>
          <w:p w14:paraId="10B1E5B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63 (18.5)</w:t>
            </w:r>
          </w:p>
        </w:tc>
        <w:tc>
          <w:tcPr>
            <w:tcW w:w="0" w:type="auto"/>
            <w:hideMark/>
          </w:tcPr>
          <w:p w14:paraId="13C6959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200</w:t>
            </w:r>
          </w:p>
        </w:tc>
        <w:tc>
          <w:tcPr>
            <w:tcW w:w="0" w:type="auto"/>
            <w:hideMark/>
          </w:tcPr>
          <w:p w14:paraId="4465A23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42 (21.0)</w:t>
            </w:r>
          </w:p>
        </w:tc>
        <w:tc>
          <w:tcPr>
            <w:tcW w:w="0" w:type="auto"/>
            <w:hideMark/>
          </w:tcPr>
          <w:p w14:paraId="0A0CE21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1.2</w:t>
            </w:r>
          </w:p>
        </w:tc>
        <w:tc>
          <w:tcPr>
            <w:tcW w:w="0" w:type="auto"/>
            <w:hideMark/>
          </w:tcPr>
          <w:p w14:paraId="2B4A321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0.75–1.80</w:t>
            </w:r>
          </w:p>
        </w:tc>
        <w:tc>
          <w:tcPr>
            <w:tcW w:w="1714" w:type="dxa"/>
            <w:hideMark/>
          </w:tcPr>
          <w:p w14:paraId="587197B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0.501</w:t>
            </w:r>
          </w:p>
        </w:tc>
      </w:tr>
    </w:tbl>
    <w:p w14:paraId="691168B2" w14:textId="77777777" w:rsidR="00DC56FE" w:rsidRPr="00F05709" w:rsidRDefault="00DC56FE" w:rsidP="00DC56FE">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OR = Odds ratio; CI = Confidence Interval; Fisher's exact test (GraphPad Prism®, version 8.0.4, CA, USA)</w:t>
      </w:r>
    </w:p>
    <w:p w14:paraId="3DC5D1E1" w14:textId="77777777" w:rsidR="00DC56FE" w:rsidRDefault="00DC56FE" w:rsidP="00B878D6">
      <w:pPr>
        <w:jc w:val="both"/>
        <w:rPr>
          <w:rFonts w:ascii="Times New Roman" w:hAnsi="Times New Roman" w:cs="Times New Roman"/>
          <w:sz w:val="24"/>
          <w:szCs w:val="24"/>
        </w:rPr>
      </w:pPr>
    </w:p>
    <w:p w14:paraId="6FD065BC" w14:textId="04F4C8BE" w:rsidR="00B878D6" w:rsidRDefault="00B878D6" w:rsidP="00B878D6">
      <w:pPr>
        <w:jc w:val="both"/>
        <w:rPr>
          <w:rFonts w:ascii="Times New Roman" w:hAnsi="Times New Roman" w:cs="Times New Roman"/>
          <w:sz w:val="24"/>
          <w:szCs w:val="24"/>
        </w:rPr>
      </w:pPr>
      <w:r w:rsidRPr="00B878D6">
        <w:rPr>
          <w:rFonts w:ascii="Times New Roman" w:hAnsi="Times New Roman" w:cs="Times New Roman"/>
          <w:sz w:val="24"/>
          <w:szCs w:val="24"/>
        </w:rPr>
        <w:t xml:space="preserve">Overall, </w:t>
      </w:r>
      <w:r w:rsidRPr="00B878D6">
        <w:rPr>
          <w:rFonts w:ascii="Times New Roman" w:hAnsi="Times New Roman" w:cs="Times New Roman"/>
          <w:i/>
          <w:iCs/>
          <w:sz w:val="24"/>
          <w:szCs w:val="24"/>
        </w:rPr>
        <w:t>Escherichia coli</w:t>
      </w:r>
      <w:r w:rsidRPr="00B878D6">
        <w:rPr>
          <w:rFonts w:ascii="Times New Roman" w:hAnsi="Times New Roman" w:cs="Times New Roman"/>
          <w:sz w:val="24"/>
          <w:szCs w:val="24"/>
        </w:rPr>
        <w:t xml:space="preserve"> was isolated from 105 (19.4%) of all samples. The isolation rate was slightly higher in Dei-Dei (21.0%) compared to Gwagwalada (18.5%), although this difference was not statistically significant (OR = 1.2; 95% CI: 0.75–1.80; p = 0.501).</w:t>
      </w:r>
      <w:r w:rsidR="00DC56FE">
        <w:rPr>
          <w:rFonts w:ascii="Times New Roman" w:hAnsi="Times New Roman" w:cs="Times New Roman"/>
          <w:sz w:val="24"/>
          <w:szCs w:val="24"/>
        </w:rPr>
        <w:t xml:space="preserve"> </w:t>
      </w:r>
      <w:r w:rsidRPr="00B878D6">
        <w:rPr>
          <w:rFonts w:ascii="Times New Roman" w:hAnsi="Times New Roman" w:cs="Times New Roman"/>
          <w:sz w:val="24"/>
          <w:szCs w:val="24"/>
        </w:rPr>
        <w:t xml:space="preserve">Across individual </w:t>
      </w:r>
      <w:r w:rsidRPr="00B878D6">
        <w:rPr>
          <w:rFonts w:ascii="Times New Roman" w:hAnsi="Times New Roman" w:cs="Times New Roman"/>
          <w:sz w:val="24"/>
          <w:szCs w:val="24"/>
        </w:rPr>
        <w:lastRenderedPageBreak/>
        <w:t>sample types, higher isolation rates were observed on contact surfaces than on carcasses. At Gwagwalada, the highest prevalence was recorded on the kill floor (45.0%), followed by SHWs’ hands (36.0%), wheelbarrows (35.0%), and knives (31.4%), while processed carcasses had a lower prevalence (6.7%). A similar pattern was observed at Dei-Dei, where the kill floor (46.7%) and SHWs’ hands (40.0%) showed the highest contamination levels, whereas processed carcasses recorded a comparatively lower prevalence (10.0%).</w:t>
      </w:r>
      <w:r>
        <w:rPr>
          <w:rFonts w:ascii="Times New Roman" w:hAnsi="Times New Roman" w:cs="Times New Roman"/>
          <w:sz w:val="24"/>
          <w:szCs w:val="24"/>
        </w:rPr>
        <w:t xml:space="preserve"> </w:t>
      </w:r>
      <w:r w:rsidRPr="00B878D6">
        <w:rPr>
          <w:rFonts w:ascii="Times New Roman" w:hAnsi="Times New Roman" w:cs="Times New Roman"/>
          <w:sz w:val="24"/>
          <w:szCs w:val="24"/>
        </w:rPr>
        <w:t>When grouped into broader categories (Table 5), human-related contact surfaces exhibited the highest contamination rates in both slaughterhouses (36.0% in GGs and 40.0% in PDs), followed by environmental sources, while animal sources (carcasses) showed the lowest prevalence. However, no statistically significant association was observed between isolation rates and slaughterhouse location or sample source (p &gt; 0.05)</w:t>
      </w:r>
      <w:r>
        <w:rPr>
          <w:rFonts w:ascii="Times New Roman" w:hAnsi="Times New Roman" w:cs="Times New Roman"/>
          <w:sz w:val="24"/>
          <w:szCs w:val="24"/>
        </w:rPr>
        <w:t xml:space="preserve">. </w:t>
      </w:r>
      <w:r w:rsidRPr="00B878D6">
        <w:rPr>
          <w:rFonts w:ascii="Times New Roman" w:hAnsi="Times New Roman" w:cs="Times New Roman"/>
          <w:sz w:val="24"/>
          <w:szCs w:val="24"/>
        </w:rPr>
        <w:t xml:space="preserve"> This clearly shows contamination is surface-driven rather than carcass-origin, even though statistical significance was not achieved.</w:t>
      </w:r>
    </w:p>
    <w:p w14:paraId="79281B84" w14:textId="77777777" w:rsidR="00DC56FE" w:rsidRPr="00F05709" w:rsidRDefault="00DC56FE" w:rsidP="00DC56FE">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5: Distribution of phenotypically identified </w:t>
      </w:r>
      <w:r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isolates (N = 105) from Gwagwalada (n = 63) and Dei-dei (n = 42) slaughterhouses based on broad sample sources</w:t>
      </w:r>
    </w:p>
    <w:tbl>
      <w:tblPr>
        <w:tblStyle w:val="TableGrid"/>
        <w:tblW w:w="11070" w:type="dxa"/>
        <w:tblInd w:w="-995" w:type="dxa"/>
        <w:tblLook w:val="04A0" w:firstRow="1" w:lastRow="0" w:firstColumn="1" w:lastColumn="0" w:noHBand="0" w:noVBand="1"/>
      </w:tblPr>
      <w:tblGrid>
        <w:gridCol w:w="2610"/>
        <w:gridCol w:w="2027"/>
        <w:gridCol w:w="1110"/>
        <w:gridCol w:w="1301"/>
        <w:gridCol w:w="1110"/>
        <w:gridCol w:w="576"/>
        <w:gridCol w:w="1346"/>
        <w:gridCol w:w="990"/>
      </w:tblGrid>
      <w:tr w:rsidR="00DC56FE" w:rsidRPr="00F05709" w14:paraId="4B854BFF" w14:textId="77777777" w:rsidTr="00DC56FE">
        <w:tc>
          <w:tcPr>
            <w:tcW w:w="2610" w:type="dxa"/>
            <w:hideMark/>
          </w:tcPr>
          <w:p w14:paraId="12B496A2"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Source Category</w:t>
            </w:r>
          </w:p>
        </w:tc>
        <w:tc>
          <w:tcPr>
            <w:tcW w:w="2027" w:type="dxa"/>
            <w:hideMark/>
          </w:tcPr>
          <w:p w14:paraId="35038C1C"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6422DE0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28AD3DF7"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192EEAC6"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0" w:type="auto"/>
            <w:hideMark/>
          </w:tcPr>
          <w:p w14:paraId="37F170B1"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1346" w:type="dxa"/>
            <w:hideMark/>
          </w:tcPr>
          <w:p w14:paraId="447D0A12"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990" w:type="dxa"/>
            <w:hideMark/>
          </w:tcPr>
          <w:p w14:paraId="0BF8313B"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DC56FE" w:rsidRPr="00F05709" w14:paraId="0BAB99DC" w14:textId="77777777" w:rsidTr="00DC56FE">
        <w:tc>
          <w:tcPr>
            <w:tcW w:w="2610" w:type="dxa"/>
            <w:hideMark/>
          </w:tcPr>
          <w:p w14:paraId="53C14BE1" w14:textId="77777777" w:rsidR="00DC56FE" w:rsidRPr="00F05709" w:rsidRDefault="00DC56FE" w:rsidP="00112E40">
            <w:pPr>
              <w:spacing w:after="120" w:line="240" w:lineRule="auto"/>
              <w:jc w:val="both"/>
              <w:rPr>
                <w:rFonts w:ascii="Times New Roman" w:hAnsi="Times New Roman" w:cs="Times New Roman"/>
                <w:b/>
                <w:bCs/>
                <w:color w:val="0D0D0D"/>
                <w:sz w:val="24"/>
                <w:szCs w:val="24"/>
              </w:rPr>
            </w:pPr>
          </w:p>
        </w:tc>
        <w:tc>
          <w:tcPr>
            <w:tcW w:w="2027" w:type="dxa"/>
            <w:hideMark/>
          </w:tcPr>
          <w:p w14:paraId="3988D333"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511B2AE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1A4A0F4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2637E59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496F9571"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1346" w:type="dxa"/>
            <w:hideMark/>
          </w:tcPr>
          <w:p w14:paraId="58C4E3BF"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c>
          <w:tcPr>
            <w:tcW w:w="990" w:type="dxa"/>
            <w:hideMark/>
          </w:tcPr>
          <w:p w14:paraId="1461EC1C" w14:textId="77777777" w:rsidR="00DC56FE" w:rsidRPr="00F05709" w:rsidRDefault="00DC56FE" w:rsidP="00112E40">
            <w:pPr>
              <w:spacing w:after="120" w:line="240" w:lineRule="auto"/>
              <w:jc w:val="both"/>
              <w:rPr>
                <w:rFonts w:ascii="Times New Roman" w:hAnsi="Times New Roman" w:cs="Times New Roman"/>
                <w:color w:val="0D0D0D"/>
                <w:sz w:val="24"/>
                <w:szCs w:val="24"/>
              </w:rPr>
            </w:pPr>
          </w:p>
        </w:tc>
      </w:tr>
      <w:tr w:rsidR="00DC56FE" w:rsidRPr="00F05709" w14:paraId="5C3DC149" w14:textId="77777777" w:rsidTr="00DC56FE">
        <w:tc>
          <w:tcPr>
            <w:tcW w:w="2610" w:type="dxa"/>
            <w:hideMark/>
          </w:tcPr>
          <w:p w14:paraId="513A3C6D"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Human (SHWs’ hands)</w:t>
            </w:r>
          </w:p>
        </w:tc>
        <w:tc>
          <w:tcPr>
            <w:tcW w:w="2027" w:type="dxa"/>
            <w:hideMark/>
          </w:tcPr>
          <w:p w14:paraId="422D019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53A27EC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1BE592D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513F556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05BCA16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1346" w:type="dxa"/>
            <w:hideMark/>
          </w:tcPr>
          <w:p w14:paraId="30886A0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990" w:type="dxa"/>
            <w:hideMark/>
          </w:tcPr>
          <w:p w14:paraId="7C5822D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0.999</w:t>
            </w:r>
          </w:p>
        </w:tc>
      </w:tr>
      <w:tr w:rsidR="00DC56FE" w:rsidRPr="00F05709" w14:paraId="6383D5C0" w14:textId="77777777" w:rsidTr="00DC56FE">
        <w:tc>
          <w:tcPr>
            <w:tcW w:w="2610" w:type="dxa"/>
            <w:hideMark/>
          </w:tcPr>
          <w:p w14:paraId="482D016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Animal (Processed carcasses)</w:t>
            </w:r>
          </w:p>
        </w:tc>
        <w:tc>
          <w:tcPr>
            <w:tcW w:w="2027" w:type="dxa"/>
            <w:hideMark/>
          </w:tcPr>
          <w:p w14:paraId="019CD918"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7941120E"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505EA6F6"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5A3804C1"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321B54B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1346" w:type="dxa"/>
            <w:hideMark/>
          </w:tcPr>
          <w:p w14:paraId="5D8D4924"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0.65–3.50</w:t>
            </w:r>
          </w:p>
        </w:tc>
        <w:tc>
          <w:tcPr>
            <w:tcW w:w="990" w:type="dxa"/>
            <w:hideMark/>
          </w:tcPr>
          <w:p w14:paraId="103BDC6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DC56FE" w:rsidRPr="00F05709" w14:paraId="233D683C" w14:textId="77777777" w:rsidTr="00DC56FE">
        <w:tc>
          <w:tcPr>
            <w:tcW w:w="2610" w:type="dxa"/>
            <w:hideMark/>
          </w:tcPr>
          <w:p w14:paraId="53AC21A2"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Environmental*</w:t>
            </w:r>
          </w:p>
        </w:tc>
        <w:tc>
          <w:tcPr>
            <w:tcW w:w="2027" w:type="dxa"/>
            <w:hideMark/>
          </w:tcPr>
          <w:p w14:paraId="0D93197F"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135</w:t>
            </w:r>
          </w:p>
        </w:tc>
        <w:tc>
          <w:tcPr>
            <w:tcW w:w="0" w:type="auto"/>
            <w:hideMark/>
          </w:tcPr>
          <w:p w14:paraId="5F45E837"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42 (31.1)</w:t>
            </w:r>
          </w:p>
        </w:tc>
        <w:tc>
          <w:tcPr>
            <w:tcW w:w="0" w:type="auto"/>
            <w:hideMark/>
          </w:tcPr>
          <w:p w14:paraId="17EA5FF9"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100</w:t>
            </w:r>
          </w:p>
        </w:tc>
        <w:tc>
          <w:tcPr>
            <w:tcW w:w="0" w:type="auto"/>
            <w:hideMark/>
          </w:tcPr>
          <w:p w14:paraId="15708CB5"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(29.0)</w:t>
            </w:r>
          </w:p>
        </w:tc>
        <w:tc>
          <w:tcPr>
            <w:tcW w:w="0" w:type="auto"/>
            <w:hideMark/>
          </w:tcPr>
          <w:p w14:paraId="19D2A68A"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1346" w:type="dxa"/>
            <w:hideMark/>
          </w:tcPr>
          <w:p w14:paraId="414BCB1C"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0.62–1.90</w:t>
            </w:r>
          </w:p>
        </w:tc>
        <w:tc>
          <w:tcPr>
            <w:tcW w:w="990" w:type="dxa"/>
            <w:hideMark/>
          </w:tcPr>
          <w:p w14:paraId="13BBB5E2" w14:textId="77777777" w:rsidR="00DC56FE" w:rsidRPr="00F05709" w:rsidRDefault="00DC56FE"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0.775</w:t>
            </w:r>
          </w:p>
        </w:tc>
      </w:tr>
    </w:tbl>
    <w:p w14:paraId="05D48411" w14:textId="77777777" w:rsidR="00DC56FE" w:rsidRPr="00F05709" w:rsidRDefault="00DC56FE" w:rsidP="00DC56FE">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OR = Odds ratio; CI = Confidence Interval; Fisher's exact test (GraphPad Prism®, version 8.0.4, CA, USA)</w:t>
      </w:r>
    </w:p>
    <w:p w14:paraId="44DB317B" w14:textId="77777777" w:rsidR="00DC56FE" w:rsidRPr="00F05709" w:rsidRDefault="00DC56FE" w:rsidP="00DC56FE">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Human: SHW’s hands</w:t>
      </w:r>
    </w:p>
    <w:p w14:paraId="28060318" w14:textId="77777777" w:rsidR="00DC56FE" w:rsidRPr="00F05709" w:rsidRDefault="00DC56FE" w:rsidP="00DC56FE">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Animal: processed carcasses</w:t>
      </w:r>
    </w:p>
    <w:p w14:paraId="09B1672B" w14:textId="77777777" w:rsidR="00DC56FE" w:rsidRDefault="00DC56FE" w:rsidP="00DC56FE">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Environmental sources: wheelbarrow, butchers’ knife, meat washing water, Effluent, kill floor</w:t>
      </w:r>
    </w:p>
    <w:p w14:paraId="04CF3605" w14:textId="77777777" w:rsidR="00F6200D" w:rsidRPr="00F05709" w:rsidRDefault="00F6200D" w:rsidP="00DC56FE">
      <w:pPr>
        <w:pStyle w:val="NoSpacing"/>
        <w:jc w:val="both"/>
        <w:rPr>
          <w:rFonts w:ascii="Times New Roman" w:hAnsi="Times New Roman" w:cs="Times New Roman"/>
          <w:b/>
          <w:bCs/>
          <w:sz w:val="24"/>
          <w:szCs w:val="24"/>
        </w:rPr>
      </w:pPr>
    </w:p>
    <w:p w14:paraId="7618E3B4" w14:textId="77777777" w:rsidR="00F6200D" w:rsidRPr="00F6200D" w:rsidRDefault="00F6200D" w:rsidP="00F6200D">
      <w:pPr>
        <w:jc w:val="both"/>
        <w:rPr>
          <w:rFonts w:ascii="Times New Roman" w:hAnsi="Times New Roman" w:cs="Times New Roman"/>
          <w:b/>
          <w:bCs/>
          <w:sz w:val="24"/>
          <w:szCs w:val="24"/>
        </w:rPr>
      </w:pPr>
      <w:r w:rsidRPr="00F6200D">
        <w:rPr>
          <w:rFonts w:ascii="Times New Roman" w:hAnsi="Times New Roman" w:cs="Times New Roman"/>
          <w:b/>
          <w:bCs/>
          <w:sz w:val="24"/>
          <w:szCs w:val="24"/>
        </w:rPr>
        <w:t xml:space="preserve">3.2 Molecular Confirmation of </w:t>
      </w:r>
      <w:r w:rsidRPr="00F6200D">
        <w:rPr>
          <w:rFonts w:ascii="Times New Roman" w:hAnsi="Times New Roman" w:cs="Times New Roman"/>
          <w:b/>
          <w:bCs/>
          <w:i/>
          <w:iCs/>
          <w:sz w:val="24"/>
          <w:szCs w:val="24"/>
        </w:rPr>
        <w:t>Escherichia coli</w:t>
      </w:r>
    </w:p>
    <w:p w14:paraId="560A1A07" w14:textId="35529094" w:rsidR="00F6200D" w:rsidRPr="00F6200D" w:rsidRDefault="00F6200D" w:rsidP="00F6200D">
      <w:pPr>
        <w:jc w:val="both"/>
        <w:rPr>
          <w:rFonts w:ascii="Times New Roman" w:hAnsi="Times New Roman" w:cs="Times New Roman"/>
          <w:sz w:val="24"/>
          <w:szCs w:val="24"/>
        </w:rPr>
      </w:pPr>
      <w:r w:rsidRPr="00F6200D">
        <w:rPr>
          <w:rFonts w:ascii="Times New Roman" w:hAnsi="Times New Roman" w:cs="Times New Roman"/>
          <w:sz w:val="24"/>
          <w:szCs w:val="24"/>
        </w:rPr>
        <w:t xml:space="preserve">Amplification of the 16S rRNA gene was successful in all 55 selected isolates, producing amplicons of approximately 1,500 bp (Fig </w:t>
      </w:r>
      <w:r w:rsidR="009A46D7">
        <w:rPr>
          <w:rFonts w:ascii="Times New Roman" w:hAnsi="Times New Roman" w:cs="Times New Roman"/>
          <w:sz w:val="24"/>
          <w:szCs w:val="24"/>
        </w:rPr>
        <w:t>3</w:t>
      </w:r>
      <w:r w:rsidRPr="00F6200D">
        <w:rPr>
          <w:rFonts w:ascii="Times New Roman" w:hAnsi="Times New Roman" w:cs="Times New Roman"/>
          <w:sz w:val="24"/>
          <w:szCs w:val="24"/>
        </w:rPr>
        <w:t>).</w:t>
      </w:r>
      <w:r>
        <w:rPr>
          <w:rFonts w:ascii="Times New Roman" w:hAnsi="Times New Roman" w:cs="Times New Roman"/>
          <w:sz w:val="24"/>
          <w:szCs w:val="24"/>
        </w:rPr>
        <w:t xml:space="preserve"> </w:t>
      </w:r>
      <w:r w:rsidRPr="00F6200D">
        <w:rPr>
          <w:rFonts w:ascii="Times New Roman" w:hAnsi="Times New Roman" w:cs="Times New Roman"/>
          <w:sz w:val="24"/>
          <w:szCs w:val="24"/>
        </w:rPr>
        <w:t xml:space="preserve">Sequence analysis and BLAST comparison revealed that 51 isolates (92.7%) were confirmed as </w:t>
      </w:r>
      <w:r w:rsidRPr="00F6200D">
        <w:rPr>
          <w:rFonts w:ascii="Times New Roman" w:hAnsi="Times New Roman" w:cs="Times New Roman"/>
          <w:i/>
          <w:iCs/>
          <w:sz w:val="24"/>
          <w:szCs w:val="24"/>
        </w:rPr>
        <w:t>Escherichia coli</w:t>
      </w:r>
      <w:r w:rsidRPr="00F6200D">
        <w:rPr>
          <w:rFonts w:ascii="Times New Roman" w:hAnsi="Times New Roman" w:cs="Times New Roman"/>
          <w:sz w:val="24"/>
          <w:szCs w:val="24"/>
        </w:rPr>
        <w:t xml:space="preserve">, while one isolate (1.8%) was identified as </w:t>
      </w:r>
      <w:r w:rsidRPr="00F6200D">
        <w:rPr>
          <w:rFonts w:ascii="Times New Roman" w:hAnsi="Times New Roman" w:cs="Times New Roman"/>
          <w:i/>
          <w:iCs/>
          <w:sz w:val="24"/>
          <w:szCs w:val="24"/>
        </w:rPr>
        <w:t>Shigella flexneri</w:t>
      </w:r>
      <w:r w:rsidRPr="00F6200D">
        <w:rPr>
          <w:rFonts w:ascii="Times New Roman" w:hAnsi="Times New Roman" w:cs="Times New Roman"/>
          <w:sz w:val="24"/>
          <w:szCs w:val="24"/>
        </w:rPr>
        <w:t xml:space="preserve">, and three isolates (5.5%) as </w:t>
      </w:r>
      <w:r w:rsidRPr="00F6200D">
        <w:rPr>
          <w:rFonts w:ascii="Times New Roman" w:hAnsi="Times New Roman" w:cs="Times New Roman"/>
          <w:i/>
          <w:iCs/>
          <w:sz w:val="24"/>
          <w:szCs w:val="24"/>
        </w:rPr>
        <w:t>Escherichia fergusonii</w:t>
      </w:r>
      <w:r w:rsidRPr="00F6200D">
        <w:rPr>
          <w:rFonts w:ascii="Times New Roman" w:hAnsi="Times New Roman" w:cs="Times New Roman"/>
          <w:sz w:val="24"/>
          <w:szCs w:val="24"/>
        </w:rPr>
        <w:t>.</w:t>
      </w:r>
      <w:r>
        <w:rPr>
          <w:rFonts w:ascii="Times New Roman" w:hAnsi="Times New Roman" w:cs="Times New Roman"/>
          <w:sz w:val="24"/>
          <w:szCs w:val="24"/>
        </w:rPr>
        <w:t xml:space="preserve"> </w:t>
      </w:r>
      <w:r w:rsidRPr="00F6200D">
        <w:rPr>
          <w:rFonts w:ascii="Times New Roman" w:hAnsi="Times New Roman" w:cs="Times New Roman"/>
          <w:sz w:val="24"/>
          <w:szCs w:val="24"/>
        </w:rPr>
        <w:t xml:space="preserve">The </w:t>
      </w:r>
      <w:r w:rsidRPr="00F6200D">
        <w:rPr>
          <w:rFonts w:ascii="Times New Roman" w:hAnsi="Times New Roman" w:cs="Times New Roman"/>
          <w:i/>
          <w:iCs/>
          <w:sz w:val="24"/>
          <w:szCs w:val="24"/>
        </w:rPr>
        <w:t>Shigella flexneri</w:t>
      </w:r>
      <w:r w:rsidRPr="00F6200D">
        <w:rPr>
          <w:rFonts w:ascii="Times New Roman" w:hAnsi="Times New Roman" w:cs="Times New Roman"/>
          <w:sz w:val="24"/>
          <w:szCs w:val="24"/>
        </w:rPr>
        <w:t xml:space="preserve"> isolate originated from butchers’ knives, whereas </w:t>
      </w:r>
      <w:r w:rsidRPr="00F6200D">
        <w:rPr>
          <w:rFonts w:ascii="Times New Roman" w:hAnsi="Times New Roman" w:cs="Times New Roman"/>
          <w:i/>
          <w:iCs/>
          <w:sz w:val="24"/>
          <w:szCs w:val="24"/>
        </w:rPr>
        <w:t>Escherichia fergusonii</w:t>
      </w:r>
      <w:r w:rsidRPr="00F6200D">
        <w:rPr>
          <w:rFonts w:ascii="Times New Roman" w:hAnsi="Times New Roman" w:cs="Times New Roman"/>
          <w:sz w:val="24"/>
          <w:szCs w:val="24"/>
        </w:rPr>
        <w:t xml:space="preserve"> isolates were recovered from the kill floor, effluent, and washing water.</w:t>
      </w:r>
    </w:p>
    <w:p w14:paraId="4B8856E1" w14:textId="55B0E1EF" w:rsidR="00DC56FE" w:rsidRDefault="00F6200D" w:rsidP="00B878D6">
      <w:pPr>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7DD88183" wp14:editId="75ED69CF">
            <wp:extent cx="5147574" cy="10008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0000" contrast="20000"/>
                      <a:extLst>
                        <a:ext uri="{28A0092B-C50C-407E-A947-70E740481C1C}">
                          <a14:useLocalDpi xmlns:a14="http://schemas.microsoft.com/office/drawing/2010/main" val="0"/>
                        </a:ext>
                      </a:extLst>
                    </a:blip>
                    <a:srcRect/>
                    <a:stretch>
                      <a:fillRect/>
                    </a:stretch>
                  </pic:blipFill>
                  <pic:spPr bwMode="auto">
                    <a:xfrm>
                      <a:off x="0" y="0"/>
                      <a:ext cx="5177073" cy="1006535"/>
                    </a:xfrm>
                    <a:prstGeom prst="rect">
                      <a:avLst/>
                    </a:prstGeom>
                    <a:noFill/>
                    <a:ln>
                      <a:noFill/>
                    </a:ln>
                  </pic:spPr>
                </pic:pic>
              </a:graphicData>
            </a:graphic>
          </wp:inline>
        </w:drawing>
      </w:r>
    </w:p>
    <w:p w14:paraId="31062126" w14:textId="36EB344A"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Fig </w:t>
      </w:r>
      <w:r w:rsidR="009A46D7">
        <w:rPr>
          <w:rFonts w:ascii="Times New Roman" w:hAnsi="Times New Roman" w:cs="Times New Roman"/>
          <w:b/>
          <w:sz w:val="24"/>
          <w:szCs w:val="24"/>
        </w:rPr>
        <w:t>3</w:t>
      </w:r>
      <w:r w:rsidRPr="00F05709">
        <w:rPr>
          <w:rFonts w:ascii="Times New Roman" w:hAnsi="Times New Roman" w:cs="Times New Roman"/>
          <w:b/>
          <w:sz w:val="24"/>
          <w:szCs w:val="24"/>
        </w:rPr>
        <w:t xml:space="preserve">: Gel pictures show positive amplification of 16S rRNA genes of the isolates. </w:t>
      </w:r>
    </w:p>
    <w:p w14:paraId="53327AEE" w14:textId="77777777"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Note bands at 1500bp, </w:t>
      </w:r>
    </w:p>
    <w:p w14:paraId="52A2EB47" w14:textId="77777777"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MK molecular weight marker (100bp ladder)</w:t>
      </w:r>
    </w:p>
    <w:p w14:paraId="4F28F56F" w14:textId="77777777" w:rsidR="00F6200D" w:rsidRPr="00F05709"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tve: control,</w:t>
      </w:r>
    </w:p>
    <w:p w14:paraId="715C79B7" w14:textId="77777777" w:rsidR="00F6200D" w:rsidRDefault="00F6200D" w:rsidP="00F6200D">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buf= buffer (-ve)</w:t>
      </w:r>
    </w:p>
    <w:p w14:paraId="6CAAAA33" w14:textId="77777777" w:rsidR="002724DB" w:rsidRPr="00F05709" w:rsidRDefault="002724DB" w:rsidP="00F6200D">
      <w:pPr>
        <w:pStyle w:val="NoSpacing"/>
        <w:jc w:val="both"/>
        <w:rPr>
          <w:rFonts w:ascii="Times New Roman" w:hAnsi="Times New Roman" w:cs="Times New Roman"/>
          <w:b/>
          <w:sz w:val="24"/>
          <w:szCs w:val="24"/>
        </w:rPr>
      </w:pPr>
    </w:p>
    <w:p w14:paraId="74BEE367" w14:textId="77777777" w:rsidR="002724DB" w:rsidRPr="002724DB" w:rsidRDefault="002724DB" w:rsidP="002724DB">
      <w:pPr>
        <w:jc w:val="both"/>
        <w:rPr>
          <w:rFonts w:ascii="Times New Roman" w:hAnsi="Times New Roman" w:cs="Times New Roman"/>
          <w:b/>
          <w:bCs/>
          <w:sz w:val="24"/>
          <w:szCs w:val="24"/>
        </w:rPr>
      </w:pPr>
      <w:r w:rsidRPr="002724DB">
        <w:rPr>
          <w:rFonts w:ascii="Times New Roman" w:hAnsi="Times New Roman" w:cs="Times New Roman"/>
          <w:b/>
          <w:bCs/>
          <w:sz w:val="24"/>
          <w:szCs w:val="24"/>
        </w:rPr>
        <w:t>3.3 Distribution of Virulence-Associated Genes</w:t>
      </w:r>
    </w:p>
    <w:p w14:paraId="2B85E67D" w14:textId="77940F4D" w:rsidR="002724DB" w:rsidRDefault="002724DB" w:rsidP="002724DB">
      <w:pPr>
        <w:jc w:val="both"/>
        <w:rPr>
          <w:rFonts w:ascii="Times New Roman" w:hAnsi="Times New Roman" w:cs="Times New Roman"/>
          <w:sz w:val="24"/>
          <w:szCs w:val="24"/>
        </w:rPr>
      </w:pPr>
      <w:r w:rsidRPr="002724DB">
        <w:rPr>
          <w:rFonts w:ascii="Times New Roman" w:hAnsi="Times New Roman" w:cs="Times New Roman"/>
          <w:sz w:val="24"/>
          <w:szCs w:val="24"/>
        </w:rPr>
        <w:t xml:space="preserve">A total of 55 confirmed </w:t>
      </w:r>
      <w:r w:rsidRPr="002724DB">
        <w:rPr>
          <w:rFonts w:ascii="Times New Roman" w:hAnsi="Times New Roman" w:cs="Times New Roman"/>
          <w:i/>
          <w:iCs/>
          <w:sz w:val="24"/>
          <w:szCs w:val="24"/>
        </w:rPr>
        <w:t>Escherichia coli</w:t>
      </w:r>
      <w:r w:rsidRPr="002724DB">
        <w:rPr>
          <w:rFonts w:ascii="Times New Roman" w:hAnsi="Times New Roman" w:cs="Times New Roman"/>
          <w:sz w:val="24"/>
          <w:szCs w:val="24"/>
        </w:rPr>
        <w:t xml:space="preserve"> isolates were screened for eight virulence-associated genes (</w:t>
      </w:r>
      <w:r w:rsidRPr="002724DB">
        <w:rPr>
          <w:rFonts w:ascii="Times New Roman" w:hAnsi="Times New Roman" w:cs="Times New Roman"/>
          <w:i/>
          <w:iCs/>
          <w:sz w:val="24"/>
          <w:szCs w:val="24"/>
        </w:rPr>
        <w:t>eaeA, EAST, traT, hly, omp, bfp, stx, and cnf</w:t>
      </w:r>
      <w:r w:rsidRPr="002724DB">
        <w:rPr>
          <w:rFonts w:ascii="Times New Roman" w:hAnsi="Times New Roman" w:cs="Times New Roman"/>
          <w:sz w:val="24"/>
          <w:szCs w:val="24"/>
        </w:rPr>
        <w:t>)</w:t>
      </w:r>
      <w:r w:rsidR="00335DBC">
        <w:rPr>
          <w:rFonts w:ascii="Times New Roman" w:hAnsi="Times New Roman" w:cs="Times New Roman"/>
          <w:sz w:val="24"/>
          <w:szCs w:val="24"/>
        </w:rPr>
        <w:t xml:space="preserve"> </w:t>
      </w:r>
      <w:r w:rsidR="00335DBC" w:rsidRPr="00F05709">
        <w:rPr>
          <w:rFonts w:ascii="Times New Roman" w:hAnsi="Times New Roman" w:cs="Times New Roman"/>
          <w:sz w:val="24"/>
          <w:szCs w:val="24"/>
        </w:rPr>
        <w:t xml:space="preserve">in Fig. </w:t>
      </w:r>
      <w:r w:rsidR="008A73B3">
        <w:rPr>
          <w:rFonts w:ascii="Times New Roman" w:hAnsi="Times New Roman" w:cs="Times New Roman"/>
          <w:sz w:val="24"/>
          <w:szCs w:val="24"/>
        </w:rPr>
        <w:t>4</w:t>
      </w:r>
      <w:r w:rsidR="00335DBC" w:rsidRPr="00F05709">
        <w:rPr>
          <w:rFonts w:ascii="Times New Roman" w:hAnsi="Times New Roman" w:cs="Times New Roman"/>
          <w:sz w:val="24"/>
          <w:szCs w:val="24"/>
        </w:rPr>
        <w:t>(A-G),</w:t>
      </w:r>
      <w:r>
        <w:rPr>
          <w:rFonts w:ascii="Times New Roman" w:hAnsi="Times New Roman" w:cs="Times New Roman"/>
          <w:sz w:val="24"/>
          <w:szCs w:val="24"/>
        </w:rPr>
        <w:t xml:space="preserve"> </w:t>
      </w:r>
      <w:r w:rsidRPr="002724DB">
        <w:rPr>
          <w:rFonts w:ascii="Times New Roman" w:hAnsi="Times New Roman" w:cs="Times New Roman"/>
          <w:sz w:val="24"/>
          <w:szCs w:val="24"/>
        </w:rPr>
        <w:t xml:space="preserve">Overall, the most frequently detected genes were </w:t>
      </w:r>
      <w:r w:rsidRPr="002724DB">
        <w:rPr>
          <w:rFonts w:ascii="Times New Roman" w:hAnsi="Times New Roman" w:cs="Times New Roman"/>
          <w:i/>
          <w:iCs/>
          <w:sz w:val="24"/>
          <w:szCs w:val="24"/>
        </w:rPr>
        <w:t>omp</w:t>
      </w:r>
      <w:r w:rsidRPr="002724DB">
        <w:rPr>
          <w:rFonts w:ascii="Times New Roman" w:hAnsi="Times New Roman" w:cs="Times New Roman"/>
          <w:sz w:val="24"/>
          <w:szCs w:val="24"/>
        </w:rPr>
        <w:t xml:space="preserve"> (96.4%), </w:t>
      </w:r>
      <w:r w:rsidRPr="002724DB">
        <w:rPr>
          <w:rFonts w:ascii="Times New Roman" w:hAnsi="Times New Roman" w:cs="Times New Roman"/>
          <w:i/>
          <w:iCs/>
          <w:sz w:val="24"/>
          <w:szCs w:val="24"/>
        </w:rPr>
        <w:t>cnf</w:t>
      </w:r>
      <w:r w:rsidRPr="002724DB">
        <w:rPr>
          <w:rFonts w:ascii="Times New Roman" w:hAnsi="Times New Roman" w:cs="Times New Roman"/>
          <w:sz w:val="24"/>
          <w:szCs w:val="24"/>
        </w:rPr>
        <w:t xml:space="preserve"> (74.5%), and </w:t>
      </w:r>
      <w:r w:rsidRPr="002724DB">
        <w:rPr>
          <w:rFonts w:ascii="Times New Roman" w:hAnsi="Times New Roman" w:cs="Times New Roman"/>
          <w:i/>
          <w:iCs/>
          <w:sz w:val="24"/>
          <w:szCs w:val="24"/>
        </w:rPr>
        <w:t>stx</w:t>
      </w:r>
      <w:r w:rsidRPr="002724DB">
        <w:rPr>
          <w:rFonts w:ascii="Times New Roman" w:hAnsi="Times New Roman" w:cs="Times New Roman"/>
          <w:sz w:val="24"/>
          <w:szCs w:val="24"/>
        </w:rPr>
        <w:t xml:space="preserve"> (72.7%), indicating a high prevalence of potentially pathogenic strains within the slaughterhouse environment (</w:t>
      </w:r>
      <w:r w:rsidR="00CA4570">
        <w:rPr>
          <w:rFonts w:ascii="Times New Roman" w:hAnsi="Times New Roman" w:cs="Times New Roman"/>
          <w:sz w:val="24"/>
          <w:szCs w:val="24"/>
        </w:rPr>
        <w:t xml:space="preserve">Fig </w:t>
      </w:r>
      <w:r w:rsidR="008A73B3">
        <w:rPr>
          <w:rFonts w:ascii="Times New Roman" w:hAnsi="Times New Roman" w:cs="Times New Roman"/>
          <w:sz w:val="24"/>
          <w:szCs w:val="24"/>
        </w:rPr>
        <w:t>5</w:t>
      </w:r>
      <w:r w:rsidR="00CA4570">
        <w:rPr>
          <w:rFonts w:ascii="Times New Roman" w:hAnsi="Times New Roman" w:cs="Times New Roman"/>
          <w:sz w:val="24"/>
          <w:szCs w:val="24"/>
        </w:rPr>
        <w:t xml:space="preserve">, </w:t>
      </w:r>
      <w:r w:rsidRPr="002724DB">
        <w:rPr>
          <w:rFonts w:ascii="Times New Roman" w:hAnsi="Times New Roman" w:cs="Times New Roman"/>
          <w:sz w:val="24"/>
          <w:szCs w:val="24"/>
        </w:rPr>
        <w:t>Table 6).</w:t>
      </w:r>
    </w:p>
    <w:p w14:paraId="4AE8165C" w14:textId="77777777" w:rsidR="002724DB" w:rsidRPr="00F05709" w:rsidRDefault="002724DB" w:rsidP="002724DB">
      <w:pPr>
        <w:pStyle w:val="NoSpacing"/>
        <w:spacing w:after="120"/>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6: Virulence-associated genes in </w:t>
      </w:r>
      <w:r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isolated from the Gwagwalada (n = 36) and Dei-dei (n = 19) slaughterhouses in Abuja, according to sample types </w:t>
      </w:r>
    </w:p>
    <w:tbl>
      <w:tblPr>
        <w:tblStyle w:val="TableGrid"/>
        <w:tblW w:w="0" w:type="auto"/>
        <w:tblLook w:val="04A0" w:firstRow="1" w:lastRow="0" w:firstColumn="1" w:lastColumn="0" w:noHBand="0" w:noVBand="1"/>
      </w:tblPr>
      <w:tblGrid>
        <w:gridCol w:w="1836"/>
        <w:gridCol w:w="993"/>
        <w:gridCol w:w="816"/>
        <w:gridCol w:w="821"/>
        <w:gridCol w:w="816"/>
        <w:gridCol w:w="808"/>
        <w:gridCol w:w="815"/>
        <w:gridCol w:w="815"/>
        <w:gridCol w:w="815"/>
        <w:gridCol w:w="815"/>
      </w:tblGrid>
      <w:tr w:rsidR="002724DB" w:rsidRPr="00F05709" w14:paraId="25E2054C" w14:textId="77777777" w:rsidTr="00112E40">
        <w:tc>
          <w:tcPr>
            <w:tcW w:w="0" w:type="auto"/>
            <w:hideMark/>
          </w:tcPr>
          <w:p w14:paraId="44AEB62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Sample Type</w:t>
            </w:r>
          </w:p>
        </w:tc>
        <w:tc>
          <w:tcPr>
            <w:tcW w:w="0" w:type="auto"/>
            <w:hideMark/>
          </w:tcPr>
          <w:p w14:paraId="7D8F54E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No. of Isolates</w:t>
            </w:r>
          </w:p>
        </w:tc>
        <w:tc>
          <w:tcPr>
            <w:tcW w:w="0" w:type="auto"/>
            <w:hideMark/>
          </w:tcPr>
          <w:p w14:paraId="7EBA08F9"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eaeA (%)</w:t>
            </w:r>
          </w:p>
        </w:tc>
        <w:tc>
          <w:tcPr>
            <w:tcW w:w="0" w:type="auto"/>
            <w:hideMark/>
          </w:tcPr>
          <w:p w14:paraId="41F7227B"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EAST (%)</w:t>
            </w:r>
          </w:p>
        </w:tc>
        <w:tc>
          <w:tcPr>
            <w:tcW w:w="0" w:type="auto"/>
            <w:hideMark/>
          </w:tcPr>
          <w:p w14:paraId="40F2A36C"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TraT (%)</w:t>
            </w:r>
          </w:p>
        </w:tc>
        <w:tc>
          <w:tcPr>
            <w:tcW w:w="0" w:type="auto"/>
            <w:hideMark/>
          </w:tcPr>
          <w:p w14:paraId="37743ECD"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hly (%)</w:t>
            </w:r>
          </w:p>
        </w:tc>
        <w:tc>
          <w:tcPr>
            <w:tcW w:w="0" w:type="auto"/>
            <w:hideMark/>
          </w:tcPr>
          <w:p w14:paraId="019A0CC7"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omp (%)</w:t>
            </w:r>
          </w:p>
        </w:tc>
        <w:tc>
          <w:tcPr>
            <w:tcW w:w="0" w:type="auto"/>
            <w:hideMark/>
          </w:tcPr>
          <w:p w14:paraId="0DE8DAA7"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bfp (%)</w:t>
            </w:r>
          </w:p>
        </w:tc>
        <w:tc>
          <w:tcPr>
            <w:tcW w:w="0" w:type="auto"/>
            <w:hideMark/>
          </w:tcPr>
          <w:p w14:paraId="39190087"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stx (%)</w:t>
            </w:r>
          </w:p>
        </w:tc>
        <w:tc>
          <w:tcPr>
            <w:tcW w:w="0" w:type="auto"/>
            <w:hideMark/>
          </w:tcPr>
          <w:p w14:paraId="0F360171" w14:textId="77777777" w:rsidR="002724DB" w:rsidRPr="007C271C" w:rsidRDefault="002724DB" w:rsidP="00112E40">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cnf (%)</w:t>
            </w:r>
          </w:p>
        </w:tc>
      </w:tr>
      <w:tr w:rsidR="002724DB" w:rsidRPr="00F05709" w14:paraId="345FD7E4" w14:textId="77777777" w:rsidTr="00112E40">
        <w:tc>
          <w:tcPr>
            <w:tcW w:w="0" w:type="auto"/>
            <w:hideMark/>
          </w:tcPr>
          <w:p w14:paraId="6AF205C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Gwagwalada Slaughterhouse (n = 36)</w:t>
            </w:r>
          </w:p>
        </w:tc>
        <w:tc>
          <w:tcPr>
            <w:tcW w:w="0" w:type="auto"/>
            <w:hideMark/>
          </w:tcPr>
          <w:p w14:paraId="61D3B273"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1171D101"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66BC411"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7F4D9C8F"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F7C18BA"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36CD7E4C"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04730494"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4B834282"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059B5D88" w14:textId="77777777" w:rsidR="002724DB" w:rsidRPr="00F05709" w:rsidRDefault="002724DB" w:rsidP="00112E40">
            <w:pPr>
              <w:spacing w:after="160" w:line="240" w:lineRule="auto"/>
              <w:jc w:val="both"/>
              <w:rPr>
                <w:rFonts w:ascii="Times New Roman" w:hAnsi="Times New Roman" w:cs="Times New Roman"/>
                <w:sz w:val="24"/>
                <w:szCs w:val="24"/>
              </w:rPr>
            </w:pPr>
          </w:p>
        </w:tc>
      </w:tr>
      <w:tr w:rsidR="002724DB" w:rsidRPr="00F05709" w14:paraId="7ED621A1" w14:textId="77777777" w:rsidTr="00112E40">
        <w:tc>
          <w:tcPr>
            <w:tcW w:w="0" w:type="auto"/>
            <w:hideMark/>
          </w:tcPr>
          <w:p w14:paraId="5BEA031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3B86861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32D210C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3FDB14B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52B56EB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156546F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6960151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26162FB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3C31F5F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63B7020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2724DB" w:rsidRPr="00F05709" w14:paraId="65E71A05" w14:textId="77777777" w:rsidTr="00112E40">
        <w:tc>
          <w:tcPr>
            <w:tcW w:w="0" w:type="auto"/>
            <w:hideMark/>
          </w:tcPr>
          <w:p w14:paraId="77D5222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468D594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37A73B3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5982DF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(60)</w:t>
            </w:r>
          </w:p>
        </w:tc>
        <w:tc>
          <w:tcPr>
            <w:tcW w:w="0" w:type="auto"/>
            <w:hideMark/>
          </w:tcPr>
          <w:p w14:paraId="5A28F76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(40)</w:t>
            </w:r>
          </w:p>
        </w:tc>
        <w:tc>
          <w:tcPr>
            <w:tcW w:w="0" w:type="auto"/>
            <w:hideMark/>
          </w:tcPr>
          <w:p w14:paraId="70A943D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89BE21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7F3CC67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5995F18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6860D56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r>
      <w:tr w:rsidR="002724DB" w:rsidRPr="00F05709" w14:paraId="16E8013B" w14:textId="77777777" w:rsidTr="00112E40">
        <w:tc>
          <w:tcPr>
            <w:tcW w:w="0" w:type="auto"/>
            <w:hideMark/>
          </w:tcPr>
          <w:p w14:paraId="6DDE109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7B2FB52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7046089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9C3635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7C6D12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5152A91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B2EEFF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02B7B6B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5CE8320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52D3802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r>
      <w:tr w:rsidR="002724DB" w:rsidRPr="00F05709" w14:paraId="7ED818B4" w14:textId="77777777" w:rsidTr="00112E40">
        <w:tc>
          <w:tcPr>
            <w:tcW w:w="0" w:type="auto"/>
            <w:hideMark/>
          </w:tcPr>
          <w:p w14:paraId="5D83FC9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2B7E03A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1C5DD1A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640431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7A5B94C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2666E5E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548E28C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6CBF490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0161C9F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1F8CFD2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r>
      <w:tr w:rsidR="002724DB" w:rsidRPr="00F05709" w14:paraId="2A1708EA" w14:textId="77777777" w:rsidTr="00112E40">
        <w:tc>
          <w:tcPr>
            <w:tcW w:w="0" w:type="auto"/>
            <w:hideMark/>
          </w:tcPr>
          <w:p w14:paraId="4338B9C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723CA7D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w:t>
            </w:r>
          </w:p>
        </w:tc>
        <w:tc>
          <w:tcPr>
            <w:tcW w:w="0" w:type="auto"/>
            <w:hideMark/>
          </w:tcPr>
          <w:p w14:paraId="1BFFD00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FDD60C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2AD5CAB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66CFB3D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93215C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 (100)</w:t>
            </w:r>
          </w:p>
        </w:tc>
        <w:tc>
          <w:tcPr>
            <w:tcW w:w="0" w:type="auto"/>
            <w:hideMark/>
          </w:tcPr>
          <w:p w14:paraId="2179ECE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5D83091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(42.9)</w:t>
            </w:r>
          </w:p>
        </w:tc>
        <w:tc>
          <w:tcPr>
            <w:tcW w:w="0" w:type="auto"/>
            <w:hideMark/>
          </w:tcPr>
          <w:p w14:paraId="07001AF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(85.7)</w:t>
            </w:r>
          </w:p>
        </w:tc>
      </w:tr>
      <w:tr w:rsidR="002724DB" w:rsidRPr="00F05709" w14:paraId="4621BF45" w14:textId="77777777" w:rsidTr="00112E40">
        <w:tc>
          <w:tcPr>
            <w:tcW w:w="0" w:type="auto"/>
            <w:hideMark/>
          </w:tcPr>
          <w:p w14:paraId="50BDBFA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1A6EC19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26066A3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5F26ADE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69EB626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062A9BD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2BA9C7E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2B6683E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16DEAAA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7745A6E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2724DB" w:rsidRPr="00F05709" w14:paraId="72BC49E6" w14:textId="77777777" w:rsidTr="00112E40">
        <w:tc>
          <w:tcPr>
            <w:tcW w:w="0" w:type="auto"/>
            <w:hideMark/>
          </w:tcPr>
          <w:p w14:paraId="17B3869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5D3E53F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3B28557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5649B0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4F9CA76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47CFBD7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7A35E6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2169AB2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6DD6C15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62C3205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2724DB" w:rsidRPr="00F05709" w14:paraId="51246E85" w14:textId="77777777" w:rsidTr="00112E40">
        <w:tc>
          <w:tcPr>
            <w:tcW w:w="0" w:type="auto"/>
            <w:hideMark/>
          </w:tcPr>
          <w:p w14:paraId="3C6BE16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GGs Total</w:t>
            </w:r>
          </w:p>
        </w:tc>
        <w:tc>
          <w:tcPr>
            <w:tcW w:w="0" w:type="auto"/>
            <w:hideMark/>
          </w:tcPr>
          <w:p w14:paraId="11B33F8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36</w:t>
            </w:r>
          </w:p>
        </w:tc>
        <w:tc>
          <w:tcPr>
            <w:tcW w:w="0" w:type="auto"/>
            <w:hideMark/>
          </w:tcPr>
          <w:p w14:paraId="249800D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7665352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16 (44.4)</w:t>
            </w:r>
          </w:p>
        </w:tc>
        <w:tc>
          <w:tcPr>
            <w:tcW w:w="0" w:type="auto"/>
            <w:hideMark/>
          </w:tcPr>
          <w:p w14:paraId="23B545C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(52.8)</w:t>
            </w:r>
          </w:p>
        </w:tc>
        <w:tc>
          <w:tcPr>
            <w:tcW w:w="0" w:type="auto"/>
            <w:hideMark/>
          </w:tcPr>
          <w:p w14:paraId="7C43B67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4CBCE4A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34 (94.4)</w:t>
            </w:r>
          </w:p>
        </w:tc>
        <w:tc>
          <w:tcPr>
            <w:tcW w:w="0" w:type="auto"/>
            <w:hideMark/>
          </w:tcPr>
          <w:p w14:paraId="059BBAD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425BDFD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59A6054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r>
      <w:tr w:rsidR="002724DB" w:rsidRPr="00F05709" w14:paraId="15DF3D76" w14:textId="77777777" w:rsidTr="00112E40">
        <w:tc>
          <w:tcPr>
            <w:tcW w:w="0" w:type="auto"/>
            <w:hideMark/>
          </w:tcPr>
          <w:p w14:paraId="7DB0D15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Dei-Dei Slaughterhouse (n = 19)</w:t>
            </w:r>
          </w:p>
        </w:tc>
        <w:tc>
          <w:tcPr>
            <w:tcW w:w="0" w:type="auto"/>
            <w:hideMark/>
          </w:tcPr>
          <w:p w14:paraId="035BB51A"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703F4670"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467E2608"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7085D7BF"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9B2A83B"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35ECC45D"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5735F0F6"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4B69EAA7" w14:textId="77777777" w:rsidR="002724DB" w:rsidRPr="00F05709" w:rsidRDefault="002724DB" w:rsidP="00112E40">
            <w:pPr>
              <w:spacing w:after="160" w:line="240" w:lineRule="auto"/>
              <w:jc w:val="both"/>
              <w:rPr>
                <w:rFonts w:ascii="Times New Roman" w:hAnsi="Times New Roman" w:cs="Times New Roman"/>
                <w:sz w:val="24"/>
                <w:szCs w:val="24"/>
              </w:rPr>
            </w:pPr>
          </w:p>
        </w:tc>
        <w:tc>
          <w:tcPr>
            <w:tcW w:w="0" w:type="auto"/>
            <w:hideMark/>
          </w:tcPr>
          <w:p w14:paraId="395BE7FA" w14:textId="77777777" w:rsidR="002724DB" w:rsidRPr="00F05709" w:rsidRDefault="002724DB" w:rsidP="00112E40">
            <w:pPr>
              <w:spacing w:after="160" w:line="240" w:lineRule="auto"/>
              <w:jc w:val="both"/>
              <w:rPr>
                <w:rFonts w:ascii="Times New Roman" w:hAnsi="Times New Roman" w:cs="Times New Roman"/>
                <w:sz w:val="24"/>
                <w:szCs w:val="24"/>
              </w:rPr>
            </w:pPr>
          </w:p>
        </w:tc>
      </w:tr>
      <w:tr w:rsidR="002724DB" w:rsidRPr="00F05709" w14:paraId="3AFF7748" w14:textId="77777777" w:rsidTr="00112E40">
        <w:tc>
          <w:tcPr>
            <w:tcW w:w="0" w:type="auto"/>
            <w:hideMark/>
          </w:tcPr>
          <w:p w14:paraId="304590F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77D716F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1197F2C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D49338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4C4A923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63D82F7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7A16F6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073C6CD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3428F9A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22FF662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2724DB" w:rsidRPr="00F05709" w14:paraId="354FF57A" w14:textId="77777777" w:rsidTr="00112E40">
        <w:tc>
          <w:tcPr>
            <w:tcW w:w="0" w:type="auto"/>
            <w:hideMark/>
          </w:tcPr>
          <w:p w14:paraId="758FE21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2BE0890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5FF4DBA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4F9C86C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2EADDE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474FB27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77D9CD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08F71E1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B49B8A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63E0B9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2724DB" w:rsidRPr="00F05709" w14:paraId="603CAA3E" w14:textId="77777777" w:rsidTr="00112E40">
        <w:tc>
          <w:tcPr>
            <w:tcW w:w="0" w:type="auto"/>
            <w:hideMark/>
          </w:tcPr>
          <w:p w14:paraId="57891DB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4244D70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65F93B0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55B149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3232183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6D889C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C2AFBF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1811676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6EB7F20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21CD68D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r>
      <w:tr w:rsidR="002724DB" w:rsidRPr="00F05709" w14:paraId="08093756" w14:textId="77777777" w:rsidTr="00112E40">
        <w:tc>
          <w:tcPr>
            <w:tcW w:w="0" w:type="auto"/>
            <w:hideMark/>
          </w:tcPr>
          <w:p w14:paraId="125C031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6EEE3DE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44CA810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7C4611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3CD01F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c>
          <w:tcPr>
            <w:tcW w:w="0" w:type="auto"/>
            <w:hideMark/>
          </w:tcPr>
          <w:p w14:paraId="5AD09E4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054927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17847B9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5085E97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3C5AF22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2724DB" w:rsidRPr="00F05709" w14:paraId="1360E615" w14:textId="77777777" w:rsidTr="00112E40">
        <w:tc>
          <w:tcPr>
            <w:tcW w:w="0" w:type="auto"/>
            <w:hideMark/>
          </w:tcPr>
          <w:p w14:paraId="649C9E4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6771FBC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1AD54BF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3D0764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(25)</w:t>
            </w:r>
          </w:p>
        </w:tc>
        <w:tc>
          <w:tcPr>
            <w:tcW w:w="0" w:type="auto"/>
            <w:hideMark/>
          </w:tcPr>
          <w:p w14:paraId="6F55A3E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37DE4A1"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FB8DD5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020F245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19F14AF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58D58BC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2724DB" w:rsidRPr="00F05709" w14:paraId="09F1BBDA" w14:textId="77777777" w:rsidTr="00112E40">
        <w:tc>
          <w:tcPr>
            <w:tcW w:w="0" w:type="auto"/>
            <w:hideMark/>
          </w:tcPr>
          <w:p w14:paraId="0767665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24CE89C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22884D2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205351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CD2EF0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43299FF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EE98857"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5020366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7ED36A6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0FA6B81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2724DB" w:rsidRPr="00F05709" w14:paraId="2217148B" w14:textId="77777777" w:rsidTr="00112E40">
        <w:tc>
          <w:tcPr>
            <w:tcW w:w="0" w:type="auto"/>
            <w:hideMark/>
          </w:tcPr>
          <w:p w14:paraId="19C05E1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03E614D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w:t>
            </w:r>
          </w:p>
        </w:tc>
        <w:tc>
          <w:tcPr>
            <w:tcW w:w="0" w:type="auto"/>
            <w:hideMark/>
          </w:tcPr>
          <w:p w14:paraId="2CBA1AF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AA9BC5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5CAC29E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3D169E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3D87F9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43A4627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1461F3B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0CCFFC8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r>
      <w:tr w:rsidR="002724DB" w:rsidRPr="00F05709" w14:paraId="2BD786C6" w14:textId="77777777" w:rsidTr="00112E40">
        <w:tc>
          <w:tcPr>
            <w:tcW w:w="0" w:type="auto"/>
            <w:hideMark/>
          </w:tcPr>
          <w:p w14:paraId="6A7BE200"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PDs Total</w:t>
            </w:r>
          </w:p>
        </w:tc>
        <w:tc>
          <w:tcPr>
            <w:tcW w:w="0" w:type="auto"/>
            <w:hideMark/>
          </w:tcPr>
          <w:p w14:paraId="2D99FB1C"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w:t>
            </w:r>
          </w:p>
        </w:tc>
        <w:tc>
          <w:tcPr>
            <w:tcW w:w="0" w:type="auto"/>
            <w:hideMark/>
          </w:tcPr>
          <w:p w14:paraId="0743243D"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(5.3)</w:t>
            </w:r>
          </w:p>
        </w:tc>
        <w:tc>
          <w:tcPr>
            <w:tcW w:w="0" w:type="auto"/>
            <w:hideMark/>
          </w:tcPr>
          <w:p w14:paraId="35D1DB1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(26.3)</w:t>
            </w:r>
          </w:p>
        </w:tc>
        <w:tc>
          <w:tcPr>
            <w:tcW w:w="0" w:type="auto"/>
            <w:hideMark/>
          </w:tcPr>
          <w:p w14:paraId="4ECE5A7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8 (42.1)</w:t>
            </w:r>
          </w:p>
        </w:tc>
        <w:tc>
          <w:tcPr>
            <w:tcW w:w="0" w:type="auto"/>
            <w:hideMark/>
          </w:tcPr>
          <w:p w14:paraId="5D717D0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5D5F0F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(100)</w:t>
            </w:r>
          </w:p>
        </w:tc>
        <w:tc>
          <w:tcPr>
            <w:tcW w:w="0" w:type="auto"/>
            <w:hideMark/>
          </w:tcPr>
          <w:p w14:paraId="5B8A5739"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 (47.4)</w:t>
            </w:r>
          </w:p>
        </w:tc>
        <w:tc>
          <w:tcPr>
            <w:tcW w:w="0" w:type="auto"/>
            <w:hideMark/>
          </w:tcPr>
          <w:p w14:paraId="65410C95"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14 (73.7)</w:t>
            </w:r>
          </w:p>
        </w:tc>
        <w:tc>
          <w:tcPr>
            <w:tcW w:w="0" w:type="auto"/>
            <w:hideMark/>
          </w:tcPr>
          <w:p w14:paraId="0B8C9908"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15 (78.9)</w:t>
            </w:r>
          </w:p>
        </w:tc>
      </w:tr>
      <w:tr w:rsidR="002724DB" w:rsidRPr="00F05709" w14:paraId="5C64EE1B" w14:textId="77777777" w:rsidTr="00112E40">
        <w:tc>
          <w:tcPr>
            <w:tcW w:w="0" w:type="auto"/>
            <w:hideMark/>
          </w:tcPr>
          <w:p w14:paraId="065A1C9F"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Overall Total (n = 55)</w:t>
            </w:r>
          </w:p>
        </w:tc>
        <w:tc>
          <w:tcPr>
            <w:tcW w:w="0" w:type="auto"/>
            <w:hideMark/>
          </w:tcPr>
          <w:p w14:paraId="4A08A633"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0" w:type="auto"/>
            <w:hideMark/>
          </w:tcPr>
          <w:p w14:paraId="48DCD356"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(7.3)</w:t>
            </w:r>
          </w:p>
        </w:tc>
        <w:tc>
          <w:tcPr>
            <w:tcW w:w="0" w:type="auto"/>
            <w:hideMark/>
          </w:tcPr>
          <w:p w14:paraId="5AA457C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21 (38.2)</w:t>
            </w:r>
          </w:p>
        </w:tc>
        <w:tc>
          <w:tcPr>
            <w:tcW w:w="0" w:type="auto"/>
            <w:hideMark/>
          </w:tcPr>
          <w:p w14:paraId="6DC8E082"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27 (49.1)</w:t>
            </w:r>
          </w:p>
        </w:tc>
        <w:tc>
          <w:tcPr>
            <w:tcW w:w="0" w:type="auto"/>
            <w:hideMark/>
          </w:tcPr>
          <w:p w14:paraId="4E59CC4B"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(5.5)</w:t>
            </w:r>
          </w:p>
        </w:tc>
        <w:tc>
          <w:tcPr>
            <w:tcW w:w="0" w:type="auto"/>
            <w:hideMark/>
          </w:tcPr>
          <w:p w14:paraId="65FF36D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53 (96.4)</w:t>
            </w:r>
          </w:p>
        </w:tc>
        <w:tc>
          <w:tcPr>
            <w:tcW w:w="0" w:type="auto"/>
            <w:hideMark/>
          </w:tcPr>
          <w:p w14:paraId="0AE75E34"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35 (63.6)</w:t>
            </w:r>
          </w:p>
        </w:tc>
        <w:tc>
          <w:tcPr>
            <w:tcW w:w="0" w:type="auto"/>
            <w:hideMark/>
          </w:tcPr>
          <w:p w14:paraId="691595AE"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40 (72.7)</w:t>
            </w:r>
          </w:p>
        </w:tc>
        <w:tc>
          <w:tcPr>
            <w:tcW w:w="0" w:type="auto"/>
            <w:hideMark/>
          </w:tcPr>
          <w:p w14:paraId="7C1C152A" w14:textId="77777777" w:rsidR="002724DB" w:rsidRPr="00F05709" w:rsidRDefault="002724DB" w:rsidP="00112E40">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41 (74.5)</w:t>
            </w:r>
          </w:p>
        </w:tc>
      </w:tr>
    </w:tbl>
    <w:p w14:paraId="04F2525F" w14:textId="77777777" w:rsidR="002724DB" w:rsidRDefault="002724DB" w:rsidP="002724DB">
      <w:pPr>
        <w:jc w:val="both"/>
        <w:rPr>
          <w:rFonts w:ascii="Times New Roman" w:hAnsi="Times New Roman" w:cs="Times New Roman"/>
          <w:sz w:val="24"/>
          <w:szCs w:val="24"/>
        </w:rPr>
      </w:pPr>
      <w:r>
        <w:rPr>
          <w:rFonts w:ascii="Times New Roman" w:hAnsi="Times New Roman" w:cs="Times New Roman"/>
          <w:sz w:val="24"/>
          <w:szCs w:val="24"/>
        </w:rPr>
        <w:t xml:space="preserve"> </w:t>
      </w:r>
    </w:p>
    <w:p w14:paraId="48EAA955" w14:textId="39E0311B" w:rsidR="002724DB" w:rsidRDefault="002724DB" w:rsidP="002724DB">
      <w:pPr>
        <w:jc w:val="both"/>
        <w:rPr>
          <w:rFonts w:ascii="Times New Roman" w:hAnsi="Times New Roman" w:cs="Times New Roman"/>
          <w:sz w:val="24"/>
          <w:szCs w:val="24"/>
        </w:rPr>
      </w:pPr>
      <w:r w:rsidRPr="002724DB">
        <w:rPr>
          <w:rFonts w:ascii="Times New Roman" w:hAnsi="Times New Roman" w:cs="Times New Roman"/>
          <w:sz w:val="24"/>
          <w:szCs w:val="24"/>
        </w:rPr>
        <w:t>At Gwagwalada, the predominant genes were o</w:t>
      </w:r>
      <w:r w:rsidRPr="002724DB">
        <w:rPr>
          <w:rFonts w:ascii="Times New Roman" w:hAnsi="Times New Roman" w:cs="Times New Roman"/>
          <w:i/>
          <w:iCs/>
          <w:sz w:val="24"/>
          <w:szCs w:val="24"/>
        </w:rPr>
        <w:t xml:space="preserve">mp </w:t>
      </w:r>
      <w:r w:rsidRPr="002724DB">
        <w:rPr>
          <w:rFonts w:ascii="Times New Roman" w:hAnsi="Times New Roman" w:cs="Times New Roman"/>
          <w:sz w:val="24"/>
          <w:szCs w:val="24"/>
        </w:rPr>
        <w:t xml:space="preserve">(94.4%), </w:t>
      </w:r>
      <w:r w:rsidRPr="002724DB">
        <w:rPr>
          <w:rFonts w:ascii="Times New Roman" w:hAnsi="Times New Roman" w:cs="Times New Roman"/>
          <w:i/>
          <w:iCs/>
          <w:sz w:val="24"/>
          <w:szCs w:val="24"/>
        </w:rPr>
        <w:t>bfp</w:t>
      </w:r>
      <w:r w:rsidRPr="002724DB">
        <w:rPr>
          <w:rFonts w:ascii="Times New Roman" w:hAnsi="Times New Roman" w:cs="Times New Roman"/>
          <w:sz w:val="24"/>
          <w:szCs w:val="24"/>
        </w:rPr>
        <w:t xml:space="preserve"> (72.2%), </w:t>
      </w:r>
      <w:r w:rsidRPr="002724DB">
        <w:rPr>
          <w:rFonts w:ascii="Times New Roman" w:hAnsi="Times New Roman" w:cs="Times New Roman"/>
          <w:i/>
          <w:iCs/>
          <w:sz w:val="24"/>
          <w:szCs w:val="24"/>
        </w:rPr>
        <w:t xml:space="preserve">cnf </w:t>
      </w:r>
      <w:r w:rsidRPr="002724DB">
        <w:rPr>
          <w:rFonts w:ascii="Times New Roman" w:hAnsi="Times New Roman" w:cs="Times New Roman"/>
          <w:sz w:val="24"/>
          <w:szCs w:val="24"/>
        </w:rPr>
        <w:t xml:space="preserve">(72.2%), and </w:t>
      </w:r>
      <w:r w:rsidRPr="002724DB">
        <w:rPr>
          <w:rFonts w:ascii="Times New Roman" w:hAnsi="Times New Roman" w:cs="Times New Roman"/>
          <w:i/>
          <w:iCs/>
          <w:sz w:val="24"/>
          <w:szCs w:val="24"/>
        </w:rPr>
        <w:t xml:space="preserve">stx </w:t>
      </w:r>
      <w:r w:rsidRPr="002724DB">
        <w:rPr>
          <w:rFonts w:ascii="Times New Roman" w:hAnsi="Times New Roman" w:cs="Times New Roman"/>
          <w:sz w:val="24"/>
          <w:szCs w:val="24"/>
        </w:rPr>
        <w:t xml:space="preserve">(72.2%), whereas at Dei-Dei, omp was detected in all isolates (100%), followed by </w:t>
      </w:r>
      <w:r w:rsidRPr="002724DB">
        <w:rPr>
          <w:rFonts w:ascii="Times New Roman" w:hAnsi="Times New Roman" w:cs="Times New Roman"/>
          <w:i/>
          <w:iCs/>
          <w:sz w:val="24"/>
          <w:szCs w:val="24"/>
        </w:rPr>
        <w:t>cnf</w:t>
      </w:r>
      <w:r w:rsidRPr="002724DB">
        <w:rPr>
          <w:rFonts w:ascii="Times New Roman" w:hAnsi="Times New Roman" w:cs="Times New Roman"/>
          <w:sz w:val="24"/>
          <w:szCs w:val="24"/>
        </w:rPr>
        <w:t xml:space="preserve"> (78.9%) and </w:t>
      </w:r>
      <w:r w:rsidRPr="002724DB">
        <w:rPr>
          <w:rFonts w:ascii="Times New Roman" w:hAnsi="Times New Roman" w:cs="Times New Roman"/>
          <w:i/>
          <w:iCs/>
          <w:sz w:val="24"/>
          <w:szCs w:val="24"/>
        </w:rPr>
        <w:t>stx</w:t>
      </w:r>
      <w:r w:rsidRPr="002724DB">
        <w:rPr>
          <w:rFonts w:ascii="Times New Roman" w:hAnsi="Times New Roman" w:cs="Times New Roman"/>
          <w:sz w:val="24"/>
          <w:szCs w:val="24"/>
        </w:rPr>
        <w:t xml:space="preserve"> (73.7%).</w:t>
      </w:r>
      <w:r>
        <w:rPr>
          <w:rFonts w:ascii="Times New Roman" w:hAnsi="Times New Roman" w:cs="Times New Roman"/>
          <w:sz w:val="24"/>
          <w:szCs w:val="24"/>
        </w:rPr>
        <w:t xml:space="preserve"> </w:t>
      </w:r>
      <w:r w:rsidRPr="002724DB">
        <w:rPr>
          <w:rFonts w:ascii="Times New Roman" w:hAnsi="Times New Roman" w:cs="Times New Roman"/>
          <w:sz w:val="24"/>
          <w:szCs w:val="24"/>
        </w:rPr>
        <w:t>Despite variations in prevalence across sample types and locations, no statistically significant association was observed between virulence gene distribution and sample sources (human, animal, or environmental) (p &gt; 0.05) (Table 7).</w:t>
      </w:r>
      <w:r w:rsidR="00A25F8F">
        <w:rPr>
          <w:rFonts w:ascii="Times New Roman" w:hAnsi="Times New Roman" w:cs="Times New Roman"/>
          <w:sz w:val="24"/>
          <w:szCs w:val="24"/>
        </w:rPr>
        <w:t xml:space="preserve"> </w:t>
      </w:r>
      <w:r w:rsidR="00A25F8F" w:rsidRPr="00A25F8F">
        <w:rPr>
          <w:rFonts w:ascii="Times New Roman" w:hAnsi="Times New Roman" w:cs="Times New Roman"/>
          <w:sz w:val="24"/>
          <w:szCs w:val="24"/>
        </w:rPr>
        <w:t xml:space="preserve">Although statistical significance was not observed, virulence genes—particularly </w:t>
      </w:r>
      <w:r w:rsidR="00A25F8F" w:rsidRPr="00A25F8F">
        <w:rPr>
          <w:rFonts w:ascii="Times New Roman" w:hAnsi="Times New Roman" w:cs="Times New Roman"/>
          <w:b/>
          <w:bCs/>
          <w:sz w:val="24"/>
          <w:szCs w:val="24"/>
        </w:rPr>
        <w:t>stx (72.7%)</w:t>
      </w:r>
      <w:r w:rsidR="00A25F8F" w:rsidRPr="00A25F8F">
        <w:rPr>
          <w:rFonts w:ascii="Times New Roman" w:hAnsi="Times New Roman" w:cs="Times New Roman"/>
          <w:sz w:val="24"/>
          <w:szCs w:val="24"/>
        </w:rPr>
        <w:t>—were widely distributed across all sample types, including carcasses, hands, and environmental surfaces, suggesting multiple contamination routes within the slaughterhouse environment</w:t>
      </w:r>
      <w:r w:rsidR="00EF04C5">
        <w:rPr>
          <w:rFonts w:ascii="Times New Roman" w:hAnsi="Times New Roman" w:cs="Times New Roman"/>
          <w:sz w:val="24"/>
          <w:szCs w:val="24"/>
        </w:rPr>
        <w:t xml:space="preserve"> (Fig </w:t>
      </w:r>
      <w:r w:rsidR="008A73B3">
        <w:rPr>
          <w:rFonts w:ascii="Times New Roman" w:hAnsi="Times New Roman" w:cs="Times New Roman"/>
          <w:sz w:val="24"/>
          <w:szCs w:val="24"/>
        </w:rPr>
        <w:t>6</w:t>
      </w:r>
      <w:r w:rsidR="00EF04C5">
        <w:rPr>
          <w:rFonts w:ascii="Times New Roman" w:hAnsi="Times New Roman" w:cs="Times New Roman"/>
          <w:sz w:val="24"/>
          <w:szCs w:val="24"/>
        </w:rPr>
        <w:t>)</w:t>
      </w:r>
      <w:r w:rsidR="00A25F8F" w:rsidRPr="00A25F8F">
        <w:rPr>
          <w:rFonts w:ascii="Times New Roman" w:hAnsi="Times New Roman" w:cs="Times New Roman"/>
          <w:sz w:val="24"/>
          <w:szCs w:val="24"/>
        </w:rPr>
        <w:t>.</w:t>
      </w:r>
    </w:p>
    <w:p w14:paraId="41345C4B" w14:textId="77777777" w:rsidR="002724DB" w:rsidRPr="00F05709" w:rsidRDefault="002724DB" w:rsidP="002724DB">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Table 7:</w:t>
      </w:r>
      <w:r w:rsidRPr="00F05709">
        <w:rPr>
          <w:rFonts w:ascii="Times New Roman" w:hAnsi="Times New Roman" w:cs="Times New Roman"/>
          <w:sz w:val="24"/>
          <w:szCs w:val="24"/>
          <w:lang w:val="en-GB"/>
        </w:rPr>
        <w:t xml:space="preserve">  </w:t>
      </w:r>
      <w:r w:rsidRPr="00F05709">
        <w:rPr>
          <w:rFonts w:ascii="Times New Roman" w:hAnsi="Times New Roman" w:cs="Times New Roman"/>
          <w:sz w:val="24"/>
          <w:szCs w:val="24"/>
        </w:rPr>
        <w:t xml:space="preserve">Distribution of Virulence Genes by Broad Sample Sources in </w:t>
      </w:r>
      <w:r w:rsidRPr="007C271C">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w:t>
      </w:r>
    </w:p>
    <w:tbl>
      <w:tblPr>
        <w:tblStyle w:val="TableGrid"/>
        <w:tblW w:w="0" w:type="auto"/>
        <w:tblLook w:val="04A0" w:firstRow="1" w:lastRow="0" w:firstColumn="1" w:lastColumn="0" w:noHBand="0" w:noVBand="1"/>
      </w:tblPr>
      <w:tblGrid>
        <w:gridCol w:w="1801"/>
        <w:gridCol w:w="1720"/>
        <w:gridCol w:w="1707"/>
        <w:gridCol w:w="2422"/>
        <w:gridCol w:w="977"/>
      </w:tblGrid>
      <w:tr w:rsidR="002724DB" w:rsidRPr="00F05709" w14:paraId="5A983E15" w14:textId="77777777" w:rsidTr="00112E40">
        <w:tc>
          <w:tcPr>
            <w:tcW w:w="0" w:type="auto"/>
            <w:hideMark/>
          </w:tcPr>
          <w:p w14:paraId="10C5882F"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Virulence Gene</w:t>
            </w:r>
          </w:p>
        </w:tc>
        <w:tc>
          <w:tcPr>
            <w:tcW w:w="0" w:type="auto"/>
            <w:hideMark/>
          </w:tcPr>
          <w:p w14:paraId="05062BE0"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Human (n = 5)</w:t>
            </w:r>
          </w:p>
        </w:tc>
        <w:tc>
          <w:tcPr>
            <w:tcW w:w="0" w:type="auto"/>
            <w:hideMark/>
          </w:tcPr>
          <w:p w14:paraId="58CDD7B6"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Animal (n = 9)</w:t>
            </w:r>
          </w:p>
        </w:tc>
        <w:tc>
          <w:tcPr>
            <w:tcW w:w="0" w:type="auto"/>
            <w:hideMark/>
          </w:tcPr>
          <w:p w14:paraId="6BD948D1"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Environment (n = 41)</w:t>
            </w:r>
          </w:p>
        </w:tc>
        <w:tc>
          <w:tcPr>
            <w:tcW w:w="0" w:type="auto"/>
            <w:hideMark/>
          </w:tcPr>
          <w:p w14:paraId="09CB62C1" w14:textId="77777777" w:rsidR="002724DB" w:rsidRPr="00F05709" w:rsidRDefault="002724DB" w:rsidP="00112E40">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2724DB" w:rsidRPr="00F05709" w14:paraId="4BCB6142" w14:textId="77777777" w:rsidTr="00112E40">
        <w:tc>
          <w:tcPr>
            <w:tcW w:w="0" w:type="auto"/>
            <w:hideMark/>
          </w:tcPr>
          <w:p w14:paraId="1D929FC5"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eaeA</w:t>
            </w:r>
          </w:p>
        </w:tc>
        <w:tc>
          <w:tcPr>
            <w:tcW w:w="0" w:type="auto"/>
            <w:hideMark/>
          </w:tcPr>
          <w:p w14:paraId="1D0810E0"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597C1FB7"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09D98E1E"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(7.3)</w:t>
            </w:r>
          </w:p>
        </w:tc>
        <w:tc>
          <w:tcPr>
            <w:tcW w:w="0" w:type="auto"/>
            <w:hideMark/>
          </w:tcPr>
          <w:p w14:paraId="7A2DD82E"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0.745</w:t>
            </w:r>
          </w:p>
        </w:tc>
      </w:tr>
      <w:tr w:rsidR="002724DB" w:rsidRPr="00F05709" w14:paraId="36DEC6B4" w14:textId="77777777" w:rsidTr="00112E40">
        <w:tc>
          <w:tcPr>
            <w:tcW w:w="0" w:type="auto"/>
            <w:hideMark/>
          </w:tcPr>
          <w:p w14:paraId="545F0741"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EAST</w:t>
            </w:r>
          </w:p>
        </w:tc>
        <w:tc>
          <w:tcPr>
            <w:tcW w:w="0" w:type="auto"/>
            <w:hideMark/>
          </w:tcPr>
          <w:p w14:paraId="5CA62021"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6C2B71D2"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59BA6B57"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14 (34.1)</w:t>
            </w:r>
          </w:p>
        </w:tc>
        <w:tc>
          <w:tcPr>
            <w:tcW w:w="0" w:type="auto"/>
            <w:hideMark/>
          </w:tcPr>
          <w:p w14:paraId="5FB4D1B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0.487</w:t>
            </w:r>
          </w:p>
        </w:tc>
      </w:tr>
      <w:tr w:rsidR="002724DB" w:rsidRPr="00F05709" w14:paraId="4748DAD0" w14:textId="77777777" w:rsidTr="00112E40">
        <w:tc>
          <w:tcPr>
            <w:tcW w:w="0" w:type="auto"/>
            <w:hideMark/>
          </w:tcPr>
          <w:p w14:paraId="1B79C414"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lastRenderedPageBreak/>
              <w:t>TraT</w:t>
            </w:r>
          </w:p>
        </w:tc>
        <w:tc>
          <w:tcPr>
            <w:tcW w:w="0" w:type="auto"/>
            <w:hideMark/>
          </w:tcPr>
          <w:p w14:paraId="29640131"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7C8E8B0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03790176"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 (48.8)</w:t>
            </w:r>
          </w:p>
        </w:tc>
        <w:tc>
          <w:tcPr>
            <w:tcW w:w="0" w:type="auto"/>
            <w:hideMark/>
          </w:tcPr>
          <w:p w14:paraId="5439C509"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0.853</w:t>
            </w:r>
          </w:p>
        </w:tc>
      </w:tr>
      <w:tr w:rsidR="002724DB" w:rsidRPr="00F05709" w14:paraId="21661D86" w14:textId="77777777" w:rsidTr="00112E40">
        <w:tc>
          <w:tcPr>
            <w:tcW w:w="0" w:type="auto"/>
            <w:hideMark/>
          </w:tcPr>
          <w:p w14:paraId="50FF30A8"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Hly</w:t>
            </w:r>
          </w:p>
        </w:tc>
        <w:tc>
          <w:tcPr>
            <w:tcW w:w="0" w:type="auto"/>
            <w:hideMark/>
          </w:tcPr>
          <w:p w14:paraId="68FA87B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6E35DD95"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2382965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(4.9)</w:t>
            </w:r>
          </w:p>
        </w:tc>
        <w:tc>
          <w:tcPr>
            <w:tcW w:w="0" w:type="auto"/>
            <w:hideMark/>
          </w:tcPr>
          <w:p w14:paraId="63CF43BA"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0.646</w:t>
            </w:r>
          </w:p>
        </w:tc>
      </w:tr>
      <w:tr w:rsidR="002724DB" w:rsidRPr="00F05709" w14:paraId="31E20D46" w14:textId="77777777" w:rsidTr="00112E40">
        <w:tc>
          <w:tcPr>
            <w:tcW w:w="0" w:type="auto"/>
            <w:hideMark/>
          </w:tcPr>
          <w:p w14:paraId="6587672F"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Omp</w:t>
            </w:r>
          </w:p>
        </w:tc>
        <w:tc>
          <w:tcPr>
            <w:tcW w:w="0" w:type="auto"/>
            <w:hideMark/>
          </w:tcPr>
          <w:p w14:paraId="168E572F"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(100)</w:t>
            </w:r>
          </w:p>
        </w:tc>
        <w:tc>
          <w:tcPr>
            <w:tcW w:w="0" w:type="auto"/>
            <w:hideMark/>
          </w:tcPr>
          <w:p w14:paraId="6DB36922"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16D52CFF"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 (85.4)</w:t>
            </w:r>
          </w:p>
        </w:tc>
        <w:tc>
          <w:tcPr>
            <w:tcW w:w="0" w:type="auto"/>
            <w:hideMark/>
          </w:tcPr>
          <w:p w14:paraId="0B2BFEFE"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0.317</w:t>
            </w:r>
          </w:p>
        </w:tc>
      </w:tr>
      <w:tr w:rsidR="002724DB" w:rsidRPr="00F05709" w14:paraId="5C614341" w14:textId="77777777" w:rsidTr="00112E40">
        <w:tc>
          <w:tcPr>
            <w:tcW w:w="0" w:type="auto"/>
            <w:hideMark/>
          </w:tcPr>
          <w:p w14:paraId="4823F658"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Bfp</w:t>
            </w:r>
          </w:p>
        </w:tc>
        <w:tc>
          <w:tcPr>
            <w:tcW w:w="0" w:type="auto"/>
            <w:hideMark/>
          </w:tcPr>
          <w:p w14:paraId="26AE657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(60)</w:t>
            </w:r>
          </w:p>
        </w:tc>
        <w:tc>
          <w:tcPr>
            <w:tcW w:w="0" w:type="auto"/>
            <w:hideMark/>
          </w:tcPr>
          <w:p w14:paraId="0B7825E2"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1B520ECB"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26 (63.4)</w:t>
            </w:r>
          </w:p>
        </w:tc>
        <w:tc>
          <w:tcPr>
            <w:tcW w:w="0" w:type="auto"/>
            <w:hideMark/>
          </w:tcPr>
          <w:p w14:paraId="360E445C"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0.969</w:t>
            </w:r>
          </w:p>
        </w:tc>
      </w:tr>
      <w:tr w:rsidR="002724DB" w:rsidRPr="00F05709" w14:paraId="2365948D" w14:textId="77777777" w:rsidTr="00112E40">
        <w:tc>
          <w:tcPr>
            <w:tcW w:w="0" w:type="auto"/>
            <w:hideMark/>
          </w:tcPr>
          <w:p w14:paraId="1A5DF98B"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Stx</w:t>
            </w:r>
          </w:p>
        </w:tc>
        <w:tc>
          <w:tcPr>
            <w:tcW w:w="0" w:type="auto"/>
            <w:hideMark/>
          </w:tcPr>
          <w:p w14:paraId="223B16A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4FE1A1C5"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1E07E1E1"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30 (73.2)</w:t>
            </w:r>
          </w:p>
        </w:tc>
        <w:tc>
          <w:tcPr>
            <w:tcW w:w="0" w:type="auto"/>
            <w:hideMark/>
          </w:tcPr>
          <w:p w14:paraId="2F712A03"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0.859</w:t>
            </w:r>
          </w:p>
        </w:tc>
      </w:tr>
      <w:tr w:rsidR="002724DB" w:rsidRPr="00F05709" w14:paraId="1D99A926" w14:textId="77777777" w:rsidTr="00112E40">
        <w:tc>
          <w:tcPr>
            <w:tcW w:w="0" w:type="auto"/>
            <w:hideMark/>
          </w:tcPr>
          <w:p w14:paraId="0B00A870" w14:textId="77777777" w:rsidR="002724DB" w:rsidRPr="007C271C" w:rsidRDefault="002724DB" w:rsidP="00112E40">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Cnf</w:t>
            </w:r>
          </w:p>
        </w:tc>
        <w:tc>
          <w:tcPr>
            <w:tcW w:w="0" w:type="auto"/>
            <w:hideMark/>
          </w:tcPr>
          <w:p w14:paraId="334A818B"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4C587575"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(88.9)</w:t>
            </w:r>
          </w:p>
        </w:tc>
        <w:tc>
          <w:tcPr>
            <w:tcW w:w="0" w:type="auto"/>
            <w:hideMark/>
          </w:tcPr>
          <w:p w14:paraId="789ED9AD"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(70.7)</w:t>
            </w:r>
          </w:p>
        </w:tc>
        <w:tc>
          <w:tcPr>
            <w:tcW w:w="0" w:type="auto"/>
            <w:hideMark/>
          </w:tcPr>
          <w:p w14:paraId="0111A954" w14:textId="77777777" w:rsidR="002724DB" w:rsidRPr="00F05709" w:rsidRDefault="002724DB" w:rsidP="00112E40">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0.505</w:t>
            </w:r>
          </w:p>
        </w:tc>
      </w:tr>
    </w:tbl>
    <w:p w14:paraId="2AFAE209" w14:textId="77777777" w:rsidR="002724DB" w:rsidRPr="00F05709" w:rsidRDefault="002724DB" w:rsidP="002724DB">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Fisher's exact test (GraphPad Prism®, version 8.0.4, CA, USA)</w:t>
      </w:r>
    </w:p>
    <w:p w14:paraId="6341CFC3" w14:textId="77777777" w:rsidR="00C15245" w:rsidRPr="00F05709" w:rsidRDefault="00C15245" w:rsidP="00C15245">
      <w:pPr>
        <w:pStyle w:val="NoSpacing"/>
        <w:jc w:val="both"/>
        <w:rPr>
          <w:rFonts w:ascii="Times New Roman" w:hAnsi="Times New Roman" w:cs="Times New Roman"/>
          <w:noProof/>
          <w:sz w:val="24"/>
          <w:szCs w:val="24"/>
        </w:rPr>
      </w:pPr>
      <w:r w:rsidRPr="00F05709">
        <w:rPr>
          <w:rFonts w:ascii="Times New Roman" w:hAnsi="Times New Roman" w:cs="Times New Roman"/>
          <w:noProof/>
          <w:sz w:val="24"/>
          <w:szCs w:val="24"/>
        </w:rPr>
        <w:drawing>
          <wp:inline distT="0" distB="0" distL="0" distR="0" wp14:anchorId="41EBEBCB" wp14:editId="12C1AA95">
            <wp:extent cx="4879516" cy="771098"/>
            <wp:effectExtent l="0" t="0" r="0" b="0"/>
            <wp:docPr id="1949687232" name="Picture 19496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4879811" cy="771145"/>
                    </a:xfrm>
                    <a:prstGeom prst="rect">
                      <a:avLst/>
                    </a:prstGeom>
                    <a:noFill/>
                    <a:ln>
                      <a:noFill/>
                    </a:ln>
                  </pic:spPr>
                </pic:pic>
              </a:graphicData>
            </a:graphic>
          </wp:inline>
        </w:drawing>
      </w:r>
    </w:p>
    <w:p w14:paraId="6ECC6166" w14:textId="77777777" w:rsidR="00C15245" w:rsidRPr="00F05709" w:rsidRDefault="00C15245" w:rsidP="00C15245">
      <w:pPr>
        <w:pStyle w:val="NoSpacing"/>
        <w:jc w:val="both"/>
        <w:rPr>
          <w:rFonts w:ascii="Times New Roman" w:hAnsi="Times New Roman" w:cs="Times New Roman"/>
          <w:noProof/>
          <w:sz w:val="24"/>
          <w:szCs w:val="24"/>
        </w:rPr>
      </w:pPr>
    </w:p>
    <w:p w14:paraId="31C18609" w14:textId="232F99AA" w:rsidR="00C15245" w:rsidRPr="00F05709" w:rsidRDefault="00C15245" w:rsidP="00C15245">
      <w:pPr>
        <w:pStyle w:val="NoSpacing"/>
        <w:jc w:val="both"/>
        <w:rPr>
          <w:rFonts w:ascii="Times New Roman" w:hAnsi="Times New Roman" w:cs="Times New Roman"/>
          <w:sz w:val="24"/>
          <w:szCs w:val="24"/>
        </w:rPr>
      </w:pPr>
      <w:r w:rsidRPr="00F05709">
        <w:rPr>
          <w:rFonts w:ascii="Times New Roman" w:hAnsi="Times New Roman" w:cs="Times New Roman"/>
          <w:sz w:val="24"/>
          <w:szCs w:val="24"/>
        </w:rPr>
        <w:t xml:space="preserve">Fig </w:t>
      </w:r>
      <w:r w:rsidR="008A73B3">
        <w:rPr>
          <w:rFonts w:ascii="Times New Roman" w:hAnsi="Times New Roman" w:cs="Times New Roman"/>
          <w:sz w:val="24"/>
          <w:szCs w:val="24"/>
        </w:rPr>
        <w:t>4</w:t>
      </w:r>
      <w:r w:rsidRPr="00F05709">
        <w:rPr>
          <w:rFonts w:ascii="Times New Roman" w:hAnsi="Times New Roman" w:cs="Times New Roman"/>
          <w:sz w:val="24"/>
          <w:szCs w:val="24"/>
        </w:rPr>
        <w:t>(A)</w:t>
      </w:r>
    </w:p>
    <w:p w14:paraId="683FC409" w14:textId="77777777" w:rsidR="00C15245" w:rsidRPr="00F05709" w:rsidRDefault="00C15245" w:rsidP="00C15245">
      <w:pPr>
        <w:pStyle w:val="NoSpacing"/>
        <w:jc w:val="both"/>
        <w:rPr>
          <w:rFonts w:ascii="Times New Roman" w:hAnsi="Times New Roman" w:cs="Times New Roman"/>
          <w:sz w:val="24"/>
          <w:szCs w:val="24"/>
        </w:rPr>
      </w:pPr>
      <w:r w:rsidRPr="00F05709">
        <w:rPr>
          <w:rFonts w:ascii="Times New Roman" w:hAnsi="Times New Roman" w:cs="Times New Roman"/>
          <w:noProof/>
          <w:sz w:val="24"/>
          <w:szCs w:val="24"/>
        </w:rPr>
        <w:drawing>
          <wp:anchor distT="0" distB="0" distL="114300" distR="114300" simplePos="0" relativeHeight="251660288" behindDoc="0" locked="0" layoutInCell="1" allowOverlap="1" wp14:anchorId="2AB9D5D2" wp14:editId="364C9BE7">
            <wp:simplePos x="0" y="0"/>
            <wp:positionH relativeFrom="column">
              <wp:posOffset>0</wp:posOffset>
            </wp:positionH>
            <wp:positionV relativeFrom="paragraph">
              <wp:posOffset>165735</wp:posOffset>
            </wp:positionV>
            <wp:extent cx="4758690" cy="729615"/>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8690" cy="729615"/>
                    </a:xfrm>
                    <a:prstGeom prst="rect">
                      <a:avLst/>
                    </a:prstGeom>
                    <a:noFill/>
                    <a:ln>
                      <a:noFill/>
                    </a:ln>
                  </pic:spPr>
                </pic:pic>
              </a:graphicData>
            </a:graphic>
            <wp14:sizeRelV relativeFrom="margin">
              <wp14:pctHeight>0</wp14:pctHeight>
            </wp14:sizeRelV>
          </wp:anchor>
        </w:drawing>
      </w:r>
    </w:p>
    <w:p w14:paraId="71507305" w14:textId="77777777" w:rsidR="00C15245" w:rsidRPr="00F05709" w:rsidRDefault="00C15245" w:rsidP="00C15245">
      <w:pPr>
        <w:pStyle w:val="NoSpacing"/>
        <w:jc w:val="both"/>
        <w:rPr>
          <w:rFonts w:ascii="Times New Roman" w:hAnsi="Times New Roman" w:cs="Times New Roman"/>
          <w:sz w:val="24"/>
          <w:szCs w:val="24"/>
        </w:rPr>
      </w:pPr>
    </w:p>
    <w:p w14:paraId="36597A48" w14:textId="77777777" w:rsidR="00C15245" w:rsidRPr="00F05709" w:rsidRDefault="00C15245" w:rsidP="00C15245">
      <w:pPr>
        <w:pStyle w:val="NoSpacing"/>
        <w:jc w:val="both"/>
        <w:rPr>
          <w:rFonts w:ascii="Times New Roman" w:hAnsi="Times New Roman" w:cs="Times New Roman"/>
          <w:sz w:val="24"/>
          <w:szCs w:val="24"/>
        </w:rPr>
      </w:pPr>
    </w:p>
    <w:p w14:paraId="21B4F28D" w14:textId="77777777" w:rsidR="00C15245" w:rsidRPr="00F05709" w:rsidRDefault="00C15245" w:rsidP="00C15245">
      <w:pPr>
        <w:spacing w:line="240" w:lineRule="auto"/>
        <w:ind w:left="360"/>
        <w:jc w:val="both"/>
        <w:rPr>
          <w:rFonts w:ascii="Times New Roman" w:hAnsi="Times New Roman" w:cs="Times New Roman"/>
          <w:bCs/>
          <w:sz w:val="24"/>
          <w:szCs w:val="24"/>
        </w:rPr>
      </w:pPr>
      <w:r w:rsidRPr="00F05709">
        <w:rPr>
          <w:rFonts w:ascii="Times New Roman" w:hAnsi="Times New Roman" w:cs="Times New Roman"/>
          <w:bCs/>
          <w:sz w:val="24"/>
          <w:szCs w:val="24"/>
        </w:rPr>
        <w:br w:type="textWrapping" w:clear="all"/>
      </w:r>
    </w:p>
    <w:p w14:paraId="35C9CF42" w14:textId="11AADECB" w:rsidR="00C15245" w:rsidRPr="00F05709" w:rsidRDefault="00C15245" w:rsidP="00C15245">
      <w:pPr>
        <w:spacing w:line="240" w:lineRule="auto"/>
        <w:jc w:val="both"/>
        <w:rPr>
          <w:rFonts w:ascii="Times New Roman" w:hAnsi="Times New Roman" w:cs="Times New Roman"/>
          <w:bCs/>
          <w:sz w:val="24"/>
          <w:szCs w:val="24"/>
        </w:rPr>
      </w:pPr>
      <w:r w:rsidRPr="00F05709">
        <w:rPr>
          <w:rFonts w:ascii="Times New Roman" w:hAnsi="Times New Roman" w:cs="Times New Roman"/>
          <w:bCs/>
          <w:sz w:val="24"/>
          <w:szCs w:val="24"/>
        </w:rPr>
        <w:t xml:space="preserve">Fig </w:t>
      </w:r>
      <w:r w:rsidR="008A73B3">
        <w:rPr>
          <w:rFonts w:ascii="Times New Roman" w:hAnsi="Times New Roman" w:cs="Times New Roman"/>
          <w:bCs/>
          <w:sz w:val="24"/>
          <w:szCs w:val="24"/>
        </w:rPr>
        <w:t>4</w:t>
      </w:r>
      <w:r w:rsidRPr="00F05709">
        <w:rPr>
          <w:rFonts w:ascii="Times New Roman" w:hAnsi="Times New Roman" w:cs="Times New Roman"/>
          <w:bCs/>
          <w:sz w:val="24"/>
          <w:szCs w:val="24"/>
        </w:rPr>
        <w:t>(B)</w:t>
      </w:r>
      <w:r w:rsidRPr="00F05709">
        <w:rPr>
          <w:rFonts w:ascii="Times New Roman" w:hAnsi="Times New Roman" w:cs="Times New Roman"/>
          <w:noProof/>
          <w:sz w:val="24"/>
          <w:szCs w:val="24"/>
        </w:rPr>
        <w:t xml:space="preserve"> </w:t>
      </w:r>
    </w:p>
    <w:p w14:paraId="1A20EE1F" w14:textId="77777777" w:rsidR="00C15245" w:rsidRPr="00F05709" w:rsidRDefault="00C15245" w:rsidP="00C15245">
      <w:pPr>
        <w:spacing w:line="240" w:lineRule="auto"/>
        <w:ind w:left="360"/>
        <w:jc w:val="both"/>
        <w:rPr>
          <w:rFonts w:ascii="Times New Roman" w:hAnsi="Times New Roman" w:cs="Times New Roman"/>
          <w:bCs/>
          <w:sz w:val="24"/>
          <w:szCs w:val="24"/>
        </w:rPr>
      </w:pPr>
      <w:r w:rsidRPr="00F05709">
        <w:rPr>
          <w:rFonts w:ascii="Times New Roman" w:hAnsi="Times New Roman" w:cs="Times New Roman"/>
          <w:noProof/>
          <w:sz w:val="24"/>
          <w:szCs w:val="24"/>
        </w:rPr>
        <w:drawing>
          <wp:inline distT="0" distB="0" distL="0" distR="0" wp14:anchorId="3405B2C1" wp14:editId="59A754AD">
            <wp:extent cx="4759212" cy="968991"/>
            <wp:effectExtent l="0" t="0" r="381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188" cy="977537"/>
                    </a:xfrm>
                    <a:prstGeom prst="rect">
                      <a:avLst/>
                    </a:prstGeom>
                    <a:noFill/>
                    <a:ln>
                      <a:noFill/>
                    </a:ln>
                  </pic:spPr>
                </pic:pic>
              </a:graphicData>
            </a:graphic>
          </wp:inline>
        </w:drawing>
      </w:r>
    </w:p>
    <w:p w14:paraId="7C5BD840" w14:textId="0A8149B0" w:rsidR="00C15245" w:rsidRPr="00F05709" w:rsidRDefault="00C15245" w:rsidP="00C15245">
      <w:pPr>
        <w:tabs>
          <w:tab w:val="right" w:pos="9360"/>
        </w:tabs>
        <w:spacing w:line="240" w:lineRule="auto"/>
        <w:jc w:val="both"/>
        <w:rPr>
          <w:rFonts w:ascii="Times New Roman" w:hAnsi="Times New Roman" w:cs="Times New Roman"/>
          <w:noProof/>
          <w:sz w:val="24"/>
          <w:szCs w:val="24"/>
        </w:rPr>
      </w:pPr>
      <w:r w:rsidRPr="00F05709">
        <w:rPr>
          <w:rFonts w:ascii="Times New Roman" w:hAnsi="Times New Roman" w:cs="Times New Roman"/>
          <w:bCs/>
          <w:sz w:val="24"/>
          <w:szCs w:val="24"/>
        </w:rPr>
        <w:t xml:space="preserve">Fig </w:t>
      </w:r>
      <w:r w:rsidR="008A73B3">
        <w:rPr>
          <w:rFonts w:ascii="Times New Roman" w:hAnsi="Times New Roman" w:cs="Times New Roman"/>
          <w:bCs/>
          <w:sz w:val="24"/>
          <w:szCs w:val="24"/>
        </w:rPr>
        <w:t>4</w:t>
      </w:r>
      <w:r w:rsidRPr="00F05709">
        <w:rPr>
          <w:rFonts w:ascii="Times New Roman" w:hAnsi="Times New Roman" w:cs="Times New Roman"/>
          <w:bCs/>
          <w:sz w:val="24"/>
          <w:szCs w:val="24"/>
        </w:rPr>
        <w:t xml:space="preserve"> (C) </w:t>
      </w:r>
      <w:r w:rsidRPr="00F05709">
        <w:rPr>
          <w:rFonts w:ascii="Times New Roman" w:hAnsi="Times New Roman" w:cs="Times New Roman"/>
          <w:bCs/>
          <w:sz w:val="24"/>
          <w:szCs w:val="24"/>
        </w:rPr>
        <w:tab/>
      </w:r>
    </w:p>
    <w:p w14:paraId="6A8409E8" w14:textId="77777777" w:rsidR="00C15245" w:rsidRPr="00F05709" w:rsidRDefault="00C15245" w:rsidP="00C15245">
      <w:pPr>
        <w:spacing w:line="240" w:lineRule="auto"/>
        <w:jc w:val="both"/>
        <w:rPr>
          <w:rFonts w:ascii="Times New Roman" w:hAnsi="Times New Roman" w:cs="Times New Roman"/>
          <w:noProof/>
          <w:sz w:val="24"/>
          <w:szCs w:val="24"/>
        </w:rPr>
      </w:pPr>
      <w:r w:rsidRPr="00F05709">
        <w:rPr>
          <w:rFonts w:ascii="Times New Roman" w:hAnsi="Times New Roman" w:cs="Times New Roman"/>
          <w:noProof/>
          <w:sz w:val="24"/>
          <w:szCs w:val="24"/>
        </w:rPr>
        <w:drawing>
          <wp:anchor distT="0" distB="0" distL="114300" distR="114300" simplePos="0" relativeHeight="251659264" behindDoc="0" locked="0" layoutInCell="1" allowOverlap="1" wp14:anchorId="03686464" wp14:editId="56E00740">
            <wp:simplePos x="0" y="0"/>
            <wp:positionH relativeFrom="margin">
              <wp:posOffset>777922</wp:posOffset>
            </wp:positionH>
            <wp:positionV relativeFrom="paragraph">
              <wp:posOffset>33200</wp:posOffset>
            </wp:positionV>
            <wp:extent cx="4784583" cy="9758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624" cy="9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CF075" w14:textId="77777777" w:rsidR="00C15245" w:rsidRPr="00F05709" w:rsidRDefault="00C15245" w:rsidP="00C15245">
      <w:pPr>
        <w:spacing w:line="240" w:lineRule="auto"/>
        <w:jc w:val="both"/>
        <w:rPr>
          <w:rFonts w:ascii="Times New Roman" w:hAnsi="Times New Roman" w:cs="Times New Roman"/>
          <w:noProof/>
          <w:sz w:val="24"/>
          <w:szCs w:val="24"/>
        </w:rPr>
      </w:pPr>
    </w:p>
    <w:p w14:paraId="622196E9" w14:textId="77777777" w:rsidR="00C15245" w:rsidRPr="00F05709" w:rsidRDefault="00C15245" w:rsidP="00C15245">
      <w:pPr>
        <w:spacing w:line="240" w:lineRule="auto"/>
        <w:jc w:val="both"/>
        <w:rPr>
          <w:rFonts w:ascii="Times New Roman" w:hAnsi="Times New Roman" w:cs="Times New Roman"/>
          <w:noProof/>
          <w:sz w:val="24"/>
          <w:szCs w:val="24"/>
        </w:rPr>
      </w:pPr>
    </w:p>
    <w:p w14:paraId="3DA763C1" w14:textId="707C15AD"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 </w:t>
      </w:r>
      <w:r w:rsidR="008A73B3">
        <w:rPr>
          <w:rFonts w:ascii="Times New Roman" w:hAnsi="Times New Roman" w:cs="Times New Roman"/>
          <w:b/>
          <w:bCs/>
          <w:sz w:val="24"/>
          <w:szCs w:val="24"/>
        </w:rPr>
        <w:t>4</w:t>
      </w:r>
      <w:r w:rsidRPr="00F05709">
        <w:rPr>
          <w:rFonts w:ascii="Times New Roman" w:hAnsi="Times New Roman" w:cs="Times New Roman"/>
          <w:b/>
          <w:bCs/>
          <w:sz w:val="24"/>
          <w:szCs w:val="24"/>
        </w:rPr>
        <w:t>(D)</w:t>
      </w:r>
    </w:p>
    <w:p w14:paraId="59AAA74C" w14:textId="77777777" w:rsidR="00C15245" w:rsidRPr="00F05709" w:rsidRDefault="00C15245" w:rsidP="00C15245">
      <w:pPr>
        <w:spacing w:line="240" w:lineRule="auto"/>
        <w:jc w:val="both"/>
        <w:rPr>
          <w:rFonts w:ascii="Times New Roman" w:hAnsi="Times New Roman" w:cs="Times New Roman"/>
          <w:b/>
          <w:sz w:val="24"/>
          <w:szCs w:val="24"/>
        </w:rPr>
      </w:pPr>
    </w:p>
    <w:p w14:paraId="02E0F3B1" w14:textId="77777777"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rPr>
        <w:drawing>
          <wp:inline distT="0" distB="0" distL="0" distR="0" wp14:anchorId="6B83018E" wp14:editId="1BDFA697">
            <wp:extent cx="4907410" cy="839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410" cy="839337"/>
                    </a:xfrm>
                    <a:prstGeom prst="rect">
                      <a:avLst/>
                    </a:prstGeom>
                    <a:noFill/>
                    <a:ln>
                      <a:noFill/>
                    </a:ln>
                  </pic:spPr>
                </pic:pic>
              </a:graphicData>
            </a:graphic>
          </wp:inline>
        </w:drawing>
      </w:r>
      <w:r w:rsidRPr="00F05709">
        <w:rPr>
          <w:rFonts w:ascii="Times New Roman" w:hAnsi="Times New Roman" w:cs="Times New Roman"/>
          <w:b/>
          <w:bCs/>
          <w:sz w:val="24"/>
          <w:szCs w:val="24"/>
        </w:rPr>
        <w:t xml:space="preserve"> </w:t>
      </w:r>
      <w:r w:rsidRPr="00F05709">
        <w:rPr>
          <w:rFonts w:ascii="Times New Roman" w:hAnsi="Times New Roman" w:cs="Times New Roman"/>
          <w:b/>
          <w:bCs/>
          <w:sz w:val="24"/>
          <w:szCs w:val="24"/>
        </w:rPr>
        <w:tab/>
      </w:r>
    </w:p>
    <w:p w14:paraId="0AF1820E" w14:textId="53438907"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 </w:t>
      </w:r>
      <w:r w:rsidR="008A73B3">
        <w:rPr>
          <w:rFonts w:ascii="Times New Roman" w:hAnsi="Times New Roman" w:cs="Times New Roman"/>
          <w:b/>
          <w:bCs/>
          <w:sz w:val="24"/>
          <w:szCs w:val="24"/>
        </w:rPr>
        <w:t>4</w:t>
      </w:r>
      <w:r w:rsidRPr="00F05709">
        <w:rPr>
          <w:rFonts w:ascii="Times New Roman" w:hAnsi="Times New Roman" w:cs="Times New Roman"/>
          <w:b/>
          <w:bCs/>
          <w:sz w:val="24"/>
          <w:szCs w:val="24"/>
        </w:rPr>
        <w:t xml:space="preserve">(E)                                                                </w:t>
      </w:r>
    </w:p>
    <w:p w14:paraId="6E1701C4" w14:textId="6F51C416" w:rsidR="00C15245" w:rsidRPr="00F05709" w:rsidRDefault="00C15245" w:rsidP="00C15245">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rPr>
        <w:lastRenderedPageBreak/>
        <w:drawing>
          <wp:inline distT="0" distB="0" distL="0" distR="0" wp14:anchorId="6E06A806" wp14:editId="1068DEBA">
            <wp:extent cx="4703405" cy="9576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200" cy="961834"/>
                    </a:xfrm>
                    <a:prstGeom prst="rect">
                      <a:avLst/>
                    </a:prstGeom>
                    <a:noFill/>
                    <a:ln>
                      <a:noFill/>
                    </a:ln>
                  </pic:spPr>
                </pic:pic>
              </a:graphicData>
            </a:graphic>
          </wp:inline>
        </w:drawing>
      </w:r>
      <w:r w:rsidRPr="00F05709">
        <w:rPr>
          <w:rFonts w:ascii="Times New Roman" w:hAnsi="Times New Roman" w:cs="Times New Roman"/>
          <w:b/>
          <w:bCs/>
          <w:sz w:val="24"/>
          <w:szCs w:val="24"/>
        </w:rPr>
        <w:t xml:space="preserve"> Fig </w:t>
      </w:r>
      <w:r w:rsidR="008A73B3">
        <w:rPr>
          <w:rFonts w:ascii="Times New Roman" w:hAnsi="Times New Roman" w:cs="Times New Roman"/>
          <w:b/>
          <w:bCs/>
          <w:sz w:val="24"/>
          <w:szCs w:val="24"/>
        </w:rPr>
        <w:t>4</w:t>
      </w:r>
      <w:r w:rsidRPr="00F05709">
        <w:rPr>
          <w:rFonts w:ascii="Times New Roman" w:hAnsi="Times New Roman" w:cs="Times New Roman"/>
          <w:b/>
          <w:bCs/>
          <w:sz w:val="24"/>
          <w:szCs w:val="24"/>
        </w:rPr>
        <w:t>(F)</w:t>
      </w:r>
      <w:r w:rsidRPr="00F05709">
        <w:rPr>
          <w:rFonts w:ascii="Times New Roman" w:hAnsi="Times New Roman" w:cs="Times New Roman"/>
          <w:noProof/>
          <w:sz w:val="24"/>
          <w:szCs w:val="24"/>
        </w:rPr>
        <w:t xml:space="preserve"> </w:t>
      </w:r>
      <w:r w:rsidRPr="00F05709">
        <w:rPr>
          <w:rFonts w:ascii="Times New Roman" w:hAnsi="Times New Roman" w:cs="Times New Roman"/>
          <w:noProof/>
          <w:sz w:val="24"/>
          <w:szCs w:val="24"/>
        </w:rPr>
        <w:drawing>
          <wp:inline distT="0" distB="0" distL="0" distR="0" wp14:anchorId="22353274" wp14:editId="6DDD5E69">
            <wp:extent cx="4908026" cy="1065600"/>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9643" cy="1076807"/>
                    </a:xfrm>
                    <a:prstGeom prst="rect">
                      <a:avLst/>
                    </a:prstGeom>
                    <a:noFill/>
                    <a:ln>
                      <a:noFill/>
                    </a:ln>
                  </pic:spPr>
                </pic:pic>
              </a:graphicData>
            </a:graphic>
          </wp:inline>
        </w:drawing>
      </w:r>
      <w:r w:rsidRPr="00F05709">
        <w:rPr>
          <w:rFonts w:ascii="Times New Roman" w:hAnsi="Times New Roman" w:cs="Times New Roman"/>
          <w:b/>
          <w:bCs/>
          <w:noProof/>
          <w:sz w:val="24"/>
          <w:szCs w:val="24"/>
        </w:rPr>
        <w:t xml:space="preserve">Fig </w:t>
      </w:r>
      <w:r w:rsidR="008A73B3">
        <w:rPr>
          <w:rFonts w:ascii="Times New Roman" w:hAnsi="Times New Roman" w:cs="Times New Roman"/>
          <w:b/>
          <w:bCs/>
          <w:noProof/>
          <w:sz w:val="24"/>
          <w:szCs w:val="24"/>
        </w:rPr>
        <w:t>4</w:t>
      </w:r>
      <w:r w:rsidRPr="00F05709">
        <w:rPr>
          <w:rFonts w:ascii="Times New Roman" w:hAnsi="Times New Roman" w:cs="Times New Roman"/>
          <w:b/>
          <w:bCs/>
          <w:noProof/>
          <w:sz w:val="24"/>
          <w:szCs w:val="24"/>
        </w:rPr>
        <w:t>(G)</w:t>
      </w:r>
    </w:p>
    <w:p w14:paraId="1F95690D" w14:textId="5C936B75" w:rsidR="00C15245" w:rsidRDefault="00C15245" w:rsidP="00335DBC">
      <w:pPr>
        <w:spacing w:line="240" w:lineRule="auto"/>
        <w:jc w:val="both"/>
        <w:rPr>
          <w:rFonts w:ascii="Times New Roman" w:hAnsi="Times New Roman" w:cs="Times New Roman"/>
          <w:sz w:val="24"/>
          <w:szCs w:val="24"/>
        </w:rPr>
      </w:pPr>
      <w:r w:rsidRPr="00F05709">
        <w:rPr>
          <w:rFonts w:ascii="Times New Roman" w:hAnsi="Times New Roman" w:cs="Times New Roman"/>
          <w:b/>
          <w:sz w:val="24"/>
          <w:szCs w:val="24"/>
        </w:rPr>
        <w:t xml:space="preserve">Figure </w:t>
      </w:r>
      <w:r w:rsidR="008A73B3">
        <w:rPr>
          <w:rFonts w:ascii="Times New Roman" w:hAnsi="Times New Roman" w:cs="Times New Roman"/>
          <w:b/>
          <w:sz w:val="24"/>
          <w:szCs w:val="24"/>
        </w:rPr>
        <w:t>4</w:t>
      </w:r>
      <w:r w:rsidRPr="00F05709">
        <w:rPr>
          <w:rFonts w:ascii="Times New Roman" w:hAnsi="Times New Roman" w:cs="Times New Roman"/>
          <w:b/>
          <w:sz w:val="24"/>
          <w:szCs w:val="24"/>
        </w:rPr>
        <w:t xml:space="preserve"> A-G.</w:t>
      </w:r>
      <w:r w:rsidRPr="00F05709">
        <w:rPr>
          <w:rFonts w:ascii="Times New Roman" w:hAnsi="Times New Roman" w:cs="Times New Roman"/>
          <w:sz w:val="24"/>
          <w:szCs w:val="24"/>
        </w:rPr>
        <w:t xml:space="preserve"> Gel pictures for PCR products of virulence-associated genes detected in </w:t>
      </w:r>
      <w:r w:rsidRPr="00F05709">
        <w:rPr>
          <w:rFonts w:ascii="Times New Roman" w:hAnsi="Times New Roman" w:cs="Times New Roman"/>
          <w:i/>
          <w:sz w:val="24"/>
          <w:szCs w:val="24"/>
        </w:rPr>
        <w:t>E. coli</w:t>
      </w:r>
      <w:r w:rsidRPr="00F05709">
        <w:rPr>
          <w:rFonts w:ascii="Times New Roman" w:hAnsi="Times New Roman" w:cs="Times New Roman"/>
          <w:sz w:val="24"/>
          <w:szCs w:val="24"/>
        </w:rPr>
        <w:t xml:space="preserve"> isolates from Gwagwalada and Dei-dei slaughterhouse in Abuja</w:t>
      </w:r>
      <w:r w:rsidR="00335DBC">
        <w:rPr>
          <w:rFonts w:ascii="Times New Roman" w:hAnsi="Times New Roman" w:cs="Times New Roman"/>
          <w:sz w:val="24"/>
          <w:szCs w:val="24"/>
        </w:rPr>
        <w:t xml:space="preserve">. (A) </w:t>
      </w:r>
      <w:r w:rsidRPr="00335DBC">
        <w:rPr>
          <w:rFonts w:ascii="Times New Roman" w:hAnsi="Times New Roman" w:cs="Times New Roman"/>
          <w:sz w:val="24"/>
          <w:szCs w:val="24"/>
        </w:rPr>
        <w:t>eaeA and EAST (288bp and 97bp) (B) TraT (290bp) (C) hly (1177bp) (D) OMP (919</w:t>
      </w:r>
      <w:r w:rsidR="00A25F8F" w:rsidRPr="00335DBC">
        <w:rPr>
          <w:rFonts w:ascii="Times New Roman" w:hAnsi="Times New Roman" w:cs="Times New Roman"/>
          <w:sz w:val="24"/>
          <w:szCs w:val="24"/>
        </w:rPr>
        <w:t>bp</w:t>
      </w:r>
      <w:r w:rsidR="00A25F8F">
        <w:rPr>
          <w:rFonts w:ascii="Times New Roman" w:hAnsi="Times New Roman" w:cs="Times New Roman"/>
          <w:sz w:val="24"/>
          <w:szCs w:val="24"/>
        </w:rPr>
        <w:t xml:space="preserve"> </w:t>
      </w:r>
      <w:r w:rsidR="00A25F8F" w:rsidRPr="00335DBC">
        <w:rPr>
          <w:rFonts w:ascii="Times New Roman" w:hAnsi="Times New Roman" w:cs="Times New Roman"/>
          <w:sz w:val="24"/>
          <w:szCs w:val="24"/>
        </w:rPr>
        <w:t>(</w:t>
      </w:r>
      <w:r w:rsidRPr="00335DBC">
        <w:rPr>
          <w:rFonts w:ascii="Times New Roman" w:hAnsi="Times New Roman" w:cs="Times New Roman"/>
          <w:sz w:val="24"/>
          <w:szCs w:val="24"/>
        </w:rPr>
        <w:t>E) bfp (324bp) (F) stx (388bp) (G) cnf (446 bp)</w:t>
      </w:r>
      <w:r w:rsidR="00335DBC" w:rsidRPr="00335DBC">
        <w:rPr>
          <w:rFonts w:ascii="Times New Roman" w:hAnsi="Times New Roman" w:cs="Times New Roman"/>
          <w:sz w:val="24"/>
          <w:szCs w:val="24"/>
        </w:rPr>
        <w:t xml:space="preserve">. </w:t>
      </w:r>
      <w:r w:rsidRPr="00335DBC">
        <w:rPr>
          <w:rFonts w:ascii="Times New Roman" w:hAnsi="Times New Roman" w:cs="Times New Roman"/>
          <w:sz w:val="24"/>
          <w:szCs w:val="24"/>
        </w:rPr>
        <w:t>MK 100bp molecular size marker</w:t>
      </w:r>
    </w:p>
    <w:p w14:paraId="7F7686C9" w14:textId="77777777" w:rsidR="00EF04C5" w:rsidRPr="00CA4570" w:rsidRDefault="00EF04C5" w:rsidP="00EF04C5">
      <w:pPr>
        <w:jc w:val="both"/>
        <w:rPr>
          <w:rFonts w:ascii="Times New Roman" w:hAnsi="Times New Roman" w:cs="Times New Roman"/>
          <w:sz w:val="24"/>
          <w:szCs w:val="24"/>
        </w:rPr>
      </w:pPr>
      <w:r w:rsidRPr="00CA4570">
        <w:rPr>
          <w:rFonts w:ascii="Times New Roman" w:hAnsi="Times New Roman" w:cs="Times New Roman"/>
          <w:noProof/>
          <w:sz w:val="24"/>
          <w:szCs w:val="24"/>
        </w:rPr>
        <w:drawing>
          <wp:inline distT="0" distB="0" distL="0" distR="0" wp14:anchorId="6C8835C8" wp14:editId="40843AD6">
            <wp:extent cx="5943600" cy="2872596"/>
            <wp:effectExtent l="0" t="0" r="0" b="4445"/>
            <wp:docPr id="534939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892" cy="2876604"/>
                    </a:xfrm>
                    <a:prstGeom prst="rect">
                      <a:avLst/>
                    </a:prstGeom>
                    <a:noFill/>
                    <a:ln>
                      <a:noFill/>
                    </a:ln>
                  </pic:spPr>
                </pic:pic>
              </a:graphicData>
            </a:graphic>
          </wp:inline>
        </w:drawing>
      </w:r>
    </w:p>
    <w:p w14:paraId="3FE997EF" w14:textId="77B31CC9" w:rsidR="00EF04C5" w:rsidRPr="00335DBC" w:rsidRDefault="00EF04C5" w:rsidP="00EF04C5">
      <w:pPr>
        <w:jc w:val="both"/>
        <w:rPr>
          <w:rFonts w:ascii="Times New Roman" w:hAnsi="Times New Roman" w:cs="Times New Roman"/>
          <w:sz w:val="24"/>
          <w:szCs w:val="24"/>
        </w:rPr>
      </w:pPr>
      <w:r>
        <w:rPr>
          <w:rFonts w:ascii="Times New Roman" w:hAnsi="Times New Roman" w:cs="Times New Roman"/>
          <w:sz w:val="24"/>
          <w:szCs w:val="24"/>
        </w:rPr>
        <w:t xml:space="preserve">Fig </w:t>
      </w:r>
      <w:r w:rsidR="008A73B3">
        <w:rPr>
          <w:rFonts w:ascii="Times New Roman" w:hAnsi="Times New Roman" w:cs="Times New Roman"/>
          <w:sz w:val="24"/>
          <w:szCs w:val="24"/>
        </w:rPr>
        <w:t>5</w:t>
      </w:r>
      <w:r>
        <w:rPr>
          <w:rFonts w:ascii="Times New Roman" w:hAnsi="Times New Roman" w:cs="Times New Roman"/>
          <w:sz w:val="24"/>
          <w:szCs w:val="24"/>
        </w:rPr>
        <w:t xml:space="preserve">: </w:t>
      </w:r>
      <w:r w:rsidRPr="00EF04C5">
        <w:rPr>
          <w:rFonts w:ascii="Times New Roman" w:hAnsi="Times New Roman" w:cs="Times New Roman"/>
          <w:sz w:val="24"/>
          <w:szCs w:val="24"/>
        </w:rPr>
        <w:t xml:space="preserve">Bar chart </w:t>
      </w:r>
      <w:r w:rsidR="008A73B3" w:rsidRPr="00EF04C5">
        <w:rPr>
          <w:rFonts w:ascii="Times New Roman" w:hAnsi="Times New Roman" w:cs="Times New Roman"/>
          <w:sz w:val="24"/>
          <w:szCs w:val="24"/>
        </w:rPr>
        <w:t>illustrates</w:t>
      </w:r>
      <w:r w:rsidRPr="00EF04C5">
        <w:rPr>
          <w:rFonts w:ascii="Times New Roman" w:hAnsi="Times New Roman" w:cs="Times New Roman"/>
          <w:sz w:val="24"/>
          <w:szCs w:val="24"/>
        </w:rPr>
        <w:t xml:space="preserve"> overall prevalence of virulence-associated genes among </w:t>
      </w:r>
      <w:r w:rsidRPr="00EF04C5">
        <w:rPr>
          <w:rFonts w:ascii="Times New Roman" w:hAnsi="Times New Roman" w:cs="Times New Roman"/>
          <w:i/>
          <w:iCs/>
          <w:sz w:val="24"/>
          <w:szCs w:val="24"/>
        </w:rPr>
        <w:t>Escherichia coli</w:t>
      </w:r>
      <w:r w:rsidRPr="00EF04C5">
        <w:rPr>
          <w:rFonts w:ascii="Times New Roman" w:hAnsi="Times New Roman" w:cs="Times New Roman"/>
          <w:sz w:val="24"/>
          <w:szCs w:val="24"/>
        </w:rPr>
        <w:t xml:space="preserve"> isol</w:t>
      </w:r>
      <w:r w:rsidR="008A73B3">
        <w:rPr>
          <w:rFonts w:ascii="Times New Roman" w:hAnsi="Times New Roman" w:cs="Times New Roman"/>
          <w:sz w:val="24"/>
          <w:szCs w:val="24"/>
        </w:rPr>
        <w:t>a</w:t>
      </w:r>
      <w:r w:rsidRPr="00EF04C5">
        <w:rPr>
          <w:rFonts w:ascii="Times New Roman" w:hAnsi="Times New Roman" w:cs="Times New Roman"/>
          <w:sz w:val="24"/>
          <w:szCs w:val="24"/>
        </w:rPr>
        <w:t>tes.</w:t>
      </w:r>
    </w:p>
    <w:p w14:paraId="7E3E0A3B" w14:textId="77777777" w:rsidR="00A25F8F" w:rsidRDefault="00A25F8F" w:rsidP="00A25F8F">
      <w:pPr>
        <w:jc w:val="both"/>
      </w:pPr>
      <w:r w:rsidRPr="00A25F8F">
        <w:rPr>
          <w:rFonts w:ascii="Times New Roman" w:hAnsi="Times New Roman" w:cs="Times New Roman"/>
          <w:noProof/>
          <w:sz w:val="24"/>
          <w:szCs w:val="24"/>
        </w:rPr>
        <w:lastRenderedPageBreak/>
        <w:drawing>
          <wp:inline distT="0" distB="0" distL="0" distR="0" wp14:anchorId="7266DF9C" wp14:editId="7A2AFC2C">
            <wp:extent cx="4071620" cy="2208362"/>
            <wp:effectExtent l="0" t="0" r="5080" b="1905"/>
            <wp:docPr id="1013766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3782" cy="2214958"/>
                    </a:xfrm>
                    <a:prstGeom prst="rect">
                      <a:avLst/>
                    </a:prstGeom>
                    <a:noFill/>
                    <a:ln>
                      <a:noFill/>
                    </a:ln>
                  </pic:spPr>
                </pic:pic>
              </a:graphicData>
            </a:graphic>
          </wp:inline>
        </w:drawing>
      </w:r>
    </w:p>
    <w:p w14:paraId="6F9D6A51" w14:textId="7A9B478E" w:rsidR="00A25F8F" w:rsidRDefault="00A25F8F" w:rsidP="00EF04C5">
      <w:pPr>
        <w:pStyle w:val="NoSpacing"/>
        <w:rPr>
          <w:rFonts w:ascii="Times New Roman" w:hAnsi="Times New Roman" w:cs="Times New Roman"/>
          <w:sz w:val="24"/>
          <w:szCs w:val="24"/>
        </w:rPr>
      </w:pPr>
      <w:r w:rsidRPr="00881106">
        <w:rPr>
          <w:rFonts w:ascii="Times New Roman" w:hAnsi="Times New Roman" w:cs="Times New Roman"/>
          <w:sz w:val="24"/>
          <w:szCs w:val="24"/>
        </w:rPr>
        <w:t xml:space="preserve">  </w:t>
      </w:r>
      <w:r w:rsidR="00881106" w:rsidRPr="00881106">
        <w:rPr>
          <w:rFonts w:ascii="Times New Roman" w:hAnsi="Times New Roman" w:cs="Times New Roman"/>
          <w:sz w:val="24"/>
          <w:szCs w:val="24"/>
        </w:rPr>
        <w:t xml:space="preserve">Fig </w:t>
      </w:r>
      <w:r w:rsidR="008A73B3">
        <w:rPr>
          <w:rFonts w:ascii="Times New Roman" w:hAnsi="Times New Roman" w:cs="Times New Roman"/>
          <w:sz w:val="24"/>
          <w:szCs w:val="24"/>
        </w:rPr>
        <w:t>6</w:t>
      </w:r>
      <w:r w:rsidR="00EF04C5" w:rsidRPr="00881106">
        <w:rPr>
          <w:rFonts w:ascii="Times New Roman" w:hAnsi="Times New Roman" w:cs="Times New Roman"/>
          <w:sz w:val="24"/>
          <w:szCs w:val="24"/>
        </w:rPr>
        <w:t xml:space="preserve">: </w:t>
      </w:r>
      <w:r w:rsidR="00EF04C5" w:rsidRPr="00EF04C5">
        <w:rPr>
          <w:rFonts w:ascii="Times New Roman" w:hAnsi="Times New Roman" w:cs="Times New Roman"/>
          <w:sz w:val="24"/>
          <w:szCs w:val="24"/>
        </w:rPr>
        <w:t>Heatmap showing distribution of virulence-associated genes across different sample sources.</w:t>
      </w:r>
      <w:r w:rsidR="00EF04C5">
        <w:rPr>
          <w:rFonts w:ascii="Times New Roman" w:hAnsi="Times New Roman" w:cs="Times New Roman"/>
          <w:sz w:val="24"/>
          <w:szCs w:val="24"/>
        </w:rPr>
        <w:t xml:space="preserve"> </w:t>
      </w:r>
      <w:r w:rsidRPr="00881106">
        <w:rPr>
          <w:rFonts w:ascii="Times New Roman" w:hAnsi="Times New Roman" w:cs="Times New Roman"/>
          <w:sz w:val="24"/>
          <w:szCs w:val="24"/>
        </w:rPr>
        <w:t>X-axis: Sample types (hands, knives, carcass, water, etc.</w:t>
      </w:r>
      <w:r w:rsidR="00EF04C5" w:rsidRPr="00881106">
        <w:rPr>
          <w:rFonts w:ascii="Times New Roman" w:hAnsi="Times New Roman" w:cs="Times New Roman"/>
          <w:sz w:val="24"/>
          <w:szCs w:val="24"/>
        </w:rPr>
        <w:t>), Y</w:t>
      </w:r>
      <w:r w:rsidRPr="00881106">
        <w:rPr>
          <w:rFonts w:ascii="Times New Roman" w:hAnsi="Times New Roman" w:cs="Times New Roman"/>
          <w:sz w:val="24"/>
          <w:szCs w:val="24"/>
        </w:rPr>
        <w:t>-axis: Virulence genes (</w:t>
      </w:r>
      <w:r w:rsidRPr="001428DA">
        <w:rPr>
          <w:rFonts w:ascii="Times New Roman" w:hAnsi="Times New Roman" w:cs="Times New Roman"/>
          <w:i/>
          <w:iCs/>
          <w:sz w:val="24"/>
          <w:szCs w:val="24"/>
        </w:rPr>
        <w:t>stx, cnf, omp, etc.</w:t>
      </w:r>
      <w:r w:rsidR="00EF04C5" w:rsidRPr="001428DA">
        <w:rPr>
          <w:rFonts w:ascii="Times New Roman" w:hAnsi="Times New Roman" w:cs="Times New Roman"/>
          <w:i/>
          <w:iCs/>
          <w:sz w:val="24"/>
          <w:szCs w:val="24"/>
        </w:rPr>
        <w:t>),</w:t>
      </w:r>
      <w:r w:rsidR="00EF04C5" w:rsidRPr="00881106">
        <w:rPr>
          <w:rFonts w:ascii="Times New Roman" w:hAnsi="Times New Roman" w:cs="Times New Roman"/>
          <w:sz w:val="24"/>
          <w:szCs w:val="24"/>
        </w:rPr>
        <w:t xml:space="preserve"> Color</w:t>
      </w:r>
      <w:r w:rsidRPr="00881106">
        <w:rPr>
          <w:rFonts w:ascii="Times New Roman" w:hAnsi="Times New Roman" w:cs="Times New Roman"/>
          <w:sz w:val="24"/>
          <w:szCs w:val="24"/>
        </w:rPr>
        <w:t>: prevalence %</w:t>
      </w:r>
      <w:r w:rsidR="00EF04C5">
        <w:rPr>
          <w:rFonts w:ascii="Times New Roman" w:hAnsi="Times New Roman" w:cs="Times New Roman"/>
          <w:sz w:val="24"/>
          <w:szCs w:val="24"/>
        </w:rPr>
        <w:t>.</w:t>
      </w:r>
    </w:p>
    <w:p w14:paraId="72312AC5" w14:textId="77777777" w:rsidR="00881106" w:rsidRPr="00881106" w:rsidRDefault="00881106" w:rsidP="00881106">
      <w:pPr>
        <w:jc w:val="both"/>
        <w:rPr>
          <w:rFonts w:ascii="Times New Roman" w:hAnsi="Times New Roman" w:cs="Times New Roman"/>
          <w:b/>
          <w:bCs/>
          <w:sz w:val="24"/>
          <w:szCs w:val="24"/>
        </w:rPr>
      </w:pPr>
      <w:r w:rsidRPr="00881106">
        <w:rPr>
          <w:rFonts w:ascii="Times New Roman" w:hAnsi="Times New Roman" w:cs="Times New Roman"/>
          <w:b/>
          <w:bCs/>
          <w:sz w:val="24"/>
          <w:szCs w:val="24"/>
        </w:rPr>
        <w:t xml:space="preserve">3.4 Phylogenetic Distribution of </w:t>
      </w:r>
      <w:r w:rsidRPr="00881106">
        <w:rPr>
          <w:rFonts w:ascii="Times New Roman" w:hAnsi="Times New Roman" w:cs="Times New Roman"/>
          <w:b/>
          <w:bCs/>
          <w:i/>
          <w:iCs/>
          <w:sz w:val="24"/>
          <w:szCs w:val="24"/>
        </w:rPr>
        <w:t>Escherichia coli</w:t>
      </w:r>
      <w:r w:rsidRPr="00881106">
        <w:rPr>
          <w:rFonts w:ascii="Times New Roman" w:hAnsi="Times New Roman" w:cs="Times New Roman"/>
          <w:b/>
          <w:bCs/>
          <w:sz w:val="24"/>
          <w:szCs w:val="24"/>
        </w:rPr>
        <w:t xml:space="preserve"> Isolates</w:t>
      </w:r>
    </w:p>
    <w:p w14:paraId="75D6D35A" w14:textId="589A57EE" w:rsidR="00881106" w:rsidRPr="00881106" w:rsidRDefault="00881106" w:rsidP="00881106">
      <w:pPr>
        <w:jc w:val="both"/>
        <w:rPr>
          <w:rFonts w:ascii="Times New Roman" w:hAnsi="Times New Roman" w:cs="Times New Roman"/>
          <w:sz w:val="24"/>
          <w:szCs w:val="24"/>
        </w:rPr>
      </w:pPr>
      <w:r w:rsidRPr="00881106">
        <w:rPr>
          <w:rFonts w:ascii="Times New Roman" w:hAnsi="Times New Roman" w:cs="Times New Roman"/>
          <w:sz w:val="24"/>
          <w:szCs w:val="24"/>
        </w:rPr>
        <w:t xml:space="preserve">All 105 confirmed </w:t>
      </w:r>
      <w:r w:rsidRPr="00881106">
        <w:rPr>
          <w:rFonts w:ascii="Times New Roman" w:hAnsi="Times New Roman" w:cs="Times New Roman"/>
          <w:i/>
          <w:iCs/>
          <w:sz w:val="24"/>
          <w:szCs w:val="24"/>
        </w:rPr>
        <w:t>Escherichia coli</w:t>
      </w:r>
      <w:r w:rsidRPr="00881106">
        <w:rPr>
          <w:rFonts w:ascii="Times New Roman" w:hAnsi="Times New Roman" w:cs="Times New Roman"/>
          <w:sz w:val="24"/>
          <w:szCs w:val="24"/>
        </w:rPr>
        <w:t xml:space="preserve"> isolates were successfully assigned to phylogenetic groups using the Clermont quadruplex PCR method.</w:t>
      </w:r>
      <w:r>
        <w:rPr>
          <w:rFonts w:ascii="Times New Roman" w:hAnsi="Times New Roman" w:cs="Times New Roman"/>
          <w:sz w:val="24"/>
          <w:szCs w:val="24"/>
        </w:rPr>
        <w:t xml:space="preserve"> </w:t>
      </w:r>
      <w:r w:rsidRPr="00881106">
        <w:rPr>
          <w:rFonts w:ascii="Times New Roman" w:hAnsi="Times New Roman" w:cs="Times New Roman"/>
          <w:sz w:val="24"/>
          <w:szCs w:val="24"/>
        </w:rPr>
        <w:t>Phylogroup B1 was the most predominant (38.1%), followed by phylogroup A (28.6%). Phylogroups associated with increased virulence—B2 (7.6%) and D (14.3%)—collectively accounted for 21.9% of isolates. Minor phylogroups (C, E, and F) constituted the remaining proportion (Table 8).</w:t>
      </w:r>
      <w:r>
        <w:rPr>
          <w:rFonts w:ascii="Times New Roman" w:hAnsi="Times New Roman" w:cs="Times New Roman"/>
          <w:sz w:val="24"/>
          <w:szCs w:val="24"/>
        </w:rPr>
        <w:t xml:space="preserve"> </w:t>
      </w:r>
      <w:r w:rsidRPr="00881106">
        <w:rPr>
          <w:rFonts w:ascii="Times New Roman" w:hAnsi="Times New Roman" w:cs="Times New Roman"/>
          <w:sz w:val="24"/>
          <w:szCs w:val="24"/>
        </w:rPr>
        <w:t>When grouped functionally, commensal/environment-associated phylogroups (A and B1) accounted for 66.7% of isolates, whereas virulence-associated phylogroups (B2 and D) represented 21.9%.</w:t>
      </w:r>
    </w:p>
    <w:p w14:paraId="3AC25434" w14:textId="77777777" w:rsidR="00287E95" w:rsidRPr="00F05709" w:rsidRDefault="00287E95" w:rsidP="00287E95">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8. Distribution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Phylogroups </w:t>
      </w:r>
      <w:r>
        <w:rPr>
          <w:rFonts w:ascii="Times New Roman" w:hAnsi="Times New Roman" w:cs="Times New Roman"/>
          <w:b/>
          <w:bCs/>
          <w:sz w:val="24"/>
          <w:szCs w:val="24"/>
        </w:rPr>
        <w:t>a</w:t>
      </w:r>
      <w:r w:rsidRPr="00F05709">
        <w:rPr>
          <w:rFonts w:ascii="Times New Roman" w:hAnsi="Times New Roman" w:cs="Times New Roman"/>
          <w:b/>
          <w:bCs/>
          <w:sz w:val="24"/>
          <w:szCs w:val="24"/>
        </w:rPr>
        <w:t>mong 105 Isolates</w:t>
      </w:r>
    </w:p>
    <w:p w14:paraId="4C252CC6" w14:textId="77777777" w:rsidR="00287E95" w:rsidRPr="00F05709" w:rsidRDefault="00287E95" w:rsidP="00287E95">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2"/>
        <w:gridCol w:w="1419"/>
        <w:gridCol w:w="1805"/>
      </w:tblGrid>
      <w:tr w:rsidR="00287E95" w:rsidRPr="00F05709" w14:paraId="20DB3A4B" w14:textId="77777777" w:rsidTr="00112E40">
        <w:tc>
          <w:tcPr>
            <w:tcW w:w="0" w:type="auto"/>
            <w:hideMark/>
          </w:tcPr>
          <w:p w14:paraId="4933989F"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w:t>
            </w:r>
          </w:p>
        </w:tc>
        <w:tc>
          <w:tcPr>
            <w:tcW w:w="0" w:type="auto"/>
            <w:hideMark/>
          </w:tcPr>
          <w:p w14:paraId="5B72ECCB"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Number (n)</w:t>
            </w:r>
          </w:p>
        </w:tc>
        <w:tc>
          <w:tcPr>
            <w:tcW w:w="0" w:type="auto"/>
            <w:hideMark/>
          </w:tcPr>
          <w:p w14:paraId="62F30A33"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Percentage (%)</w:t>
            </w:r>
          </w:p>
        </w:tc>
      </w:tr>
      <w:tr w:rsidR="00287E95" w:rsidRPr="00F05709" w14:paraId="1D62A344" w14:textId="77777777" w:rsidTr="00112E40">
        <w:tc>
          <w:tcPr>
            <w:tcW w:w="0" w:type="auto"/>
            <w:hideMark/>
          </w:tcPr>
          <w:p w14:paraId="15581B1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A</w:t>
            </w:r>
          </w:p>
        </w:tc>
        <w:tc>
          <w:tcPr>
            <w:tcW w:w="0" w:type="auto"/>
            <w:hideMark/>
          </w:tcPr>
          <w:p w14:paraId="70137AD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w:t>
            </w:r>
          </w:p>
        </w:tc>
        <w:tc>
          <w:tcPr>
            <w:tcW w:w="0" w:type="auto"/>
            <w:hideMark/>
          </w:tcPr>
          <w:p w14:paraId="365CB39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28.6</w:t>
            </w:r>
          </w:p>
        </w:tc>
      </w:tr>
      <w:tr w:rsidR="00287E95" w:rsidRPr="00F05709" w14:paraId="18AA9434" w14:textId="77777777" w:rsidTr="00112E40">
        <w:tc>
          <w:tcPr>
            <w:tcW w:w="0" w:type="auto"/>
            <w:hideMark/>
          </w:tcPr>
          <w:p w14:paraId="6C1E2165"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B1</w:t>
            </w:r>
          </w:p>
        </w:tc>
        <w:tc>
          <w:tcPr>
            <w:tcW w:w="0" w:type="auto"/>
            <w:hideMark/>
          </w:tcPr>
          <w:p w14:paraId="5AF41AA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40</w:t>
            </w:r>
          </w:p>
        </w:tc>
        <w:tc>
          <w:tcPr>
            <w:tcW w:w="0" w:type="auto"/>
            <w:hideMark/>
          </w:tcPr>
          <w:p w14:paraId="61AF2EF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38.1</w:t>
            </w:r>
          </w:p>
        </w:tc>
      </w:tr>
      <w:tr w:rsidR="00287E95" w:rsidRPr="00F05709" w14:paraId="1646EDB5" w14:textId="77777777" w:rsidTr="00112E40">
        <w:tc>
          <w:tcPr>
            <w:tcW w:w="0" w:type="auto"/>
            <w:hideMark/>
          </w:tcPr>
          <w:p w14:paraId="63043EC5"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B2</w:t>
            </w:r>
          </w:p>
        </w:tc>
        <w:tc>
          <w:tcPr>
            <w:tcW w:w="0" w:type="auto"/>
            <w:hideMark/>
          </w:tcPr>
          <w:p w14:paraId="34E8E807"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w:t>
            </w:r>
          </w:p>
        </w:tc>
        <w:tc>
          <w:tcPr>
            <w:tcW w:w="0" w:type="auto"/>
            <w:hideMark/>
          </w:tcPr>
          <w:p w14:paraId="661A33E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7.6</w:t>
            </w:r>
          </w:p>
        </w:tc>
      </w:tr>
      <w:tr w:rsidR="00287E95" w:rsidRPr="00F05709" w14:paraId="73D434CE" w14:textId="77777777" w:rsidTr="00112E40">
        <w:tc>
          <w:tcPr>
            <w:tcW w:w="0" w:type="auto"/>
            <w:hideMark/>
          </w:tcPr>
          <w:p w14:paraId="3A19EDBB"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C</w:t>
            </w:r>
          </w:p>
        </w:tc>
        <w:tc>
          <w:tcPr>
            <w:tcW w:w="0" w:type="auto"/>
            <w:hideMark/>
          </w:tcPr>
          <w:p w14:paraId="0FC1E28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1C1BDC0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w:t>
            </w:r>
          </w:p>
        </w:tc>
      </w:tr>
      <w:tr w:rsidR="00287E95" w:rsidRPr="00F05709" w14:paraId="79F6AF98" w14:textId="77777777" w:rsidTr="00112E40">
        <w:tc>
          <w:tcPr>
            <w:tcW w:w="0" w:type="auto"/>
            <w:hideMark/>
          </w:tcPr>
          <w:p w14:paraId="2EFABB3F"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D</w:t>
            </w:r>
          </w:p>
        </w:tc>
        <w:tc>
          <w:tcPr>
            <w:tcW w:w="0" w:type="auto"/>
            <w:hideMark/>
          </w:tcPr>
          <w:p w14:paraId="63EE35D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w:t>
            </w:r>
          </w:p>
        </w:tc>
        <w:tc>
          <w:tcPr>
            <w:tcW w:w="0" w:type="auto"/>
            <w:hideMark/>
          </w:tcPr>
          <w:p w14:paraId="4493ECF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14.3</w:t>
            </w:r>
          </w:p>
        </w:tc>
      </w:tr>
      <w:tr w:rsidR="00287E95" w:rsidRPr="00F05709" w14:paraId="3268C361" w14:textId="77777777" w:rsidTr="00112E40">
        <w:tc>
          <w:tcPr>
            <w:tcW w:w="0" w:type="auto"/>
            <w:hideMark/>
          </w:tcPr>
          <w:p w14:paraId="07BB61B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E</w:t>
            </w:r>
          </w:p>
        </w:tc>
        <w:tc>
          <w:tcPr>
            <w:tcW w:w="0" w:type="auto"/>
            <w:hideMark/>
          </w:tcPr>
          <w:p w14:paraId="3A9F865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14F2671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w:t>
            </w:r>
          </w:p>
        </w:tc>
      </w:tr>
      <w:tr w:rsidR="00287E95" w:rsidRPr="00F05709" w14:paraId="402951C1" w14:textId="77777777" w:rsidTr="00112E40">
        <w:tc>
          <w:tcPr>
            <w:tcW w:w="0" w:type="auto"/>
            <w:hideMark/>
          </w:tcPr>
          <w:p w14:paraId="781C2FA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F</w:t>
            </w:r>
          </w:p>
        </w:tc>
        <w:tc>
          <w:tcPr>
            <w:tcW w:w="0" w:type="auto"/>
            <w:hideMark/>
          </w:tcPr>
          <w:p w14:paraId="6C5D54E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538F6BD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2.9</w:t>
            </w:r>
          </w:p>
        </w:tc>
      </w:tr>
      <w:tr w:rsidR="00287E95" w:rsidRPr="00F05709" w14:paraId="35B15303" w14:textId="77777777" w:rsidTr="00112E40">
        <w:tc>
          <w:tcPr>
            <w:tcW w:w="0" w:type="auto"/>
            <w:hideMark/>
          </w:tcPr>
          <w:p w14:paraId="0C321E8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0" w:type="auto"/>
            <w:hideMark/>
          </w:tcPr>
          <w:p w14:paraId="79C8CF9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105</w:t>
            </w:r>
          </w:p>
        </w:tc>
        <w:tc>
          <w:tcPr>
            <w:tcW w:w="0" w:type="auto"/>
            <w:hideMark/>
          </w:tcPr>
          <w:p w14:paraId="27D1C64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100</w:t>
            </w:r>
          </w:p>
        </w:tc>
      </w:tr>
    </w:tbl>
    <w:p w14:paraId="6ECA682A" w14:textId="77777777" w:rsidR="00287E95" w:rsidRDefault="00287E95" w:rsidP="00287E95">
      <w:pPr>
        <w:pStyle w:val="NoSpacing"/>
        <w:jc w:val="both"/>
        <w:rPr>
          <w:rFonts w:ascii="Times New Roman" w:hAnsi="Times New Roman" w:cs="Times New Roman"/>
          <w:b/>
          <w:bCs/>
          <w:sz w:val="24"/>
          <w:szCs w:val="24"/>
        </w:rPr>
      </w:pPr>
    </w:p>
    <w:p w14:paraId="207CD4CD" w14:textId="77777777" w:rsidR="00287E95" w:rsidRPr="00287E95" w:rsidRDefault="00287E95" w:rsidP="00287E95">
      <w:pPr>
        <w:pStyle w:val="NoSpacing"/>
        <w:jc w:val="both"/>
        <w:rPr>
          <w:rFonts w:ascii="Times New Roman" w:hAnsi="Times New Roman" w:cs="Times New Roman"/>
          <w:b/>
          <w:bCs/>
          <w:sz w:val="24"/>
          <w:szCs w:val="24"/>
        </w:rPr>
      </w:pPr>
      <w:r w:rsidRPr="00287E95">
        <w:rPr>
          <w:rFonts w:ascii="Times New Roman" w:hAnsi="Times New Roman" w:cs="Times New Roman"/>
          <w:b/>
          <w:bCs/>
          <w:sz w:val="24"/>
          <w:szCs w:val="24"/>
        </w:rPr>
        <w:t>3.5 Distribution of Virulence Genes Across Phylogenetic Groups</w:t>
      </w:r>
    </w:p>
    <w:p w14:paraId="4AA7C947" w14:textId="2EAAEC1A" w:rsidR="00287E95" w:rsidRPr="00287E95" w:rsidRDefault="00287E95" w:rsidP="00287E95">
      <w:pPr>
        <w:pStyle w:val="NoSpacing"/>
        <w:jc w:val="both"/>
        <w:rPr>
          <w:rFonts w:ascii="Times New Roman" w:hAnsi="Times New Roman" w:cs="Times New Roman"/>
          <w:sz w:val="24"/>
          <w:szCs w:val="24"/>
        </w:rPr>
      </w:pPr>
      <w:r w:rsidRPr="00287E95">
        <w:rPr>
          <w:rFonts w:ascii="Times New Roman" w:hAnsi="Times New Roman" w:cs="Times New Roman"/>
          <w:sz w:val="24"/>
          <w:szCs w:val="24"/>
        </w:rPr>
        <w:t>Virulence genes were widely distributed across all phylogenetic groups (Table 9). No statistically significant association (p &gt; 0.05) was observed between phylogroup classification and the presence of most virulent genes.</w:t>
      </w:r>
      <w:r>
        <w:rPr>
          <w:rFonts w:ascii="Times New Roman" w:hAnsi="Times New Roman" w:cs="Times New Roman"/>
          <w:sz w:val="24"/>
          <w:szCs w:val="24"/>
        </w:rPr>
        <w:t xml:space="preserve"> </w:t>
      </w:r>
      <w:r w:rsidRPr="00287E95">
        <w:rPr>
          <w:rFonts w:ascii="Times New Roman" w:hAnsi="Times New Roman" w:cs="Times New Roman"/>
          <w:sz w:val="24"/>
          <w:szCs w:val="24"/>
        </w:rPr>
        <w:t xml:space="preserve">However, a higher frequency of </w:t>
      </w:r>
      <w:r w:rsidRPr="00287E95">
        <w:rPr>
          <w:rFonts w:ascii="Times New Roman" w:hAnsi="Times New Roman" w:cs="Times New Roman"/>
          <w:i/>
          <w:iCs/>
          <w:sz w:val="24"/>
          <w:szCs w:val="24"/>
        </w:rPr>
        <w:t>the cnf</w:t>
      </w:r>
      <w:r w:rsidRPr="00287E95">
        <w:rPr>
          <w:rFonts w:ascii="Times New Roman" w:hAnsi="Times New Roman" w:cs="Times New Roman"/>
          <w:sz w:val="24"/>
          <w:szCs w:val="24"/>
        </w:rPr>
        <w:t xml:space="preserve"> gene was observed among isolates belonging to pathogenic phylogroups (B2 and D), although this trend did not reach statistical significance.</w:t>
      </w:r>
      <w:r w:rsidR="00E15363">
        <w:rPr>
          <w:rFonts w:ascii="Times New Roman" w:hAnsi="Times New Roman" w:cs="Times New Roman"/>
          <w:sz w:val="24"/>
          <w:szCs w:val="24"/>
        </w:rPr>
        <w:t xml:space="preserve"> </w:t>
      </w:r>
      <w:r w:rsidRPr="00287E95">
        <w:rPr>
          <w:rFonts w:ascii="Times New Roman" w:hAnsi="Times New Roman" w:cs="Times New Roman"/>
          <w:sz w:val="24"/>
          <w:szCs w:val="24"/>
        </w:rPr>
        <w:t>These findings indicate that both commensal and pathogenic phylogroups contribute to the dissemination of virulent determinants within the slaughterhouse environment.</w:t>
      </w:r>
    </w:p>
    <w:p w14:paraId="4842E44F" w14:textId="77777777" w:rsidR="00287E95" w:rsidRDefault="00287E95" w:rsidP="00287E95">
      <w:pPr>
        <w:pStyle w:val="NoSpacing"/>
        <w:jc w:val="both"/>
        <w:rPr>
          <w:rFonts w:ascii="Times New Roman" w:hAnsi="Times New Roman" w:cs="Times New Roman"/>
          <w:b/>
          <w:bCs/>
          <w:sz w:val="24"/>
          <w:szCs w:val="24"/>
        </w:rPr>
      </w:pPr>
    </w:p>
    <w:p w14:paraId="660AF76F" w14:textId="77777777" w:rsidR="00287E95" w:rsidRPr="00F05709" w:rsidRDefault="00287E95" w:rsidP="00287E95">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lastRenderedPageBreak/>
        <w:t xml:space="preserve">Table 9: Distribution of virulent genes among phylogenetic groups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(n = 55)</w:t>
      </w:r>
    </w:p>
    <w:tbl>
      <w:tblPr>
        <w:tblStyle w:val="TableGrid"/>
        <w:tblW w:w="11520" w:type="dxa"/>
        <w:tblInd w:w="-995" w:type="dxa"/>
        <w:tblLook w:val="04A0" w:firstRow="1" w:lastRow="0" w:firstColumn="1" w:lastColumn="0" w:noHBand="0" w:noVBand="1"/>
      </w:tblPr>
      <w:tblGrid>
        <w:gridCol w:w="2145"/>
        <w:gridCol w:w="950"/>
        <w:gridCol w:w="987"/>
        <w:gridCol w:w="898"/>
        <w:gridCol w:w="898"/>
        <w:gridCol w:w="987"/>
        <w:gridCol w:w="936"/>
        <w:gridCol w:w="1303"/>
        <w:gridCol w:w="1252"/>
        <w:gridCol w:w="1164"/>
      </w:tblGrid>
      <w:tr w:rsidR="00287E95" w:rsidRPr="00F05709" w14:paraId="304254AA" w14:textId="77777777" w:rsidTr="00112E40">
        <w:tc>
          <w:tcPr>
            <w:tcW w:w="2159" w:type="dxa"/>
            <w:hideMark/>
          </w:tcPr>
          <w:p w14:paraId="4DC357FB" w14:textId="77777777" w:rsidR="00287E95" w:rsidRPr="00F05709" w:rsidRDefault="00287E95" w:rsidP="00112E40">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 Category</w:t>
            </w:r>
          </w:p>
        </w:tc>
        <w:tc>
          <w:tcPr>
            <w:tcW w:w="901" w:type="dxa"/>
            <w:hideMark/>
          </w:tcPr>
          <w:p w14:paraId="5A131F49"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No. of isolates</w:t>
            </w:r>
          </w:p>
        </w:tc>
        <w:tc>
          <w:tcPr>
            <w:tcW w:w="990" w:type="dxa"/>
            <w:hideMark/>
          </w:tcPr>
          <w:p w14:paraId="2AA40AF6"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eaeA n (%)</w:t>
            </w:r>
          </w:p>
        </w:tc>
        <w:tc>
          <w:tcPr>
            <w:tcW w:w="900" w:type="dxa"/>
            <w:hideMark/>
          </w:tcPr>
          <w:p w14:paraId="7245583B"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TraT n (%)</w:t>
            </w:r>
          </w:p>
        </w:tc>
        <w:tc>
          <w:tcPr>
            <w:tcW w:w="900" w:type="dxa"/>
            <w:hideMark/>
          </w:tcPr>
          <w:p w14:paraId="6956B99B"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omp n (%)</w:t>
            </w:r>
          </w:p>
        </w:tc>
        <w:tc>
          <w:tcPr>
            <w:tcW w:w="990" w:type="dxa"/>
            <w:hideMark/>
          </w:tcPr>
          <w:p w14:paraId="3F1B57FC"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bfp n (%)</w:t>
            </w:r>
          </w:p>
        </w:tc>
        <w:tc>
          <w:tcPr>
            <w:tcW w:w="938" w:type="dxa"/>
            <w:hideMark/>
          </w:tcPr>
          <w:p w14:paraId="170B2EDF"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stx n (%)</w:t>
            </w:r>
          </w:p>
        </w:tc>
        <w:tc>
          <w:tcPr>
            <w:tcW w:w="1312" w:type="dxa"/>
            <w:hideMark/>
          </w:tcPr>
          <w:p w14:paraId="2311F010"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EAST n (%)</w:t>
            </w:r>
          </w:p>
        </w:tc>
        <w:tc>
          <w:tcPr>
            <w:tcW w:w="1260" w:type="dxa"/>
            <w:hideMark/>
          </w:tcPr>
          <w:p w14:paraId="0233617F"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cnf n (%)</w:t>
            </w:r>
          </w:p>
        </w:tc>
        <w:tc>
          <w:tcPr>
            <w:tcW w:w="1170" w:type="dxa"/>
            <w:hideMark/>
          </w:tcPr>
          <w:p w14:paraId="082FE3C9" w14:textId="77777777" w:rsidR="00287E95" w:rsidRPr="007C271C" w:rsidRDefault="00287E95" w:rsidP="00112E40">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hly n (%)</w:t>
            </w:r>
          </w:p>
        </w:tc>
      </w:tr>
      <w:tr w:rsidR="00287E95" w:rsidRPr="00F05709" w14:paraId="613E8E69" w14:textId="77777777" w:rsidTr="00112E40">
        <w:tc>
          <w:tcPr>
            <w:tcW w:w="2159" w:type="dxa"/>
            <w:hideMark/>
          </w:tcPr>
          <w:p w14:paraId="7BB6C28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Commensal (A + B1)</w:t>
            </w:r>
          </w:p>
        </w:tc>
        <w:tc>
          <w:tcPr>
            <w:tcW w:w="901" w:type="dxa"/>
            <w:hideMark/>
          </w:tcPr>
          <w:p w14:paraId="2D51C29F"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22</w:t>
            </w:r>
          </w:p>
        </w:tc>
        <w:tc>
          <w:tcPr>
            <w:tcW w:w="990" w:type="dxa"/>
            <w:hideMark/>
          </w:tcPr>
          <w:p w14:paraId="34A41C83"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(9.1)</w:t>
            </w:r>
          </w:p>
        </w:tc>
        <w:tc>
          <w:tcPr>
            <w:tcW w:w="900" w:type="dxa"/>
            <w:hideMark/>
          </w:tcPr>
          <w:p w14:paraId="16E6A3C3"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 (68.2)</w:t>
            </w:r>
          </w:p>
        </w:tc>
        <w:tc>
          <w:tcPr>
            <w:tcW w:w="900" w:type="dxa"/>
            <w:hideMark/>
          </w:tcPr>
          <w:p w14:paraId="29251EF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20 (90.9)</w:t>
            </w:r>
          </w:p>
        </w:tc>
        <w:tc>
          <w:tcPr>
            <w:tcW w:w="990" w:type="dxa"/>
            <w:hideMark/>
          </w:tcPr>
          <w:p w14:paraId="1021F39A"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938" w:type="dxa"/>
            <w:hideMark/>
          </w:tcPr>
          <w:p w14:paraId="018B16D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 (63.6)</w:t>
            </w:r>
          </w:p>
        </w:tc>
        <w:tc>
          <w:tcPr>
            <w:tcW w:w="1312" w:type="dxa"/>
            <w:hideMark/>
          </w:tcPr>
          <w:p w14:paraId="4FF7086C"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(45.5)</w:t>
            </w:r>
          </w:p>
        </w:tc>
        <w:tc>
          <w:tcPr>
            <w:tcW w:w="1260" w:type="dxa"/>
            <w:hideMark/>
          </w:tcPr>
          <w:p w14:paraId="530AEF6D"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1170" w:type="dxa"/>
            <w:hideMark/>
          </w:tcPr>
          <w:p w14:paraId="659005E2"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(13.6)</w:t>
            </w:r>
          </w:p>
        </w:tc>
      </w:tr>
      <w:tr w:rsidR="00287E95" w:rsidRPr="00F05709" w14:paraId="01DFE159" w14:textId="77777777" w:rsidTr="00112E40">
        <w:tc>
          <w:tcPr>
            <w:tcW w:w="2159" w:type="dxa"/>
            <w:hideMark/>
          </w:tcPr>
          <w:p w14:paraId="37EA2DC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Pathogenic (B2 + D)</w:t>
            </w:r>
          </w:p>
        </w:tc>
        <w:tc>
          <w:tcPr>
            <w:tcW w:w="901" w:type="dxa"/>
            <w:hideMark/>
          </w:tcPr>
          <w:p w14:paraId="2DEB311E"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12</w:t>
            </w:r>
          </w:p>
        </w:tc>
        <w:tc>
          <w:tcPr>
            <w:tcW w:w="990" w:type="dxa"/>
            <w:hideMark/>
          </w:tcPr>
          <w:p w14:paraId="32C80F1C"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0 (0.0)</w:t>
            </w:r>
          </w:p>
        </w:tc>
        <w:tc>
          <w:tcPr>
            <w:tcW w:w="900" w:type="dxa"/>
            <w:hideMark/>
          </w:tcPr>
          <w:p w14:paraId="3FF87C6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7 (58.3)</w:t>
            </w:r>
          </w:p>
        </w:tc>
        <w:tc>
          <w:tcPr>
            <w:tcW w:w="900" w:type="dxa"/>
            <w:hideMark/>
          </w:tcPr>
          <w:p w14:paraId="3AC8CC4A"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(83.3)</w:t>
            </w:r>
          </w:p>
        </w:tc>
        <w:tc>
          <w:tcPr>
            <w:tcW w:w="990" w:type="dxa"/>
            <w:hideMark/>
          </w:tcPr>
          <w:p w14:paraId="4452030E"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938" w:type="dxa"/>
            <w:hideMark/>
          </w:tcPr>
          <w:p w14:paraId="194C179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(75.0)</w:t>
            </w:r>
          </w:p>
        </w:tc>
        <w:tc>
          <w:tcPr>
            <w:tcW w:w="1312" w:type="dxa"/>
            <w:hideMark/>
          </w:tcPr>
          <w:p w14:paraId="1730C33C"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1260" w:type="dxa"/>
            <w:hideMark/>
          </w:tcPr>
          <w:p w14:paraId="44BE990E"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(66.7)</w:t>
            </w:r>
          </w:p>
        </w:tc>
        <w:tc>
          <w:tcPr>
            <w:tcW w:w="1170" w:type="dxa"/>
            <w:hideMark/>
          </w:tcPr>
          <w:p w14:paraId="5F029A22"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(16.7)</w:t>
            </w:r>
          </w:p>
        </w:tc>
      </w:tr>
      <w:tr w:rsidR="00287E95" w:rsidRPr="00F05709" w14:paraId="48911E9B" w14:textId="77777777" w:rsidTr="00112E40">
        <w:tc>
          <w:tcPr>
            <w:tcW w:w="2159" w:type="dxa"/>
            <w:hideMark/>
          </w:tcPr>
          <w:p w14:paraId="04D4C264"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Minor (C + E + F)</w:t>
            </w:r>
          </w:p>
        </w:tc>
        <w:tc>
          <w:tcPr>
            <w:tcW w:w="901" w:type="dxa"/>
            <w:hideMark/>
          </w:tcPr>
          <w:p w14:paraId="71322C8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21</w:t>
            </w:r>
          </w:p>
        </w:tc>
        <w:tc>
          <w:tcPr>
            <w:tcW w:w="990" w:type="dxa"/>
            <w:hideMark/>
          </w:tcPr>
          <w:p w14:paraId="2CE227D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 (19.0)</w:t>
            </w:r>
          </w:p>
        </w:tc>
        <w:tc>
          <w:tcPr>
            <w:tcW w:w="900" w:type="dxa"/>
            <w:hideMark/>
          </w:tcPr>
          <w:p w14:paraId="7B1F760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(47.6)</w:t>
            </w:r>
          </w:p>
        </w:tc>
        <w:tc>
          <w:tcPr>
            <w:tcW w:w="900" w:type="dxa"/>
            <w:hideMark/>
          </w:tcPr>
          <w:p w14:paraId="01003F0B"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18 (85.7)</w:t>
            </w:r>
          </w:p>
        </w:tc>
        <w:tc>
          <w:tcPr>
            <w:tcW w:w="990" w:type="dxa"/>
            <w:hideMark/>
          </w:tcPr>
          <w:p w14:paraId="017F4192"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(42.9)</w:t>
            </w:r>
          </w:p>
        </w:tc>
        <w:tc>
          <w:tcPr>
            <w:tcW w:w="938" w:type="dxa"/>
            <w:hideMark/>
          </w:tcPr>
          <w:p w14:paraId="0A0336D7"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13 (61.9)</w:t>
            </w:r>
          </w:p>
        </w:tc>
        <w:tc>
          <w:tcPr>
            <w:tcW w:w="1312" w:type="dxa"/>
            <w:hideMark/>
          </w:tcPr>
          <w:p w14:paraId="385B88F1"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(38.1)</w:t>
            </w:r>
          </w:p>
        </w:tc>
        <w:tc>
          <w:tcPr>
            <w:tcW w:w="1260" w:type="dxa"/>
            <w:hideMark/>
          </w:tcPr>
          <w:p w14:paraId="2AA164E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(52.4)</w:t>
            </w:r>
          </w:p>
        </w:tc>
        <w:tc>
          <w:tcPr>
            <w:tcW w:w="1170" w:type="dxa"/>
            <w:hideMark/>
          </w:tcPr>
          <w:p w14:paraId="0CA8F37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(14.3)</w:t>
            </w:r>
          </w:p>
        </w:tc>
      </w:tr>
      <w:tr w:rsidR="00287E95" w:rsidRPr="00F05709" w14:paraId="37DD1210" w14:textId="77777777" w:rsidTr="00112E40">
        <w:tc>
          <w:tcPr>
            <w:tcW w:w="2159" w:type="dxa"/>
            <w:hideMark/>
          </w:tcPr>
          <w:p w14:paraId="024FFC4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901" w:type="dxa"/>
            <w:hideMark/>
          </w:tcPr>
          <w:p w14:paraId="518CD1DB"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990" w:type="dxa"/>
            <w:hideMark/>
          </w:tcPr>
          <w:p w14:paraId="225B97A7"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6 (10.9)</w:t>
            </w:r>
          </w:p>
        </w:tc>
        <w:tc>
          <w:tcPr>
            <w:tcW w:w="900" w:type="dxa"/>
            <w:hideMark/>
          </w:tcPr>
          <w:p w14:paraId="2ED5AB0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32 (58.2)</w:t>
            </w:r>
          </w:p>
        </w:tc>
        <w:tc>
          <w:tcPr>
            <w:tcW w:w="900" w:type="dxa"/>
            <w:hideMark/>
          </w:tcPr>
          <w:p w14:paraId="560ED85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 (87.3)</w:t>
            </w:r>
          </w:p>
        </w:tc>
        <w:tc>
          <w:tcPr>
            <w:tcW w:w="990" w:type="dxa"/>
            <w:hideMark/>
          </w:tcPr>
          <w:p w14:paraId="128EC00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25 (45.5)</w:t>
            </w:r>
          </w:p>
        </w:tc>
        <w:tc>
          <w:tcPr>
            <w:tcW w:w="938" w:type="dxa"/>
            <w:hideMark/>
          </w:tcPr>
          <w:p w14:paraId="09688889"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36 (65.5)</w:t>
            </w:r>
          </w:p>
        </w:tc>
        <w:tc>
          <w:tcPr>
            <w:tcW w:w="1312" w:type="dxa"/>
            <w:hideMark/>
          </w:tcPr>
          <w:p w14:paraId="0A4A9CA8"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23 (41.8)</w:t>
            </w:r>
          </w:p>
        </w:tc>
        <w:tc>
          <w:tcPr>
            <w:tcW w:w="1260" w:type="dxa"/>
            <w:hideMark/>
          </w:tcPr>
          <w:p w14:paraId="6B6884F0"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 (54.5)</w:t>
            </w:r>
          </w:p>
        </w:tc>
        <w:tc>
          <w:tcPr>
            <w:tcW w:w="1170" w:type="dxa"/>
            <w:hideMark/>
          </w:tcPr>
          <w:p w14:paraId="23C0D5F6" w14:textId="77777777" w:rsidR="00287E95" w:rsidRPr="00F05709" w:rsidRDefault="00287E95" w:rsidP="00112E40">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(14.5)</w:t>
            </w:r>
          </w:p>
        </w:tc>
      </w:tr>
    </w:tbl>
    <w:p w14:paraId="370AC588" w14:textId="77777777" w:rsidR="00287E95" w:rsidRPr="00F05709" w:rsidRDefault="00287E95" w:rsidP="00287E95">
      <w:pPr>
        <w:spacing w:line="240" w:lineRule="auto"/>
        <w:rPr>
          <w:rFonts w:ascii="Times New Roman" w:hAnsi="Times New Roman" w:cs="Times New Roman"/>
          <w:sz w:val="24"/>
          <w:szCs w:val="24"/>
        </w:rPr>
      </w:pPr>
      <w:r w:rsidRPr="00F05709">
        <w:rPr>
          <w:rFonts w:ascii="Times New Roman" w:hAnsi="Times New Roman" w:cs="Times New Roman"/>
          <w:sz w:val="24"/>
          <w:szCs w:val="24"/>
        </w:rPr>
        <w:t>Statistical test: Fisher’s Exact Test (Freeman–Halton extension)</w:t>
      </w:r>
      <w:r>
        <w:rPr>
          <w:rFonts w:ascii="Times New Roman" w:hAnsi="Times New Roman" w:cs="Times New Roman"/>
          <w:sz w:val="24"/>
          <w:szCs w:val="24"/>
        </w:rPr>
        <w:t xml:space="preserve">, </w:t>
      </w:r>
      <w:r w:rsidRPr="00F05709">
        <w:rPr>
          <w:rFonts w:ascii="Times New Roman" w:hAnsi="Times New Roman" w:cs="Times New Roman"/>
          <w:sz w:val="24"/>
          <w:szCs w:val="24"/>
        </w:rPr>
        <w:t xml:space="preserve">Significance level: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&lt; 0.05</w:t>
      </w:r>
    </w:p>
    <w:p w14:paraId="1CC3D54F" w14:textId="77777777" w:rsidR="00E15363" w:rsidRPr="00E15363" w:rsidRDefault="00E15363" w:rsidP="00E15363">
      <w:pPr>
        <w:jc w:val="both"/>
        <w:rPr>
          <w:rFonts w:ascii="Times New Roman" w:hAnsi="Times New Roman" w:cs="Times New Roman"/>
          <w:b/>
          <w:bCs/>
          <w:sz w:val="24"/>
          <w:szCs w:val="24"/>
        </w:rPr>
      </w:pPr>
      <w:r w:rsidRPr="00E15363">
        <w:rPr>
          <w:rFonts w:ascii="Times New Roman" w:hAnsi="Times New Roman" w:cs="Times New Roman"/>
          <w:b/>
          <w:bCs/>
          <w:sz w:val="24"/>
          <w:szCs w:val="24"/>
        </w:rPr>
        <w:t xml:space="preserve">3.6 Genetic Relatedness of </w:t>
      </w:r>
      <w:r w:rsidRPr="00E15363">
        <w:rPr>
          <w:rFonts w:ascii="Times New Roman" w:hAnsi="Times New Roman" w:cs="Times New Roman"/>
          <w:b/>
          <w:bCs/>
          <w:i/>
          <w:iCs/>
          <w:sz w:val="24"/>
          <w:szCs w:val="24"/>
        </w:rPr>
        <w:t>Escherichia coli</w:t>
      </w:r>
      <w:r w:rsidRPr="00E15363">
        <w:rPr>
          <w:rFonts w:ascii="Times New Roman" w:hAnsi="Times New Roman" w:cs="Times New Roman"/>
          <w:b/>
          <w:bCs/>
          <w:sz w:val="24"/>
          <w:szCs w:val="24"/>
        </w:rPr>
        <w:t xml:space="preserve"> Isolates</w:t>
      </w:r>
    </w:p>
    <w:p w14:paraId="1FDB0B79" w14:textId="40D9A8FF" w:rsidR="00E15363" w:rsidRP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 xml:space="preserve">UPGMA cluster analysis of 15 selected isolates revealed five clusters and one singleton at a similarity threshold of 80% (Figure </w:t>
      </w:r>
      <w:r w:rsidR="008A73B3">
        <w:rPr>
          <w:rFonts w:ascii="Times New Roman" w:hAnsi="Times New Roman" w:cs="Times New Roman"/>
          <w:sz w:val="24"/>
          <w:szCs w:val="24"/>
        </w:rPr>
        <w:t>7</w:t>
      </w:r>
      <w:r w:rsidRPr="00E15363">
        <w:rPr>
          <w:rFonts w:ascii="Times New Roman" w:hAnsi="Times New Roman" w:cs="Times New Roman"/>
          <w:sz w:val="24"/>
          <w:szCs w:val="24"/>
        </w:rPr>
        <w:t>).</w:t>
      </w:r>
    </w:p>
    <w:p w14:paraId="3153D748" w14:textId="77777777" w:rsidR="00E15363" w:rsidRP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Clusters comprised isolates originating from multiple sources, including carcasses, effluent, washing water, and contact surfaces. For example:</w:t>
      </w:r>
    </w:p>
    <w:p w14:paraId="7876B314" w14:textId="77777777" w:rsidR="00E15363" w:rsidRPr="00E15363" w:rsidRDefault="00E15363" w:rsidP="00E15363">
      <w:pPr>
        <w:numPr>
          <w:ilvl w:val="0"/>
          <w:numId w:val="6"/>
        </w:numPr>
        <w:jc w:val="both"/>
        <w:rPr>
          <w:rFonts w:ascii="Times New Roman" w:hAnsi="Times New Roman" w:cs="Times New Roman"/>
          <w:sz w:val="24"/>
          <w:szCs w:val="24"/>
        </w:rPr>
      </w:pPr>
      <w:r w:rsidRPr="00E15363">
        <w:rPr>
          <w:rFonts w:ascii="Times New Roman" w:hAnsi="Times New Roman" w:cs="Times New Roman"/>
          <w:sz w:val="24"/>
          <w:szCs w:val="24"/>
        </w:rPr>
        <w:t xml:space="preserve">Cluster 2 included isolates from both effluent and carcasses </w:t>
      </w:r>
    </w:p>
    <w:p w14:paraId="7CC102DE" w14:textId="77777777" w:rsidR="00E15363" w:rsidRPr="00E15363" w:rsidRDefault="00E15363" w:rsidP="00E15363">
      <w:pPr>
        <w:numPr>
          <w:ilvl w:val="0"/>
          <w:numId w:val="6"/>
        </w:numPr>
        <w:jc w:val="both"/>
        <w:rPr>
          <w:rFonts w:ascii="Times New Roman" w:hAnsi="Times New Roman" w:cs="Times New Roman"/>
          <w:sz w:val="24"/>
          <w:szCs w:val="24"/>
        </w:rPr>
      </w:pPr>
      <w:r w:rsidRPr="00E15363">
        <w:rPr>
          <w:rFonts w:ascii="Times New Roman" w:hAnsi="Times New Roman" w:cs="Times New Roman"/>
          <w:sz w:val="24"/>
          <w:szCs w:val="24"/>
        </w:rPr>
        <w:t xml:space="preserve">Cluster 5 contained isolates from carcasses, knives, and effluent </w:t>
      </w:r>
    </w:p>
    <w:p w14:paraId="49803E49" w14:textId="32E4BF24" w:rsid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This clustering pattern suggests genetic relatedness across different sample types, supporting the occurrence of cross-contamination within the slaughterhouse environment.</w:t>
      </w:r>
    </w:p>
    <w:p w14:paraId="2D6A91E9" w14:textId="77777777" w:rsidR="00E15363" w:rsidRPr="00F05709" w:rsidRDefault="00E15363" w:rsidP="00E15363">
      <w:pPr>
        <w:spacing w:line="240" w:lineRule="auto"/>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178F709E" wp14:editId="524F3FC4">
            <wp:extent cx="5401945" cy="5702060"/>
            <wp:effectExtent l="0" t="0" r="8255" b="0"/>
            <wp:docPr id="1500941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62"/>
                    <a:stretch>
                      <a:fillRect/>
                    </a:stretch>
                  </pic:blipFill>
                  <pic:spPr bwMode="auto">
                    <a:xfrm>
                      <a:off x="0" y="0"/>
                      <a:ext cx="5402580" cy="5702730"/>
                    </a:xfrm>
                    <a:prstGeom prst="rect">
                      <a:avLst/>
                    </a:prstGeom>
                    <a:noFill/>
                    <a:ln>
                      <a:noFill/>
                    </a:ln>
                    <a:extLst>
                      <a:ext uri="{53640926-AAD7-44D8-BBD7-CCE9431645EC}">
                        <a14:shadowObscured xmlns:a14="http://schemas.microsoft.com/office/drawing/2010/main"/>
                      </a:ext>
                    </a:extLst>
                  </pic:spPr>
                </pic:pic>
              </a:graphicData>
            </a:graphic>
          </wp:inline>
        </w:drawing>
      </w:r>
    </w:p>
    <w:p w14:paraId="6C6C7348" w14:textId="69B5ECC9" w:rsidR="00E15363" w:rsidRPr="00F05709" w:rsidRDefault="00E15363" w:rsidP="00E15363">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Figure </w:t>
      </w:r>
      <w:r w:rsidR="008A73B3">
        <w:rPr>
          <w:rFonts w:ascii="Times New Roman" w:hAnsi="Times New Roman" w:cs="Times New Roman"/>
          <w:b/>
          <w:bCs/>
          <w:sz w:val="24"/>
          <w:szCs w:val="24"/>
        </w:rPr>
        <w:t>7</w:t>
      </w:r>
      <w:r w:rsidRPr="00F05709">
        <w:rPr>
          <w:rFonts w:ascii="Times New Roman" w:hAnsi="Times New Roman" w:cs="Times New Roman"/>
          <w:b/>
          <w:bCs/>
          <w:sz w:val="24"/>
          <w:szCs w:val="24"/>
        </w:rPr>
        <w:t xml:space="preserve">. UPGMA dendrogram showing clustering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from Gwagwalada and Dei-Dei slaughterhouses at 80% similarity cut-off.</w:t>
      </w:r>
    </w:p>
    <w:p w14:paraId="57E25BF9" w14:textId="77777777" w:rsidR="00E15363" w:rsidRPr="00E15363" w:rsidRDefault="00E15363" w:rsidP="00E15363">
      <w:pPr>
        <w:jc w:val="both"/>
        <w:rPr>
          <w:rFonts w:ascii="Times New Roman" w:hAnsi="Times New Roman" w:cs="Times New Roman"/>
          <w:b/>
          <w:bCs/>
          <w:sz w:val="24"/>
          <w:szCs w:val="24"/>
        </w:rPr>
      </w:pPr>
      <w:r w:rsidRPr="00E15363">
        <w:rPr>
          <w:rFonts w:ascii="Times New Roman" w:hAnsi="Times New Roman" w:cs="Times New Roman"/>
          <w:b/>
          <w:bCs/>
          <w:sz w:val="24"/>
          <w:szCs w:val="24"/>
        </w:rPr>
        <w:t>3.7 Proposed Transmission Pathways in the Slaughterhouse</w:t>
      </w:r>
    </w:p>
    <w:p w14:paraId="711FAE29" w14:textId="029A6449" w:rsidR="00E15363" w:rsidRDefault="00E15363" w:rsidP="00E15363">
      <w:pPr>
        <w:jc w:val="both"/>
        <w:rPr>
          <w:rFonts w:ascii="Times New Roman" w:hAnsi="Times New Roman" w:cs="Times New Roman"/>
          <w:sz w:val="24"/>
          <w:szCs w:val="24"/>
        </w:rPr>
      </w:pPr>
      <w:r w:rsidRPr="00E15363">
        <w:rPr>
          <w:rFonts w:ascii="Times New Roman" w:hAnsi="Times New Roman" w:cs="Times New Roman"/>
          <w:sz w:val="24"/>
          <w:szCs w:val="24"/>
        </w:rPr>
        <w:t>The schematic diagram (Fig</w:t>
      </w:r>
      <w:r w:rsidR="00EF04C5">
        <w:rPr>
          <w:rFonts w:ascii="Times New Roman" w:hAnsi="Times New Roman" w:cs="Times New Roman"/>
          <w:sz w:val="24"/>
          <w:szCs w:val="24"/>
        </w:rPr>
        <w:t xml:space="preserve"> </w:t>
      </w:r>
      <w:r w:rsidR="008A73B3">
        <w:rPr>
          <w:rFonts w:ascii="Times New Roman" w:hAnsi="Times New Roman" w:cs="Times New Roman"/>
          <w:sz w:val="24"/>
          <w:szCs w:val="24"/>
        </w:rPr>
        <w:t>8</w:t>
      </w:r>
      <w:r w:rsidRPr="00E15363">
        <w:rPr>
          <w:rFonts w:ascii="Times New Roman" w:hAnsi="Times New Roman" w:cs="Times New Roman"/>
          <w:sz w:val="24"/>
          <w:szCs w:val="24"/>
        </w:rPr>
        <w:t xml:space="preserve">) illustrates potential transmission pathways of </w:t>
      </w:r>
      <w:r w:rsidRPr="00E15363">
        <w:rPr>
          <w:rFonts w:ascii="Times New Roman" w:hAnsi="Times New Roman" w:cs="Times New Roman"/>
          <w:i/>
          <w:iCs/>
          <w:sz w:val="24"/>
          <w:szCs w:val="24"/>
        </w:rPr>
        <w:t>Escherichia coli</w:t>
      </w:r>
      <w:r w:rsidRPr="00E15363">
        <w:rPr>
          <w:rFonts w:ascii="Times New Roman" w:hAnsi="Times New Roman" w:cs="Times New Roman"/>
          <w:sz w:val="24"/>
          <w:szCs w:val="24"/>
        </w:rPr>
        <w:t xml:space="preserve"> within the abattoir environment.</w:t>
      </w:r>
      <w:r w:rsidR="0087422B">
        <w:rPr>
          <w:rFonts w:ascii="Times New Roman" w:hAnsi="Times New Roman" w:cs="Times New Roman"/>
          <w:sz w:val="24"/>
          <w:szCs w:val="24"/>
        </w:rPr>
        <w:t xml:space="preserve"> </w:t>
      </w:r>
      <w:r w:rsidRPr="00E15363">
        <w:rPr>
          <w:rFonts w:ascii="Times New Roman" w:hAnsi="Times New Roman" w:cs="Times New Roman"/>
          <w:sz w:val="24"/>
          <w:szCs w:val="24"/>
        </w:rPr>
        <w:t>Contamination likely originates from live animals and spreads to carcasses during processing. Subsequent cross-contamination occurs via contact with slaughterhouse workers’ hands, knives, and equipment, with further dissemination to environmental reservoirs such as floors, effluent systems, and water sources.</w:t>
      </w:r>
    </w:p>
    <w:p w14:paraId="646E84B7" w14:textId="77777777" w:rsidR="00737CB1" w:rsidRDefault="00737CB1" w:rsidP="00E15363">
      <w:pPr>
        <w:jc w:val="both"/>
        <w:rPr>
          <w:rFonts w:ascii="Times New Roman" w:hAnsi="Times New Roman" w:cs="Times New Roman"/>
          <w:sz w:val="24"/>
          <w:szCs w:val="24"/>
        </w:rPr>
      </w:pPr>
    </w:p>
    <w:p w14:paraId="6243E2DB" w14:textId="77777777" w:rsidR="00737CB1" w:rsidRPr="00E15363" w:rsidRDefault="00737CB1" w:rsidP="00E15363">
      <w:pPr>
        <w:jc w:val="both"/>
        <w:rPr>
          <w:rFonts w:ascii="Times New Roman" w:hAnsi="Times New Roman" w:cs="Times New Roman"/>
          <w:sz w:val="24"/>
          <w:szCs w:val="24"/>
        </w:rPr>
      </w:pPr>
    </w:p>
    <w:p w14:paraId="006CDD94" w14:textId="5C08C763"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lastRenderedPageBreak/>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p>
    <w:p w14:paraId="6B7D2AC3" w14:textId="004E3D6C"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   LIVE CATTLE │</w:t>
      </w:r>
    </w:p>
    <w:p w14:paraId="3BDE7D4B" w14:textId="46B1F768"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61796E66" w14:textId="48457406"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p>
    <w:p w14:paraId="0A8D3C30"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674ABDF3"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3965FC2D" w14:textId="24F6AD0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CARCASS     │</w:t>
      </w:r>
    </w:p>
    <w:p w14:paraId="18882F94" w14:textId="2FEBF3C8"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B960374"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050F45F2"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5FB0F5C"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                                   ▼</w:t>
      </w:r>
    </w:p>
    <w:p w14:paraId="7B8909F8"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  ┌────────────┐</w:t>
      </w:r>
    </w:p>
    <w:p w14:paraId="53506F38" w14:textId="2658B259"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HANDS │             │ KNIVES │   │ WHEELBARROW</w:t>
      </w:r>
    </w:p>
    <w:p w14:paraId="4FC7A88F"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99A6166"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                              │</w:t>
      </w:r>
    </w:p>
    <w:p w14:paraId="72974BA9"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13E88C8"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w:t>
      </w:r>
    </w:p>
    <w:p w14:paraId="47123A32"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214F6C54"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GROUND      │</w:t>
      </w:r>
    </w:p>
    <w:p w14:paraId="7EFB9606"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14B75746"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589BCBE7"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6BEA54F3"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          EFFLUENT    │</w:t>
      </w:r>
    </w:p>
    <w:p w14:paraId="17C9EE08"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Pr="00737CB1">
        <w:rPr>
          <w:rFonts w:ascii="Times New Roman" w:eastAsia="MS Gothic" w:hAnsi="Times New Roman" w:cs="Times New Roman"/>
          <w:sz w:val="16"/>
          <w:szCs w:val="16"/>
        </w:rPr>
        <w:t>┬</w:t>
      </w:r>
      <w:r w:rsidRPr="00737CB1">
        <w:rPr>
          <w:rFonts w:ascii="Times New Roman" w:hAnsi="Times New Roman" w:cs="Times New Roman"/>
          <w:sz w:val="16"/>
          <w:szCs w:val="16"/>
        </w:rPr>
        <w:t>────────┘</w:t>
      </w:r>
    </w:p>
    <w:p w14:paraId="38BD7735" w14:textId="77777777"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p>
    <w:p w14:paraId="5792FEF9" w14:textId="761FE900"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w:t>
      </w:r>
    </w:p>
    <w:p w14:paraId="3D4C84AD" w14:textId="6AF5EBBD" w:rsidR="0087422B" w:rsidRPr="00737CB1" w:rsidRDefault="0087422B" w:rsidP="00737CB1">
      <w:pPr>
        <w:pStyle w:val="NoSpacing"/>
        <w:rPr>
          <w:rFonts w:ascii="Times New Roman" w:hAnsi="Times New Roman" w:cs="Times New Roman"/>
          <w:sz w:val="16"/>
          <w:szCs w:val="16"/>
        </w:rPr>
      </w:pPr>
      <w:r w:rsidRPr="00737CB1">
        <w:rPr>
          <w:rFonts w:ascii="Times New Roman" w:hAnsi="Times New Roman" w:cs="Times New Roman"/>
          <w:sz w:val="16"/>
          <w:szCs w:val="16"/>
        </w:rPr>
        <w:t xml:space="preserve">      </w:t>
      </w:r>
      <w:r w:rsidR="00737CB1" w:rsidRPr="00737CB1">
        <w:rPr>
          <w:rFonts w:ascii="Times New Roman" w:hAnsi="Times New Roman" w:cs="Times New Roman"/>
          <w:sz w:val="16"/>
          <w:szCs w:val="16"/>
        </w:rPr>
        <w:t xml:space="preserve"> </w:t>
      </w:r>
      <w:r w:rsidRPr="00737CB1">
        <w:rPr>
          <w:rFonts w:ascii="Times New Roman" w:hAnsi="Times New Roman" w:cs="Times New Roman"/>
          <w:sz w:val="16"/>
          <w:szCs w:val="16"/>
        </w:rPr>
        <w:t xml:space="preserve">      │ WATER SOURCE │</w:t>
      </w:r>
    </w:p>
    <w:p w14:paraId="3B8AC21B" w14:textId="002021D1" w:rsidR="0087422B" w:rsidRPr="00737CB1" w:rsidRDefault="0087422B" w:rsidP="00737CB1">
      <w:pPr>
        <w:pStyle w:val="NoSpacing"/>
        <w:rPr>
          <w:rFonts w:ascii="Times New Roman" w:hAnsi="Times New Roman" w:cs="Times New Roman"/>
        </w:rPr>
      </w:pPr>
      <w:r w:rsidRPr="00737CB1">
        <w:rPr>
          <w:rFonts w:ascii="Times New Roman" w:hAnsi="Times New Roman" w:cs="Times New Roman"/>
        </w:rPr>
        <w:t xml:space="preserve"> </w:t>
      </w:r>
      <w:r w:rsidR="00737CB1" w:rsidRPr="00737CB1">
        <w:rPr>
          <w:rFonts w:ascii="Times New Roman" w:hAnsi="Times New Roman" w:cs="Times New Roman"/>
        </w:rPr>
        <w:t xml:space="preserve">  </w:t>
      </w:r>
      <w:r w:rsidRPr="00737CB1">
        <w:rPr>
          <w:rFonts w:ascii="Times New Roman" w:hAnsi="Times New Roman" w:cs="Times New Roman"/>
        </w:rPr>
        <w:t xml:space="preserve">  └───────────────┘</w:t>
      </w:r>
    </w:p>
    <w:p w14:paraId="554556CE" w14:textId="1C6A8F09" w:rsidR="0087422B" w:rsidRDefault="0087422B" w:rsidP="0087422B">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Fig</w:t>
      </w:r>
      <w:r w:rsidR="008A73B3">
        <w:rPr>
          <w:rFonts w:ascii="Times New Roman" w:hAnsi="Times New Roman" w:cs="Times New Roman"/>
          <w:b/>
          <w:bCs/>
          <w:sz w:val="20"/>
          <w:szCs w:val="20"/>
        </w:rPr>
        <w:t xml:space="preserve"> 8</w:t>
      </w:r>
      <w:r w:rsidRPr="007E5A72">
        <w:rPr>
          <w:rFonts w:ascii="Times New Roman" w:hAnsi="Times New Roman" w:cs="Times New Roman"/>
          <w:b/>
          <w:bCs/>
          <w:sz w:val="20"/>
          <w:szCs w:val="20"/>
        </w:rPr>
        <w:t>: Transmission Pathways in the Abattoir</w:t>
      </w:r>
    </w:p>
    <w:p w14:paraId="7FA30BCF" w14:textId="77777777" w:rsidR="00EF04C5" w:rsidRPr="007E5A72" w:rsidRDefault="00EF04C5" w:rsidP="0087422B">
      <w:pPr>
        <w:spacing w:line="240" w:lineRule="auto"/>
        <w:jc w:val="both"/>
        <w:rPr>
          <w:rFonts w:ascii="Times New Roman" w:hAnsi="Times New Roman" w:cs="Times New Roman"/>
          <w:b/>
          <w:bCs/>
          <w:sz w:val="20"/>
          <w:szCs w:val="20"/>
        </w:rPr>
      </w:pPr>
    </w:p>
    <w:p w14:paraId="0EC3C167"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DISCUSSION</w:t>
      </w:r>
    </w:p>
    <w:p w14:paraId="06DF3A81"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This study provides comprehensive insights into the molecular epidemiology and virulence potential of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isolated from cattle carcasses and slaughterhouse environments in Abuja, Nigeria. By integrating phylogenetic classification with virulence gene profiling, the study offers a more nuanced understanding of the ecological distribution and pathogenic potential of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within abattoir settings.</w:t>
      </w:r>
    </w:p>
    <w:p w14:paraId="3CD40F2D" w14:textId="6CD8D3F6"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predominance of phylogroups A and B1 observed in this study is consistent with previous reports identifying these groups as primarily commensal and environmentally associated strains (2</w:t>
      </w:r>
      <w:r w:rsidR="001428DA">
        <w:rPr>
          <w:rFonts w:ascii="Times New Roman" w:hAnsi="Times New Roman" w:cs="Times New Roman"/>
          <w:sz w:val="24"/>
          <w:szCs w:val="24"/>
        </w:rPr>
        <w:t>7</w:t>
      </w:r>
      <w:r w:rsidRPr="00D25015">
        <w:rPr>
          <w:rFonts w:ascii="Times New Roman" w:hAnsi="Times New Roman" w:cs="Times New Roman"/>
          <w:sz w:val="24"/>
          <w:szCs w:val="24"/>
        </w:rPr>
        <w:t>, 2</w:t>
      </w:r>
      <w:r w:rsidR="001428DA">
        <w:rPr>
          <w:rFonts w:ascii="Times New Roman" w:hAnsi="Times New Roman" w:cs="Times New Roman"/>
          <w:sz w:val="24"/>
          <w:szCs w:val="24"/>
        </w:rPr>
        <w:t>8</w:t>
      </w:r>
      <w:r w:rsidRPr="00D25015">
        <w:rPr>
          <w:rFonts w:ascii="Times New Roman" w:hAnsi="Times New Roman" w:cs="Times New Roman"/>
          <w:sz w:val="24"/>
          <w:szCs w:val="24"/>
        </w:rPr>
        <w:t xml:space="preserve">). However, the detection of virulence-associated phylogroups B2 and D, which together </w:t>
      </w:r>
      <w:r w:rsidR="00970D15" w:rsidRPr="00D25015">
        <w:rPr>
          <w:rFonts w:ascii="Times New Roman" w:hAnsi="Times New Roman" w:cs="Times New Roman"/>
          <w:sz w:val="24"/>
          <w:szCs w:val="24"/>
        </w:rPr>
        <w:t>account</w:t>
      </w:r>
      <w:r w:rsidRPr="00D25015">
        <w:rPr>
          <w:rFonts w:ascii="Times New Roman" w:hAnsi="Times New Roman" w:cs="Times New Roman"/>
          <w:sz w:val="24"/>
          <w:szCs w:val="24"/>
        </w:rPr>
        <w:t xml:space="preserve"> for 21.9% of isolates, is of considerable public health importance. These phylogroups are well documented to be associated with extraintestinal pathogenic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(ExPEC), which </w:t>
      </w:r>
      <w:r w:rsidR="00970D15" w:rsidRPr="00D25015">
        <w:rPr>
          <w:rFonts w:ascii="Times New Roman" w:hAnsi="Times New Roman" w:cs="Times New Roman"/>
          <w:sz w:val="24"/>
          <w:szCs w:val="24"/>
        </w:rPr>
        <w:t>can cause</w:t>
      </w:r>
      <w:r w:rsidRPr="00D25015">
        <w:rPr>
          <w:rFonts w:ascii="Times New Roman" w:hAnsi="Times New Roman" w:cs="Times New Roman"/>
          <w:sz w:val="24"/>
          <w:szCs w:val="24"/>
        </w:rPr>
        <w:t xml:space="preserve"> severe infections in humans, including urinary tract infections, septicemia, and neonatal meningitis (</w:t>
      </w:r>
      <w:r w:rsidR="001428DA">
        <w:rPr>
          <w:rFonts w:ascii="Times New Roman" w:hAnsi="Times New Roman" w:cs="Times New Roman"/>
          <w:sz w:val="24"/>
          <w:szCs w:val="24"/>
        </w:rPr>
        <w:t>4</w:t>
      </w:r>
      <w:r w:rsidRPr="00D25015">
        <w:rPr>
          <w:rFonts w:ascii="Times New Roman" w:hAnsi="Times New Roman" w:cs="Times New Roman"/>
          <w:sz w:val="24"/>
          <w:szCs w:val="24"/>
        </w:rPr>
        <w:t xml:space="preserve">, </w:t>
      </w:r>
      <w:r w:rsidR="001428DA">
        <w:rPr>
          <w:rFonts w:ascii="Times New Roman" w:hAnsi="Times New Roman" w:cs="Times New Roman"/>
          <w:sz w:val="24"/>
          <w:szCs w:val="24"/>
        </w:rPr>
        <w:t>29</w:t>
      </w:r>
      <w:r w:rsidRPr="00D25015">
        <w:rPr>
          <w:rFonts w:ascii="Times New Roman" w:hAnsi="Times New Roman" w:cs="Times New Roman"/>
          <w:sz w:val="24"/>
          <w:szCs w:val="24"/>
        </w:rPr>
        <w:t>).</w:t>
      </w:r>
    </w:p>
    <w:p w14:paraId="2E57008C" w14:textId="1176318D"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A key finding of this study is the widespread distribution of virulence genes across all phylogenetic groups, with no statistically significant association observed between phylogroup and virulence gene presence. This suggests that virulence determinants are not confined to traditionally pathogenic lineages. Rather, it supports the role of horizontal gene transfer in facilitating the dissemination of virulence factors across diverse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populations within the slaughterhouse environment (</w:t>
      </w:r>
      <w:r w:rsidR="001428DA">
        <w:rPr>
          <w:rFonts w:ascii="Times New Roman" w:hAnsi="Times New Roman" w:cs="Times New Roman"/>
          <w:sz w:val="24"/>
          <w:szCs w:val="24"/>
        </w:rPr>
        <w:t>30</w:t>
      </w:r>
      <w:r w:rsidRPr="00D25015">
        <w:rPr>
          <w:rFonts w:ascii="Times New Roman" w:hAnsi="Times New Roman" w:cs="Times New Roman"/>
          <w:sz w:val="24"/>
          <w:szCs w:val="24"/>
        </w:rPr>
        <w:t xml:space="preserve">). Consequently, commensal and environmental strains may serve as reservoirs of </w:t>
      </w:r>
      <w:r w:rsidR="00970D15" w:rsidRPr="00D25015">
        <w:rPr>
          <w:rFonts w:ascii="Times New Roman" w:hAnsi="Times New Roman" w:cs="Times New Roman"/>
          <w:sz w:val="24"/>
          <w:szCs w:val="24"/>
        </w:rPr>
        <w:t>virulent</w:t>
      </w:r>
      <w:r w:rsidRPr="00D25015">
        <w:rPr>
          <w:rFonts w:ascii="Times New Roman" w:hAnsi="Times New Roman" w:cs="Times New Roman"/>
          <w:sz w:val="24"/>
          <w:szCs w:val="24"/>
        </w:rPr>
        <w:t xml:space="preserve"> genes, thereby contributing to the emergence of pathogenic variants.</w:t>
      </w:r>
    </w:p>
    <w:p w14:paraId="5ABCD479" w14:textId="0697B70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lastRenderedPageBreak/>
        <w:t xml:space="preserve">Of particular concern is the high prevalence of critical virulence genes, notably </w:t>
      </w:r>
      <w:r w:rsidRPr="00D25015">
        <w:rPr>
          <w:rFonts w:ascii="Times New Roman" w:hAnsi="Times New Roman" w:cs="Times New Roman"/>
          <w:b/>
          <w:bCs/>
          <w:sz w:val="24"/>
          <w:szCs w:val="24"/>
        </w:rPr>
        <w:t>stx (72.7%)</w:t>
      </w:r>
      <w:r w:rsidRPr="00D25015">
        <w:rPr>
          <w:rFonts w:ascii="Times New Roman" w:hAnsi="Times New Roman" w:cs="Times New Roman"/>
          <w:sz w:val="24"/>
          <w:szCs w:val="24"/>
        </w:rPr>
        <w:t xml:space="preserve">, </w:t>
      </w:r>
      <w:r w:rsidRPr="00D25015">
        <w:rPr>
          <w:rFonts w:ascii="Times New Roman" w:hAnsi="Times New Roman" w:cs="Times New Roman"/>
          <w:b/>
          <w:bCs/>
          <w:sz w:val="24"/>
          <w:szCs w:val="24"/>
        </w:rPr>
        <w:t>cnf (74.5%)</w:t>
      </w:r>
      <w:r w:rsidRPr="00D25015">
        <w:rPr>
          <w:rFonts w:ascii="Times New Roman" w:hAnsi="Times New Roman" w:cs="Times New Roman"/>
          <w:sz w:val="24"/>
          <w:szCs w:val="24"/>
        </w:rPr>
        <w:t xml:space="preserve">, and </w:t>
      </w:r>
      <w:r w:rsidRPr="00D25015">
        <w:rPr>
          <w:rFonts w:ascii="Times New Roman" w:hAnsi="Times New Roman" w:cs="Times New Roman"/>
          <w:b/>
          <w:bCs/>
          <w:sz w:val="24"/>
          <w:szCs w:val="24"/>
        </w:rPr>
        <w:t>omp (96.4%)</w:t>
      </w:r>
      <w:r w:rsidRPr="00D25015">
        <w:rPr>
          <w:rFonts w:ascii="Times New Roman" w:hAnsi="Times New Roman" w:cs="Times New Roman"/>
          <w:sz w:val="24"/>
          <w:szCs w:val="24"/>
        </w:rPr>
        <w:t xml:space="preserve">. The detection of the stx gene at such a high frequency strongly suggests the potential presence of Shiga toxin-producing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(STEC) within the slaughterhouse environment. STEC strains are recognized as major foodborne pathogens responsible for severe clinical conditions, including hemorrhagic colitis and hemolytic uremic syndrome (3</w:t>
      </w:r>
      <w:r w:rsidR="001428DA">
        <w:rPr>
          <w:rFonts w:ascii="Times New Roman" w:hAnsi="Times New Roman" w:cs="Times New Roman"/>
          <w:sz w:val="24"/>
          <w:szCs w:val="24"/>
        </w:rPr>
        <w:t>1</w:t>
      </w:r>
      <w:r w:rsidRPr="00D25015">
        <w:rPr>
          <w:rFonts w:ascii="Times New Roman" w:hAnsi="Times New Roman" w:cs="Times New Roman"/>
          <w:sz w:val="24"/>
          <w:szCs w:val="24"/>
        </w:rPr>
        <w:t>). The widespread occurrence of stx-positive isolates across carcasses, contact surfaces, and environmental samples indicates a substantial risk of contamination along the meat processing chain and subsequent transmission to consumers.</w:t>
      </w:r>
    </w:p>
    <w:p w14:paraId="19300917" w14:textId="5162BC42"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Similarly, the high prevalence of the cnf gene further underscores the virulence potential of isolates circulating within these environments. Cytotoxic necrotizing </w:t>
      </w:r>
      <w:r w:rsidR="0096054D" w:rsidRPr="00D25015">
        <w:rPr>
          <w:rFonts w:ascii="Times New Roman" w:hAnsi="Times New Roman" w:cs="Times New Roman"/>
          <w:sz w:val="24"/>
          <w:szCs w:val="24"/>
        </w:rPr>
        <w:t>factors</w:t>
      </w:r>
      <w:r w:rsidRPr="00D25015">
        <w:rPr>
          <w:rFonts w:ascii="Times New Roman" w:hAnsi="Times New Roman" w:cs="Times New Roman"/>
          <w:sz w:val="24"/>
          <w:szCs w:val="24"/>
        </w:rPr>
        <w:t xml:space="preserve"> (CNF) </w:t>
      </w:r>
      <w:r w:rsidR="0096054D" w:rsidRPr="00D25015">
        <w:rPr>
          <w:rFonts w:ascii="Times New Roman" w:hAnsi="Times New Roman" w:cs="Times New Roman"/>
          <w:sz w:val="24"/>
          <w:szCs w:val="24"/>
        </w:rPr>
        <w:t>are</w:t>
      </w:r>
      <w:r w:rsidRPr="00D25015">
        <w:rPr>
          <w:rFonts w:ascii="Times New Roman" w:hAnsi="Times New Roman" w:cs="Times New Roman"/>
          <w:sz w:val="24"/>
          <w:szCs w:val="24"/>
        </w:rPr>
        <w:t xml:space="preserve"> associated with enhanced bacterial invasiveness and tissue damage, particularly in extraintestinal infections (3</w:t>
      </w:r>
      <w:r w:rsidR="001428DA">
        <w:rPr>
          <w:rFonts w:ascii="Times New Roman" w:hAnsi="Times New Roman" w:cs="Times New Roman"/>
          <w:sz w:val="24"/>
          <w:szCs w:val="24"/>
        </w:rPr>
        <w:t>2</w:t>
      </w:r>
      <w:r w:rsidRPr="00D25015">
        <w:rPr>
          <w:rFonts w:ascii="Times New Roman" w:hAnsi="Times New Roman" w:cs="Times New Roman"/>
          <w:sz w:val="24"/>
          <w:szCs w:val="24"/>
        </w:rPr>
        <w:t>). Although the observed higher occurrence of cnf among phylogroups B2 and D was not statistically significant, the trend may be biologically relevant and suggests a potential enrichment of virulence traits within these groups.</w:t>
      </w:r>
    </w:p>
    <w:p w14:paraId="62D976BE" w14:textId="5DB85AD8"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near-universal detection of the omp gene highlights its fundamental role in bacterial physiology, including membrane integrity, environmental adaptation, and host interaction (3</w:t>
      </w:r>
      <w:r w:rsidR="001428DA">
        <w:rPr>
          <w:rFonts w:ascii="Times New Roman" w:hAnsi="Times New Roman" w:cs="Times New Roman"/>
          <w:sz w:val="24"/>
          <w:szCs w:val="24"/>
        </w:rPr>
        <w:t>0</w:t>
      </w:r>
      <w:r w:rsidRPr="00D25015">
        <w:rPr>
          <w:rFonts w:ascii="Times New Roman" w:hAnsi="Times New Roman" w:cs="Times New Roman"/>
          <w:sz w:val="24"/>
          <w:szCs w:val="24"/>
        </w:rPr>
        <w:t>). Its consistent presence across isolates reflects its conserved nature and importance for bacterial survival in diverse ecological niches, including the abattoir environment.</w:t>
      </w:r>
    </w:p>
    <w:p w14:paraId="4BAD4A7D" w14:textId="64AE477D"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Importantly, the detection of </w:t>
      </w:r>
      <w:r w:rsidR="0096054D" w:rsidRPr="00D25015">
        <w:rPr>
          <w:rFonts w:ascii="Times New Roman" w:hAnsi="Times New Roman" w:cs="Times New Roman"/>
          <w:sz w:val="24"/>
          <w:szCs w:val="24"/>
        </w:rPr>
        <w:t>virulent</w:t>
      </w:r>
      <w:r w:rsidRPr="00D25015">
        <w:rPr>
          <w:rFonts w:ascii="Times New Roman" w:hAnsi="Times New Roman" w:cs="Times New Roman"/>
          <w:sz w:val="24"/>
          <w:szCs w:val="24"/>
        </w:rPr>
        <w:t xml:space="preserve"> genes in isolates recovered from multiple sources—including carcasses, slaughterhouse workers’ hands, knives, wheelbarrows, and effluent—demonstrates the extensive nature of cross-contamination within the slaughterhouse system. The clustering of genetically related isolates from different sample types further supports the existence of interconnected contamination pathways. These findings align with previous studies indicating that inadequate hygiene practices, poor sanitation, and improper handling significantly contribute to the dissemination of pathogenic bacteria during meat processing (3</w:t>
      </w:r>
      <w:r w:rsidR="001428DA">
        <w:rPr>
          <w:rFonts w:ascii="Times New Roman" w:hAnsi="Times New Roman" w:cs="Times New Roman"/>
          <w:sz w:val="24"/>
          <w:szCs w:val="24"/>
        </w:rPr>
        <w:t>0</w:t>
      </w:r>
      <w:r w:rsidRPr="00D25015">
        <w:rPr>
          <w:rFonts w:ascii="Times New Roman" w:hAnsi="Times New Roman" w:cs="Times New Roman"/>
          <w:sz w:val="24"/>
          <w:szCs w:val="24"/>
        </w:rPr>
        <w:t>, 3</w:t>
      </w:r>
      <w:r w:rsidR="001428DA">
        <w:rPr>
          <w:rFonts w:ascii="Times New Roman" w:hAnsi="Times New Roman" w:cs="Times New Roman"/>
          <w:sz w:val="24"/>
          <w:szCs w:val="24"/>
        </w:rPr>
        <w:t>3</w:t>
      </w:r>
      <w:r w:rsidRPr="00D25015">
        <w:rPr>
          <w:rFonts w:ascii="Times New Roman" w:hAnsi="Times New Roman" w:cs="Times New Roman"/>
          <w:sz w:val="24"/>
          <w:szCs w:val="24"/>
        </w:rPr>
        <w:t>).</w:t>
      </w:r>
    </w:p>
    <w:p w14:paraId="520F73BA"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The presence of virulent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in effluent and water sources also suggests environmental dissemination beyond the slaughterhouse, posing broader ecological and public health risks. Contaminated effluents may serve as reservoirs for pathogenic bacteria, facilitating their spread into surrounding communities and water systems.</w:t>
      </w:r>
    </w:p>
    <w:p w14:paraId="35D78A00"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Furthermore, the absence of a statistically significant association between sample type and virulence gene distribution does not diminish the epidemiological importance of the findings. Rather, it indicates that contamination is widespread and not restricted to specific points within the processing chain. This highlights the need for comprehensive control measures targeting all stages of slaughterhouse operations.</w:t>
      </w:r>
    </w:p>
    <w:p w14:paraId="28D5FD44"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Overall, the findings of this study demonstrate that reliance on phylogenetic classification alone is insufficient to predict the pathogenic potential of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in environmental and food-associated contexts. Instead, integrated molecular approaches combining phylogrouping, virulence gene profiling, and antimicrobial resistance analysis are essential for accurate risk assessment.</w:t>
      </w:r>
    </w:p>
    <w:p w14:paraId="3461D652"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lastRenderedPageBreak/>
        <w:t xml:space="preserve">This study underscores the role of abattoirs as critical hubs for the amplification and dissemination of potentially pathogenic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The high prevalence of virulence genes, particularly </w:t>
      </w:r>
      <w:r w:rsidRPr="00D25015">
        <w:rPr>
          <w:rFonts w:ascii="Times New Roman" w:hAnsi="Times New Roman" w:cs="Times New Roman"/>
          <w:i/>
          <w:iCs/>
          <w:sz w:val="24"/>
          <w:szCs w:val="24"/>
        </w:rPr>
        <w:t>stx,</w:t>
      </w:r>
      <w:r w:rsidRPr="00D25015">
        <w:rPr>
          <w:rFonts w:ascii="Times New Roman" w:hAnsi="Times New Roman" w:cs="Times New Roman"/>
          <w:sz w:val="24"/>
          <w:szCs w:val="24"/>
        </w:rPr>
        <w:t xml:space="preserve"> coupled with evidence of cross-contamination, highlights an urgent need for improved hygiene practices, strict sanitary controls, and effective monitoring systems within slaughterhouse environments. Such interventions are essential to interrupt contamination pathways, reduce foodborne risks, and safeguard public health</w:t>
      </w:r>
    </w:p>
    <w:p w14:paraId="5B64DC6F"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5. CONCLUSION</w:t>
      </w:r>
    </w:p>
    <w:p w14:paraId="4769677D"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This study demonstrates that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isolates recovered from cattle carcasses and slaughterhouse environments in Abuja exhibit diverse phylogenetic backgrounds, with a predominance of commensal phylogroups A and B1. However, the detection of virulence-associated phylogroups B2 and D, coupled with the widespread distribution of key virulence genes, highlights a significant public health concern.</w:t>
      </w:r>
    </w:p>
    <w:p w14:paraId="31B40618"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Notably, the high prevalence of critical virulence determinants, particularly </w:t>
      </w:r>
      <w:r w:rsidRPr="00D25015">
        <w:rPr>
          <w:rFonts w:ascii="Times New Roman" w:hAnsi="Times New Roman" w:cs="Times New Roman"/>
          <w:b/>
          <w:bCs/>
          <w:sz w:val="24"/>
          <w:szCs w:val="24"/>
        </w:rPr>
        <w:t>stx (72.7%)</w:t>
      </w:r>
      <w:r w:rsidRPr="00D25015">
        <w:rPr>
          <w:rFonts w:ascii="Times New Roman" w:hAnsi="Times New Roman" w:cs="Times New Roman"/>
          <w:sz w:val="24"/>
          <w:szCs w:val="24"/>
        </w:rPr>
        <w:t xml:space="preserve">, indicates the potential circulation of Shiga toxin-producing </w:t>
      </w:r>
      <w:r w:rsidRPr="00D25015">
        <w:rPr>
          <w:rFonts w:ascii="Times New Roman" w:hAnsi="Times New Roman" w:cs="Times New Roman"/>
          <w:i/>
          <w:iCs/>
          <w:sz w:val="24"/>
          <w:szCs w:val="24"/>
        </w:rPr>
        <w:t>Escherichia coli</w:t>
      </w:r>
      <w:r w:rsidRPr="00D25015">
        <w:rPr>
          <w:rFonts w:ascii="Times New Roman" w:hAnsi="Times New Roman" w:cs="Times New Roman"/>
          <w:sz w:val="24"/>
          <w:szCs w:val="24"/>
        </w:rPr>
        <w:t xml:space="preserve"> (STEC) within the slaughterhouse environment. This finding underscores a substantial risk of foodborne transmission to consumers, especially in settings with inadequate hygiene and meat handling practices.</w:t>
      </w:r>
    </w:p>
    <w:p w14:paraId="625A9ED5"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The absence of a statistically significant association between phylogroups and virulence gene distribution suggests that virulence traits are widely disseminated among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populations, likely driven by horizontal gene transfer. This implies that even commensal strains may act as reservoirs of virulence determinants, facilitating the emergence and persistence of pathogenic variants.</w:t>
      </w:r>
    </w:p>
    <w:p w14:paraId="498C4298"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 xml:space="preserve">Furthermore, the recovery of virulent </w:t>
      </w:r>
      <w:r w:rsidRPr="00D25015">
        <w:rPr>
          <w:rFonts w:ascii="Times New Roman" w:hAnsi="Times New Roman" w:cs="Times New Roman"/>
          <w:i/>
          <w:iCs/>
          <w:sz w:val="24"/>
          <w:szCs w:val="24"/>
        </w:rPr>
        <w:t>E. coli</w:t>
      </w:r>
      <w:r w:rsidRPr="00D25015">
        <w:rPr>
          <w:rFonts w:ascii="Times New Roman" w:hAnsi="Times New Roman" w:cs="Times New Roman"/>
          <w:sz w:val="24"/>
          <w:szCs w:val="24"/>
        </w:rPr>
        <w:t xml:space="preserve"> from carcasses, slaughterhouse workers’ hands, equipment, and environmental samples confirms the occurrence of extensive cross-contamination within the abattoir system. These findings highlight the critical role of slaughterhouse practices in the amplification and spread of potentially pathogenic bacteria.</w:t>
      </w:r>
    </w:p>
    <w:p w14:paraId="4D63E1BB" w14:textId="78E66744"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Overall, this study emphasizes the need for continuous surveillance and the application of integrated molecular approaches in food production systems. Strengthening hygiene practices, improving sanitation infrastructure, and implementing effective monitoring strategies are essential to reduce contamination and safeguard public health.</w:t>
      </w:r>
    </w:p>
    <w:p w14:paraId="0BD792F6"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ACKNOWLEDGMENTS</w:t>
      </w:r>
    </w:p>
    <w:p w14:paraId="388EA2A9" w14:textId="71885876"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authors acknowledge the staff of the Gwagwalada and Dei-Dei slaughterhouses for their cooperation during sample collection. The technical support provided by the Department of Public Health and Preventive Medicine Laboratory, University of Abuja, is also gratefully appreciated.</w:t>
      </w:r>
    </w:p>
    <w:p w14:paraId="5302F0E7"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FUNDING</w:t>
      </w:r>
    </w:p>
    <w:p w14:paraId="73594390" w14:textId="12635799"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This research received no specific grant from any funding agency in the public, commercial, or not-for-profit sectors.</w:t>
      </w:r>
    </w:p>
    <w:p w14:paraId="4281E359" w14:textId="77777777" w:rsidR="00D25015" w:rsidRPr="00D25015" w:rsidRDefault="00D25015" w:rsidP="00D25015">
      <w:pPr>
        <w:jc w:val="both"/>
        <w:rPr>
          <w:rFonts w:ascii="Times New Roman" w:hAnsi="Times New Roman" w:cs="Times New Roman"/>
          <w:b/>
          <w:bCs/>
          <w:sz w:val="24"/>
          <w:szCs w:val="24"/>
        </w:rPr>
      </w:pPr>
      <w:r w:rsidRPr="00D25015">
        <w:rPr>
          <w:rFonts w:ascii="Times New Roman" w:hAnsi="Times New Roman" w:cs="Times New Roman"/>
          <w:b/>
          <w:bCs/>
          <w:sz w:val="24"/>
          <w:szCs w:val="24"/>
        </w:rPr>
        <w:t>CONFLICT OF INTEREST</w:t>
      </w:r>
    </w:p>
    <w:p w14:paraId="0BFBA6E0" w14:textId="77777777" w:rsidR="00D25015" w:rsidRPr="00D25015" w:rsidRDefault="00D25015" w:rsidP="00D25015">
      <w:pPr>
        <w:jc w:val="both"/>
        <w:rPr>
          <w:rFonts w:ascii="Times New Roman" w:hAnsi="Times New Roman" w:cs="Times New Roman"/>
          <w:sz w:val="24"/>
          <w:szCs w:val="24"/>
        </w:rPr>
      </w:pPr>
      <w:r w:rsidRPr="00D25015">
        <w:rPr>
          <w:rFonts w:ascii="Times New Roman" w:hAnsi="Times New Roman" w:cs="Times New Roman"/>
          <w:sz w:val="24"/>
          <w:szCs w:val="24"/>
        </w:rPr>
        <w:t>The authors declare no competing interests</w:t>
      </w:r>
    </w:p>
    <w:p w14:paraId="5E8F5342" w14:textId="77777777" w:rsidR="00715873" w:rsidRDefault="00A717AB" w:rsidP="00A717AB">
      <w:pPr>
        <w:pStyle w:val="ListParagraph"/>
        <w:numPr>
          <w:ilvl w:val="0"/>
          <w:numId w:val="7"/>
        </w:numPr>
        <w:jc w:val="both"/>
        <w:rPr>
          <w:rFonts w:ascii="Times New Roman" w:hAnsi="Times New Roman" w:cs="Times New Roman"/>
          <w:sz w:val="24"/>
          <w:szCs w:val="24"/>
        </w:rPr>
      </w:pPr>
      <w:r w:rsidRPr="000A4787">
        <w:rPr>
          <w:rFonts w:ascii="Times New Roman" w:hAnsi="Times New Roman" w:cs="Times New Roman"/>
          <w:sz w:val="24"/>
          <w:szCs w:val="24"/>
        </w:rPr>
        <w:lastRenderedPageBreak/>
        <w:t xml:space="preserve">Do KH, Seo KW, Lee WK. (2022). Antimicrobial resistance, virulence genes, and phylogenetic characteristics of pathogenic </w:t>
      </w:r>
      <w:r w:rsidRPr="000A4787">
        <w:rPr>
          <w:rFonts w:ascii="Times New Roman" w:hAnsi="Times New Roman" w:cs="Times New Roman"/>
          <w:i/>
          <w:iCs/>
          <w:sz w:val="24"/>
          <w:szCs w:val="24"/>
        </w:rPr>
        <w:t>Escherichia coli</w:t>
      </w:r>
      <w:r w:rsidRPr="000A4787">
        <w:rPr>
          <w:rFonts w:ascii="Times New Roman" w:hAnsi="Times New Roman" w:cs="Times New Roman"/>
          <w:sz w:val="24"/>
          <w:szCs w:val="24"/>
        </w:rPr>
        <w:t xml:space="preserve"> isolated from patients and swine. </w:t>
      </w:r>
      <w:r w:rsidRPr="000A4787">
        <w:rPr>
          <w:rFonts w:ascii="Times New Roman" w:hAnsi="Times New Roman" w:cs="Times New Roman"/>
          <w:b/>
          <w:bCs/>
          <w:sz w:val="24"/>
          <w:szCs w:val="24"/>
        </w:rPr>
        <w:t>BMC Microbiol.</w:t>
      </w:r>
      <w:r w:rsidRPr="000A4787">
        <w:rPr>
          <w:rFonts w:ascii="Times New Roman" w:hAnsi="Times New Roman" w:cs="Times New Roman"/>
          <w:sz w:val="24"/>
          <w:szCs w:val="24"/>
        </w:rPr>
        <w:t xml:space="preserve"> 22:199. </w:t>
      </w:r>
      <w:hyperlink r:id="rId19" w:tgtFrame="_new" w:history="1">
        <w:r w:rsidRPr="000A4787">
          <w:rPr>
            <w:rStyle w:val="Hyperlink"/>
            <w:rFonts w:ascii="Times New Roman" w:hAnsi="Times New Roman" w:cs="Times New Roman"/>
            <w:sz w:val="24"/>
            <w:szCs w:val="24"/>
          </w:rPr>
          <w:t>https://doi.org/10.1186/s12866-022-02604-z</w:t>
        </w:r>
      </w:hyperlink>
      <w:r w:rsidRPr="000A4787">
        <w:rPr>
          <w:rFonts w:ascii="Times New Roman" w:hAnsi="Times New Roman" w:cs="Times New Roman"/>
          <w:sz w:val="24"/>
          <w:szCs w:val="24"/>
        </w:rPr>
        <w:t xml:space="preserve"> </w:t>
      </w:r>
    </w:p>
    <w:p w14:paraId="4C896FB0" w14:textId="77777777" w:rsidR="00715873" w:rsidRDefault="00A717AB" w:rsidP="00A717AB">
      <w:pPr>
        <w:pStyle w:val="ListParagraph"/>
        <w:numPr>
          <w:ilvl w:val="0"/>
          <w:numId w:val="7"/>
        </w:numPr>
        <w:jc w:val="both"/>
        <w:rPr>
          <w:rFonts w:ascii="Times New Roman" w:hAnsi="Times New Roman" w:cs="Times New Roman"/>
          <w:sz w:val="24"/>
          <w:szCs w:val="24"/>
        </w:rPr>
      </w:pPr>
      <w:r w:rsidRPr="00715873">
        <w:rPr>
          <w:rFonts w:ascii="Times New Roman" w:hAnsi="Times New Roman" w:cs="Times New Roman"/>
          <w:sz w:val="24"/>
          <w:szCs w:val="24"/>
        </w:rPr>
        <w:t xml:space="preserve">Mora A, Herrera A, López C, et al. (2011). Characteristics of Shiga toxin-producing enteroaggregative </w:t>
      </w:r>
      <w:r w:rsidRPr="00715873">
        <w:rPr>
          <w:rFonts w:ascii="Times New Roman" w:hAnsi="Times New Roman" w:cs="Times New Roman"/>
          <w:i/>
          <w:iCs/>
          <w:sz w:val="24"/>
          <w:szCs w:val="24"/>
        </w:rPr>
        <w:t>Escherichia coli</w:t>
      </w:r>
      <w:r w:rsidRPr="00715873">
        <w:rPr>
          <w:rFonts w:ascii="Times New Roman" w:hAnsi="Times New Roman" w:cs="Times New Roman"/>
          <w:sz w:val="24"/>
          <w:szCs w:val="24"/>
        </w:rPr>
        <w:t xml:space="preserve"> O104:H4 German outbreak strain and STEC strains isolated in Spain. </w:t>
      </w:r>
      <w:r w:rsidRPr="00715873">
        <w:rPr>
          <w:rFonts w:ascii="Times New Roman" w:hAnsi="Times New Roman" w:cs="Times New Roman"/>
          <w:b/>
          <w:bCs/>
          <w:sz w:val="24"/>
          <w:szCs w:val="24"/>
        </w:rPr>
        <w:t>Int Microbiol.</w:t>
      </w:r>
      <w:r w:rsidRPr="00715873">
        <w:rPr>
          <w:rFonts w:ascii="Times New Roman" w:hAnsi="Times New Roman" w:cs="Times New Roman"/>
          <w:sz w:val="24"/>
          <w:szCs w:val="24"/>
        </w:rPr>
        <w:t xml:space="preserve"> 14:121–141 </w:t>
      </w:r>
    </w:p>
    <w:p w14:paraId="60F69D32" w14:textId="77777777" w:rsidR="00715873" w:rsidRDefault="00A717AB" w:rsidP="00A717AB">
      <w:pPr>
        <w:pStyle w:val="ListParagraph"/>
        <w:numPr>
          <w:ilvl w:val="0"/>
          <w:numId w:val="7"/>
        </w:numPr>
        <w:jc w:val="both"/>
        <w:rPr>
          <w:rFonts w:ascii="Times New Roman" w:hAnsi="Times New Roman" w:cs="Times New Roman"/>
          <w:sz w:val="24"/>
          <w:szCs w:val="24"/>
        </w:rPr>
      </w:pPr>
      <w:r w:rsidRPr="00715873">
        <w:rPr>
          <w:rFonts w:ascii="Times New Roman" w:hAnsi="Times New Roman" w:cs="Times New Roman"/>
          <w:sz w:val="24"/>
          <w:szCs w:val="24"/>
        </w:rPr>
        <w:t xml:space="preserve">Croxen MA, Finlay BB. (2010). Molecular mechanisms of </w:t>
      </w:r>
      <w:r w:rsidRPr="00715873">
        <w:rPr>
          <w:rFonts w:ascii="Times New Roman" w:hAnsi="Times New Roman" w:cs="Times New Roman"/>
          <w:i/>
          <w:iCs/>
          <w:sz w:val="24"/>
          <w:szCs w:val="24"/>
        </w:rPr>
        <w:t>Escherichia coli</w:t>
      </w:r>
      <w:r w:rsidRPr="00715873">
        <w:rPr>
          <w:rFonts w:ascii="Times New Roman" w:hAnsi="Times New Roman" w:cs="Times New Roman"/>
          <w:sz w:val="24"/>
          <w:szCs w:val="24"/>
        </w:rPr>
        <w:t xml:space="preserve"> pathogenicity. </w:t>
      </w:r>
      <w:r w:rsidRPr="00715873">
        <w:rPr>
          <w:rFonts w:ascii="Times New Roman" w:hAnsi="Times New Roman" w:cs="Times New Roman"/>
          <w:b/>
          <w:bCs/>
          <w:sz w:val="24"/>
          <w:szCs w:val="24"/>
        </w:rPr>
        <w:t>Nat Rev Microbiol.</w:t>
      </w:r>
      <w:r w:rsidRPr="00715873">
        <w:rPr>
          <w:rFonts w:ascii="Times New Roman" w:hAnsi="Times New Roman" w:cs="Times New Roman"/>
          <w:sz w:val="24"/>
          <w:szCs w:val="24"/>
        </w:rPr>
        <w:t xml:space="preserve"> 8:26–38 </w:t>
      </w:r>
    </w:p>
    <w:p w14:paraId="52DB0D9B" w14:textId="77777777" w:rsidR="00FB54EA" w:rsidRDefault="00A717AB" w:rsidP="00A717AB">
      <w:pPr>
        <w:pStyle w:val="ListParagraph"/>
        <w:numPr>
          <w:ilvl w:val="0"/>
          <w:numId w:val="7"/>
        </w:numPr>
        <w:jc w:val="both"/>
        <w:rPr>
          <w:rFonts w:ascii="Times New Roman" w:hAnsi="Times New Roman" w:cs="Times New Roman"/>
          <w:sz w:val="24"/>
          <w:szCs w:val="24"/>
        </w:rPr>
      </w:pPr>
      <w:r w:rsidRPr="00715873">
        <w:rPr>
          <w:rFonts w:ascii="Times New Roman" w:hAnsi="Times New Roman" w:cs="Times New Roman"/>
          <w:sz w:val="24"/>
          <w:szCs w:val="24"/>
        </w:rPr>
        <w:t xml:space="preserve">Kaper JB, Nataro JP, Mobley HL. (2004). Pathogenic </w:t>
      </w:r>
      <w:r w:rsidRPr="00715873">
        <w:rPr>
          <w:rFonts w:ascii="Times New Roman" w:hAnsi="Times New Roman" w:cs="Times New Roman"/>
          <w:i/>
          <w:iCs/>
          <w:sz w:val="24"/>
          <w:szCs w:val="24"/>
        </w:rPr>
        <w:t>Escherichia coli</w:t>
      </w:r>
      <w:r w:rsidRPr="00715873">
        <w:rPr>
          <w:rFonts w:ascii="Times New Roman" w:hAnsi="Times New Roman" w:cs="Times New Roman"/>
          <w:sz w:val="24"/>
          <w:szCs w:val="24"/>
        </w:rPr>
        <w:t xml:space="preserve">. </w:t>
      </w:r>
      <w:r w:rsidRPr="00715873">
        <w:rPr>
          <w:rFonts w:ascii="Times New Roman" w:hAnsi="Times New Roman" w:cs="Times New Roman"/>
          <w:b/>
          <w:bCs/>
          <w:sz w:val="24"/>
          <w:szCs w:val="24"/>
        </w:rPr>
        <w:t>Nat Rev Microbiol.</w:t>
      </w:r>
      <w:r w:rsidRPr="00715873">
        <w:rPr>
          <w:rFonts w:ascii="Times New Roman" w:hAnsi="Times New Roman" w:cs="Times New Roman"/>
          <w:sz w:val="24"/>
          <w:szCs w:val="24"/>
        </w:rPr>
        <w:t xml:space="preserve"> 2:123–140 </w:t>
      </w:r>
    </w:p>
    <w:p w14:paraId="110B1971"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Wellington EMH, van Elsas JD. (1992). Genetic interactions between microorganisms in the natural environment. Oxford: Pergamon Press </w:t>
      </w:r>
    </w:p>
    <w:p w14:paraId="6A0CF716"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Servin AL. (2005). Pathogenesis of Afa/Dr diffusely adhering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Clin Microbiol Rev.</w:t>
      </w:r>
      <w:r w:rsidRPr="00FB54EA">
        <w:rPr>
          <w:rFonts w:ascii="Times New Roman" w:hAnsi="Times New Roman" w:cs="Times New Roman"/>
          <w:sz w:val="24"/>
          <w:szCs w:val="24"/>
        </w:rPr>
        <w:t xml:space="preserve"> 18:264–292 </w:t>
      </w:r>
    </w:p>
    <w:p w14:paraId="47DD482E"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Alteri CJ, Smith SN, Mobley HLT. (2009). Fitness of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during urinary tract infection requires gluconeogenesis and the TCA cycle. </w:t>
      </w:r>
      <w:r w:rsidRPr="00FB54EA">
        <w:rPr>
          <w:rFonts w:ascii="Times New Roman" w:hAnsi="Times New Roman" w:cs="Times New Roman"/>
          <w:b/>
          <w:bCs/>
          <w:sz w:val="24"/>
          <w:szCs w:val="24"/>
        </w:rPr>
        <w:t>PLoS Pathog.</w:t>
      </w:r>
      <w:r w:rsidRPr="00FB54EA">
        <w:rPr>
          <w:rFonts w:ascii="Times New Roman" w:hAnsi="Times New Roman" w:cs="Times New Roman"/>
          <w:sz w:val="24"/>
          <w:szCs w:val="24"/>
        </w:rPr>
        <w:t xml:space="preserve"> 5:e1000448 </w:t>
      </w:r>
    </w:p>
    <w:p w14:paraId="57A1362E"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Wiles TJ, Kulesus RR, Mulvey MA. (2008). Origins and virulence mechanisms of uropathogenic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Exp Mol Pathol.</w:t>
      </w:r>
      <w:r w:rsidRPr="00FB54EA">
        <w:rPr>
          <w:rFonts w:ascii="Times New Roman" w:hAnsi="Times New Roman" w:cs="Times New Roman"/>
          <w:sz w:val="24"/>
          <w:szCs w:val="24"/>
        </w:rPr>
        <w:t xml:space="preserve"> 85:11–19 </w:t>
      </w:r>
    </w:p>
    <w:p w14:paraId="7A7635C3"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Ayoade F, Oguzie J, Eromon P, et al. (2021). Molecular surveillance of Shiga toxigenic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selected beef abattoirs in Osun State, Nigeria. </w:t>
      </w:r>
      <w:r w:rsidRPr="00FB54EA">
        <w:rPr>
          <w:rFonts w:ascii="Times New Roman" w:hAnsi="Times New Roman" w:cs="Times New Roman"/>
          <w:b/>
          <w:bCs/>
          <w:sz w:val="24"/>
          <w:szCs w:val="24"/>
        </w:rPr>
        <w:t>Sci Rep.</w:t>
      </w:r>
      <w:r w:rsidRPr="00FB54EA">
        <w:rPr>
          <w:rFonts w:ascii="Times New Roman" w:hAnsi="Times New Roman" w:cs="Times New Roman"/>
          <w:sz w:val="24"/>
          <w:szCs w:val="24"/>
        </w:rPr>
        <w:t xml:space="preserve"> 11:13966. </w:t>
      </w:r>
      <w:hyperlink r:id="rId20" w:tgtFrame="_new" w:history="1">
        <w:r w:rsidRPr="00FB54EA">
          <w:rPr>
            <w:rStyle w:val="Hyperlink"/>
            <w:rFonts w:ascii="Times New Roman" w:hAnsi="Times New Roman" w:cs="Times New Roman"/>
            <w:sz w:val="24"/>
            <w:szCs w:val="24"/>
          </w:rPr>
          <w:t>https://doi.org/10.1038/s41598-021-93347-w</w:t>
        </w:r>
      </w:hyperlink>
      <w:r w:rsidRPr="00FB54EA">
        <w:rPr>
          <w:rFonts w:ascii="Times New Roman" w:hAnsi="Times New Roman" w:cs="Times New Roman"/>
          <w:sz w:val="24"/>
          <w:szCs w:val="24"/>
        </w:rPr>
        <w:t xml:space="preserve"> </w:t>
      </w:r>
    </w:p>
    <w:p w14:paraId="2CD5F46B"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Oluwafemi RA, Ayansina AD, Umeh CE. (2023). Detection of virulent and antibiotic-resistant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abattoir effluents and surrounding environments in Nigeria. </w:t>
      </w:r>
      <w:r w:rsidRPr="00FB54EA">
        <w:rPr>
          <w:rFonts w:ascii="Times New Roman" w:hAnsi="Times New Roman" w:cs="Times New Roman"/>
          <w:b/>
          <w:bCs/>
          <w:sz w:val="24"/>
          <w:szCs w:val="24"/>
        </w:rPr>
        <w:t>Int J Environ Res Public Health.</w:t>
      </w:r>
      <w:r w:rsidRPr="00FB54EA">
        <w:rPr>
          <w:rFonts w:ascii="Times New Roman" w:hAnsi="Times New Roman" w:cs="Times New Roman"/>
          <w:sz w:val="24"/>
          <w:szCs w:val="24"/>
        </w:rPr>
        <w:t xml:space="preserve"> 20(4):679. </w:t>
      </w:r>
      <w:hyperlink r:id="rId21" w:tgtFrame="_new" w:history="1">
        <w:r w:rsidRPr="00FB54EA">
          <w:rPr>
            <w:rStyle w:val="Hyperlink"/>
            <w:rFonts w:ascii="Times New Roman" w:hAnsi="Times New Roman" w:cs="Times New Roman"/>
            <w:sz w:val="24"/>
            <w:szCs w:val="24"/>
          </w:rPr>
          <w:t>https://doi.org/10.3390/ijerph20040679</w:t>
        </w:r>
      </w:hyperlink>
      <w:r w:rsidRPr="00FB54EA">
        <w:rPr>
          <w:rFonts w:ascii="Times New Roman" w:hAnsi="Times New Roman" w:cs="Times New Roman"/>
          <w:sz w:val="24"/>
          <w:szCs w:val="24"/>
        </w:rPr>
        <w:t xml:space="preserve"> </w:t>
      </w:r>
    </w:p>
    <w:p w14:paraId="00585357"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Olaitan JO, et al. (2025). Surveillance and potential health risks of antibiotic-resistant Shiga toxigenic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isolated from beef sold in Nigeria. </w:t>
      </w:r>
      <w:r w:rsidRPr="00FB54EA">
        <w:rPr>
          <w:rFonts w:ascii="Times New Roman" w:hAnsi="Times New Roman" w:cs="Times New Roman"/>
          <w:b/>
          <w:bCs/>
          <w:sz w:val="24"/>
          <w:szCs w:val="24"/>
        </w:rPr>
        <w:t>Afr J Microbiol Res.</w:t>
      </w:r>
      <w:r w:rsidRPr="00FB54EA">
        <w:rPr>
          <w:rFonts w:ascii="Times New Roman" w:hAnsi="Times New Roman" w:cs="Times New Roman"/>
          <w:sz w:val="24"/>
          <w:szCs w:val="24"/>
        </w:rPr>
        <w:t xml:space="preserve"> 19(2):55–68 </w:t>
      </w:r>
    </w:p>
    <w:p w14:paraId="3123AF9F"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Balogun O. (2001). The Federal Capital of Nigeria: Geography of Its Development. Ibadan: University of Ibadan Press </w:t>
      </w:r>
    </w:p>
    <w:p w14:paraId="710D19ED"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National Population Commission (NPC). (2010). The Population and People of Nigeria </w:t>
      </w:r>
    </w:p>
    <w:p w14:paraId="3C4D3188"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Abubakar MA, Hamzah E, Maher AA, Alev E. (2019). Knowledge management, decision-making style, and organizational performance. </w:t>
      </w:r>
      <w:r w:rsidRPr="00FB54EA">
        <w:rPr>
          <w:rFonts w:ascii="Times New Roman" w:hAnsi="Times New Roman" w:cs="Times New Roman"/>
          <w:b/>
          <w:bCs/>
          <w:sz w:val="24"/>
          <w:szCs w:val="24"/>
        </w:rPr>
        <w:t>J Innov Knowl.</w:t>
      </w:r>
      <w:r w:rsidRPr="00FB54EA">
        <w:rPr>
          <w:rFonts w:ascii="Times New Roman" w:hAnsi="Times New Roman" w:cs="Times New Roman"/>
          <w:sz w:val="24"/>
          <w:szCs w:val="24"/>
        </w:rPr>
        <w:t xml:space="preserve"> 4:104–114 </w:t>
      </w:r>
    </w:p>
    <w:p w14:paraId="43FD02E2"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Regassa A, Moje N, Megersa B, et al. (2013). Major causes of organ and carcass condemnation in small ruminants slaughtered at Luna export abattoir, Ethiopia. </w:t>
      </w:r>
      <w:r w:rsidRPr="00FB54EA">
        <w:rPr>
          <w:rFonts w:ascii="Times New Roman" w:hAnsi="Times New Roman" w:cs="Times New Roman"/>
          <w:b/>
          <w:bCs/>
          <w:sz w:val="24"/>
          <w:szCs w:val="24"/>
        </w:rPr>
        <w:t>Prev Vet Med.</w:t>
      </w:r>
      <w:r w:rsidRPr="00FB54EA">
        <w:rPr>
          <w:rFonts w:ascii="Times New Roman" w:hAnsi="Times New Roman" w:cs="Times New Roman"/>
          <w:sz w:val="24"/>
          <w:szCs w:val="24"/>
        </w:rPr>
        <w:t xml:space="preserve"> 110:139–148 </w:t>
      </w:r>
    </w:p>
    <w:p w14:paraId="0E386B29"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Elmanama A, Abdelateef N. (2012). Antimicrobial resistance of enteric pathogens isolated from acute gastroenteritis patients in Gaza Strip, Palestine. </w:t>
      </w:r>
      <w:r w:rsidRPr="00FB54EA">
        <w:rPr>
          <w:rFonts w:ascii="Times New Roman" w:hAnsi="Times New Roman" w:cs="Times New Roman"/>
          <w:b/>
          <w:bCs/>
          <w:sz w:val="24"/>
          <w:szCs w:val="24"/>
        </w:rPr>
        <w:t>Int Arab J Antimicrob Agents.</w:t>
      </w:r>
      <w:r w:rsidRPr="00FB54EA">
        <w:rPr>
          <w:rFonts w:ascii="Times New Roman" w:hAnsi="Times New Roman" w:cs="Times New Roman"/>
          <w:sz w:val="24"/>
          <w:szCs w:val="24"/>
        </w:rPr>
        <w:t xml:space="preserve"> 2:1–15 </w:t>
      </w:r>
    </w:p>
    <w:p w14:paraId="1378574A"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Barrow GI, Feltham RKA. (1993). Cowan and Steel’s Manual for the Identification of Medical Bacteria. 3rd ed. Cambridge: Cambridge University Press </w:t>
      </w:r>
    </w:p>
    <w:p w14:paraId="50545985"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Gillan DC, Speksnijder AGCL, Zwart G, De Ridder C. (1998). Genetic diversity of the biofilm covering </w:t>
      </w:r>
      <w:r w:rsidRPr="00FB54EA">
        <w:rPr>
          <w:rFonts w:ascii="Times New Roman" w:hAnsi="Times New Roman" w:cs="Times New Roman"/>
          <w:i/>
          <w:iCs/>
          <w:sz w:val="24"/>
          <w:szCs w:val="24"/>
        </w:rPr>
        <w:t>Montacuta ferruginosa</w:t>
      </w:r>
      <w:r w:rsidRPr="00FB54EA">
        <w:rPr>
          <w:rFonts w:ascii="Times New Roman" w:hAnsi="Times New Roman" w:cs="Times New Roman"/>
          <w:sz w:val="24"/>
          <w:szCs w:val="24"/>
        </w:rPr>
        <w:t xml:space="preserve"> (Mollusca, Bivalvia). </w:t>
      </w:r>
      <w:r w:rsidRPr="00FB54EA">
        <w:rPr>
          <w:rFonts w:ascii="Times New Roman" w:hAnsi="Times New Roman" w:cs="Times New Roman"/>
          <w:b/>
          <w:bCs/>
          <w:sz w:val="24"/>
          <w:szCs w:val="24"/>
        </w:rPr>
        <w:t>Appl Environ Microbiol.</w:t>
      </w:r>
      <w:r w:rsidRPr="00FB54EA">
        <w:rPr>
          <w:rFonts w:ascii="Times New Roman" w:hAnsi="Times New Roman" w:cs="Times New Roman"/>
          <w:sz w:val="24"/>
          <w:szCs w:val="24"/>
        </w:rPr>
        <w:t xml:space="preserve"> 64:3464–3472 </w:t>
      </w:r>
    </w:p>
    <w:p w14:paraId="24A172E9"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lastRenderedPageBreak/>
        <w:t xml:space="preserve"> Fagan PK, Hornitzky MA, Bettelheim KA, Djordjevic SP. (1999). Detection of shiga-like toxin genes in animal feces by multiplex PCR. </w:t>
      </w:r>
      <w:r w:rsidRPr="00FB54EA">
        <w:rPr>
          <w:rFonts w:ascii="Times New Roman" w:hAnsi="Times New Roman" w:cs="Times New Roman"/>
          <w:b/>
          <w:bCs/>
          <w:sz w:val="24"/>
          <w:szCs w:val="24"/>
        </w:rPr>
        <w:t>Appl Environ Microbiol.</w:t>
      </w:r>
      <w:r w:rsidRPr="00FB54EA">
        <w:rPr>
          <w:rFonts w:ascii="Times New Roman" w:hAnsi="Times New Roman" w:cs="Times New Roman"/>
          <w:sz w:val="24"/>
          <w:szCs w:val="24"/>
        </w:rPr>
        <w:t xml:space="preserve"> 65(2):868–872 </w:t>
      </w:r>
    </w:p>
    <w:p w14:paraId="68A0E945"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Afsharnia M, Naraghi B, Mardaneh J, et al. (2018). Data on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genes in different types of wastewaters. </w:t>
      </w:r>
      <w:r w:rsidRPr="00FB54EA">
        <w:rPr>
          <w:rFonts w:ascii="Times New Roman" w:hAnsi="Times New Roman" w:cs="Times New Roman"/>
          <w:b/>
          <w:bCs/>
          <w:sz w:val="24"/>
          <w:szCs w:val="24"/>
        </w:rPr>
        <w:t>Data Brief.</w:t>
      </w:r>
      <w:r w:rsidRPr="00FB54EA">
        <w:rPr>
          <w:rFonts w:ascii="Times New Roman" w:hAnsi="Times New Roman" w:cs="Times New Roman"/>
          <w:sz w:val="24"/>
          <w:szCs w:val="24"/>
        </w:rPr>
        <w:t xml:space="preserve"> 21:763–766 </w:t>
      </w:r>
    </w:p>
    <w:p w14:paraId="3DC9763E"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James EM, Kimera ZI, Mgaya FX, et al. (2025). Occurrence of virulence genes in multidrug-resistant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One Health perspective. </w:t>
      </w:r>
      <w:r w:rsidRPr="00FB54EA">
        <w:rPr>
          <w:rFonts w:ascii="Times New Roman" w:hAnsi="Times New Roman" w:cs="Times New Roman"/>
          <w:b/>
          <w:bCs/>
          <w:sz w:val="24"/>
          <w:szCs w:val="24"/>
        </w:rPr>
        <w:t>PLoS One.</w:t>
      </w:r>
      <w:r w:rsidRPr="00FB54EA">
        <w:rPr>
          <w:rFonts w:ascii="Times New Roman" w:hAnsi="Times New Roman" w:cs="Times New Roman"/>
          <w:sz w:val="24"/>
          <w:szCs w:val="24"/>
        </w:rPr>
        <w:t xml:space="preserve"> 20(1):e0317874 </w:t>
      </w:r>
    </w:p>
    <w:p w14:paraId="2A624343"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Anjbar R, Farahani O. (2018). Prevalence of virulence genes of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hospital wastewaters. </w:t>
      </w:r>
      <w:r w:rsidRPr="00FB54EA">
        <w:rPr>
          <w:rFonts w:ascii="Times New Roman" w:hAnsi="Times New Roman" w:cs="Times New Roman"/>
          <w:b/>
          <w:bCs/>
          <w:sz w:val="24"/>
          <w:szCs w:val="24"/>
        </w:rPr>
        <w:t>Iran J Public Health.</w:t>
      </w:r>
      <w:r w:rsidRPr="00FB54EA">
        <w:rPr>
          <w:rFonts w:ascii="Times New Roman" w:hAnsi="Times New Roman" w:cs="Times New Roman"/>
          <w:sz w:val="24"/>
          <w:szCs w:val="24"/>
        </w:rPr>
        <w:t xml:space="preserve"> 47(5):713–719 </w:t>
      </w:r>
    </w:p>
    <w:p w14:paraId="528F4139" w14:textId="77777777" w:rsidR="00FB54EA" w:rsidRDefault="00A717AB" w:rsidP="00FB54EA">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Song H, Bae Y, Jeon E, et al. (2019). Multiplex PCR analysis of virulence genes in </w:t>
      </w:r>
      <w:r w:rsidRPr="00FB54EA">
        <w:rPr>
          <w:rFonts w:ascii="Times New Roman" w:hAnsi="Times New Roman" w:cs="Times New Roman"/>
          <w:i/>
          <w:iCs/>
          <w:sz w:val="24"/>
          <w:szCs w:val="24"/>
        </w:rPr>
        <w:t>Enterococcus</w:t>
      </w:r>
      <w:r w:rsidRPr="00FB54EA">
        <w:rPr>
          <w:rFonts w:ascii="Times New Roman" w:hAnsi="Times New Roman" w:cs="Times New Roman"/>
          <w:sz w:val="24"/>
          <w:szCs w:val="24"/>
        </w:rPr>
        <w:t xml:space="preserve"> spp. </w:t>
      </w:r>
      <w:r w:rsidRPr="00FB54EA">
        <w:rPr>
          <w:rFonts w:ascii="Times New Roman" w:hAnsi="Times New Roman" w:cs="Times New Roman"/>
          <w:b/>
          <w:bCs/>
          <w:sz w:val="24"/>
          <w:szCs w:val="24"/>
        </w:rPr>
        <w:t>J Vet Sci.</w:t>
      </w:r>
      <w:r w:rsidRPr="00FB54EA">
        <w:rPr>
          <w:rFonts w:ascii="Times New Roman" w:hAnsi="Times New Roman" w:cs="Times New Roman"/>
          <w:sz w:val="24"/>
          <w:szCs w:val="24"/>
        </w:rPr>
        <w:t xml:space="preserve"> 20(3):e26 </w:t>
      </w:r>
    </w:p>
    <w:p w14:paraId="7F605EF6"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Clermont O, Christenson JK, Denamur E, Gordon DM. (2013). The Clermont phylo-typing method revisited. </w:t>
      </w:r>
      <w:r w:rsidRPr="00FB54EA">
        <w:rPr>
          <w:rFonts w:ascii="Times New Roman" w:hAnsi="Times New Roman" w:cs="Times New Roman"/>
          <w:b/>
          <w:bCs/>
          <w:sz w:val="24"/>
          <w:szCs w:val="24"/>
        </w:rPr>
        <w:t>Environ Microbiol Rep.</w:t>
      </w:r>
      <w:r w:rsidRPr="00FB54EA">
        <w:rPr>
          <w:rFonts w:ascii="Times New Roman" w:hAnsi="Times New Roman" w:cs="Times New Roman"/>
          <w:sz w:val="24"/>
          <w:szCs w:val="24"/>
        </w:rPr>
        <w:t xml:space="preserve"> 5(1):58–65 </w:t>
      </w:r>
    </w:p>
    <w:p w14:paraId="4D57DB20"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Tauschek M, Gorrell RJ, Strugnell RA, Robins-Browne RM. (2002). Protein secretion pathway in enterotoxigenic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Proc Natl Acad Sci USA.</w:t>
      </w:r>
      <w:r w:rsidRPr="00FB54EA">
        <w:rPr>
          <w:rFonts w:ascii="Times New Roman" w:hAnsi="Times New Roman" w:cs="Times New Roman"/>
          <w:sz w:val="24"/>
          <w:szCs w:val="24"/>
        </w:rPr>
        <w:t xml:space="preserve"> 99(10):7066–7071 </w:t>
      </w:r>
    </w:p>
    <w:p w14:paraId="7576C5B7"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Kumar V, et al. (2017). Strategic framework for a profitable business model in the sharing economy. </w:t>
      </w:r>
      <w:r w:rsidRPr="00FB54EA">
        <w:rPr>
          <w:rFonts w:ascii="Times New Roman" w:hAnsi="Times New Roman" w:cs="Times New Roman"/>
          <w:b/>
          <w:bCs/>
          <w:sz w:val="24"/>
          <w:szCs w:val="24"/>
        </w:rPr>
        <w:t>Ind Mark Manag.</w:t>
      </w:r>
      <w:r w:rsidRPr="00FB54EA">
        <w:rPr>
          <w:rFonts w:ascii="Times New Roman" w:hAnsi="Times New Roman" w:cs="Times New Roman"/>
          <w:sz w:val="24"/>
          <w:szCs w:val="24"/>
        </w:rPr>
        <w:t xml:space="preserve"> 69:147–160 </w:t>
      </w:r>
    </w:p>
    <w:p w14:paraId="60952191"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Tenaillon O, Skurnik D, Picard B, Denamur E. (2010). Population genetics of commensal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Nat Rev Microbiol.</w:t>
      </w:r>
      <w:r w:rsidRPr="00FB54EA">
        <w:rPr>
          <w:rFonts w:ascii="Times New Roman" w:hAnsi="Times New Roman" w:cs="Times New Roman"/>
          <w:sz w:val="24"/>
          <w:szCs w:val="24"/>
        </w:rPr>
        <w:t xml:space="preserve"> 8(3):207–217 </w:t>
      </w:r>
    </w:p>
    <w:p w14:paraId="5136ACA5"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Johnson JR, Russo TA. (2005). Molecular epidemiology of extraintestinal pathogenic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EcoSal Plus.</w:t>
      </w:r>
      <w:r w:rsidRPr="00FB54EA">
        <w:rPr>
          <w:rFonts w:ascii="Times New Roman" w:hAnsi="Times New Roman" w:cs="Times New Roman"/>
          <w:sz w:val="24"/>
          <w:szCs w:val="24"/>
        </w:rPr>
        <w:t xml:space="preserve"> 1(1) </w:t>
      </w:r>
    </w:p>
    <w:p w14:paraId="022D3403"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Russo TA, McFadden CD, Carlino UB, et al. (2001). Siderophore receptor IroN in uropathogenic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Infect Immun.</w:t>
      </w:r>
      <w:r w:rsidRPr="00FB54EA">
        <w:rPr>
          <w:rFonts w:ascii="Times New Roman" w:hAnsi="Times New Roman" w:cs="Times New Roman"/>
          <w:sz w:val="24"/>
          <w:szCs w:val="24"/>
        </w:rPr>
        <w:t xml:space="preserve"> 69(6):3883–3890 </w:t>
      </w:r>
    </w:p>
    <w:p w14:paraId="0A0C3689"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Nataro JP, Kaper JB. (1998). Diarrheagenic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w:t>
      </w:r>
      <w:r w:rsidRPr="00FB54EA">
        <w:rPr>
          <w:rFonts w:ascii="Times New Roman" w:hAnsi="Times New Roman" w:cs="Times New Roman"/>
          <w:b/>
          <w:bCs/>
          <w:sz w:val="24"/>
          <w:szCs w:val="24"/>
        </w:rPr>
        <w:t>Clin Microbiol Rev.</w:t>
      </w:r>
      <w:r w:rsidRPr="00FB54EA">
        <w:rPr>
          <w:rFonts w:ascii="Times New Roman" w:hAnsi="Times New Roman" w:cs="Times New Roman"/>
          <w:sz w:val="24"/>
          <w:szCs w:val="24"/>
        </w:rPr>
        <w:t xml:space="preserve"> 11(1):142–201 </w:t>
      </w:r>
    </w:p>
    <w:p w14:paraId="4A598ED6"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Johnson JR, Stell AL, Delavari P. (2003).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virulence factors in urosepsis. </w:t>
      </w:r>
      <w:r w:rsidRPr="00FB54EA">
        <w:rPr>
          <w:rFonts w:ascii="Times New Roman" w:hAnsi="Times New Roman" w:cs="Times New Roman"/>
          <w:b/>
          <w:bCs/>
          <w:sz w:val="24"/>
          <w:szCs w:val="24"/>
        </w:rPr>
        <w:t>J Infect Dis.</w:t>
      </w:r>
      <w:r w:rsidRPr="00FB54EA">
        <w:rPr>
          <w:rFonts w:ascii="Times New Roman" w:hAnsi="Times New Roman" w:cs="Times New Roman"/>
          <w:sz w:val="24"/>
          <w:szCs w:val="24"/>
        </w:rPr>
        <w:t xml:space="preserve"> 187(5):759–768 </w:t>
      </w:r>
    </w:p>
    <w:p w14:paraId="3E3845FB" w14:textId="77777777" w:rsid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Grace D, Omore A, Randolph T, et al. (2012). Risk assessment for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O157:H7 in milk. </w:t>
      </w:r>
      <w:r w:rsidRPr="00FB54EA">
        <w:rPr>
          <w:rFonts w:ascii="Times New Roman" w:hAnsi="Times New Roman" w:cs="Times New Roman"/>
          <w:b/>
          <w:bCs/>
          <w:sz w:val="24"/>
          <w:szCs w:val="24"/>
        </w:rPr>
        <w:t>J Food Prot.</w:t>
      </w:r>
      <w:r w:rsidRPr="00FB54EA">
        <w:rPr>
          <w:rFonts w:ascii="Times New Roman" w:hAnsi="Times New Roman" w:cs="Times New Roman"/>
          <w:sz w:val="24"/>
          <w:szCs w:val="24"/>
        </w:rPr>
        <w:t xml:space="preserve"> 75(12):2173–2180 </w:t>
      </w:r>
    </w:p>
    <w:p w14:paraId="37A96583" w14:textId="219DCFC4" w:rsidR="00B878D6" w:rsidRPr="00FB54EA" w:rsidRDefault="00A717AB" w:rsidP="00A717AB">
      <w:pPr>
        <w:pStyle w:val="ListParagraph"/>
        <w:numPr>
          <w:ilvl w:val="0"/>
          <w:numId w:val="7"/>
        </w:numPr>
        <w:jc w:val="both"/>
        <w:rPr>
          <w:rFonts w:ascii="Times New Roman" w:hAnsi="Times New Roman" w:cs="Times New Roman"/>
          <w:sz w:val="24"/>
          <w:szCs w:val="24"/>
        </w:rPr>
      </w:pPr>
      <w:r w:rsidRPr="00FB54EA">
        <w:rPr>
          <w:rFonts w:ascii="Times New Roman" w:hAnsi="Times New Roman" w:cs="Times New Roman"/>
          <w:sz w:val="24"/>
          <w:szCs w:val="24"/>
        </w:rPr>
        <w:t xml:space="preserve">  Raji MA, Jamal W, Rotimi VO. (2016). Prevalence of </w:t>
      </w:r>
      <w:r w:rsidRPr="00FB54EA">
        <w:rPr>
          <w:rFonts w:ascii="Times New Roman" w:hAnsi="Times New Roman" w:cs="Times New Roman"/>
          <w:i/>
          <w:iCs/>
          <w:sz w:val="24"/>
          <w:szCs w:val="24"/>
        </w:rPr>
        <w:t>Escherichia coli</w:t>
      </w:r>
      <w:r w:rsidRPr="00FB54EA">
        <w:rPr>
          <w:rFonts w:ascii="Times New Roman" w:hAnsi="Times New Roman" w:cs="Times New Roman"/>
          <w:sz w:val="24"/>
          <w:szCs w:val="24"/>
        </w:rPr>
        <w:t xml:space="preserve"> in retail meat products. </w:t>
      </w:r>
      <w:r w:rsidRPr="00FB54EA">
        <w:rPr>
          <w:rFonts w:ascii="Times New Roman" w:hAnsi="Times New Roman" w:cs="Times New Roman"/>
          <w:b/>
          <w:bCs/>
          <w:sz w:val="24"/>
          <w:szCs w:val="24"/>
        </w:rPr>
        <w:t>Afr J Microbiol Res.</w:t>
      </w:r>
      <w:r w:rsidRPr="00FB54EA">
        <w:rPr>
          <w:rFonts w:ascii="Times New Roman" w:hAnsi="Times New Roman" w:cs="Times New Roman"/>
          <w:sz w:val="24"/>
          <w:szCs w:val="24"/>
        </w:rPr>
        <w:t xml:space="preserve"> 10(21):751–760</w:t>
      </w:r>
    </w:p>
    <w:sectPr w:rsidR="00B878D6" w:rsidRPr="00FB54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1E44"/>
    <w:multiLevelType w:val="multilevel"/>
    <w:tmpl w:val="A926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613B6"/>
    <w:multiLevelType w:val="multilevel"/>
    <w:tmpl w:val="B2E0B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E827D47"/>
    <w:multiLevelType w:val="hybridMultilevel"/>
    <w:tmpl w:val="627C8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E04AF2"/>
    <w:multiLevelType w:val="hybridMultilevel"/>
    <w:tmpl w:val="40D46678"/>
    <w:lvl w:ilvl="0" w:tplc="59C422FA">
      <w:start w:val="1"/>
      <w:numFmt w:val="upp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7C69EA"/>
    <w:multiLevelType w:val="multilevel"/>
    <w:tmpl w:val="EA60E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03212E"/>
    <w:multiLevelType w:val="multilevel"/>
    <w:tmpl w:val="4AA4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981B94"/>
    <w:multiLevelType w:val="hybridMultilevel"/>
    <w:tmpl w:val="E1087264"/>
    <w:lvl w:ilvl="0" w:tplc="1CEE61A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7483720">
    <w:abstractNumId w:val="1"/>
  </w:num>
  <w:num w:numId="2" w16cid:durableId="1513762435">
    <w:abstractNumId w:val="4"/>
  </w:num>
  <w:num w:numId="3" w16cid:durableId="1824731673">
    <w:abstractNumId w:val="3"/>
  </w:num>
  <w:num w:numId="4" w16cid:durableId="629017226">
    <w:abstractNumId w:val="6"/>
  </w:num>
  <w:num w:numId="5" w16cid:durableId="2123761197">
    <w:abstractNumId w:val="5"/>
  </w:num>
  <w:num w:numId="6" w16cid:durableId="1863013787">
    <w:abstractNumId w:val="0"/>
  </w:num>
  <w:num w:numId="7" w16cid:durableId="1940915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66C"/>
    <w:rsid w:val="000A4787"/>
    <w:rsid w:val="000D72B8"/>
    <w:rsid w:val="001428DA"/>
    <w:rsid w:val="002724DB"/>
    <w:rsid w:val="00287E95"/>
    <w:rsid w:val="002A066C"/>
    <w:rsid w:val="00335DBC"/>
    <w:rsid w:val="00343F4D"/>
    <w:rsid w:val="00397212"/>
    <w:rsid w:val="00715873"/>
    <w:rsid w:val="00737CB1"/>
    <w:rsid w:val="007A18EC"/>
    <w:rsid w:val="0087422B"/>
    <w:rsid w:val="00881106"/>
    <w:rsid w:val="008A73B3"/>
    <w:rsid w:val="00946899"/>
    <w:rsid w:val="0096054D"/>
    <w:rsid w:val="00970D15"/>
    <w:rsid w:val="009A46D7"/>
    <w:rsid w:val="00A25F8F"/>
    <w:rsid w:val="00A5396D"/>
    <w:rsid w:val="00A717AB"/>
    <w:rsid w:val="00B878D6"/>
    <w:rsid w:val="00B906CB"/>
    <w:rsid w:val="00C13852"/>
    <w:rsid w:val="00C15245"/>
    <w:rsid w:val="00C279A6"/>
    <w:rsid w:val="00C36B93"/>
    <w:rsid w:val="00CA4570"/>
    <w:rsid w:val="00D241D9"/>
    <w:rsid w:val="00D25015"/>
    <w:rsid w:val="00DC56FE"/>
    <w:rsid w:val="00E15363"/>
    <w:rsid w:val="00EF04C5"/>
    <w:rsid w:val="00F6200D"/>
    <w:rsid w:val="00FB5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E90D8"/>
  <w15:chartTrackingRefBased/>
  <w15:docId w15:val="{34CE00F0-AEC3-4BA7-A6FD-E1B0CF9D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1D9"/>
    <w:pPr>
      <w:spacing w:line="259" w:lineRule="auto"/>
    </w:pPr>
    <w:rPr>
      <w:sz w:val="22"/>
      <w:szCs w:val="22"/>
    </w:rPr>
  </w:style>
  <w:style w:type="paragraph" w:styleId="Heading1">
    <w:name w:val="heading 1"/>
    <w:basedOn w:val="Normal"/>
    <w:next w:val="Normal"/>
    <w:link w:val="Heading1Char"/>
    <w:uiPriority w:val="9"/>
    <w:qFormat/>
    <w:rsid w:val="002A06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06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06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06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06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06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06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06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06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6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06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06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06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06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06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06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06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066C"/>
    <w:rPr>
      <w:rFonts w:eastAsiaTheme="majorEastAsia" w:cstheme="majorBidi"/>
      <w:color w:val="272727" w:themeColor="text1" w:themeTint="D8"/>
    </w:rPr>
  </w:style>
  <w:style w:type="paragraph" w:styleId="Title">
    <w:name w:val="Title"/>
    <w:basedOn w:val="Normal"/>
    <w:next w:val="Normal"/>
    <w:link w:val="TitleChar"/>
    <w:uiPriority w:val="10"/>
    <w:qFormat/>
    <w:rsid w:val="002A06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06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06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06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066C"/>
    <w:pPr>
      <w:spacing w:before="160"/>
      <w:jc w:val="center"/>
    </w:pPr>
    <w:rPr>
      <w:i/>
      <w:iCs/>
      <w:color w:val="404040" w:themeColor="text1" w:themeTint="BF"/>
    </w:rPr>
  </w:style>
  <w:style w:type="character" w:customStyle="1" w:styleId="QuoteChar">
    <w:name w:val="Quote Char"/>
    <w:basedOn w:val="DefaultParagraphFont"/>
    <w:link w:val="Quote"/>
    <w:uiPriority w:val="29"/>
    <w:rsid w:val="002A066C"/>
    <w:rPr>
      <w:i/>
      <w:iCs/>
      <w:color w:val="404040" w:themeColor="text1" w:themeTint="BF"/>
    </w:rPr>
  </w:style>
  <w:style w:type="paragraph" w:styleId="ListParagraph">
    <w:name w:val="List Paragraph"/>
    <w:basedOn w:val="Normal"/>
    <w:uiPriority w:val="34"/>
    <w:qFormat/>
    <w:rsid w:val="002A066C"/>
    <w:pPr>
      <w:ind w:left="720"/>
      <w:contextualSpacing/>
    </w:pPr>
  </w:style>
  <w:style w:type="character" w:styleId="IntenseEmphasis">
    <w:name w:val="Intense Emphasis"/>
    <w:basedOn w:val="DefaultParagraphFont"/>
    <w:uiPriority w:val="21"/>
    <w:qFormat/>
    <w:rsid w:val="002A066C"/>
    <w:rPr>
      <w:i/>
      <w:iCs/>
      <w:color w:val="0F4761" w:themeColor="accent1" w:themeShade="BF"/>
    </w:rPr>
  </w:style>
  <w:style w:type="paragraph" w:styleId="IntenseQuote">
    <w:name w:val="Intense Quote"/>
    <w:basedOn w:val="Normal"/>
    <w:next w:val="Normal"/>
    <w:link w:val="IntenseQuoteChar"/>
    <w:uiPriority w:val="30"/>
    <w:qFormat/>
    <w:rsid w:val="002A06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066C"/>
    <w:rPr>
      <w:i/>
      <w:iCs/>
      <w:color w:val="0F4761" w:themeColor="accent1" w:themeShade="BF"/>
    </w:rPr>
  </w:style>
  <w:style w:type="character" w:styleId="IntenseReference">
    <w:name w:val="Intense Reference"/>
    <w:basedOn w:val="DefaultParagraphFont"/>
    <w:uiPriority w:val="32"/>
    <w:qFormat/>
    <w:rsid w:val="002A066C"/>
    <w:rPr>
      <w:b/>
      <w:bCs/>
      <w:smallCaps/>
      <w:color w:val="0F4761" w:themeColor="accent1" w:themeShade="BF"/>
      <w:spacing w:val="5"/>
    </w:rPr>
  </w:style>
  <w:style w:type="paragraph" w:styleId="NoSpacing">
    <w:name w:val="No Spacing"/>
    <w:uiPriority w:val="1"/>
    <w:qFormat/>
    <w:rsid w:val="00D241D9"/>
    <w:pPr>
      <w:spacing w:after="0" w:line="240" w:lineRule="auto"/>
    </w:pPr>
    <w:rPr>
      <w:sz w:val="22"/>
      <w:szCs w:val="22"/>
    </w:rPr>
  </w:style>
  <w:style w:type="character" w:styleId="Hyperlink">
    <w:name w:val="Hyperlink"/>
    <w:basedOn w:val="DefaultParagraphFont"/>
    <w:uiPriority w:val="99"/>
    <w:unhideWhenUsed/>
    <w:rsid w:val="00D241D9"/>
    <w:rPr>
      <w:color w:val="467886" w:themeColor="hyperlink"/>
      <w:u w:val="single"/>
    </w:rPr>
  </w:style>
  <w:style w:type="character" w:styleId="UnresolvedMention">
    <w:name w:val="Unresolved Mention"/>
    <w:basedOn w:val="DefaultParagraphFont"/>
    <w:uiPriority w:val="99"/>
    <w:semiHidden/>
    <w:unhideWhenUsed/>
    <w:rsid w:val="00D241D9"/>
    <w:rPr>
      <w:color w:val="605E5C"/>
      <w:shd w:val="clear" w:color="auto" w:fill="E1DFDD"/>
    </w:rPr>
  </w:style>
  <w:style w:type="table" w:styleId="TableGrid">
    <w:name w:val="Table Grid"/>
    <w:basedOn w:val="TableNormal"/>
    <w:uiPriority w:val="39"/>
    <w:rsid w:val="00B8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F8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doi.org/10.3390/ijerph20040679" TargetMode="External"/><Relationship Id="rId7" Type="http://schemas.openxmlformats.org/officeDocument/2006/relationships/hyperlink" Target="https://www.raosoft.com/samplesize.html"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38/s41598-021-93347-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186/s12866-022-02604-z"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126</TotalTime>
  <Pages>23</Pages>
  <Words>6630</Words>
  <Characters>37793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pilau</dc:creator>
  <cp:keywords/>
  <dc:description/>
  <cp:lastModifiedBy>theaisha1707@gmail.com</cp:lastModifiedBy>
  <cp:revision>29</cp:revision>
  <dcterms:created xsi:type="dcterms:W3CDTF">2026-04-06T13:27:00Z</dcterms:created>
  <dcterms:modified xsi:type="dcterms:W3CDTF">2026-04-09T07:08:00Z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fc532c67-bafd-491e-b7f8-3efc8e10bd07</vt:lpwstr>
  </property>
</Properties>
</file>