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256" w:rsidRDefault="00702704" w:rsidP="00BD7768">
      <w:pPr>
        <w:pStyle w:val="NoSpacing"/>
      </w:pPr>
      <w:r>
        <w:t xml:space="preserve">Narrative Craft, Linguistic Choices, and Post-War Recovery: A Stylistic Analysis of Elma Shaw’s </w:t>
      </w:r>
      <w:r>
        <w:rPr>
          <w:i/>
          <w:iCs/>
        </w:rPr>
        <w:t xml:space="preserve">Redemption Road </w:t>
      </w:r>
    </w:p>
    <w:p w:rsidR="00AD2256" w:rsidRDefault="00AD2256">
      <w:pPr>
        <w:rPr>
          <w:rFonts w:ascii="Times New Roman" w:eastAsia="Times New Roman" w:hAnsi="Times New Roman" w:cs="Times New Roman"/>
          <w:b/>
          <w:bCs/>
          <w:sz w:val="28"/>
          <w:szCs w:val="28"/>
        </w:rPr>
      </w:pPr>
    </w:p>
    <w:p w:rsidR="00AD2256" w:rsidRDefault="00702704" w:rsidP="00BD776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0" w:name="_GoBack"/>
      <w:bookmarkEnd w:id="0"/>
    </w:p>
    <w:p w:rsidR="00AD2256" w:rsidRDefault="00702704">
      <w:pPr>
        <w:rPr>
          <w:rFonts w:ascii="Times New Roman" w:eastAsia="Times New Roman" w:hAnsi="Times New Roman" w:cs="Times New Roman"/>
          <w:i/>
          <w:iCs/>
        </w:rPr>
      </w:pPr>
      <w:r>
        <w:rPr>
          <w:rFonts w:ascii="Times New Roman" w:eastAsia="Times New Roman" w:hAnsi="Times New Roman" w:cs="Times New Roman"/>
          <w:b/>
          <w:bCs/>
          <w:sz w:val="24"/>
          <w:szCs w:val="24"/>
        </w:rPr>
        <w:t>Abstract:</w:t>
      </w:r>
      <w:r>
        <w:rPr>
          <w:rFonts w:ascii="Times New Roman" w:eastAsia="Times New Roman" w:hAnsi="Times New Roman" w:cs="Times New Roman"/>
          <w:sz w:val="24"/>
          <w:szCs w:val="24"/>
        </w:rPr>
        <w:t xml:space="preserve"> </w:t>
      </w:r>
      <w:r>
        <w:rPr>
          <w:rFonts w:ascii="Times New Roman" w:eastAsia="Times New Roman" w:hAnsi="Times New Roman" w:cs="Times New Roman"/>
          <w:i/>
          <w:iCs/>
        </w:rPr>
        <w:t>Elma Shaw’s Redemption Road (2008) is a post-conflict Liberian novel that weaves individualized trauma and public institution-building through a stylistic reading. It is accessible and formally strategic, using invariable focalizations, flashback-driven ti</w:t>
      </w:r>
      <w:r>
        <w:rPr>
          <w:rFonts w:ascii="Times New Roman" w:eastAsia="Times New Roman" w:hAnsi="Times New Roman" w:cs="Times New Roman"/>
          <w:i/>
          <w:iCs/>
        </w:rPr>
        <w:t>me manipulations, and embodied dialogues. Enacted in the spatial setting of the Liberian capital, Monrovia, during the reign of Charles Taylor, the narrative depicts the protagonist’s attempt to reconcile competing imperatives—survival, accountability, rep</w:t>
      </w:r>
      <w:r>
        <w:rPr>
          <w:rFonts w:ascii="Times New Roman" w:eastAsia="Times New Roman" w:hAnsi="Times New Roman" w:cs="Times New Roman"/>
          <w:i/>
          <w:iCs/>
        </w:rPr>
        <w:t>air, recovery, and healing—in a socio-political atmosphere dominated by continuous impunity and instability. Over the years, it has become a prominent text in West African post-war struggles fiction and contemporary canons. The study relies on stylistic fr</w:t>
      </w:r>
      <w:r>
        <w:rPr>
          <w:rFonts w:ascii="Times New Roman" w:eastAsia="Times New Roman" w:hAnsi="Times New Roman" w:cs="Times New Roman"/>
          <w:i/>
          <w:iCs/>
        </w:rPr>
        <w:t xml:space="preserve">ameworks associated with Geoffrey Leech and Mick Short, Michael Toolan, and M.A.K. Halliday (with Christian M.I.M. Matthiessen). Supplementing close reading with small-scale corpus-assisted measures computed from the text, the analysis shows how narrative </w:t>
      </w:r>
      <w:r>
        <w:rPr>
          <w:rFonts w:ascii="Times New Roman" w:eastAsia="Times New Roman" w:hAnsi="Times New Roman" w:cs="Times New Roman"/>
          <w:i/>
          <w:iCs/>
        </w:rPr>
        <w:t>voice, syntax, imagery, and dialogue generate a patterned alternation between acceleration (fragmentary war scenes) and deliberation (legal/ethical dialogue), ultimately positioning “truth” and “forgiveness” as stylistically mapped rather than sentimentall</w:t>
      </w:r>
      <w:r>
        <w:rPr>
          <w:rFonts w:ascii="Times New Roman" w:eastAsia="Times New Roman" w:hAnsi="Times New Roman" w:cs="Times New Roman"/>
          <w:i/>
          <w:iCs/>
        </w:rPr>
        <w:t>y asserted. Shaw’s stylistic rendering functions as an ethics of representation: it refuses simplistic catharsis by making reconciliation contingent on truth-telling, embodied testimony, and institutional critique, thereby aligning the novel with post-conf</w:t>
      </w:r>
      <w:r>
        <w:rPr>
          <w:rFonts w:ascii="Times New Roman" w:eastAsia="Times New Roman" w:hAnsi="Times New Roman" w:cs="Times New Roman"/>
          <w:i/>
          <w:iCs/>
        </w:rPr>
        <w:t>lict debates about accountability and repair.</w:t>
      </w:r>
    </w:p>
    <w:p w:rsidR="00AD2256" w:rsidRDefault="00702704">
      <w:pPr>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w:t>
      </w:r>
      <w:r>
        <w:rPr>
          <w:rFonts w:ascii="Times New Roman" w:eastAsia="Times New Roman" w:hAnsi="Times New Roman" w:cs="Times New Roman"/>
          <w:i/>
          <w:iCs/>
        </w:rPr>
        <w:t>Stylistics, trauma fiction, post-conflict literature, Liberian English, narrative focalization, transitional justice.</w:t>
      </w:r>
      <w:r>
        <w:rPr>
          <w:rFonts w:ascii="Times New Roman" w:eastAsia="Times New Roman" w:hAnsi="Times New Roman" w:cs="Times New Roman"/>
        </w:rPr>
        <w:t xml:space="preserve"> </w:t>
      </w:r>
    </w:p>
    <w:p w:rsidR="00AD2256" w:rsidRDefault="00702704">
      <w:pPr>
        <w:rPr>
          <w:rFonts w:ascii="Times New Roman" w:eastAsia="Times New Roman" w:hAnsi="Times New Roman" w:cs="Times New Roman"/>
          <w:sz w:val="24"/>
          <w:szCs w:val="24"/>
        </w:rPr>
      </w:pPr>
      <w:r>
        <w:pict>
          <v:rect id="_x0000_i1025" style="width:0;height:1.5pt" o:hralign="center" o:hrstd="t" o:hr="t" fillcolor="#a0a0a0" stroked="f"/>
        </w:pict>
      </w:r>
    </w:p>
    <w:p w:rsidR="00AD2256" w:rsidRDefault="00AD2256">
      <w:pPr>
        <w:rPr>
          <w:rFonts w:ascii="Times New Roman" w:eastAsia="Times New Roman" w:hAnsi="Times New Roman" w:cs="Times New Roman"/>
          <w:sz w:val="24"/>
          <w:szCs w:val="24"/>
        </w:rPr>
      </w:pPr>
    </w:p>
    <w:p w:rsidR="00AD2256" w:rsidRDefault="00702704">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INTRODUCTION</w:t>
      </w:r>
    </w:p>
    <w:p w:rsidR="00AD2256" w:rsidRDefault="00702704">
      <w:pPr>
        <w:rPr>
          <w:rFonts w:ascii="Times New Roman" w:eastAsia="Times New Roman" w:hAnsi="Times New Roman" w:cs="Times New Roman"/>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rPr>
        <w:t>Redemption Road</w:t>
      </w:r>
      <w:r>
        <w:rPr>
          <w:rFonts w:ascii="Times New Roman" w:eastAsia="Times New Roman" w:hAnsi="Times New Roman" w:cs="Times New Roman"/>
        </w:rPr>
        <w:t xml:space="preserve"> is written as a story of recovery and atonement set in Liberia during the Taylor administration. Currently, the novel now circulates not only as a literary intervention into national memory but also as an examination text on the West African Examinations </w:t>
      </w:r>
      <w:r>
        <w:rPr>
          <w:rFonts w:ascii="Times New Roman" w:eastAsia="Times New Roman" w:hAnsi="Times New Roman" w:cs="Times New Roman"/>
        </w:rPr>
        <w:t xml:space="preserve">Council recommended list (WAEC, 2023). This lends credence to the recognition of its pedagogical value for regional discussions bordering on conflict, trauma, and reconciliation. From the onset, the significance of the novel’s title is well-pronounced and </w:t>
      </w:r>
      <w:r>
        <w:rPr>
          <w:rFonts w:ascii="Times New Roman" w:eastAsia="Times New Roman" w:hAnsi="Times New Roman" w:cs="Times New Roman"/>
        </w:rPr>
        <w:t>symbolic. The title itself is a compressed historiographic label. In the front matter, the book explains that the text “Redemption Road” was the name given to a coastal path in the capital after the April 1980 coup and subsequent executions—events historic</w:t>
      </w:r>
      <w:r>
        <w:rPr>
          <w:rFonts w:ascii="Times New Roman" w:eastAsia="Times New Roman" w:hAnsi="Times New Roman" w:cs="Times New Roman"/>
        </w:rPr>
        <w:t>ally linked to the rise of Samuel K. Doe and the People's Redemption Council. While the novel is fiction, it explicitly alludes to historical details to supply “reality and authenticity,” and it anchors its symbolic geography to the 1980 rupture that prece</w:t>
      </w:r>
      <w:r>
        <w:rPr>
          <w:rFonts w:ascii="Times New Roman" w:eastAsia="Times New Roman" w:hAnsi="Times New Roman" w:cs="Times New Roman"/>
        </w:rPr>
        <w:t xml:space="preserve">ded later civil-war violence (Encyclopedia Britannica, </w:t>
      </w:r>
      <w:r>
        <w:rPr>
          <w:rFonts w:ascii="Times New Roman" w:eastAsia="Times New Roman" w:hAnsi="Times New Roman" w:cs="Times New Roman"/>
          <w:i/>
          <w:iCs/>
        </w:rPr>
        <w:t>Samuel K. Doe</w:t>
      </w:r>
      <w:r>
        <w:rPr>
          <w:rFonts w:ascii="Times New Roman" w:eastAsia="Times New Roman" w:hAnsi="Times New Roman" w:cs="Times New Roman"/>
        </w:rPr>
        <w:t>).The argument proceeds from a basic stylistic assumption that a novel’s ethics and politics are not merely “themes,” but are enacted through patterned selections at the levels of lexis, c</w:t>
      </w:r>
      <w:r>
        <w:rPr>
          <w:rFonts w:ascii="Times New Roman" w:eastAsia="Times New Roman" w:hAnsi="Times New Roman" w:cs="Times New Roman"/>
        </w:rPr>
        <w:t xml:space="preserve">lause, discourse presentation, and narrative temporality , to summarize Leech &amp; Short’s stance in their book, </w:t>
      </w:r>
      <w:r>
        <w:rPr>
          <w:rFonts w:ascii="Times New Roman" w:eastAsia="Times New Roman" w:hAnsi="Times New Roman" w:cs="Times New Roman"/>
          <w:i/>
          <w:iCs/>
        </w:rPr>
        <w:t xml:space="preserve">Style in fiction: A linguistics introduction to English fictional prose </w:t>
      </w:r>
      <w:r>
        <w:rPr>
          <w:rFonts w:ascii="Times New Roman" w:eastAsia="Times New Roman" w:hAnsi="Times New Roman" w:cs="Times New Roman"/>
        </w:rPr>
        <w:t>.</w:t>
      </w:r>
    </w:p>
    <w:p w:rsidR="00AD2256" w:rsidRDefault="00AD2256">
      <w:pPr>
        <w:rPr>
          <w:rFonts w:ascii="Times New Roman" w:eastAsia="Times New Roman" w:hAnsi="Times New Roman" w:cs="Times New Roman"/>
          <w:sz w:val="24"/>
          <w:szCs w:val="24"/>
        </w:rPr>
      </w:pPr>
    </w:p>
    <w:p w:rsidR="00AD2256" w:rsidRDefault="0070270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Objectives of the Study</w:t>
      </w:r>
    </w:p>
    <w:p w:rsidR="00AD2256" w:rsidRDefault="00702704">
      <w:pPr>
        <w:rPr>
          <w:rFonts w:ascii="Times New Roman" w:eastAsia="Times New Roman" w:hAnsi="Times New Roman" w:cs="Times New Roman"/>
        </w:rPr>
      </w:pPr>
      <w:r>
        <w:rPr>
          <w:rFonts w:ascii="Times New Roman" w:eastAsia="Times New Roman" w:hAnsi="Times New Roman" w:cs="Times New Roman"/>
        </w:rPr>
        <w:t>i.    To critically examine how Shaw’s style—as</w:t>
      </w:r>
      <w:r>
        <w:rPr>
          <w:rFonts w:ascii="Times New Roman" w:eastAsia="Times New Roman" w:hAnsi="Times New Roman" w:cs="Times New Roman"/>
        </w:rPr>
        <w:t xml:space="preserve"> language pattern and narrative design—mediates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 novel’s central ethical conflict between justice and healing.</w:t>
      </w:r>
    </w:p>
    <w:p w:rsidR="00AD2256" w:rsidRDefault="00702704">
      <w:pPr>
        <w:rPr>
          <w:rFonts w:ascii="Times New Roman" w:eastAsia="Times New Roman" w:hAnsi="Times New Roman" w:cs="Times New Roman"/>
        </w:rPr>
      </w:pPr>
      <w:r>
        <w:rPr>
          <w:rFonts w:ascii="Times New Roman" w:eastAsia="Times New Roman" w:hAnsi="Times New Roman" w:cs="Times New Roman"/>
        </w:rPr>
        <w:lastRenderedPageBreak/>
        <w:t xml:space="preserve">ii.   To evaluate how the narrative voice, point of view, diction, syntax, imagery, dialogue, and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pacing organize readers’ a</w:t>
      </w:r>
      <w:r>
        <w:rPr>
          <w:rFonts w:ascii="Times New Roman" w:eastAsia="Times New Roman" w:hAnsi="Times New Roman" w:cs="Times New Roman"/>
        </w:rPr>
        <w:t>ccess to traumatic knowledge.</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iii.  To demonstrate how genre conventions (post-conflict novel, legal pursuit thriller , romance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subplot), intertextual reach (biblical and political slogans , paratextual definitions), and  </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rPr>
        <w:t xml:space="preserve">       socio-historical</w:t>
      </w:r>
      <w:r>
        <w:rPr>
          <w:rFonts w:ascii="Times New Roman" w:eastAsia="Times New Roman" w:hAnsi="Times New Roman" w:cs="Times New Roman"/>
        </w:rPr>
        <w:t xml:space="preserve"> contexts shape the novel’s linguistic choices.</w:t>
      </w:r>
      <w:r>
        <w:rPr>
          <w:rFonts w:ascii="Times New Roman" w:eastAsia="Times New Roman" w:hAnsi="Times New Roman" w:cs="Times New Roman"/>
          <w:sz w:val="24"/>
          <w:szCs w:val="24"/>
        </w:rPr>
        <w:t xml:space="preserve">       </w:t>
      </w:r>
      <w:r>
        <w:pict>
          <v:rect id="_x0000_i1026" style="width:0;height:1.5pt" o:hralign="center" o:hrstd="t" o:hr="t" fillcolor="#a0a0a0" stroked="f"/>
        </w:pict>
      </w:r>
    </w:p>
    <w:p w:rsidR="00AD2256" w:rsidRDefault="00702704">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LITERATURE REVIEW</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Stylistic reading of prose fiction has long treated “literary effect” as a function of patterned linguistic choice(s). According to Leech and Short (2007), stylistic approach—widely used in pedagogical and research contexts—affords readers a structured inv</w:t>
      </w:r>
      <w:r>
        <w:rPr>
          <w:rFonts w:ascii="Times New Roman" w:eastAsia="Times New Roman" w:hAnsi="Times New Roman" w:cs="Times New Roman"/>
        </w:rPr>
        <w:t>entory for examining lexical categories (e.g., semantic fields, evaluative terms), grammatical categories (e.g., sentence complexity, transitivity patterns), and discourse presentation (such as speech/thought representation along clines from direct to free</w:t>
      </w:r>
      <w:r>
        <w:rPr>
          <w:rFonts w:ascii="Times New Roman" w:eastAsia="Times New Roman" w:hAnsi="Times New Roman" w:cs="Times New Roman"/>
        </w:rPr>
        <w:t xml:space="preserve"> indirect forms). Quite akin to that, Toolan’s critical-linguistic narratology complements this by emphasizing time manipulation, focalization, and the linguistics of suspense—useful in particular for post-conflict narratives that interleave present action</w:t>
      </w:r>
      <w:r>
        <w:rPr>
          <w:rFonts w:ascii="Times New Roman" w:eastAsia="Times New Roman" w:hAnsi="Times New Roman" w:cs="Times New Roman"/>
        </w:rPr>
        <w:t xml:space="preserve"> with retrospective trauma (Toolan, 2001).</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More crucially, Hallidayan Systemic Functional Linguistics (SFL) adds an overarchingly pertinent lens for a novel concerned with agency, responsibility, and institutional power. SFL foregrounds how grammati</w:t>
      </w:r>
      <w:r>
        <w:rPr>
          <w:rFonts w:ascii="Times New Roman" w:eastAsia="Times New Roman" w:hAnsi="Times New Roman" w:cs="Times New Roman"/>
        </w:rPr>
        <w:t>cal choices interpret experience (transitivity), negotiate interpersonal stance (mood and modality), and organize meaning beyond the clause or sentence level. For post-conflict fiction, these nuances are concretely evinced. The language of  “who did what t</w:t>
      </w:r>
      <w:r>
        <w:rPr>
          <w:rFonts w:ascii="Times New Roman" w:eastAsia="Times New Roman" w:hAnsi="Times New Roman" w:cs="Times New Roman"/>
        </w:rPr>
        <w:t>o whom” is ethically foundational in contexts where impunity, denial, and contested memory are common. Similarly, Appraisal theory (a strand within SFL) offers tools for tracking affect, judgment, appreciation, and dialogic positioning—resources that can b</w:t>
      </w:r>
      <w:r>
        <w:rPr>
          <w:rFonts w:ascii="Times New Roman" w:eastAsia="Times New Roman" w:hAnsi="Times New Roman" w:cs="Times New Roman"/>
        </w:rPr>
        <w:t>e used to analyze how a narrator invites sympathy, condemns actions, or calibrates certainty (Halliday &amp; Matthiessen, 2014).</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From another viewpoint, the novel’s representation of traumatic memory aligns with a cluster of critical frameworks often gr</w:t>
      </w:r>
      <w:r>
        <w:rPr>
          <w:rFonts w:ascii="Times New Roman" w:eastAsia="Times New Roman" w:hAnsi="Times New Roman" w:cs="Times New Roman"/>
        </w:rPr>
        <w:t>ouped as “trauma studies” and “trauma fiction.” Trauma fiction scholarship stresses formal features such as temporal disruption, repetition, fragmentation, and intertextual “haunting” as narrative strategies for representing experiences that resist straigh</w:t>
      </w:r>
      <w:r>
        <w:rPr>
          <w:rFonts w:ascii="Times New Roman" w:eastAsia="Times New Roman" w:hAnsi="Times New Roman" w:cs="Times New Roman"/>
        </w:rPr>
        <w:t xml:space="preserve">tforward recounting. Anne Whitehead’s work, </w:t>
      </w:r>
      <w:r>
        <w:rPr>
          <w:rFonts w:ascii="Times New Roman" w:eastAsia="Times New Roman" w:hAnsi="Times New Roman" w:cs="Times New Roman"/>
          <w:i/>
          <w:iCs/>
        </w:rPr>
        <w:t>Trauma fiction</w:t>
      </w:r>
      <w:r>
        <w:rPr>
          <w:rFonts w:ascii="Times New Roman" w:eastAsia="Times New Roman" w:hAnsi="Times New Roman" w:cs="Times New Roman"/>
        </w:rPr>
        <w:t xml:space="preserve">, is particularly relevant because it treats trauma not just as content but as a shaping pressure on narrative form. In parallel, Cathy Caruth’s account of trauma as a challenge to “straightforward </w:t>
      </w:r>
      <w:r>
        <w:rPr>
          <w:rFonts w:ascii="Times New Roman" w:eastAsia="Times New Roman" w:hAnsi="Times New Roman" w:cs="Times New Roman"/>
        </w:rPr>
        <w:t>experience and reference,” and Dominick LaCapra’s (32) distinction between “acting out” and “working through,” provide conceptual evidence for interpreting how the novel alternates between</w:t>
      </w:r>
      <w:r>
        <w:rPr>
          <w:rFonts w:ascii="Times New Roman" w:eastAsia="Times New Roman" w:hAnsi="Times New Roman" w:cs="Times New Roman"/>
          <w:sz w:val="24"/>
          <w:szCs w:val="24"/>
        </w:rPr>
        <w:t xml:space="preserve"> </w:t>
      </w:r>
      <w:r>
        <w:rPr>
          <w:rFonts w:ascii="Times New Roman" w:eastAsia="Times New Roman" w:hAnsi="Times New Roman" w:cs="Times New Roman"/>
        </w:rPr>
        <w:t>compulsive return (flashbacks, intrusive sensory details) and forwa</w:t>
      </w:r>
      <w:r>
        <w:rPr>
          <w:rFonts w:ascii="Times New Roman" w:eastAsia="Times New Roman" w:hAnsi="Times New Roman" w:cs="Times New Roman"/>
        </w:rPr>
        <w:t>rd-facing ethical deliberation  as depicted in counseling, legal action, and communal repair activities (Caruth, 2016).</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Additionally, socio-historical contextualization matters for stylistics because many “local” lexical items (terms of address, dis</w:t>
      </w:r>
      <w:r>
        <w:rPr>
          <w:rFonts w:ascii="Times New Roman" w:eastAsia="Times New Roman" w:hAnsi="Times New Roman" w:cs="Times New Roman"/>
        </w:rPr>
        <w:t>course markers) and institutional registers (NGO language; court language; political slogans) are culturally relevant. Studies on English in West Africa posit that West African Englishes vary in lexicon and morphosyntax and that Liberian settler English ha</w:t>
      </w:r>
      <w:r>
        <w:rPr>
          <w:rFonts w:ascii="Times New Roman" w:eastAsia="Times New Roman" w:hAnsi="Times New Roman" w:cs="Times New Roman"/>
        </w:rPr>
        <w:t>s distinct</w:t>
      </w:r>
      <w:r>
        <w:rPr>
          <w:rFonts w:ascii="Times New Roman" w:eastAsia="Times New Roman" w:hAnsi="Times New Roman" w:cs="Times New Roman"/>
          <w:sz w:val="24"/>
          <w:szCs w:val="24"/>
        </w:rPr>
        <w:t xml:space="preserve"> </w:t>
      </w:r>
      <w:r>
        <w:rPr>
          <w:rFonts w:ascii="Times New Roman" w:eastAsia="Times New Roman" w:hAnsi="Times New Roman" w:cs="Times New Roman"/>
        </w:rPr>
        <w:t>features compared with other regional varieties (Kachru, 2006). Practical glossaries of Liberian usage identify discourse items such as sentence-final “o” and culturally salient lexemes such as “lappa,” which appear in the novel’s dialogic textu</w:t>
      </w:r>
      <w:r>
        <w:rPr>
          <w:rFonts w:ascii="Times New Roman" w:eastAsia="Times New Roman" w:hAnsi="Times New Roman" w:cs="Times New Roman"/>
        </w:rPr>
        <w:t>re.</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Within criticism specifically addressing </w:t>
      </w:r>
      <w:r>
        <w:rPr>
          <w:rFonts w:ascii="Times New Roman" w:eastAsia="Times New Roman" w:hAnsi="Times New Roman" w:cs="Times New Roman"/>
          <w:i/>
          <w:iCs/>
        </w:rPr>
        <w:t>Redemption Road</w:t>
      </w:r>
      <w:r>
        <w:rPr>
          <w:rFonts w:ascii="Times New Roman" w:eastAsia="Times New Roman" w:hAnsi="Times New Roman" w:cs="Times New Roman"/>
        </w:rPr>
        <w:t>, peer-reviewed scholarship is limited but significant. Sevcik’s analysis reads the protagonist as being simultaneously a victim and a perpetrator, arguing that the novel imagines “bodily r</w:t>
      </w:r>
      <w:r>
        <w:rPr>
          <w:rFonts w:ascii="Times New Roman" w:eastAsia="Times New Roman" w:hAnsi="Times New Roman" w:cs="Times New Roman"/>
        </w:rPr>
        <w:t xml:space="preserve">edemption” and shifts attention from purely systemic justice </w:t>
      </w:r>
      <w:r>
        <w:rPr>
          <w:rFonts w:ascii="Times New Roman" w:eastAsia="Times New Roman" w:hAnsi="Times New Roman" w:cs="Times New Roman"/>
        </w:rPr>
        <w:lastRenderedPageBreak/>
        <w:t>toward embodied agency and healing practices (Sevcik, 2020). This argument is thematically profound, but its implications for style—how bodily experience becomes a site of narrative technique—cal</w:t>
      </w:r>
      <w:r>
        <w:rPr>
          <w:rFonts w:ascii="Times New Roman" w:eastAsia="Times New Roman" w:hAnsi="Times New Roman" w:cs="Times New Roman"/>
        </w:rPr>
        <w:t>l for further elaborations.</w:t>
      </w:r>
    </w:p>
    <w:p w:rsidR="00AD2256" w:rsidRDefault="00702704">
      <w:pPr>
        <w:rPr>
          <w:rFonts w:ascii="Times New Roman" w:eastAsia="Times New Roman" w:hAnsi="Times New Roman" w:cs="Times New Roman"/>
          <w:sz w:val="24"/>
          <w:szCs w:val="24"/>
        </w:rPr>
      </w:pPr>
      <w:r>
        <w:pict>
          <v:rect id="_x0000_i1027" style="width:0;height:1.5pt" o:hralign="center" o:hrstd="t" o:hr="t" fillcolor="#a0a0a0" stroked="f"/>
        </w:pict>
      </w:r>
    </w:p>
    <w:p w:rsidR="00AD2256" w:rsidRDefault="00702704">
      <w:pPr>
        <w:ind w:left="216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b/>
          <w:bCs/>
          <w:sz w:val="24"/>
          <w:szCs w:val="24"/>
        </w:rPr>
        <w:tab/>
        <w:t>METHODOLOGY</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This study utilizes a tripodal method thusly: (1) textual close reading of key scenes and discourse modes; (2) stylistic categorization using Leech &amp;</w:t>
      </w:r>
      <w:r>
        <w:rPr>
          <w:rFonts w:ascii="Times New Roman" w:eastAsia="Times New Roman" w:hAnsi="Times New Roman" w:cs="Times New Roman"/>
        </w:rPr>
        <w:t xml:space="preserve"> Short’s descriptive frameworks and Toolan’s narrative-linguistic categories; and (3) a small corpus-assisted layer providing quantitative indexes to support, not replace, qualitative interpretation.</w:t>
      </w:r>
    </w:p>
    <w:p w:rsidR="00AD2256" w:rsidRDefault="00702704">
      <w:pPr>
        <w:rPr>
          <w:rFonts w:ascii="Times New Roman" w:eastAsia="Times New Roman" w:hAnsi="Times New Roman" w:cs="Times New Roman"/>
        </w:rPr>
      </w:pPr>
      <w:r>
        <w:rPr>
          <w:rFonts w:ascii="Times New Roman" w:eastAsia="Times New Roman" w:hAnsi="Times New Roman" w:cs="Times New Roman"/>
          <w:b/>
          <w:bCs/>
          <w:sz w:val="18"/>
          <w:szCs w:val="18"/>
        </w:rPr>
        <w:t>3.1 Close-Reading Sampling.</w:t>
      </w:r>
      <w:r>
        <w:rPr>
          <w:rFonts w:ascii="Times New Roman" w:eastAsia="Times New Roman" w:hAnsi="Times New Roman" w:cs="Times New Roman"/>
        </w:rPr>
        <w:t xml:space="preserve"> </w:t>
      </w:r>
    </w:p>
    <w:p w:rsidR="00AD2256" w:rsidRDefault="00702704">
      <w:pPr>
        <w:rPr>
          <w:rFonts w:ascii="Times New Roman" w:eastAsia="Times New Roman" w:hAnsi="Times New Roman" w:cs="Times New Roman"/>
        </w:rPr>
      </w:pPr>
      <w:r>
        <w:rPr>
          <w:rFonts w:ascii="Cardo" w:eastAsia="Cardo" w:hAnsi="Cardo" w:cs="Cardo"/>
        </w:rPr>
        <w:t xml:space="preserve">       Because stylistic ef</w:t>
      </w:r>
      <w:r>
        <w:rPr>
          <w:rFonts w:ascii="Cardo" w:eastAsia="Cardo" w:hAnsi="Cardo" w:cs="Cardo"/>
        </w:rPr>
        <w:t>fects are often concentrated in transitions (present → flashback; narration → dialogue ; institutional register → vernacular intimacy), this paper selects passages representing the following:</w:t>
      </w:r>
    </w:p>
    <w:p w:rsidR="00AD2256" w:rsidRDefault="00702704">
      <w:pPr>
        <w:rPr>
          <w:rFonts w:ascii="Times New Roman" w:eastAsia="Times New Roman" w:hAnsi="Times New Roman" w:cs="Times New Roman"/>
        </w:rPr>
      </w:pPr>
      <w:r>
        <w:rPr>
          <w:rFonts w:ascii="Times New Roman" w:eastAsia="Times New Roman" w:hAnsi="Times New Roman" w:cs="Times New Roman"/>
        </w:rPr>
        <w:t>(a) opening memorial scene and war analepsis;</w:t>
      </w:r>
    </w:p>
    <w:p w:rsidR="00AD2256" w:rsidRDefault="00702704">
      <w:pPr>
        <w:rPr>
          <w:rFonts w:ascii="Times New Roman" w:eastAsia="Times New Roman" w:hAnsi="Times New Roman" w:cs="Times New Roman"/>
        </w:rPr>
      </w:pPr>
      <w:r>
        <w:rPr>
          <w:rFonts w:ascii="Times New Roman" w:eastAsia="Times New Roman" w:hAnsi="Times New Roman" w:cs="Times New Roman"/>
        </w:rPr>
        <w:t>(b) institutional/</w:t>
      </w:r>
      <w:r>
        <w:rPr>
          <w:rFonts w:ascii="Times New Roman" w:eastAsia="Times New Roman" w:hAnsi="Times New Roman" w:cs="Times New Roman"/>
        </w:rPr>
        <w:t>activist discourse (courthouse, NGO, slogans);</w:t>
      </w:r>
    </w:p>
    <w:p w:rsidR="00AD2256" w:rsidRDefault="00702704">
      <w:pPr>
        <w:rPr>
          <w:rFonts w:ascii="Times New Roman" w:eastAsia="Times New Roman" w:hAnsi="Times New Roman" w:cs="Times New Roman"/>
        </w:rPr>
      </w:pPr>
      <w:r>
        <w:rPr>
          <w:rFonts w:ascii="Times New Roman" w:eastAsia="Times New Roman" w:hAnsi="Times New Roman" w:cs="Times New Roman"/>
        </w:rPr>
        <w:t>(c) confrontational dialogue centered on justice claims;</w:t>
      </w:r>
    </w:p>
    <w:p w:rsidR="00AD2256" w:rsidRDefault="00702704">
      <w:pPr>
        <w:rPr>
          <w:rFonts w:ascii="Times New Roman" w:eastAsia="Times New Roman" w:hAnsi="Times New Roman" w:cs="Times New Roman"/>
        </w:rPr>
      </w:pPr>
      <w:r>
        <w:rPr>
          <w:rFonts w:ascii="Times New Roman" w:eastAsia="Times New Roman" w:hAnsi="Times New Roman" w:cs="Times New Roman"/>
        </w:rPr>
        <w:t>(d) reflective passages linking bodily sensation to moral memory.</w:t>
      </w:r>
    </w:p>
    <w:p w:rsidR="00AD2256" w:rsidRDefault="00702704">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3.2 Stylistic frameworks.</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Leech &amp;</w:t>
      </w:r>
      <w:r>
        <w:rPr>
          <w:rFonts w:ascii="Times New Roman" w:eastAsia="Times New Roman" w:hAnsi="Times New Roman" w:cs="Times New Roman"/>
        </w:rPr>
        <w:t xml:space="preserve"> Short (2007)’s categories guided the description of narrative viewpoint, speech and thought presentation, lexical fields, sentence typology and rhythm, and figurative language. Toolan’s narrative-linguistics categories map the analysis of time manipulatio</w:t>
      </w:r>
      <w:r>
        <w:rPr>
          <w:rFonts w:ascii="Times New Roman" w:eastAsia="Times New Roman" w:hAnsi="Times New Roman" w:cs="Times New Roman"/>
        </w:rPr>
        <w:t>n and focalization shifts (Toolan, 2001). Hallidayan SFL supported analysis of agency and responsibility (transitivity patterns) and stance (mood/modality), while appraisal concepts informed evaluation scaling (affect/judgment). (see Halliday &amp; Matthiessen</w:t>
      </w:r>
      <w:r>
        <w:rPr>
          <w:rFonts w:ascii="Times New Roman" w:eastAsia="Times New Roman" w:hAnsi="Times New Roman" w:cs="Times New Roman"/>
        </w:rPr>
        <w:t>, 2014)</w:t>
      </w:r>
    </w:p>
    <w:p w:rsidR="00AD2256" w:rsidRDefault="00AD2256">
      <w:pPr>
        <w:rPr>
          <w:rFonts w:ascii="Times New Roman" w:eastAsia="Times New Roman" w:hAnsi="Times New Roman" w:cs="Times New Roman"/>
        </w:rPr>
      </w:pPr>
    </w:p>
    <w:p w:rsidR="00AD2256" w:rsidRDefault="00702704">
      <w:pPr>
        <w:rPr>
          <w:rFonts w:ascii="Times New Roman" w:eastAsia="Times New Roman" w:hAnsi="Times New Roman" w:cs="Times New Roman"/>
        </w:rPr>
      </w:pPr>
      <w:r>
        <w:rPr>
          <w:rFonts w:ascii="Times New Roman" w:eastAsia="Times New Roman" w:hAnsi="Times New Roman" w:cs="Times New Roman"/>
          <w:b/>
          <w:bCs/>
          <w:sz w:val="18"/>
          <w:szCs w:val="18"/>
        </w:rPr>
        <w:t>3.3 Corpus-assisted Interpretation</w:t>
      </w:r>
      <w:r>
        <w:rPr>
          <w:rFonts w:ascii="Times New Roman" w:eastAsia="Times New Roman" w:hAnsi="Times New Roman" w:cs="Times New Roman"/>
          <w:b/>
          <w:bCs/>
        </w:rPr>
        <w:t>.</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Using Tesseract OCR (an open-source engine backed by Google), this study extracted OCR text from the PDF version of the text, cleaned headers and hyphenation artifacts, split the novel into Part One vs. P</w:t>
      </w:r>
      <w:r>
        <w:rPr>
          <w:rFonts w:ascii="Times New Roman" w:eastAsia="Times New Roman" w:hAnsi="Times New Roman" w:cs="Times New Roman"/>
        </w:rPr>
        <w:t>art Two, and computed the variable in the following order: word counts; token frequencies for motifs (peace/justice/truth/forgive, etc.) ; dialogue proxy measures (double-quote density); and a moving-average type-token ratio (MATTR) for lexical variety. Th</w:t>
      </w:r>
      <w:r>
        <w:rPr>
          <w:rFonts w:ascii="Times New Roman" w:eastAsia="Times New Roman" w:hAnsi="Times New Roman" w:cs="Times New Roman"/>
        </w:rPr>
        <w:t>is aligns with practical guidelines in corpus stylistics and corpus linguistics methodology while remaining intentionally “lightweight” and cautious to avoid overclaiming from noisy OCR (Mclntyre &amp; Walker, 2019).</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003"/>
        </w:trPr>
        <w:tc>
          <w:tcPr>
            <w:tcW w:w="3645" w:type="dxa"/>
            <w:shd w:val="clear" w:color="auto" w:fill="auto"/>
            <w:tcMar>
              <w:top w:w="100" w:type="dxa"/>
              <w:left w:w="100" w:type="dxa"/>
              <w:bottom w:w="100" w:type="dxa"/>
              <w:right w:w="100" w:type="dxa"/>
            </w:tcMar>
          </w:tcPr>
          <w:p w:rsidR="00AD2256" w:rsidRDefault="0070270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Text Acquisition: 2008      </w:t>
            </w:r>
          </w:p>
          <w:p w:rsidR="00AD2256" w:rsidRDefault="0070270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Digitized Scan</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0"/>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063"/>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Clean OCR Text: Remove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Headers , Fix Hyphenation</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1"/>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125"/>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Segment Text: Part One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vs Part Two; Chapter Blocks </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2"/>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325"/>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Close Reading: Select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Representative Scenes  +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Transitions</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3"/>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280"/>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nnotate Discourse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Presentation: Speech/Thought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Modes</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4"/>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325"/>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Stylistic Coding: Lexis,  Syntax,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Imagery, Figurative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Patterns</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                        </w:t>
      </w:r>
    </w:p>
    <w:tbl>
      <w:tblPr>
        <w:tblStyle w:val="a5"/>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325"/>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Corpus Descriptors/Indexes :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Motif Frequencies, Dialogue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Density, MATTR</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t xml:space="preserve">                                                            ↓</w:t>
      </w:r>
    </w:p>
    <w:tbl>
      <w:tblPr>
        <w:tblStyle w:val="a6"/>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340"/>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Synthesis: Relate Stylistic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Patterns to Themes +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PostConflict Ethics</w:t>
            </w:r>
          </w:p>
        </w:tc>
      </w:tr>
    </w:tbl>
    <w:p w:rsidR="00AD2256" w:rsidRDefault="00702704">
      <w:pPr>
        <w:rPr>
          <w:rFonts w:ascii="Times New Roman" w:eastAsia="Times New Roman" w:hAnsi="Times New Roman" w:cs="Times New Roman"/>
          <w:sz w:val="24"/>
          <w:szCs w:val="24"/>
        </w:rPr>
      </w:pPr>
      <w:r>
        <w:rPr>
          <w:rFonts w:ascii="Cardo" w:eastAsia="Cardo" w:hAnsi="Cardo" w:cs="Cardo"/>
          <w:sz w:val="24"/>
          <w:szCs w:val="24"/>
        </w:rPr>
        <w:lastRenderedPageBreak/>
        <w:t xml:space="preserve">                                                            ↓                     </w:t>
      </w:r>
    </w:p>
    <w:tbl>
      <w:tblPr>
        <w:tblStyle w:val="a7"/>
        <w:tblW w:w="3645"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tblGrid>
      <w:tr w:rsidR="00AD2256">
        <w:trPr>
          <w:trHeight w:val="1063"/>
        </w:trPr>
        <w:tc>
          <w:tcPr>
            <w:tcW w:w="3645" w:type="dxa"/>
            <w:shd w:val="clear" w:color="auto" w:fill="auto"/>
            <w:tcMar>
              <w:top w:w="100" w:type="dxa"/>
              <w:left w:w="100" w:type="dxa"/>
              <w:bottom w:w="100" w:type="dxa"/>
              <w:right w:w="100" w:type="dxa"/>
            </w:tcMar>
          </w:tcPr>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Write-up: </w:t>
            </w:r>
          </w:p>
          <w:p w:rsidR="00AD2256" w:rsidRDefault="007027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Results &amp; Discussion</w:t>
            </w:r>
          </w:p>
        </w:tc>
      </w:tr>
    </w:tbl>
    <w:p w:rsidR="00AD2256" w:rsidRDefault="00AD2256">
      <w:pPr>
        <w:rPr>
          <w:rFonts w:ascii="Times New Roman" w:eastAsia="Times New Roman" w:hAnsi="Times New Roman" w:cs="Times New Roman"/>
          <w:b/>
          <w:bCs/>
          <w:sz w:val="24"/>
          <w:szCs w:val="24"/>
        </w:rPr>
      </w:pP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3.3 Limitations and Reliability Controls.</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OCR often introduces spelling noise (e.g., occasional character-name variation) and can obscure typographical cues (italics, spacing) that are essen</w:t>
      </w:r>
      <w:r>
        <w:rPr>
          <w:rFonts w:ascii="Times New Roman" w:eastAsia="Times New Roman" w:hAnsi="Times New Roman" w:cs="Times New Roman"/>
        </w:rPr>
        <w:t>tial for free indirect discourse. To mitigate this, the paper (a) aligned key stylistic claims with multiple passages rather than single tokens, (b) accessed corpus numbers as directional signals (or relative trends) rather than precise statistics, and (c)</w:t>
      </w:r>
      <w:r>
        <w:rPr>
          <w:rFonts w:ascii="Times New Roman" w:eastAsia="Times New Roman" w:hAnsi="Times New Roman" w:cs="Times New Roman"/>
        </w:rPr>
        <w:t xml:space="preserve"> prioritized interpretive claims that can be grounded in clearly legible narrative segments.</w:t>
      </w:r>
    </w:p>
    <w:p w:rsidR="00AD2256" w:rsidRDefault="00702704">
      <w:pPr>
        <w:rPr>
          <w:rFonts w:ascii="Times New Roman" w:eastAsia="Times New Roman" w:hAnsi="Times New Roman" w:cs="Times New Roman"/>
          <w:sz w:val="24"/>
          <w:szCs w:val="24"/>
        </w:rPr>
      </w:pPr>
      <w:r>
        <w:pict>
          <v:rect id="_x0000_i1028" style="width:0;height:1.5pt" o:hralign="center" o:hrstd="t" o:hr="t" fillcolor="#a0a0a0" stroked="f"/>
        </w:pict>
      </w:r>
    </w:p>
    <w:p w:rsidR="00AD2256" w:rsidRDefault="00702704">
      <w:pPr>
        <w:ind w:left="216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RESULTS</w:t>
      </w:r>
    </w:p>
    <w:p w:rsidR="00AD2256" w:rsidRDefault="0070270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4.1 Narrative voice, point of view, and techniques.</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The point of view used in presenting the story is essentially omniscient, as the narrator is a distant non-character voice. However, there are some modifications to the traditional omniscient narrative perspective since the participants are allowed to ente</w:t>
      </w:r>
      <w:r>
        <w:rPr>
          <w:rFonts w:ascii="Times New Roman" w:eastAsia="Times New Roman" w:hAnsi="Times New Roman" w:cs="Times New Roman"/>
        </w:rPr>
        <w:t>r into dialogue with one another. This modification does not only engender a dramatic presentation but also allows the reader to objectively assess characters based on what they say by themselves and the narratorial revelation. The narrator provides much i</w:t>
      </w:r>
      <w:r>
        <w:rPr>
          <w:rFonts w:ascii="Times New Roman" w:eastAsia="Times New Roman" w:hAnsi="Times New Roman" w:cs="Times New Roman"/>
        </w:rPr>
        <w:t xml:space="preserve">nformation about events and sometimes about characters in the story, including their thoughts and plans. This is evident from early alternations in the focal centre. The opening chapters expose readers to the protagonist’s grief and intrusive memory, then </w:t>
      </w:r>
      <w:r>
        <w:rPr>
          <w:rFonts w:ascii="Times New Roman" w:eastAsia="Times New Roman" w:hAnsi="Times New Roman" w:cs="Times New Roman"/>
        </w:rPr>
        <w:t>deviate to an institutional actor navigating a courthouse and political slogans. This narrative strategy produces what is termed, in this paper, civic multiperspectivity: postwar Liberia is neither rendered solely as interior trauma nor solely as instituti</w:t>
      </w:r>
      <w:r>
        <w:rPr>
          <w:rFonts w:ascii="Times New Roman" w:eastAsia="Times New Roman" w:hAnsi="Times New Roman" w:cs="Times New Roman"/>
        </w:rPr>
        <w:t>onal failure but as their mutual entanglement. This approach aligns with Toolan’s emphasis on focalization and time articulation as central to narrative meaning (Toolan, 2001).</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A corpus-aided instance supports this illustration. Chapter-level name d</w:t>
      </w:r>
      <w:r>
        <w:rPr>
          <w:rFonts w:ascii="Times New Roman" w:eastAsia="Times New Roman" w:hAnsi="Times New Roman" w:cs="Times New Roman"/>
        </w:rPr>
        <w:t>ensity suggests that 20 of 34 chapters are protagonist dominant, while a substantial minority foreground an institutional/political figure (7 chapters) or other relational nodes (family/friends). As a proxy for focal emphasis (not a perfect measure), it in</w:t>
      </w:r>
      <w:r>
        <w:rPr>
          <w:rFonts w:ascii="Times New Roman" w:eastAsia="Times New Roman" w:hAnsi="Times New Roman" w:cs="Times New Roman"/>
        </w:rPr>
        <w:t>dicates systematic distribution of narrative attention rather than a single-stream consciousness text.</w:t>
      </w:r>
    </w:p>
    <w:p w:rsidR="00AD2256" w:rsidRDefault="00AD2256">
      <w:pPr>
        <w:rPr>
          <w:rFonts w:ascii="Times New Roman" w:eastAsia="Times New Roman" w:hAnsi="Times New Roman" w:cs="Times New Roman"/>
          <w:sz w:val="24"/>
          <w:szCs w:val="24"/>
        </w:rPr>
      </w:pPr>
    </w:p>
    <w:p w:rsidR="00AD2256" w:rsidRDefault="00702704">
      <w:pPr>
        <w:rPr>
          <w:rFonts w:ascii="Times New Roman" w:eastAsia="Times New Roman" w:hAnsi="Times New Roman" w:cs="Times New Roman"/>
          <w:b/>
          <w:bCs/>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rPr>
        <w:t xml:space="preserve">  Table 1: Chapter-Level of Name Density</w:t>
      </w:r>
    </w:p>
    <w:p w:rsidR="00AD2256" w:rsidRDefault="00702704">
      <w:pPr>
        <w:rPr>
          <w:rFonts w:ascii="Times New Roman" w:eastAsia="Times New Roman" w:hAnsi="Times New Roman" w:cs="Times New Roman"/>
          <w:sz w:val="24"/>
          <w:szCs w:val="24"/>
        </w:rPr>
      </w:pPr>
      <w:r>
        <w:pict>
          <v:rect id="_x0000_i1029"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Dominant focal-character proxy (chapter-level)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Chapters (n=34)</w:t>
      </w:r>
    </w:p>
    <w:p w:rsidR="00AD2256" w:rsidRDefault="00702704">
      <w:pPr>
        <w:rPr>
          <w:rFonts w:ascii="Times New Roman" w:eastAsia="Times New Roman" w:hAnsi="Times New Roman" w:cs="Times New Roman"/>
          <w:b/>
          <w:bCs/>
          <w:sz w:val="24"/>
          <w:szCs w:val="24"/>
        </w:rPr>
      </w:pPr>
      <w:r>
        <w:pict>
          <v:rect id="_x0000_i1030" style="width:0;height:1.5pt" o:hralign="center" o:hrstd="t" o:hr="t" fillcolor="#a0a0a0" stroked="f"/>
        </w:pic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Protagonist (“Bendu”)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20</w:t>
      </w:r>
    </w:p>
    <w:p w:rsidR="00AD2256" w:rsidRDefault="00702704">
      <w:pPr>
        <w:rPr>
          <w:rFonts w:ascii="Times New Roman" w:eastAsia="Times New Roman" w:hAnsi="Times New Roman" w:cs="Times New Roman"/>
          <w:b/>
          <w:bCs/>
          <w:sz w:val="24"/>
          <w:szCs w:val="24"/>
        </w:rPr>
      </w:pPr>
      <w:r>
        <w:pict>
          <v:rect id="_x0000_i1031" style="width:0;height:1.5pt" o:hralign="center" o:hrstd="t" o:hr="t" fillcolor="#a0a0a0" stroked="f"/>
        </w:pic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Varney (institutional actor)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7</w:t>
      </w:r>
    </w:p>
    <w:p w:rsidR="00AD2256" w:rsidRDefault="00702704">
      <w:pPr>
        <w:rPr>
          <w:rFonts w:ascii="Times New Roman" w:eastAsia="Times New Roman" w:hAnsi="Times New Roman" w:cs="Times New Roman"/>
          <w:b/>
          <w:bCs/>
          <w:sz w:val="24"/>
          <w:szCs w:val="24"/>
        </w:rPr>
      </w:pPr>
      <w:r>
        <w:pict>
          <v:rect id="_x0000_i1032"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Calvin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w:t>
      </w:r>
    </w:p>
    <w:p w:rsidR="00AD2256" w:rsidRDefault="00702704">
      <w:pPr>
        <w:rPr>
          <w:rFonts w:ascii="Times New Roman" w:eastAsia="Times New Roman" w:hAnsi="Times New Roman" w:cs="Times New Roman"/>
          <w:b/>
          <w:bCs/>
          <w:sz w:val="24"/>
          <w:szCs w:val="24"/>
        </w:rPr>
      </w:pPr>
      <w:r>
        <w:lastRenderedPageBreak/>
        <w:pict>
          <v:rect id="_x0000_i1033" style="width:0;height:1.5pt" o:hralign="center" o:hrstd="t" o:hr="t" fillcolor="#a0a0a0" stroked="f"/>
        </w:pic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Agnes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w:t>
      </w:r>
    </w:p>
    <w:p w:rsidR="00AD2256" w:rsidRDefault="00702704">
      <w:pPr>
        <w:rPr>
          <w:rFonts w:ascii="Times New Roman" w:eastAsia="Times New Roman" w:hAnsi="Times New Roman" w:cs="Times New Roman"/>
          <w:b/>
          <w:bCs/>
          <w:sz w:val="24"/>
          <w:szCs w:val="24"/>
        </w:rPr>
      </w:pPr>
      <w:r>
        <w:pict>
          <v:rect id="_x0000_i1034" style="width:0;height:1.5pt" o:hralign="center" o:hrstd="t" o:hr="t" fillcolor="#a0a0a0" stroked="f"/>
        </w:pic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Siatta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p>
    <w:p w:rsidR="00AD2256" w:rsidRDefault="00702704">
      <w:pPr>
        <w:rPr>
          <w:rFonts w:ascii="Times New Roman" w:eastAsia="Times New Roman" w:hAnsi="Times New Roman" w:cs="Times New Roman"/>
          <w:b/>
          <w:bCs/>
          <w:sz w:val="24"/>
          <w:szCs w:val="24"/>
        </w:rPr>
      </w:pPr>
      <w:r>
        <w:pict>
          <v:rect id="_x0000_i1035" style="width:0;height:1.5pt" o:hralign="center" o:hrstd="t" o:hr="t" fillcolor="#a0a0a0" stroked="f"/>
        </w:pic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Mixed/ensemble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1</w:t>
      </w:r>
    </w:p>
    <w:p w:rsidR="00AD2256" w:rsidRDefault="00702704">
      <w:pPr>
        <w:rPr>
          <w:rFonts w:ascii="Times New Roman" w:eastAsia="Times New Roman" w:hAnsi="Times New Roman" w:cs="Times New Roman"/>
          <w:b/>
          <w:bCs/>
          <w:sz w:val="24"/>
          <w:szCs w:val="24"/>
        </w:rPr>
      </w:pPr>
      <w:r>
        <w:pict>
          <v:rect id="_x0000_i1036" style="width:0;height:1.5pt" o:hralign="center" o:hrstd="t" o:hr="t" fillcolor="#a0a0a0" stroked="f"/>
        </w:pict>
      </w:r>
    </w:p>
    <w:p w:rsidR="00AD2256" w:rsidRDefault="00AD2256">
      <w:pPr>
        <w:rPr>
          <w:rFonts w:ascii="Times New Roman" w:eastAsia="Times New Roman" w:hAnsi="Times New Roman" w:cs="Times New Roman"/>
          <w:sz w:val="24"/>
          <w:szCs w:val="24"/>
        </w:rPr>
      </w:pPr>
    </w:p>
    <w:p w:rsidR="00AD2256" w:rsidRDefault="00702704">
      <w:pPr>
        <w:rPr>
          <w:rFonts w:ascii="Times New Roman" w:eastAsia="Times New Roman" w:hAnsi="Times New Roman" w:cs="Times New Roman"/>
        </w:rPr>
      </w:pPr>
      <w:r>
        <w:rPr>
          <w:rFonts w:ascii="Times New Roman" w:eastAsia="Times New Roman" w:hAnsi="Times New Roman" w:cs="Times New Roman"/>
        </w:rPr>
        <w:t>This distribution is stylistically consequential: third-person narration becomes a technology for juxtaposing moral vocabularies. The protagonist’s internal discourse repeatedly returns to unassimilated wartime experien</w:t>
      </w:r>
      <w:r>
        <w:rPr>
          <w:rFonts w:ascii="Times New Roman" w:eastAsia="Times New Roman" w:hAnsi="Times New Roman" w:cs="Times New Roman"/>
        </w:rPr>
        <w:t>ce, while institutional focal chapters involve slogans, courthouse movements, and political registers that sound “public” and rational even when ethically compromised.</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Typically, the text makes use of dreams to reveal parts of the story, more import</w:t>
      </w:r>
      <w:r>
        <w:rPr>
          <w:rFonts w:ascii="Times New Roman" w:eastAsia="Times New Roman" w:hAnsi="Times New Roman" w:cs="Times New Roman"/>
        </w:rPr>
        <w:t xml:space="preserve">antly, events from the past. Virtually all that the protagonist experiences at the war front, particularly at Duluma Camp, are narrated through the dream technique. These are characterized by very frightening images and sounds that not only call attention </w:t>
      </w:r>
      <w:r>
        <w:rPr>
          <w:rFonts w:ascii="Times New Roman" w:eastAsia="Times New Roman" w:hAnsi="Times New Roman" w:cs="Times New Roman"/>
        </w:rPr>
        <w:t>to the evils of the war but also to its tendency to damage the psyche of victims of war. In the dreams are acts of killings and other kinds of violence. Simply put, the use of dreams in the story is to explore the phenomenon of trauma that those who experi</w:t>
      </w:r>
      <w:r>
        <w:rPr>
          <w:rFonts w:ascii="Times New Roman" w:eastAsia="Times New Roman" w:hAnsi="Times New Roman" w:cs="Times New Roman"/>
        </w:rPr>
        <w:t>ence the horrors of war (in)directly suffer from. The three instances of dreams deployed in the novel, which are associated with the protagonist, explain the trauma she privately struggles with despite her public efforts to help others overcome their own t</w:t>
      </w:r>
      <w:r>
        <w:rPr>
          <w:rFonts w:ascii="Times New Roman" w:eastAsia="Times New Roman" w:hAnsi="Times New Roman" w:cs="Times New Roman"/>
        </w:rPr>
        <w:t>raumas. Here, it is noteworthy that dreams function as flashbacks.</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While the primary technique used to present the story is the omniscient narrative technique, the novelist also incorporates epistolary form into the novel. Two of the characters in t</w:t>
      </w:r>
      <w:r>
        <w:rPr>
          <w:rFonts w:ascii="Times New Roman" w:eastAsia="Times New Roman" w:hAnsi="Times New Roman" w:cs="Times New Roman"/>
        </w:rPr>
        <w:t>he novel write letters in the course of the narrative. Though the letters are designed for therapeutic functions only and not meant for the consumption of the addressee, they nevertheless constitute part of the longer narrative. It is through these letters</w:t>
      </w:r>
      <w:r>
        <w:rPr>
          <w:rFonts w:ascii="Times New Roman" w:eastAsia="Times New Roman" w:hAnsi="Times New Roman" w:cs="Times New Roman"/>
        </w:rPr>
        <w:t xml:space="preserve"> that we learn of some missing things about the lives of the writers of the letters and their enjoyments or interactions with other people in the story or even outside the story. Tennah's letter, for example, hints the readers of how her mother contributed</w:t>
      </w:r>
      <w:r>
        <w:rPr>
          <w:rFonts w:ascii="Times New Roman" w:eastAsia="Times New Roman" w:hAnsi="Times New Roman" w:cs="Times New Roman"/>
        </w:rPr>
        <w:t xml:space="preserve"> to her trauma. Through Bendu's letter, we also get to know many things: Siatta's divorce, Bendu's reunion with Baby Girl (May), Calvin's The Benjamin Lewis Jr Memorial Scholarship programme, etc.</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4.2 Diction and lexical fields.</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Shaw’s diction is ch</w:t>
      </w:r>
      <w:r>
        <w:rPr>
          <w:rFonts w:ascii="Times New Roman" w:eastAsia="Times New Roman" w:hAnsi="Times New Roman" w:cs="Times New Roman"/>
        </w:rPr>
        <w:t>aracterized by a deliberate accessibility that does not preclude high-affect intensity. The story is as well narrated using the past tense all through except where the characters communicate using dialogue. The language of the novel is simple and clear. Th</w:t>
      </w:r>
      <w:r>
        <w:rPr>
          <w:rFonts w:ascii="Times New Roman" w:eastAsia="Times New Roman" w:hAnsi="Times New Roman" w:cs="Times New Roman"/>
        </w:rPr>
        <w:t>ere is no use of high-sounding expressions or figurative language requiring some metaphorical interpretation. The opening sequence coordinates plain, concrete nouns (wheelbarrow, casket, road) with sensory lexis (heat, smell) and institutional nouns (e.g.,</w:t>
      </w:r>
      <w:r>
        <w:rPr>
          <w:rFonts w:ascii="Times New Roman" w:eastAsia="Times New Roman" w:hAnsi="Times New Roman" w:cs="Times New Roman"/>
        </w:rPr>
        <w:t xml:space="preserve"> temple of justice; NGO infrastructure). In the urban description where the protagonist returns to work, “raw sewage” and “rotting bodies” are juxtaposed across temporal layers, using olfactory diction to yoke present-day inconveniences to the abject memor</w:t>
      </w:r>
      <w:r>
        <w:rPr>
          <w:rFonts w:ascii="Times New Roman" w:eastAsia="Times New Roman" w:hAnsi="Times New Roman" w:cs="Times New Roman"/>
        </w:rPr>
        <w:t>y of mass death (Chapter 3; p. 31). This illustrates a core stylistic procedure: ordinary lexicon becomes a trigger field for traumatic recollection, a technique consistent with trauma fiction’s concern with involuntary return and the everyday as haunted (</w:t>
      </w:r>
      <w:r>
        <w:rPr>
          <w:rFonts w:ascii="Times New Roman" w:eastAsia="Times New Roman" w:hAnsi="Times New Roman" w:cs="Times New Roman"/>
        </w:rPr>
        <w:t>Whitehead, 2004). Across the novel, key lexical fields cluster around:</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b/>
          <w:bCs/>
        </w:rPr>
        <w:t>war and flight</w:t>
      </w:r>
      <w:r>
        <w:rPr>
          <w:rFonts w:ascii="Times New Roman" w:eastAsia="Times New Roman" w:hAnsi="Times New Roman" w:cs="Times New Roman"/>
        </w:rPr>
        <w:t xml:space="preserve"> (run, checkpoint, grenade, fighters);</w:t>
      </w:r>
    </w:p>
    <w:p w:rsidR="00AD2256" w:rsidRDefault="00702704">
      <w:pPr>
        <w:rPr>
          <w:rFonts w:ascii="Times New Roman" w:eastAsia="Times New Roman" w:hAnsi="Times New Roman" w:cs="Times New Roman"/>
        </w:rPr>
      </w:pPr>
      <w:r>
        <w:rPr>
          <w:rFonts w:ascii="Times New Roman" w:eastAsia="Times New Roman" w:hAnsi="Times New Roman" w:cs="Times New Roman"/>
        </w:rPr>
        <w:lastRenderedPageBreak/>
        <w:t xml:space="preserve">(b) </w:t>
      </w:r>
      <w:r>
        <w:rPr>
          <w:rFonts w:ascii="Times New Roman" w:eastAsia="Times New Roman" w:hAnsi="Times New Roman" w:cs="Times New Roman"/>
          <w:b/>
          <w:bCs/>
        </w:rPr>
        <w:t>law and judgment</w:t>
      </w:r>
      <w:r>
        <w:rPr>
          <w:rFonts w:ascii="Times New Roman" w:eastAsia="Times New Roman" w:hAnsi="Times New Roman" w:cs="Times New Roman"/>
        </w:rPr>
        <w:t xml:space="preserve"> (justice, charges, court, judge);</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bCs/>
        </w:rPr>
        <w:t>healing institutions</w:t>
      </w:r>
      <w:r>
        <w:rPr>
          <w:rFonts w:ascii="Times New Roman" w:eastAsia="Times New Roman" w:hAnsi="Times New Roman" w:cs="Times New Roman"/>
        </w:rPr>
        <w:t xml:space="preserve"> (counseling, NGOs, and programs);</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b/>
          <w:bCs/>
        </w:rPr>
        <w:t>religious/ethical vocabulary</w:t>
      </w:r>
      <w:r>
        <w:rPr>
          <w:rFonts w:ascii="Times New Roman" w:eastAsia="Times New Roman" w:hAnsi="Times New Roman" w:cs="Times New Roman"/>
        </w:rPr>
        <w:t xml:space="preserve"> (God, forgiveness, redemption). </w:t>
      </w:r>
    </w:p>
    <w:p w:rsidR="00AD2256" w:rsidRDefault="00AD2256">
      <w:pPr>
        <w:rPr>
          <w:rFonts w:ascii="Times New Roman" w:eastAsia="Times New Roman" w:hAnsi="Times New Roman" w:cs="Times New Roman"/>
        </w:rPr>
      </w:pP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These fields are not merely thematic. They are register-switching resources that allow the narrative to pivot between genres (such as thrillers, sociological novels, etc.).</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4.3 Syntax an</w:t>
      </w:r>
      <w:r>
        <w:rPr>
          <w:rFonts w:ascii="Times New Roman" w:eastAsia="Times New Roman" w:hAnsi="Times New Roman" w:cs="Times New Roman"/>
          <w:b/>
          <w:bCs/>
        </w:rPr>
        <w:t>d Rhythm.</w:t>
      </w:r>
    </w:p>
    <w:p w:rsidR="00AD2256" w:rsidRDefault="00702704">
      <w:pPr>
        <w:rPr>
          <w:rFonts w:ascii="Times New Roman" w:eastAsia="Times New Roman" w:hAnsi="Times New Roman" w:cs="Times New Roman"/>
        </w:rPr>
      </w:pPr>
      <w:r>
        <w:rPr>
          <w:rFonts w:ascii="Cardo" w:eastAsia="Cardo" w:hAnsi="Cardo" w:cs="Cardo"/>
        </w:rPr>
        <w:t xml:space="preserve">       One of the most striking syntactic imprints is the alternation between (i) extended, hypotactic sentences used for explanation and civic reflection and (ii) compressed fragments used for shock, panic, and sensory overload. In the wartime f</w:t>
      </w:r>
      <w:r>
        <w:rPr>
          <w:rFonts w:ascii="Cardo" w:eastAsia="Cardo" w:hAnsi="Cardo" w:cs="Cardo"/>
        </w:rPr>
        <w:t xml:space="preserve">lashback sequence, the narration breaks into fragmentary beats—“Dizzy. Slow motion. Confusion”—before returning to full clauses (Shaw, 2008, p. 6). This fragmentation functions as a mirror of disorientation and confusion. Rather than describing confusion, </w:t>
      </w:r>
      <w:r>
        <w:rPr>
          <w:rFonts w:ascii="Cardo" w:eastAsia="Cardo" w:hAnsi="Cardo" w:cs="Cardo"/>
        </w:rPr>
        <w:t>the syntax performs it through parataxis, distorted syntax, sentence fragments, and ellipsis-like pacing. This effect echoes trauma fiction descriptions of stylistic fragmentation as an attempt to represent experience that outgrows conventional narrative s</w:t>
      </w:r>
      <w:r>
        <w:rPr>
          <w:rFonts w:ascii="Cardo" w:eastAsia="Cardo" w:hAnsi="Cardo" w:cs="Cardo"/>
        </w:rPr>
        <w:t>equencing. (Whitehead, 2004) On the obverse, in an institutional focal chapter, the protagonist’s counterpart reflects in longer argumentative sentences on the absence of justice and the political co-optation of peace talks, culminating in the aphoristic “</w:t>
      </w:r>
      <w:r>
        <w:rPr>
          <w:rFonts w:ascii="Cardo" w:eastAsia="Cardo" w:hAnsi="Cardo" w:cs="Cardo"/>
        </w:rPr>
        <w:t xml:space="preserve">No justice, no peace” embedded in dialogue later in the novel (Shaw, 2008, p. 101). The syntactic movement (extended reflection → slogan) mirrors political speech formation, which means a complex social diagnosis is being condensed into a chant-like moral </w:t>
      </w:r>
      <w:r>
        <w:rPr>
          <w:rFonts w:ascii="Cardo" w:eastAsia="Cardo" w:hAnsi="Cardo" w:cs="Cardo"/>
        </w:rPr>
        <w:t>cliché, a register move that the novel both uses and interrogates. This is consistent with Toolan’s interest in how suspense and narrative impetus can be shaped by shifts in discourse mode and rhetorical compression (Toolan, 2008). A corpus index foregroun</w:t>
      </w:r>
      <w:r>
        <w:rPr>
          <w:rFonts w:ascii="Cardo" w:eastAsia="Cardo" w:hAnsi="Cardo" w:cs="Cardo"/>
        </w:rPr>
        <w:t>ds this stylistic duality. The estimated mean sentence length is slightly higher in Part Two than Part One (11.70 vs. 11.01 words per sentence by a crude punctuation-based estimate), suggesting a modest shift toward deliberative exposition later in the nov</w:t>
      </w:r>
      <w:r>
        <w:rPr>
          <w:rFonts w:ascii="Cardo" w:eastAsia="Cardo" w:hAnsi="Cardo" w:cs="Cardo"/>
        </w:rPr>
        <w:t>el.</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4.4 Imagery.</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Shaw’s imagistic description is frequently sensorial and environmental, emphasizing Liberia’s coastal urban texture while keeping war’s residue present. Urban flora and rainfall are rendered with visual detail—trees providing “carpe</w:t>
      </w:r>
      <w:r>
        <w:rPr>
          <w:rFonts w:ascii="Times New Roman" w:eastAsia="Times New Roman" w:hAnsi="Times New Roman" w:cs="Times New Roman"/>
        </w:rPr>
        <w:t>ts of flowers”—but this pastoral note is undergirded by recollected images of “bullet-riddled buildings” and corpses in decay (Chapter 3 sequence). The recurring strategy is contrastive, and beauty is made visible, but it is made visible against a remember</w:t>
      </w:r>
      <w:r>
        <w:rPr>
          <w:rFonts w:ascii="Times New Roman" w:eastAsia="Times New Roman" w:hAnsi="Times New Roman" w:cs="Times New Roman"/>
        </w:rPr>
        <w:t>ed field of ruin. This contrast is not decorative; it is a post-conflict perceptual ethic, refusing both despair-only narration and naïve restoration. The effect is also sociohistorical, as the city’s infrastructural damage and later partial recovery proje</w:t>
      </w:r>
      <w:r>
        <w:rPr>
          <w:rFonts w:ascii="Times New Roman" w:eastAsia="Times New Roman" w:hAnsi="Times New Roman" w:cs="Times New Roman"/>
        </w:rPr>
        <w:t xml:space="preserve">cts Liberia’s broader trajectory of breakdown and reconstruction. (Encyclopedia Britannica, </w:t>
      </w:r>
      <w:r>
        <w:rPr>
          <w:rFonts w:ascii="Times New Roman" w:eastAsia="Times New Roman" w:hAnsi="Times New Roman" w:cs="Times New Roman"/>
          <w:i/>
          <w:iCs/>
        </w:rPr>
        <w:t>Liberia–Decades of strife; civil war and after</w:t>
      </w:r>
      <w:r>
        <w:rPr>
          <w:rFonts w:ascii="Times New Roman" w:eastAsia="Times New Roman" w:hAnsi="Times New Roman" w:cs="Times New Roman"/>
        </w:rPr>
        <w:t xml:space="preserve">)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Nonetheless, the imagistic description of some sights and scenes can be very revolting. One of such paradigm</w:t>
      </w:r>
      <w:r>
        <w:rPr>
          <w:rFonts w:ascii="Times New Roman" w:eastAsia="Times New Roman" w:hAnsi="Times New Roman" w:cs="Times New Roman"/>
        </w:rPr>
        <w:t>s is the scene where one of the treacherous members of Commander Cobra's rebel group is beheaded. Also, in the depiction of collective protest and mourning, the narrative uses similes and metaphors. Women’s quiet crying is described as spreading “like wild</w:t>
      </w:r>
      <w:r>
        <w:rPr>
          <w:rFonts w:ascii="Times New Roman" w:eastAsia="Times New Roman" w:hAnsi="Times New Roman" w:cs="Times New Roman"/>
        </w:rPr>
        <w:t xml:space="preserve">fire” (Shaw, 2008, p. 16). The wildfire simile serves two functions. First, it transforms “quiet” weeping into a communal reality—an </w:t>
      </w:r>
      <w:r>
        <w:rPr>
          <w:rFonts w:ascii="Times New Roman" w:eastAsia="Times New Roman" w:hAnsi="Times New Roman" w:cs="Times New Roman"/>
        </w:rPr>
        <w:lastRenderedPageBreak/>
        <w:t>affective public sphere. Second, it suggests that grief is not a private emotion but a mobilizable force, thereby anticipat</w:t>
      </w:r>
      <w:r>
        <w:rPr>
          <w:rFonts w:ascii="Times New Roman" w:eastAsia="Times New Roman" w:hAnsi="Times New Roman" w:cs="Times New Roman"/>
        </w:rPr>
        <w:t>ing the historical relevance of women’s participation in Liberia’s peace movement.</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4.5 Symbolism and Allusion.</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A few of the characters in the novel are positioned symbolically. Calvin, Cobra and Bendu are symbolic of certain values in the novel. Calvin represents the older order of Americo-Liberians, otherwise referred to as Congo people. Socioeconomically a</w:t>
      </w:r>
      <w:r>
        <w:rPr>
          <w:rFonts w:ascii="Times New Roman" w:eastAsia="Times New Roman" w:hAnsi="Times New Roman" w:cs="Times New Roman"/>
        </w:rPr>
        <w:t xml:space="preserve">nd politically speaking, Americo-Liberians are hierarchically privileged above indigenous ethnic Liberians, who decided </w:t>
      </w:r>
      <w:r>
        <w:rPr>
          <w:rFonts w:ascii="Times New Roman" w:eastAsia="Times New Roman" w:hAnsi="Times New Roman" w:cs="Times New Roman"/>
          <w:sz w:val="24"/>
          <w:szCs w:val="24"/>
        </w:rPr>
        <w:t xml:space="preserve">to seek political correction to </w:t>
      </w:r>
      <w:r>
        <w:rPr>
          <w:rFonts w:ascii="Times New Roman" w:eastAsia="Times New Roman" w:hAnsi="Times New Roman" w:cs="Times New Roman"/>
        </w:rPr>
        <w:t>this by forcefully taking power from Americos in 1980 under the leadership of Samuel Doe. Calvin still t</w:t>
      </w:r>
      <w:r>
        <w:rPr>
          <w:rFonts w:ascii="Times New Roman" w:eastAsia="Times New Roman" w:hAnsi="Times New Roman" w:cs="Times New Roman"/>
        </w:rPr>
        <w:t>reats indigenous Liberians with disdain and upholds the belief that they deserve the tragedy the war brought on them. Likewise, Bendu, who is also an Americo-Liberian, symbolizes a future whereby people from these two groups can come together to work for t</w:t>
      </w:r>
      <w:r>
        <w:rPr>
          <w:rFonts w:ascii="Times New Roman" w:eastAsia="Times New Roman" w:hAnsi="Times New Roman" w:cs="Times New Roman"/>
        </w:rPr>
        <w:t>he advancement of the country. As for Cobra, he symbolizes all evils and atrocities associated with war. He perpetrates all manners of evil in the name of “War makes us all crazy”.</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Interestingly, symbolism is used precisely to convert loss into spat</w:t>
      </w:r>
      <w:r>
        <w:rPr>
          <w:rFonts w:ascii="Times New Roman" w:eastAsia="Times New Roman" w:hAnsi="Times New Roman" w:cs="Times New Roman"/>
        </w:rPr>
        <w:t xml:space="preserve">ial metaphors. A key instance compares romantic bereavement to a violent extraction and oceanic disposal: the protagonist frames grief as if “all life… [were] ripped out” and cast “into the depths of the Atlantic,” coupled to an explicit biblical allusion </w:t>
      </w:r>
      <w:r>
        <w:rPr>
          <w:rFonts w:ascii="Times New Roman" w:eastAsia="Times New Roman" w:hAnsi="Times New Roman" w:cs="Times New Roman"/>
        </w:rPr>
        <w:t>to Jonah (Shaw, 2008, p. 18). Symbolically, the Atlantic figure has a multilayered interpretation. On one level, it is geographically apt for a Monrovia-centered narrative ; on another level, it binds personal loss to a wider transatlantic history of force</w:t>
      </w:r>
      <w:r>
        <w:rPr>
          <w:rFonts w:ascii="Times New Roman" w:eastAsia="Times New Roman" w:hAnsi="Times New Roman" w:cs="Times New Roman"/>
        </w:rPr>
        <w:t>d movement and dispossession implied—but not polemically grounded—through the region’s historical trajectories.</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 title motif itself is reinforced through paratext. The front matter provides a dictionary definition of redemption and an epigraphic </w:t>
      </w:r>
      <w:r>
        <w:rPr>
          <w:rFonts w:ascii="Times New Roman" w:eastAsia="Times New Roman" w:hAnsi="Times New Roman" w:cs="Times New Roman"/>
        </w:rPr>
        <w:t>poem that contrasts 1980 “redemption” with blood and aid, then frames 1990 as another “redemption” followed by collective grief ( p. 13–15). This paratextual staging makes “redemption” a contested ground of several meanings rather than a simple moral endpo</w:t>
      </w:r>
      <w:r>
        <w:rPr>
          <w:rFonts w:ascii="Times New Roman" w:eastAsia="Times New Roman" w:hAnsi="Times New Roman" w:cs="Times New Roman"/>
        </w:rPr>
        <w:t>int, preparing the reader to treat later redemptive claims with skepticism. Additionally, other objects that function as symbolic condensations include the following:</w:t>
      </w:r>
    </w:p>
    <w:p w:rsidR="00AD2256" w:rsidRDefault="00702704">
      <w:pPr>
        <w:numPr>
          <w:ilvl w:val="0"/>
          <w:numId w:val="4"/>
        </w:numPr>
        <w:rPr>
          <w:rFonts w:ascii="Times New Roman" w:eastAsia="Times New Roman" w:hAnsi="Times New Roman" w:cs="Times New Roman"/>
        </w:rPr>
      </w:pPr>
      <w:r>
        <w:rPr>
          <w:rFonts w:ascii="Times New Roman" w:eastAsia="Times New Roman" w:hAnsi="Times New Roman" w:cs="Times New Roman"/>
        </w:rPr>
        <w:t>the wheelbarrow becomes a burden-symbol linking caregiving, flight, and moral injury;</w:t>
      </w:r>
    </w:p>
    <w:p w:rsidR="00AD2256" w:rsidRDefault="00702704">
      <w:pPr>
        <w:numPr>
          <w:ilvl w:val="0"/>
          <w:numId w:val="4"/>
        </w:numPr>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rPr>
        <w:t xml:space="preserve"> courthouse becomes a stage for the conflict between equity and procedural legitimacy;</w:t>
      </w:r>
    </w:p>
    <w:p w:rsidR="00AD2256" w:rsidRDefault="00702704">
      <w:pPr>
        <w:numPr>
          <w:ilvl w:val="0"/>
          <w:numId w:val="4"/>
        </w:numPr>
        <w:rPr>
          <w:rFonts w:ascii="Times New Roman" w:eastAsia="Times New Roman" w:hAnsi="Times New Roman" w:cs="Times New Roman"/>
        </w:rPr>
      </w:pPr>
      <w:r>
        <w:rPr>
          <w:rFonts w:ascii="Times New Roman" w:eastAsia="Times New Roman" w:hAnsi="Times New Roman" w:cs="Times New Roman"/>
        </w:rPr>
        <w:t>institutional slogans become metonymies of political eras, detachable from genuine justice.</w:t>
      </w:r>
    </w:p>
    <w:p w:rsidR="00AD2256" w:rsidRDefault="0070270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4.6 Dialogue and Pragmatics.</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Dialogue is one of the novel’s principal </w:t>
      </w:r>
      <w:r>
        <w:rPr>
          <w:rFonts w:ascii="Times New Roman" w:eastAsia="Times New Roman" w:hAnsi="Times New Roman" w:cs="Times New Roman"/>
        </w:rPr>
        <w:t>elements of characterization. It is also a resource with which the author encodes social identity and power relations through Liberian English features and pragmatics. Examples include:</w:t>
      </w:r>
    </w:p>
    <w:p w:rsidR="00AD2256" w:rsidRDefault="00AD2256">
      <w:pPr>
        <w:rPr>
          <w:rFonts w:ascii="Times New Roman" w:eastAsia="Times New Roman" w:hAnsi="Times New Roman" w:cs="Times New Roman"/>
        </w:rPr>
      </w:pPr>
    </w:p>
    <w:p w:rsidR="00AD2256" w:rsidRDefault="00702704">
      <w:pPr>
        <w:numPr>
          <w:ilvl w:val="0"/>
          <w:numId w:val="2"/>
        </w:numPr>
        <w:rPr>
          <w:rFonts w:ascii="Times New Roman" w:eastAsia="Times New Roman" w:hAnsi="Times New Roman" w:cs="Times New Roman"/>
        </w:rPr>
      </w:pPr>
      <w:r>
        <w:rPr>
          <w:rFonts w:ascii="Times New Roman" w:eastAsia="Times New Roman" w:hAnsi="Times New Roman" w:cs="Times New Roman"/>
        </w:rPr>
        <w:t>sentence-final “o” as an emphatic pragmatic marker (“Help me o…”) (Sh</w:t>
      </w:r>
      <w:r>
        <w:rPr>
          <w:rFonts w:ascii="Times New Roman" w:eastAsia="Times New Roman" w:hAnsi="Times New Roman" w:cs="Times New Roman"/>
        </w:rPr>
        <w:t>aw, 2008, p. 6);</w:t>
      </w:r>
    </w:p>
    <w:p w:rsidR="00AD2256" w:rsidRDefault="00702704">
      <w:pPr>
        <w:numPr>
          <w:ilvl w:val="0"/>
          <w:numId w:val="2"/>
        </w:numPr>
        <w:rPr>
          <w:rFonts w:ascii="Times New Roman" w:eastAsia="Times New Roman" w:hAnsi="Times New Roman" w:cs="Times New Roman"/>
        </w:rPr>
      </w:pPr>
      <w:r>
        <w:rPr>
          <w:rFonts w:ascii="Times New Roman" w:eastAsia="Times New Roman" w:hAnsi="Times New Roman" w:cs="Times New Roman"/>
        </w:rPr>
        <w:t>a tag question “not so?” in casual interaction (Shaw, 2008, p. 17), which marks conversational alignment and local speech rhythm;</w:t>
      </w:r>
    </w:p>
    <w:p w:rsidR="00AD2256" w:rsidRDefault="00702704">
      <w:pPr>
        <w:numPr>
          <w:ilvl w:val="0"/>
          <w:numId w:val="2"/>
        </w:numPr>
        <w:rPr>
          <w:rFonts w:ascii="Times New Roman" w:eastAsia="Times New Roman" w:hAnsi="Times New Roman" w:cs="Times New Roman"/>
        </w:rPr>
      </w:pPr>
      <w:r>
        <w:rPr>
          <w:rFonts w:ascii="Times New Roman" w:eastAsia="Times New Roman" w:hAnsi="Times New Roman" w:cs="Times New Roman"/>
        </w:rPr>
        <w:t>culturally situated expressions such as “suck teeth” as an embodied sign of disapproval are deployed narrativ</w:t>
      </w:r>
      <w:r>
        <w:rPr>
          <w:rFonts w:ascii="Times New Roman" w:eastAsia="Times New Roman" w:hAnsi="Times New Roman" w:cs="Times New Roman"/>
        </w:rPr>
        <w:t xml:space="preserve">ely as a gesture that triggers a violent power response (Shaw, 2008, p. 8–9).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 gesture “to suck teeth” (also called “kiss teeth” in other contexts) has West African origins and functions as a semiotic signal of irritation/disrespect—an embodied discourse act that can be socially meaningful. In Shaw’s novel, the gesture is </w:t>
      </w:r>
      <w:r>
        <w:rPr>
          <w:rFonts w:ascii="Times New Roman" w:eastAsia="Times New Roman" w:hAnsi="Times New Roman" w:cs="Times New Roman"/>
        </w:rPr>
        <w:t xml:space="preserve">a micro-conflict that reveals the fragility of authority and the volatility of militarized masculinity. It also shows how dialogue is not only printed speech; it includes </w:t>
      </w:r>
      <w:r>
        <w:rPr>
          <w:rFonts w:ascii="Times New Roman" w:eastAsia="Times New Roman" w:hAnsi="Times New Roman" w:cs="Times New Roman"/>
        </w:rPr>
        <w:lastRenderedPageBreak/>
        <w:t xml:space="preserve">paralinguistic action reported by the narrator, which Leech &amp; Short treat as part of </w:t>
      </w:r>
      <w:r>
        <w:rPr>
          <w:rFonts w:ascii="Times New Roman" w:eastAsia="Times New Roman" w:hAnsi="Times New Roman" w:cs="Times New Roman"/>
        </w:rPr>
        <w:t xml:space="preserve">discourse presentation ecology (Leech &amp; Short, 2007). </w:t>
      </w:r>
    </w:p>
    <w:p w:rsidR="00AD2256" w:rsidRDefault="00AD2256">
      <w:pPr>
        <w:rPr>
          <w:rFonts w:ascii="Times New Roman" w:eastAsia="Times New Roman" w:hAnsi="Times New Roman" w:cs="Times New Roman"/>
        </w:rPr>
      </w:pP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Crucially, code-switching is also functional in the book. An armed commander initially addresses the protagonist in “the dialect that most people in the region spoke,” then shifts to English; t</w:t>
      </w:r>
      <w:r>
        <w:rPr>
          <w:rFonts w:ascii="Times New Roman" w:eastAsia="Times New Roman" w:hAnsi="Times New Roman" w:cs="Times New Roman"/>
        </w:rPr>
        <w:t>his switch hints at the protagonist’s education and the commander’s performative authority. The narrative explicitly notes how voice quality and dialect mark class identity (“Americo-Liberian”)—an identity axis historically linked to Liberia’s political st</w:t>
      </w:r>
      <w:r>
        <w:rPr>
          <w:rFonts w:ascii="Times New Roman" w:eastAsia="Times New Roman" w:hAnsi="Times New Roman" w:cs="Times New Roman"/>
        </w:rPr>
        <w:t xml:space="preserve">ratification. (Encyclopedia Britannica, </w:t>
      </w:r>
      <w:r>
        <w:rPr>
          <w:rFonts w:ascii="Times New Roman" w:eastAsia="Times New Roman" w:hAnsi="Times New Roman" w:cs="Times New Roman"/>
          <w:i/>
          <w:iCs/>
        </w:rPr>
        <w:t>Liberia–Decades of strife; civil war and after</w:t>
      </w:r>
      <w:r>
        <w:rPr>
          <w:rFonts w:ascii="Times New Roman" w:eastAsia="Times New Roman" w:hAnsi="Times New Roman" w:cs="Times New Roman"/>
        </w:rPr>
        <w:t>)</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4.6 Characterization and focal ethics.</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Characterization in </w:t>
      </w:r>
      <w:r>
        <w:rPr>
          <w:rFonts w:ascii="Times New Roman" w:eastAsia="Times New Roman" w:hAnsi="Times New Roman" w:cs="Times New Roman"/>
          <w:i/>
          <w:iCs/>
        </w:rPr>
        <w:t>Redemption Road</w:t>
      </w:r>
      <w:r>
        <w:rPr>
          <w:rFonts w:ascii="Times New Roman" w:eastAsia="Times New Roman" w:hAnsi="Times New Roman" w:cs="Times New Roman"/>
        </w:rPr>
        <w:t xml:space="preserve"> is strongly intertwined with the focal technique. The narrator often pairs external ob</w:t>
      </w:r>
      <w:r>
        <w:rPr>
          <w:rFonts w:ascii="Times New Roman" w:eastAsia="Times New Roman" w:hAnsi="Times New Roman" w:cs="Times New Roman"/>
        </w:rPr>
        <w:t>servation with internal questioning, producing a layered moral psychology. The protagonist is repeatedly positioned as someone for whom forgetting is impossible and whose memory is both debilitated and morally pressured (Shaw, 2008, p. 11). This framing al</w:t>
      </w:r>
      <w:r>
        <w:rPr>
          <w:rFonts w:ascii="Times New Roman" w:eastAsia="Times New Roman" w:hAnsi="Times New Roman" w:cs="Times New Roman"/>
        </w:rPr>
        <w:t>igns with Caruth’s trauma model (of unassimilated experience returning later) and with LaCapra’s “acting out” vs “working through” dynamic. (Caruth, 2016) Crucially, the novel’s characterization is ethically non-binary. Sevcik’s scholarly interpretation of</w:t>
      </w:r>
      <w:r>
        <w:rPr>
          <w:rFonts w:ascii="Times New Roman" w:eastAsia="Times New Roman" w:hAnsi="Times New Roman" w:cs="Times New Roman"/>
        </w:rPr>
        <w:t xml:space="preserve"> the protagonist as both victim and perpetrator provides an important lens for how stylistic choices (corporeal imagery, shame-silences, evasions, and confessional dialogue) stage moral complexity without flattening it into equivalence (Sevcik, 2020). This</w:t>
      </w:r>
      <w:r>
        <w:rPr>
          <w:rFonts w:ascii="Times New Roman" w:eastAsia="Times New Roman" w:hAnsi="Times New Roman" w:cs="Times New Roman"/>
        </w:rPr>
        <w:t xml:space="preserve"> complexity is not merely thematic , it is stylistic in the sense that the narrator’s access to consciousness is partial and strategically restricted, producing suspense around “secrets” and around the costs of truth-telling.</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4.7 Pacing, Suspense, and Temp</w:t>
      </w:r>
      <w:r>
        <w:rPr>
          <w:rFonts w:ascii="Times New Roman" w:eastAsia="Times New Roman" w:hAnsi="Times New Roman" w:cs="Times New Roman"/>
          <w:b/>
          <w:bCs/>
        </w:rPr>
        <w:t>oral organization.</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 novel’s pacing depends on two key characteristics. These are alternating present-time institutional scenes with war-time flashbacks and varying levels of scenic details. War sequences often shift quickly through perceptual det</w:t>
      </w:r>
      <w:r>
        <w:rPr>
          <w:rFonts w:ascii="Times New Roman" w:eastAsia="Times New Roman" w:hAnsi="Times New Roman" w:cs="Times New Roman"/>
        </w:rPr>
        <w:t>ails, while institutional scenes linger in dialogue and deliberation. The opening chapter exemplifies this. A memorial service slides into analepsis triggered by auditory recall (“Then she heard the voice…”), collapsing temporal distance and creating a tra</w:t>
      </w:r>
      <w:r>
        <w:rPr>
          <w:rFonts w:ascii="Times New Roman" w:eastAsia="Times New Roman" w:hAnsi="Times New Roman" w:cs="Times New Roman"/>
        </w:rPr>
        <w:t>uma-like time structure. (Shaw, 2008, p. 5–7). This is consistent with Toolan’s account of time manipulations and how they guide reader inference and suspense  (Toolan,</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2001). Quantitatively, the dialogue-proxy measure (double-quote marks per 1,000 words) </w:t>
      </w:r>
      <w:r>
        <w:rPr>
          <w:rFonts w:ascii="Times New Roman" w:eastAsia="Times New Roman" w:hAnsi="Times New Roman" w:cs="Times New Roman"/>
        </w:rPr>
        <w:t>shows a slightly higher frequency in Part One than Part Two (mean ~61.8 vs ~54.4). This suggests that early chapters may rely more on confrontational or socially embedded dialogue, while later chapters yield somewhat more narrative exposition/reflection—an</w:t>
      </w:r>
      <w:r>
        <w:rPr>
          <w:rFonts w:ascii="Times New Roman" w:eastAsia="Times New Roman" w:hAnsi="Times New Roman" w:cs="Times New Roman"/>
        </w:rPr>
        <w:t xml:space="preserve"> interpretively plausible construct as Part Two emphasizes truth processes and aftermath (Mclntyre &amp; Walker, 2019). </w:t>
      </w: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4.8 Thematic Motifs and Corpus-Assisted Evidence.</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rPr>
        <w:t xml:space="preserve">       To connect stylistic patterning to thematic evolution, this paper measured motif-t</w:t>
      </w:r>
      <w:r>
        <w:rPr>
          <w:rFonts w:ascii="Times New Roman" w:eastAsia="Times New Roman" w:hAnsi="Times New Roman" w:cs="Times New Roman"/>
        </w:rPr>
        <w:t xml:space="preserve">oken frequencies by part. The results show a strong directional shift that also resonates with the part titles: Part One, “Time Heals Nothing,” is lexically heavier in “war” and symbolic burdens (e.g., wheelbarrow), while Part Two, “Truth Lights the Way,” </w:t>
      </w:r>
      <w:r>
        <w:rPr>
          <w:rFonts w:ascii="Times New Roman" w:eastAsia="Times New Roman" w:hAnsi="Times New Roman" w:cs="Times New Roman"/>
        </w:rPr>
        <w:t>increases in “truth,” “forgive,” and public health lexicon.</w:t>
      </w:r>
    </w:p>
    <w:p w:rsidR="00AD2256" w:rsidRDefault="00AD2256">
      <w:pPr>
        <w:rPr>
          <w:rFonts w:ascii="Times New Roman" w:eastAsia="Times New Roman" w:hAnsi="Times New Roman" w:cs="Times New Roman"/>
          <w:sz w:val="24"/>
          <w:szCs w:val="24"/>
        </w:rPr>
      </w:pPr>
    </w:p>
    <w:p w:rsidR="00AD2256" w:rsidRDefault="00AD2256">
      <w:pPr>
        <w:rPr>
          <w:rFonts w:ascii="Times New Roman" w:eastAsia="Times New Roman" w:hAnsi="Times New Roman" w:cs="Times New Roman"/>
          <w:sz w:val="24"/>
          <w:szCs w:val="24"/>
        </w:rPr>
      </w:pPr>
    </w:p>
    <w:p w:rsidR="00AD2256" w:rsidRDefault="00702704">
      <w:pPr>
        <w:ind w:left="720" w:firstLine="720"/>
        <w:rPr>
          <w:rFonts w:ascii="Times New Roman" w:eastAsia="Times New Roman" w:hAnsi="Times New Roman" w:cs="Times New Roman"/>
          <w:b/>
          <w:bCs/>
        </w:rPr>
      </w:pPr>
      <w:r>
        <w:rPr>
          <w:rFonts w:ascii="Times New Roman" w:eastAsia="Times New Roman" w:hAnsi="Times New Roman" w:cs="Times New Roman"/>
          <w:b/>
          <w:bCs/>
        </w:rPr>
        <w:t>Table 2 : Motif Token Fregency of Part One and Part Two</w:t>
      </w:r>
    </w:p>
    <w:p w:rsidR="00AD2256" w:rsidRDefault="00702704">
      <w:pPr>
        <w:rPr>
          <w:rFonts w:ascii="Times New Roman" w:eastAsia="Times New Roman" w:hAnsi="Times New Roman" w:cs="Times New Roman"/>
          <w:sz w:val="24"/>
          <w:szCs w:val="24"/>
        </w:rPr>
      </w:pPr>
      <w:r>
        <w:pict>
          <v:rect id="_x0000_i1037" style="width:0;height:1.5pt" o:hralign="center" o:hrstd="t" o:hr="t" fillcolor="#a0a0a0" stroked="f"/>
        </w:pict>
      </w:r>
      <w:r>
        <w:rPr>
          <w:rFonts w:ascii="Times New Roman" w:eastAsia="Times New Roman" w:hAnsi="Times New Roman" w:cs="Times New Roman"/>
          <w:sz w:val="24"/>
          <w:szCs w:val="24"/>
        </w:rPr>
        <w:t xml:space="preserve"> </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Motif Token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 One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 Two</w:t>
      </w:r>
    </w:p>
    <w:p w:rsidR="00AD2256" w:rsidRDefault="0070270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(Count; Per 10k)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(Count; Per 10k)</w:t>
      </w:r>
      <w:r>
        <w:rPr>
          <w:rFonts w:ascii="Times New Roman" w:eastAsia="Times New Roman" w:hAnsi="Times New Roman" w:cs="Times New Roman"/>
          <w:sz w:val="24"/>
          <w:szCs w:val="24"/>
        </w:rPr>
        <w:tab/>
      </w:r>
      <w:r>
        <w:pict>
          <v:rect id="_x0000_i1038"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 6.39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24; 10.07</w:t>
      </w:r>
    </w:p>
    <w:p w:rsidR="00AD2256" w:rsidRDefault="00702704">
      <w:pPr>
        <w:rPr>
          <w:rFonts w:ascii="Times New Roman" w:eastAsia="Times New Roman" w:hAnsi="Times New Roman" w:cs="Times New Roman"/>
          <w:sz w:val="24"/>
          <w:szCs w:val="24"/>
        </w:rPr>
      </w:pPr>
      <w:r>
        <w:pict>
          <v:rect id="_x0000_i1039"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Justice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17; 5.43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9; 3.78</w:t>
      </w:r>
    </w:p>
    <w:p w:rsidR="00AD2256" w:rsidRDefault="00702704">
      <w:pPr>
        <w:rPr>
          <w:rFonts w:ascii="Times New Roman" w:eastAsia="Times New Roman" w:hAnsi="Times New Roman" w:cs="Times New Roman"/>
          <w:sz w:val="24"/>
          <w:szCs w:val="24"/>
        </w:rPr>
      </w:pPr>
      <w:r>
        <w:pict>
          <v:rect id="_x0000_i1040"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  0.96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9;  3.78</w:t>
      </w:r>
    </w:p>
    <w:p w:rsidR="00AD2256" w:rsidRDefault="00702704">
      <w:pPr>
        <w:rPr>
          <w:rFonts w:ascii="Times New Roman" w:eastAsia="Times New Roman" w:hAnsi="Times New Roman" w:cs="Times New Roman"/>
          <w:sz w:val="24"/>
          <w:szCs w:val="24"/>
        </w:rPr>
      </w:pPr>
      <w:r>
        <w:pict>
          <v:rect id="_x0000_i1041"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Forgive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0.64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12;  5.04</w:t>
      </w:r>
    </w:p>
    <w:p w:rsidR="00AD2256" w:rsidRDefault="00702704">
      <w:pPr>
        <w:rPr>
          <w:rFonts w:ascii="Times New Roman" w:eastAsia="Times New Roman" w:hAnsi="Times New Roman" w:cs="Times New Roman"/>
          <w:sz w:val="24"/>
          <w:szCs w:val="24"/>
        </w:rPr>
      </w:pPr>
      <w:r>
        <w:pict>
          <v:rect id="_x0000_i1042"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Reconciliation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  1.60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  2.10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2256" w:rsidRDefault="00702704">
      <w:pPr>
        <w:rPr>
          <w:rFonts w:ascii="Times New Roman" w:eastAsia="Times New Roman" w:hAnsi="Times New Roman" w:cs="Times New Roman"/>
          <w:sz w:val="24"/>
          <w:szCs w:val="24"/>
        </w:rPr>
      </w:pPr>
      <w:r>
        <w:pict>
          <v:rect id="_x0000_i1043"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54; 17.25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33; 13.85</w:t>
      </w:r>
      <w:r>
        <w:rPr>
          <w:rFonts w:ascii="Times New Roman" w:eastAsia="Times New Roman" w:hAnsi="Times New Roman" w:cs="Times New Roman"/>
          <w:sz w:val="24"/>
          <w:szCs w:val="24"/>
        </w:rPr>
        <w:tab/>
        <w:t xml:space="preserve"> </w:t>
      </w:r>
    </w:p>
    <w:p w:rsidR="00AD2256" w:rsidRDefault="00702704">
      <w:pPr>
        <w:rPr>
          <w:rFonts w:ascii="Times New Roman" w:eastAsia="Times New Roman" w:hAnsi="Times New Roman" w:cs="Times New Roman"/>
          <w:sz w:val="24"/>
          <w:szCs w:val="24"/>
        </w:rPr>
      </w:pPr>
      <w:r>
        <w:pict>
          <v:rect id="_x0000_i1044"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Wheelbarrow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14;  4.47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0;  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2256" w:rsidRDefault="00702704">
      <w:pPr>
        <w:rPr>
          <w:rFonts w:ascii="Times New Roman" w:eastAsia="Times New Roman" w:hAnsi="Times New Roman" w:cs="Times New Roman"/>
          <w:sz w:val="24"/>
          <w:szCs w:val="24"/>
        </w:rPr>
      </w:pPr>
      <w:r>
        <w:pict>
          <v:rect id="_x0000_i1045"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  1.28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11; 4.62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2256" w:rsidRDefault="00702704">
      <w:pPr>
        <w:rPr>
          <w:rFonts w:ascii="Times New Roman" w:eastAsia="Times New Roman" w:hAnsi="Times New Roman" w:cs="Times New Roman"/>
          <w:sz w:val="24"/>
          <w:szCs w:val="24"/>
        </w:rPr>
      </w:pPr>
      <w:r>
        <w:pict>
          <v:rect id="_x0000_i1046"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0.64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15;  6.30</w:t>
      </w:r>
      <w:r>
        <w:rPr>
          <w:rFonts w:ascii="Times New Roman" w:eastAsia="Times New Roman" w:hAnsi="Times New Roman" w:cs="Times New Roman"/>
          <w:sz w:val="24"/>
          <w:szCs w:val="24"/>
        </w:rPr>
        <w:tab/>
      </w:r>
    </w:p>
    <w:p w:rsidR="00AD2256" w:rsidRDefault="00702704">
      <w:pPr>
        <w:rPr>
          <w:rFonts w:ascii="Times New Roman" w:eastAsia="Times New Roman" w:hAnsi="Times New Roman" w:cs="Times New Roman"/>
          <w:sz w:val="24"/>
          <w:szCs w:val="24"/>
        </w:rPr>
      </w:pPr>
      <w:r>
        <w:pict>
          <v:rect id="_x0000_i1047" style="width:0;height:1.5pt" o:hralign="center" o:hrstd="t" o:hr="t" fillcolor="#a0a0a0" stroked="f"/>
        </w:pic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AIDS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0.32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8;  3.36</w:t>
      </w:r>
      <w:r>
        <w:rPr>
          <w:rFonts w:ascii="Times New Roman" w:eastAsia="Times New Roman" w:hAnsi="Times New Roman" w:cs="Times New Roman"/>
          <w:sz w:val="24"/>
          <w:szCs w:val="24"/>
        </w:rPr>
        <w:tab/>
      </w:r>
    </w:p>
    <w:p w:rsidR="00AD2256" w:rsidRDefault="00AD2256">
      <w:pPr>
        <w:rPr>
          <w:rFonts w:ascii="Times New Roman" w:eastAsia="Times New Roman" w:hAnsi="Times New Roman" w:cs="Times New Roman"/>
          <w:sz w:val="24"/>
          <w:szCs w:val="24"/>
        </w:rPr>
      </w:pP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These lexical shifts as portrayed in the table above foreground a s</w:t>
      </w:r>
      <w:r>
        <w:rPr>
          <w:rFonts w:ascii="Times New Roman" w:eastAsia="Times New Roman" w:hAnsi="Times New Roman" w:cs="Times New Roman"/>
        </w:rPr>
        <w:t>tylistic claim that the novel’s second half leans toward discourse modes of testimony, forgiveness negotiation, and social health aftermath, while the first half carries the heaviest burden of kinetic flight, terror, and immediate violence. Thematically, t</w:t>
      </w:r>
      <w:r>
        <w:rPr>
          <w:rFonts w:ascii="Times New Roman" w:eastAsia="Times New Roman" w:hAnsi="Times New Roman" w:cs="Times New Roman"/>
        </w:rPr>
        <w:t xml:space="preserve">he novel is not a linear “justice wins” narrative; it is a narrative in which </w:t>
      </w:r>
      <w:r>
        <w:rPr>
          <w:rFonts w:ascii="Times New Roman" w:eastAsia="Times New Roman" w:hAnsi="Times New Roman" w:cs="Times New Roman"/>
          <w:i/>
          <w:iCs/>
        </w:rPr>
        <w:t>truth and repair</w:t>
      </w:r>
      <w:r>
        <w:rPr>
          <w:rFonts w:ascii="Times New Roman" w:eastAsia="Times New Roman" w:hAnsi="Times New Roman" w:cs="Times New Roman"/>
        </w:rPr>
        <w:t xml:space="preserve"> become increasingly salient as the plot moves from pursuit to reckoning. Scholarly discussion of Liberia’s TRC and transitional justice options similarly stresse</w:t>
      </w:r>
      <w:r>
        <w:rPr>
          <w:rFonts w:ascii="Times New Roman" w:eastAsia="Times New Roman" w:hAnsi="Times New Roman" w:cs="Times New Roman"/>
        </w:rPr>
        <w:t>s the complexity of sequencing truth, justice, and reconciliation—a complexity that Shaw formalizes at the level of narrative design. (</w:t>
      </w:r>
      <w:r>
        <w:rPr>
          <w:rFonts w:ascii="Times New Roman" w:eastAsia="Times New Roman" w:hAnsi="Times New Roman" w:cs="Times New Roman"/>
          <w:i/>
          <w:iCs/>
        </w:rPr>
        <w:t>Truth and Reconciliation Commission of Liberia</w:t>
      </w:r>
      <w:r>
        <w:rPr>
          <w:rFonts w:ascii="Times New Roman" w:eastAsia="Times New Roman" w:hAnsi="Times New Roman" w:cs="Times New Roman"/>
        </w:rPr>
        <w:t>, 2009)</w:t>
      </w:r>
    </w:p>
    <w:p w:rsidR="00AD2256" w:rsidRDefault="00AD2256">
      <w:pPr>
        <w:rPr>
          <w:rFonts w:ascii="Times New Roman" w:eastAsia="Times New Roman" w:hAnsi="Times New Roman" w:cs="Times New Roman"/>
        </w:rPr>
      </w:pPr>
    </w:p>
    <w:p w:rsidR="00AD2256" w:rsidRDefault="00702704">
      <w:pPr>
        <w:rPr>
          <w:rFonts w:ascii="Times New Roman" w:eastAsia="Times New Roman" w:hAnsi="Times New Roman" w:cs="Times New Roman"/>
          <w:b/>
          <w:bCs/>
        </w:rPr>
      </w:pPr>
      <w:r>
        <w:rPr>
          <w:rFonts w:ascii="Times New Roman" w:eastAsia="Times New Roman" w:hAnsi="Times New Roman" w:cs="Times New Roman"/>
          <w:b/>
          <w:bCs/>
        </w:rPr>
        <w:t>4.9 Register, genre conventions, and intertextuality.</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Regis</w:t>
      </w:r>
      <w:r>
        <w:rPr>
          <w:rFonts w:ascii="Times New Roman" w:eastAsia="Times New Roman" w:hAnsi="Times New Roman" w:cs="Times New Roman"/>
        </w:rPr>
        <w:t>ter-switching is one of the novel’s hallmark techniques. The same narrative field accommodates:</w:t>
      </w:r>
    </w:p>
    <w:p w:rsidR="00AD2256" w:rsidRDefault="00702704">
      <w:pPr>
        <w:numPr>
          <w:ilvl w:val="0"/>
          <w:numId w:val="3"/>
        </w:numPr>
        <w:rPr>
          <w:rFonts w:ascii="Times New Roman" w:eastAsia="Times New Roman" w:hAnsi="Times New Roman" w:cs="Times New Roman"/>
        </w:rPr>
      </w:pPr>
      <w:r>
        <w:rPr>
          <w:rFonts w:ascii="Times New Roman" w:eastAsia="Times New Roman" w:hAnsi="Times New Roman" w:cs="Times New Roman"/>
          <w:b/>
          <w:bCs/>
        </w:rPr>
        <w:t>legal-political register</w:t>
      </w:r>
      <w:r>
        <w:rPr>
          <w:rFonts w:ascii="Times New Roman" w:eastAsia="Times New Roman" w:hAnsi="Times New Roman" w:cs="Times New Roman"/>
        </w:rPr>
        <w:t xml:space="preserve"> (Temple of Justice; court actors; charges),</w:t>
      </w:r>
    </w:p>
    <w:p w:rsidR="00AD2256" w:rsidRDefault="00702704">
      <w:pPr>
        <w:numPr>
          <w:ilvl w:val="0"/>
          <w:numId w:val="3"/>
        </w:numPr>
        <w:rPr>
          <w:rFonts w:ascii="Times New Roman" w:eastAsia="Times New Roman" w:hAnsi="Times New Roman" w:cs="Times New Roman"/>
        </w:rPr>
      </w:pPr>
      <w:r>
        <w:rPr>
          <w:rFonts w:ascii="Times New Roman" w:eastAsia="Times New Roman" w:hAnsi="Times New Roman" w:cs="Times New Roman"/>
          <w:b/>
          <w:bCs/>
        </w:rPr>
        <w:t>NGO/development register</w:t>
      </w:r>
      <w:r>
        <w:rPr>
          <w:rFonts w:ascii="Times New Roman" w:eastAsia="Times New Roman" w:hAnsi="Times New Roman" w:cs="Times New Roman"/>
        </w:rPr>
        <w:t xml:space="preserve"> (programs, counseling sessions, grant-like talk),</w:t>
      </w:r>
    </w:p>
    <w:p w:rsidR="00AD2256" w:rsidRDefault="00702704">
      <w:pPr>
        <w:numPr>
          <w:ilvl w:val="0"/>
          <w:numId w:val="3"/>
        </w:numPr>
        <w:rPr>
          <w:rFonts w:ascii="Times New Roman" w:eastAsia="Times New Roman" w:hAnsi="Times New Roman" w:cs="Times New Roman"/>
        </w:rPr>
      </w:pPr>
      <w:r>
        <w:rPr>
          <w:rFonts w:ascii="Times New Roman" w:eastAsia="Times New Roman" w:hAnsi="Times New Roman" w:cs="Times New Roman"/>
          <w:b/>
          <w:bCs/>
        </w:rPr>
        <w:t>vernacular domestic register</w:t>
      </w:r>
      <w:r>
        <w:rPr>
          <w:rFonts w:ascii="Times New Roman" w:eastAsia="Times New Roman" w:hAnsi="Times New Roman" w:cs="Times New Roman"/>
        </w:rPr>
        <w:t xml:space="preserve"> (family talk; proverbs; conversational tags), and</w:t>
      </w:r>
    </w:p>
    <w:p w:rsidR="00AD2256" w:rsidRDefault="00702704">
      <w:pPr>
        <w:numPr>
          <w:ilvl w:val="0"/>
          <w:numId w:val="3"/>
        </w:numPr>
        <w:rPr>
          <w:rFonts w:ascii="Times New Roman" w:eastAsia="Times New Roman" w:hAnsi="Times New Roman" w:cs="Times New Roman"/>
        </w:rPr>
      </w:pPr>
      <w:r>
        <w:rPr>
          <w:rFonts w:ascii="Times New Roman" w:eastAsia="Times New Roman" w:hAnsi="Times New Roman" w:cs="Times New Roman"/>
          <w:b/>
          <w:bCs/>
        </w:rPr>
        <w:t>religious register</w:t>
      </w:r>
      <w:r>
        <w:rPr>
          <w:rFonts w:ascii="Times New Roman" w:eastAsia="Times New Roman" w:hAnsi="Times New Roman" w:cs="Times New Roman"/>
        </w:rPr>
        <w:t xml:space="preserve"> (biblical references; providential talk; moral judgment).</w:t>
      </w:r>
    </w:p>
    <w:p w:rsidR="00AD2256" w:rsidRDefault="00AD2256">
      <w:pPr>
        <w:rPr>
          <w:rFonts w:ascii="Times New Roman" w:eastAsia="Times New Roman" w:hAnsi="Times New Roman" w:cs="Times New Roman"/>
        </w:rPr>
      </w:pP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The “bump-sticker” slogan associated with Doe-era politics—framed as “the rallying cry… in the days following the 1980 coup”—is a prime intertextual register marker. It imports historical rhetoric into the present narrative, depicting how political </w:t>
      </w:r>
      <w:r>
        <w:rPr>
          <w:rFonts w:ascii="Times New Roman" w:eastAsia="Times New Roman" w:hAnsi="Times New Roman" w:cs="Times New Roman"/>
        </w:rPr>
        <w:t xml:space="preserve">language persists as residue. This aligns with historical </w:t>
      </w:r>
      <w:r>
        <w:rPr>
          <w:rFonts w:ascii="Times New Roman" w:eastAsia="Times New Roman" w:hAnsi="Times New Roman" w:cs="Times New Roman"/>
        </w:rPr>
        <w:lastRenderedPageBreak/>
        <w:t xml:space="preserve">accounts of Doe’s coup and PRC formation, including encyclopedic histories of Liberia’s “decades of strife.” (Encyclopedia Britannica, </w:t>
      </w:r>
      <w:r>
        <w:rPr>
          <w:rFonts w:ascii="Times New Roman" w:eastAsia="Times New Roman" w:hAnsi="Times New Roman" w:cs="Times New Roman"/>
          <w:i/>
          <w:iCs/>
        </w:rPr>
        <w:t>Samuel K. Doe</w:t>
      </w:r>
      <w:r>
        <w:rPr>
          <w:rFonts w:ascii="Times New Roman" w:eastAsia="Times New Roman" w:hAnsi="Times New Roman" w:cs="Times New Roman"/>
        </w:rPr>
        <w:t>) Intertextuality also works through the Bible and</w:t>
      </w:r>
      <w:r>
        <w:rPr>
          <w:rFonts w:ascii="Times New Roman" w:eastAsia="Times New Roman" w:hAnsi="Times New Roman" w:cs="Times New Roman"/>
        </w:rPr>
        <w:t xml:space="preserve"> through paratextual definitional framing. These intertexts do not merely decorate; they provide interpretive schemata for a reader navigating competing moral claims (forgiveness vs. justice; redemption as salvation vs. redemption as debt-clearing).</w:t>
      </w:r>
    </w:p>
    <w:p w:rsidR="00AD2256" w:rsidRDefault="00702704">
      <w:pPr>
        <w:rPr>
          <w:rFonts w:ascii="Times New Roman" w:eastAsia="Times New Roman" w:hAnsi="Times New Roman" w:cs="Times New Roman"/>
          <w:sz w:val="24"/>
          <w:szCs w:val="24"/>
        </w:rPr>
      </w:pPr>
      <w:r>
        <w:pict>
          <v:rect id="_x0000_i1048" style="width:0;height:1.5pt" o:hralign="center" o:hrstd="t" o:hr="t" fillcolor="#a0a0a0" stroked="f"/>
        </w:pict>
      </w:r>
    </w:p>
    <w:p w:rsidR="00AD2256" w:rsidRDefault="00AD2256">
      <w:pPr>
        <w:ind w:left="1440" w:firstLine="720"/>
        <w:rPr>
          <w:rFonts w:ascii="Times New Roman" w:eastAsia="Times New Roman" w:hAnsi="Times New Roman" w:cs="Times New Roman"/>
          <w:b/>
          <w:bCs/>
          <w:sz w:val="24"/>
          <w:szCs w:val="24"/>
        </w:rPr>
      </w:pPr>
    </w:p>
    <w:p w:rsidR="00AD2256" w:rsidRDefault="00702704">
      <w:pPr>
        <w:ind w:left="144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DISCUSSION</w:t>
      </w:r>
    </w:p>
    <w:p w:rsidR="00AD2256" w:rsidRDefault="00702704">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The results converge on a central proposition: </w:t>
      </w:r>
      <w:r>
        <w:rPr>
          <w:rFonts w:ascii="Times New Roman" w:eastAsia="Times New Roman" w:hAnsi="Times New Roman" w:cs="Times New Roman"/>
          <w:i/>
          <w:iCs/>
        </w:rPr>
        <w:t>Redemption Road</w:t>
      </w:r>
      <w:r>
        <w:rPr>
          <w:rFonts w:ascii="Times New Roman" w:eastAsia="Times New Roman" w:hAnsi="Times New Roman" w:cs="Times New Roman"/>
        </w:rPr>
        <w:t xml:space="preserve"> is stylistically constructed as a negotiation space in which private trauma, public discourse, and ethical reasoning meet under conditions of social instability. Shaw’s narr</w:t>
      </w:r>
      <w:r>
        <w:rPr>
          <w:rFonts w:ascii="Times New Roman" w:eastAsia="Times New Roman" w:hAnsi="Times New Roman" w:cs="Times New Roman"/>
        </w:rPr>
        <w:t xml:space="preserve">ative voice does not remain neutral; it calibrates distance and intimacy through focal shifts and discourse presentation. In a sense, therefore, it produces what might be called an “ethics of access.” The reader is granted enough interiority to understand </w:t>
      </w:r>
      <w:r>
        <w:rPr>
          <w:rFonts w:ascii="Times New Roman" w:eastAsia="Times New Roman" w:hAnsi="Times New Roman" w:cs="Times New Roman"/>
        </w:rPr>
        <w:t>compulsion, shame, and grief. From a Leech &amp; Short’s perspective, the novel is especially effective in its management of discourse presentation clines: direct speech and thought-like fragments appear in pressure moments, while narrative report carries long</w:t>
      </w:r>
      <w:r>
        <w:rPr>
          <w:rFonts w:ascii="Times New Roman" w:eastAsia="Times New Roman" w:hAnsi="Times New Roman" w:cs="Times New Roman"/>
        </w:rPr>
        <w:t>er spans of explanation and contextualization  . The power of the fragment—“Dizzy. Slow motion. Confusion.”—is not simply stylistic flair. It matches what trauma fiction critics describe as the formal difficulty of narrating overwhelming experience, a “str</w:t>
      </w:r>
      <w:r>
        <w:rPr>
          <w:rFonts w:ascii="Times New Roman" w:eastAsia="Times New Roman" w:hAnsi="Times New Roman" w:cs="Times New Roman"/>
        </w:rPr>
        <w:t>ucture” of trauma that is reproduced in narrative pacing and syntax (Whitehead, 2004).</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Hallidayan Systemic Functional Linguistics and Appraisal Theory help clarify how the novel distributes responsibility and judgement. Transitivity patterns in viol</w:t>
      </w:r>
      <w:r>
        <w:rPr>
          <w:rFonts w:ascii="Times New Roman" w:eastAsia="Times New Roman" w:hAnsi="Times New Roman" w:cs="Times New Roman"/>
        </w:rPr>
        <w:t xml:space="preserve">ent scenes often foreground material processes (running, pushing, striking) and bodily states (hunger, exhaustion), making the body a grammar of survival. In institutional scenes, the grammar shifts toward mental and verbal processes (thinking, promising, </w:t>
      </w:r>
      <w:r>
        <w:rPr>
          <w:rFonts w:ascii="Times New Roman" w:eastAsia="Times New Roman" w:hAnsi="Times New Roman" w:cs="Times New Roman"/>
        </w:rPr>
        <w:t>arguing), consistent with a discourse of deliberation and political strategy. Appraisal resources—more importantly negative judgment and fear-laden emotion—are frequently conveyed indirectly through reported perception and metaphor rather than overt author</w:t>
      </w:r>
      <w:r>
        <w:rPr>
          <w:rFonts w:ascii="Times New Roman" w:eastAsia="Times New Roman" w:hAnsi="Times New Roman" w:cs="Times New Roman"/>
        </w:rPr>
        <w:t>ial condemnation, allowing readers to experience moral horror as inference and empathy rather than instruction. (Halliday &amp; Matthiessen, 2014)</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Sevcik’s “bodily redemption” reading can be seen at play stylistically here. Bodily imagery and corporeal </w:t>
      </w:r>
      <w:r>
        <w:rPr>
          <w:rFonts w:ascii="Times New Roman" w:eastAsia="Times New Roman" w:hAnsi="Times New Roman" w:cs="Times New Roman"/>
        </w:rPr>
        <w:t>syntax are not simply themes, they are formal carriers of tension (Sevcik , 2020). The protagonist’s body is where history is stored (pain, illness, grief, rape, and assault), and the narrative’s strongest figurative moves (“Atlantic depth”, “wildfire weep</w:t>
      </w:r>
      <w:r>
        <w:rPr>
          <w:rFonts w:ascii="Times New Roman" w:eastAsia="Times New Roman" w:hAnsi="Times New Roman" w:cs="Times New Roman"/>
        </w:rPr>
        <w:t>ing”) treat the body and environment as mutually expressive systems. At the same time, the novel is historically anchored. Its paratextual explanation of “Redemption Road” ties the story’s symbolic geography to the 1980 coup’s violence and to PRC-era polit</w:t>
      </w:r>
      <w:r>
        <w:rPr>
          <w:rFonts w:ascii="Times New Roman" w:eastAsia="Times New Roman" w:hAnsi="Times New Roman" w:cs="Times New Roman"/>
        </w:rPr>
        <w:t xml:space="preserve">ical rhetoric, which encyclopedic histories of Liberia identify as turning points in the nation’s later descent into civil war (Encyclopedia Britannica, </w:t>
      </w:r>
      <w:r>
        <w:rPr>
          <w:rFonts w:ascii="Times New Roman" w:eastAsia="Times New Roman" w:hAnsi="Times New Roman" w:cs="Times New Roman"/>
          <w:i/>
          <w:iCs/>
        </w:rPr>
        <w:t>Samuel K. Doe</w:t>
      </w:r>
      <w:r>
        <w:rPr>
          <w:rFonts w:ascii="Times New Roman" w:eastAsia="Times New Roman" w:hAnsi="Times New Roman" w:cs="Times New Roman"/>
        </w:rPr>
        <w:t>). This historical anchoring matters because the novel is not only about individual healin</w:t>
      </w:r>
      <w:r>
        <w:rPr>
          <w:rFonts w:ascii="Times New Roman" w:eastAsia="Times New Roman" w:hAnsi="Times New Roman" w:cs="Times New Roman"/>
        </w:rPr>
        <w:t>g; it is about the difficulty of building “peace” when institutions of justice are perceived as corrupt or captured—an issue echoed in real-world debates over the implementation of the Truth and Reconciliation Commission’s recommendations and the establish</w:t>
      </w:r>
      <w:r>
        <w:rPr>
          <w:rFonts w:ascii="Times New Roman" w:eastAsia="Times New Roman" w:hAnsi="Times New Roman" w:cs="Times New Roman"/>
        </w:rPr>
        <w:t xml:space="preserve">ment of war crimes accountability apparatuses.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Finally, the novel’s vernacular dialogue and pragmatics are stylistically indispensable. The use of “o,” tag questions, and paralinguistic gestures does more than localize. It dramatizes classist and e</w:t>
      </w:r>
      <w:r>
        <w:rPr>
          <w:rFonts w:ascii="Times New Roman" w:eastAsia="Times New Roman" w:hAnsi="Times New Roman" w:cs="Times New Roman"/>
        </w:rPr>
        <w:t xml:space="preserve">thnicized perceptions (who “sounds” Americo-Liberian; who can switch into another dialect), showing </w:t>
      </w:r>
      <w:r>
        <w:rPr>
          <w:rFonts w:ascii="Times New Roman" w:eastAsia="Times New Roman" w:hAnsi="Times New Roman" w:cs="Times New Roman"/>
        </w:rPr>
        <w:lastRenderedPageBreak/>
        <w:t>the linguistic texture of social stratification that historical accounts note as part of Liberia’s long-standing domestic tensions.</w:t>
      </w:r>
    </w:p>
    <w:p w:rsidR="00AD2256" w:rsidRDefault="00702704">
      <w:pPr>
        <w:rPr>
          <w:rFonts w:ascii="Times New Roman" w:eastAsia="Times New Roman" w:hAnsi="Times New Roman" w:cs="Times New Roman"/>
          <w:sz w:val="24"/>
          <w:szCs w:val="24"/>
        </w:rPr>
      </w:pPr>
      <w:r>
        <w:pict>
          <v:rect id="_x0000_i1049" style="width:0;height:1.5pt" o:hralign="center" o:hrstd="t" o:hr="t" fillcolor="#a0a0a0" stroked="f"/>
        </w:pict>
      </w:r>
    </w:p>
    <w:p w:rsidR="00AD2256" w:rsidRDefault="00702704">
      <w:pPr>
        <w:ind w:left="1440" w:firstLine="720"/>
        <w:rPr>
          <w:rFonts w:ascii="Times New Roman" w:eastAsia="Times New Roman" w:hAnsi="Times New Roman" w:cs="Times New Roman"/>
          <w:b/>
          <w:bCs/>
        </w:rPr>
      </w:pPr>
      <w:r>
        <w:rPr>
          <w:rFonts w:ascii="Times New Roman" w:eastAsia="Times New Roman" w:hAnsi="Times New Roman" w:cs="Times New Roman"/>
          <w:b/>
          <w:bCs/>
          <w:sz w:val="24"/>
          <w:szCs w:val="24"/>
        </w:rPr>
        <w:t>VI.</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CONCLUSION</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 xml:space="preserve"> This stylistic study has shown that Shaw’s </w:t>
      </w:r>
      <w:r>
        <w:rPr>
          <w:rFonts w:ascii="Times New Roman" w:eastAsia="Times New Roman" w:hAnsi="Times New Roman" w:cs="Times New Roman"/>
          <w:i/>
          <w:iCs/>
        </w:rPr>
        <w:t>Redemption Road</w:t>
      </w:r>
      <w:r>
        <w:rPr>
          <w:rFonts w:ascii="Times New Roman" w:eastAsia="Times New Roman" w:hAnsi="Times New Roman" w:cs="Times New Roman"/>
        </w:rPr>
        <w:t xml:space="preserve"> is best understood not only as a narrative about postwar choices but also as a linguistic architecture for staging the unfinished contest between justice, peace, truth, and forgiveness. The novel’</w:t>
      </w:r>
      <w:r>
        <w:rPr>
          <w:rFonts w:ascii="Times New Roman" w:eastAsia="Times New Roman" w:hAnsi="Times New Roman" w:cs="Times New Roman"/>
        </w:rPr>
        <w:t>s third-person variable focalization, flashback-driven temporal structure, and alternation of fragmentary trauma syntax with deliberative institutional discourse collectively produce an ethics of representation consistent with major stylistics and trauma-f</w:t>
      </w:r>
      <w:r>
        <w:rPr>
          <w:rFonts w:ascii="Times New Roman" w:eastAsia="Times New Roman" w:hAnsi="Times New Roman" w:cs="Times New Roman"/>
        </w:rPr>
        <w:t>iction frameworks. Corpus-assisted descriptors—used cautiously—support a meaningful interpretation: Part One emphasizes war lexicon and concrete burdens (the wheelbarrow), while Part Two amplifies truth/forgiveness and public-health aftermath vocabulary (H</w:t>
      </w:r>
      <w:r>
        <w:rPr>
          <w:rFonts w:ascii="Times New Roman" w:eastAsia="Times New Roman" w:hAnsi="Times New Roman" w:cs="Times New Roman"/>
        </w:rPr>
        <w:t>IV/AIDS), aligning with the part-title shift from “Time Heals Nothing” to “Truth Lights the Way.” This shift is not a simple redemption-by-forgetting plot; it is a movement toward truth-telling as an enabling condition for any sustainable peace, a position</w:t>
      </w:r>
      <w:r>
        <w:rPr>
          <w:rFonts w:ascii="Times New Roman" w:eastAsia="Times New Roman" w:hAnsi="Times New Roman" w:cs="Times New Roman"/>
        </w:rPr>
        <w:t xml:space="preserve"> congruent with transitional-justice debates in Liberia following the TRC’s recommendations and subsequent accountability struggles (International Center for Transitional Justice, 2010). </w:t>
      </w:r>
    </w:p>
    <w:p w:rsidR="00AD2256" w:rsidRDefault="00702704">
      <w:pPr>
        <w:rPr>
          <w:rFonts w:ascii="Times New Roman" w:eastAsia="Times New Roman" w:hAnsi="Times New Roman" w:cs="Times New Roman"/>
        </w:rPr>
      </w:pPr>
      <w:r>
        <w:rPr>
          <w:rFonts w:ascii="Times New Roman" w:eastAsia="Times New Roman" w:hAnsi="Times New Roman" w:cs="Times New Roman"/>
        </w:rPr>
        <w:t xml:space="preserve">       In sum, Shaw’s craft resides in her ability to make language </w:t>
      </w:r>
      <w:r>
        <w:rPr>
          <w:rFonts w:ascii="Times New Roman" w:eastAsia="Times New Roman" w:hAnsi="Times New Roman" w:cs="Times New Roman"/>
        </w:rPr>
        <w:t>perform moral tension. These stylistic choices justify the novel’s increasing curricular prominence and its scholarly relevance as a model of how post-conflict fiction can hold together empathy, critique, sociopolitical demand for justice, and stylistic ae</w:t>
      </w:r>
      <w:r>
        <w:rPr>
          <w:rFonts w:ascii="Times New Roman" w:eastAsia="Times New Roman" w:hAnsi="Times New Roman" w:cs="Times New Roman"/>
        </w:rPr>
        <w:t>sthetics.</w:t>
      </w:r>
    </w:p>
    <w:p w:rsidR="00AD2256" w:rsidRDefault="00AD2256">
      <w:pPr>
        <w:rPr>
          <w:rFonts w:ascii="Times New Roman" w:eastAsia="Times New Roman" w:hAnsi="Times New Roman" w:cs="Times New Roman"/>
        </w:rPr>
      </w:pPr>
    </w:p>
    <w:p w:rsidR="00AD2256" w:rsidRDefault="00AD2256">
      <w:pPr>
        <w:rPr>
          <w:rFonts w:ascii="Times New Roman" w:eastAsia="Times New Roman" w:hAnsi="Times New Roman" w:cs="Times New Roman"/>
        </w:rPr>
      </w:pPr>
    </w:p>
    <w:p w:rsidR="00AD2256" w:rsidRDefault="00AD2256">
      <w:pPr>
        <w:rPr>
          <w:rFonts w:ascii="Times New Roman" w:eastAsia="Times New Roman" w:hAnsi="Times New Roman" w:cs="Times New Roman"/>
        </w:rPr>
      </w:pPr>
    </w:p>
    <w:p w:rsidR="00AD2256" w:rsidRDefault="00AD2256">
      <w:pPr>
        <w:rPr>
          <w:rFonts w:ascii="Times New Roman" w:eastAsia="Times New Roman" w:hAnsi="Times New Roman" w:cs="Times New Roman"/>
        </w:rPr>
      </w:pPr>
    </w:p>
    <w:p w:rsidR="00AD2256" w:rsidRDefault="00AD2256">
      <w:pPr>
        <w:rPr>
          <w:rFonts w:ascii="Times New Roman" w:eastAsia="Times New Roman" w:hAnsi="Times New Roman" w:cs="Times New Roman"/>
          <w:sz w:val="24"/>
          <w:szCs w:val="24"/>
        </w:rPr>
      </w:pPr>
    </w:p>
    <w:p w:rsidR="00AD2256" w:rsidRDefault="00AD2256">
      <w:pPr>
        <w:rPr>
          <w:rFonts w:ascii="Times New Roman" w:eastAsia="Times New Roman" w:hAnsi="Times New Roman" w:cs="Times New Roman"/>
          <w:sz w:val="24"/>
          <w:szCs w:val="24"/>
        </w:rPr>
      </w:pPr>
    </w:p>
    <w:p w:rsidR="00AD2256" w:rsidRDefault="00AD2256">
      <w:pPr>
        <w:rPr>
          <w:rFonts w:ascii="Times New Roman" w:eastAsia="Times New Roman" w:hAnsi="Times New Roman" w:cs="Times New Roman"/>
          <w:sz w:val="24"/>
          <w:szCs w:val="24"/>
        </w:rPr>
      </w:pPr>
    </w:p>
    <w:p w:rsidR="00AD2256" w:rsidRDefault="00AD2256">
      <w:pPr>
        <w:rPr>
          <w:rFonts w:ascii="Times New Roman" w:eastAsia="Times New Roman" w:hAnsi="Times New Roman" w:cs="Times New Roman"/>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AD2256">
      <w:pPr>
        <w:ind w:left="2880" w:firstLine="720"/>
        <w:rPr>
          <w:rFonts w:ascii="Times New Roman" w:eastAsia="Times New Roman" w:hAnsi="Times New Roman" w:cs="Times New Roman"/>
          <w:b/>
          <w:bCs/>
          <w:sz w:val="24"/>
          <w:szCs w:val="24"/>
        </w:rPr>
      </w:pPr>
    </w:p>
    <w:p w:rsidR="00AD2256" w:rsidRDefault="00702704">
      <w:pPr>
        <w:ind w:left="288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Biber, D., Conrad, S., &amp; Reppen, R. (1998). </w:t>
      </w:r>
      <w:r>
        <w:rPr>
          <w:rFonts w:ascii="Times New Roman" w:eastAsia="Times New Roman" w:hAnsi="Times New Roman" w:cs="Times New Roman"/>
          <w:i/>
          <w:iCs/>
          <w:sz w:val="24"/>
          <w:szCs w:val="24"/>
        </w:rPr>
        <w:t xml:space="preserve">Corpus linguistics: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Investigating language structure and use</w:t>
      </w:r>
      <w:r>
        <w:rPr>
          <w:rFonts w:ascii="Times New Roman" w:eastAsia="Times New Roman" w:hAnsi="Times New Roman" w:cs="Times New Roman"/>
          <w:sz w:val="24"/>
          <w:szCs w:val="24"/>
        </w:rPr>
        <w:t>.Cambridge University Press.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Caruth, C. (2016). </w:t>
      </w:r>
      <w:r>
        <w:rPr>
          <w:rFonts w:ascii="Times New Roman" w:eastAsia="Times New Roman" w:hAnsi="Times New Roman" w:cs="Times New Roman"/>
          <w:i/>
          <w:iCs/>
          <w:sz w:val="24"/>
          <w:szCs w:val="24"/>
        </w:rPr>
        <w:t>Unclaimed experience: Trauma, narrative, and history</w:t>
      </w:r>
      <w:r>
        <w:rPr>
          <w:rFonts w:ascii="Times New Roman" w:eastAsia="Times New Roman" w:hAnsi="Times New Roman" w:cs="Times New Roman"/>
          <w:sz w:val="24"/>
          <w:szCs w:val="24"/>
        </w:rPr>
        <w:t xml:space="preserve">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(20th anniv. ed.). Johns Hopkins University Press.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Encyclopaedia Britannica. (n.d.). </w:t>
      </w:r>
      <w:r>
        <w:rPr>
          <w:rFonts w:ascii="Times New Roman" w:eastAsia="Times New Roman" w:hAnsi="Times New Roman" w:cs="Times New Roman"/>
          <w:i/>
          <w:iCs/>
          <w:sz w:val="24"/>
          <w:szCs w:val="24"/>
        </w:rPr>
        <w:t xml:space="preserve">Liberia—Decades of strife; civil war and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after</w:t>
      </w:r>
      <w:r>
        <w:rPr>
          <w:rFonts w:ascii="Times New Roman" w:eastAsia="Times New Roman" w:hAnsi="Times New Roman" w:cs="Times New Roman"/>
          <w:sz w:val="24"/>
          <w:szCs w:val="24"/>
        </w:rPr>
        <w:t>.</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Encyclopaedia Britannica. (n.d.). </w:t>
      </w:r>
      <w:r>
        <w:rPr>
          <w:rFonts w:ascii="Times New Roman" w:eastAsia="Times New Roman" w:hAnsi="Times New Roman" w:cs="Times New Roman"/>
          <w:i/>
          <w:iCs/>
          <w:sz w:val="24"/>
          <w:szCs w:val="24"/>
        </w:rPr>
        <w:t>Samuel K. Doe</w:t>
      </w:r>
      <w:r>
        <w:rPr>
          <w:rFonts w:ascii="Times New Roman" w:eastAsia="Times New Roman" w:hAnsi="Times New Roman" w:cs="Times New Roman"/>
          <w:sz w:val="24"/>
          <w:szCs w:val="24"/>
        </w:rPr>
        <w:t>.</w:t>
      </w:r>
    </w:p>
    <w:p w:rsidR="00AD2256" w:rsidRDefault="00702704">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Hall</w:t>
      </w:r>
      <w:r>
        <w:rPr>
          <w:rFonts w:ascii="Times New Roman" w:eastAsia="Times New Roman" w:hAnsi="Times New Roman" w:cs="Times New Roman"/>
          <w:sz w:val="24"/>
          <w:szCs w:val="24"/>
        </w:rPr>
        <w:t xml:space="preserve">iday, M. A. K., &amp; Matthiessen, C. M. I. M. (2014). </w:t>
      </w:r>
      <w:r>
        <w:rPr>
          <w:rFonts w:ascii="Times New Roman" w:eastAsia="Times New Roman" w:hAnsi="Times New Roman" w:cs="Times New Roman"/>
          <w:i/>
          <w:iCs/>
          <w:sz w:val="24"/>
          <w:szCs w:val="24"/>
        </w:rPr>
        <w:t xml:space="preserve">Halliday’s introduction to  </w:t>
      </w:r>
    </w:p>
    <w:p w:rsidR="00AD2256" w:rsidRDefault="00702704">
      <w:pPr>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functional grammar</w:t>
      </w:r>
      <w:r>
        <w:rPr>
          <w:rFonts w:ascii="Times New Roman" w:eastAsia="Times New Roman" w:hAnsi="Times New Roman" w:cs="Times New Roman"/>
          <w:sz w:val="24"/>
          <w:szCs w:val="24"/>
        </w:rPr>
        <w:t xml:space="preserve"> (4th ed.).Routledge.</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International Center for Transitional Justice. (2010). </w:t>
      </w:r>
      <w:r>
        <w:rPr>
          <w:rFonts w:ascii="Times New Roman" w:eastAsia="Times New Roman" w:hAnsi="Times New Roman" w:cs="Times New Roman"/>
          <w:i/>
          <w:iCs/>
          <w:sz w:val="24"/>
          <w:szCs w:val="24"/>
        </w:rPr>
        <w:t xml:space="preserve">Beyond the Truth and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Reconciliation Commission: Transitional justice options in Liberia</w:t>
      </w:r>
      <w:r>
        <w:rPr>
          <w:rFonts w:ascii="Times New Roman" w:eastAsia="Times New Roman" w:hAnsi="Times New Roman" w:cs="Times New Roman"/>
          <w:sz w:val="24"/>
          <w:szCs w:val="24"/>
        </w:rPr>
        <w:t>.</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Kachru, Braj. (2006). </w:t>
      </w:r>
      <w:r>
        <w:rPr>
          <w:rFonts w:ascii="Times New Roman" w:eastAsia="Times New Roman" w:hAnsi="Times New Roman" w:cs="Times New Roman"/>
          <w:i/>
          <w:iCs/>
          <w:sz w:val="24"/>
          <w:szCs w:val="24"/>
        </w:rPr>
        <w:t>The Handbook of World Englishes</w:t>
      </w:r>
      <w:r>
        <w:rPr>
          <w:rFonts w:ascii="Times New Roman" w:eastAsia="Times New Roman" w:hAnsi="Times New Roman" w:cs="Times New Roman"/>
          <w:sz w:val="24"/>
          <w:szCs w:val="24"/>
        </w:rPr>
        <w:t>. Blackwell Publisher.</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Leech, G., &amp; Short, M. (2007). </w:t>
      </w:r>
      <w:r>
        <w:rPr>
          <w:rFonts w:ascii="Times New Roman" w:eastAsia="Times New Roman" w:hAnsi="Times New Roman" w:cs="Times New Roman"/>
          <w:i/>
          <w:iCs/>
          <w:sz w:val="24"/>
          <w:szCs w:val="24"/>
        </w:rPr>
        <w:t xml:space="preserve">Style in fiction: A linguistic introduction to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English fictional prose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(2nd ed.).Routledge.</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 xml:space="preserve">Martin, J. R., &amp; White, P. R. R. (2005). </w:t>
      </w:r>
      <w:r>
        <w:rPr>
          <w:rFonts w:ascii="Times New Roman" w:eastAsia="Times New Roman" w:hAnsi="Times New Roman" w:cs="Times New Roman"/>
          <w:i/>
          <w:iCs/>
          <w:sz w:val="24"/>
          <w:szCs w:val="24"/>
        </w:rPr>
        <w:t xml:space="preserve">The language of evaluation: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Appraisal in English</w:t>
      </w:r>
      <w:r>
        <w:rPr>
          <w:rFonts w:ascii="Times New Roman" w:eastAsia="Times New Roman" w:hAnsi="Times New Roman" w:cs="Times New Roman"/>
          <w:sz w:val="24"/>
          <w:szCs w:val="24"/>
        </w:rPr>
        <w:t>. Palgrave Macmillan.</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McIntyre, D., &amp; Walker, B. (2019). </w:t>
      </w:r>
      <w:r>
        <w:rPr>
          <w:rFonts w:ascii="Times New Roman" w:eastAsia="Times New Roman" w:hAnsi="Times New Roman" w:cs="Times New Roman"/>
          <w:i/>
          <w:iCs/>
          <w:sz w:val="24"/>
          <w:szCs w:val="24"/>
        </w:rPr>
        <w:t>Corpus stylistics: Theory and practice</w:t>
      </w:r>
      <w:r>
        <w:rPr>
          <w:rFonts w:ascii="Times New Roman" w:eastAsia="Times New Roman" w:hAnsi="Times New Roman" w:cs="Times New Roman"/>
          <w:sz w:val="24"/>
          <w:szCs w:val="24"/>
        </w:rPr>
        <w:t xml:space="preserve">.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Edinburgh University Press.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Sevc</w:t>
      </w:r>
      <w:r>
        <w:rPr>
          <w:rFonts w:ascii="Times New Roman" w:eastAsia="Times New Roman" w:hAnsi="Times New Roman" w:cs="Times New Roman"/>
          <w:sz w:val="24"/>
          <w:szCs w:val="24"/>
        </w:rPr>
        <w:t xml:space="preserve">ik, S. (2020). “Peace in the home is peace in the nation”: Redemption </w:t>
      </w:r>
    </w:p>
    <w:p w:rsidR="00AD2256" w:rsidRDefault="00702704">
      <w:pPr>
        <w:ind w:left="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after the Liberian civil wars. </w:t>
      </w:r>
      <w:r>
        <w:rPr>
          <w:rFonts w:ascii="Times New Roman" w:eastAsia="Times New Roman" w:hAnsi="Times New Roman" w:cs="Times New Roman"/>
          <w:i/>
          <w:iCs/>
          <w:sz w:val="24"/>
          <w:szCs w:val="24"/>
        </w:rPr>
        <w:t xml:space="preserve">Journal of the African Literature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Association, 15</w:t>
      </w:r>
      <w:r>
        <w:rPr>
          <w:rFonts w:ascii="Times New Roman" w:eastAsia="Times New Roman" w:hAnsi="Times New Roman" w:cs="Times New Roman"/>
          <w:sz w:val="24"/>
          <w:szCs w:val="24"/>
        </w:rPr>
        <w:t>(2), 272–288. doi:10.1080/21674736.2020.1839305</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Semino, E., Short, M., &amp;</w:t>
      </w:r>
      <w:r>
        <w:rPr>
          <w:rFonts w:ascii="Times New Roman" w:eastAsia="Times New Roman" w:hAnsi="Times New Roman" w:cs="Times New Roman"/>
          <w:sz w:val="24"/>
          <w:szCs w:val="24"/>
        </w:rPr>
        <w:t xml:space="preserve"> Culpeper, J. (1997). Using a corpus to test a model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speech and thought presentation. </w:t>
      </w:r>
      <w:r>
        <w:rPr>
          <w:rFonts w:ascii="Times New Roman" w:eastAsia="Times New Roman" w:hAnsi="Times New Roman" w:cs="Times New Roman"/>
          <w:i/>
          <w:iCs/>
          <w:sz w:val="24"/>
          <w:szCs w:val="24"/>
        </w:rPr>
        <w:t>Poetics, 25</w:t>
      </w:r>
      <w:r>
        <w:rPr>
          <w:rFonts w:ascii="Times New Roman" w:eastAsia="Times New Roman" w:hAnsi="Times New Roman" w:cs="Times New Roman"/>
          <w:sz w:val="24"/>
          <w:szCs w:val="24"/>
        </w:rPr>
        <w:t xml:space="preserve">(1), 17–43.doi:10.1016/S0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304-422X(97)00007-7</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Shaw, E. (2008). </w:t>
      </w:r>
      <w:r>
        <w:rPr>
          <w:rFonts w:ascii="Times New Roman" w:eastAsia="Times New Roman" w:hAnsi="Times New Roman" w:cs="Times New Roman"/>
          <w:i/>
          <w:iCs/>
          <w:sz w:val="24"/>
          <w:szCs w:val="24"/>
        </w:rPr>
        <w:t xml:space="preserve">Redemption Road: The quest for peace and justice in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Liberia</w:t>
      </w:r>
      <w:r>
        <w:rPr>
          <w:rFonts w:ascii="Times New Roman" w:eastAsia="Times New Roman" w:hAnsi="Times New Roman" w:cs="Times New Roman"/>
          <w:sz w:val="24"/>
          <w:szCs w:val="24"/>
        </w:rPr>
        <w:t>. Cotton Tree Press.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Toolan, M. (2001). </w:t>
      </w:r>
      <w:r>
        <w:rPr>
          <w:rFonts w:ascii="Times New Roman" w:eastAsia="Times New Roman" w:hAnsi="Times New Roman" w:cs="Times New Roman"/>
          <w:i/>
          <w:iCs/>
          <w:sz w:val="24"/>
          <w:szCs w:val="24"/>
        </w:rPr>
        <w:t>Narrative: A critical linguistic introduction</w:t>
      </w:r>
      <w:r>
        <w:rPr>
          <w:rFonts w:ascii="Times New Roman" w:eastAsia="Times New Roman" w:hAnsi="Times New Roman" w:cs="Times New Roman"/>
          <w:sz w:val="24"/>
          <w:szCs w:val="24"/>
        </w:rPr>
        <w:t xml:space="preserve"> (2nd ed.).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Routledge.</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Truth and Reconciliation Commission of Liberia. (2009). </w:t>
      </w:r>
      <w:r>
        <w:rPr>
          <w:rFonts w:ascii="Times New Roman" w:eastAsia="Times New Roman" w:hAnsi="Times New Roman" w:cs="Times New Roman"/>
          <w:i/>
          <w:iCs/>
          <w:sz w:val="24"/>
          <w:szCs w:val="24"/>
        </w:rPr>
        <w:t>Final report</w:t>
      </w:r>
      <w:r>
        <w:rPr>
          <w:rFonts w:ascii="Times New Roman" w:eastAsia="Times New Roman" w:hAnsi="Times New Roman" w:cs="Times New Roman"/>
          <w:sz w:val="24"/>
          <w:szCs w:val="24"/>
        </w:rPr>
        <w:t xml:space="preserve"> (Vols.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Whitehead, A. (2004). </w:t>
      </w:r>
      <w:r>
        <w:rPr>
          <w:rFonts w:ascii="Times New Roman" w:eastAsia="Times New Roman" w:hAnsi="Times New Roman" w:cs="Times New Roman"/>
          <w:i/>
          <w:iCs/>
          <w:sz w:val="24"/>
          <w:szCs w:val="24"/>
        </w:rPr>
        <w:t>Trauma fiction</w:t>
      </w:r>
      <w:r>
        <w:rPr>
          <w:rFonts w:ascii="Times New Roman" w:eastAsia="Times New Roman" w:hAnsi="Times New Roman" w:cs="Times New Roman"/>
          <w:sz w:val="24"/>
          <w:szCs w:val="24"/>
        </w:rPr>
        <w:t>. Edinburgh University Press.</w:t>
      </w:r>
    </w:p>
    <w:p w:rsidR="00AD2256" w:rsidRDefault="00702704">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West African Examinations Council. (2023). </w:t>
      </w:r>
      <w:r>
        <w:rPr>
          <w:rFonts w:ascii="Times New Roman" w:eastAsia="Times New Roman" w:hAnsi="Times New Roman" w:cs="Times New Roman"/>
          <w:i/>
          <w:iCs/>
          <w:sz w:val="24"/>
          <w:szCs w:val="24"/>
        </w:rPr>
        <w:t xml:space="preserve">Harmonized list of </w:t>
      </w:r>
    </w:p>
    <w:p w:rsidR="00AD2256" w:rsidRDefault="00702704">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Literature-in-English texts for WASSCE 2026–2030</w:t>
      </w:r>
    </w:p>
    <w:sectPr w:rsidR="00AD225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704" w:rsidRDefault="00702704">
      <w:pPr>
        <w:spacing w:line="240" w:lineRule="auto"/>
      </w:pPr>
      <w:r>
        <w:separator/>
      </w:r>
    </w:p>
  </w:endnote>
  <w:endnote w:type="continuationSeparator" w:id="0">
    <w:p w:rsidR="00702704" w:rsidRDefault="00702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154AE257-E6BE-4882-B4B7-8C295900EA11}"/>
  </w:font>
  <w:font w:name="Calibri">
    <w:panose1 w:val="020F0502020204030204"/>
    <w:charset w:val="00"/>
    <w:family w:val="swiss"/>
    <w:pitch w:val="variable"/>
    <w:sig w:usb0="E4002EFF" w:usb1="C000247B" w:usb2="00000009" w:usb3="00000000" w:csb0="000001FF" w:csb1="00000000"/>
    <w:embedRegular r:id="rId2" w:fontKey="{75C6D349-DAE0-43E1-A582-83A19EC5E619}"/>
  </w:font>
  <w:font w:name="Cambria">
    <w:panose1 w:val="02040503050406030204"/>
    <w:charset w:val="00"/>
    <w:family w:val="roman"/>
    <w:pitch w:val="variable"/>
    <w:sig w:usb0="E00006FF" w:usb1="420024FF" w:usb2="02000000" w:usb3="00000000" w:csb0="0000019F" w:csb1="00000000"/>
    <w:embedRegular r:id="rId3" w:fontKey="{8C7C938C-1C3D-4616-BE8D-5F02160A11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6" w:rsidRDefault="00AD22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704" w:rsidRDefault="00702704">
      <w:pPr>
        <w:spacing w:line="240" w:lineRule="auto"/>
      </w:pPr>
      <w:r>
        <w:separator/>
      </w:r>
    </w:p>
  </w:footnote>
  <w:footnote w:type="continuationSeparator" w:id="0">
    <w:p w:rsidR="00702704" w:rsidRDefault="007027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6" w:rsidRDefault="00AD22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D01DA"/>
    <w:multiLevelType w:val="multilevel"/>
    <w:tmpl w:val="4E604FB6"/>
    <w:lvl w:ilvl="0">
      <w:start w:val="1"/>
      <w:numFmt w:val="upperRoman"/>
      <w:lvlText w:val="%1."/>
      <w:lvlJc w:val="right"/>
      <w:pPr>
        <w:ind w:left="2880" w:hanging="360"/>
      </w:pPr>
      <w:rPr>
        <w:u w:val="none"/>
      </w:rPr>
    </w:lvl>
    <w:lvl w:ilvl="1">
      <w:start w:val="1"/>
      <w:numFmt w:val="upperLetter"/>
      <w:lvlText w:val="%2."/>
      <w:lvlJc w:val="lef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decimal"/>
      <w:lvlText w:val="(%5)"/>
      <w:lvlJc w:val="left"/>
      <w:pPr>
        <w:ind w:left="5760" w:hanging="360"/>
      </w:pPr>
      <w:rPr>
        <w:u w:val="none"/>
      </w:rPr>
    </w:lvl>
    <w:lvl w:ilvl="5">
      <w:start w:val="1"/>
      <w:numFmt w:val="lowerLetter"/>
      <w:lvlText w:val="(%6)"/>
      <w:lvlJc w:val="left"/>
      <w:pPr>
        <w:ind w:left="6480" w:hanging="360"/>
      </w:pPr>
      <w:rPr>
        <w:u w:val="none"/>
      </w:rPr>
    </w:lvl>
    <w:lvl w:ilvl="6">
      <w:start w:val="1"/>
      <w:numFmt w:val="lowerRoman"/>
      <w:lvlText w:val="(%7)"/>
      <w:lvlJc w:val="righ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nsid w:val="0CFE15BD"/>
    <w:multiLevelType w:val="multilevel"/>
    <w:tmpl w:val="3CAAA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6C4694"/>
    <w:multiLevelType w:val="multilevel"/>
    <w:tmpl w:val="CB2E1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F363812"/>
    <w:multiLevelType w:val="multilevel"/>
    <w:tmpl w:val="B874D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D2256"/>
    <w:rsid w:val="00702704"/>
    <w:rsid w:val="00AD2256"/>
    <w:rsid w:val="00BD77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D7768"/>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D776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5713</Words>
  <Characters>32569</Characters>
  <Application>Microsoft Office Word</Application>
  <DocSecurity>0</DocSecurity>
  <Lines>271</Lines>
  <Paragraphs>76</Paragraphs>
  <ScaleCrop>false</ScaleCrop>
  <Company/>
  <LinksUpToDate>false</LinksUpToDate>
  <CharactersWithSpaces>38206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2026-04-09T11:56:00Z</dcterms:created>
  <dcterms:modified xsi:type="dcterms:W3CDTF">2026-04-09T11:57:00Z</dcterms:modified>
</cp:coreProperties>
</file>