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924E" w14:textId="77777777" w:rsidR="00133BC5" w:rsidRPr="00821640" w:rsidRDefault="00133BC5" w:rsidP="0086482B">
      <w:pPr>
        <w:spacing w:before="120" w:after="120" w:line="240" w:lineRule="auto"/>
        <w:jc w:val="both"/>
        <w:rPr>
          <w:rFonts w:ascii="Myriad Pro" w:hAnsi="Myriad Pro" w:cs="Times New Roman"/>
          <w:b/>
          <w:bCs/>
          <w:color w:val="0D0D0D" w:themeColor="text1" w:themeTint="F2"/>
          <w:sz w:val="24"/>
          <w:szCs w:val="24"/>
        </w:rPr>
      </w:pPr>
      <w:bookmarkStart w:id="0" w:name="_Hlk224939575"/>
      <w:r w:rsidRPr="00821640">
        <w:rPr>
          <w:rFonts w:ascii="Myriad Pro" w:eastAsia="SimSun" w:hAnsi="Myriad Pro" w:cs="Times New Roman"/>
          <w:b/>
          <w:bCs/>
          <w:sz w:val="24"/>
          <w:szCs w:val="24"/>
        </w:rPr>
        <w:t>“Mapping Future-Ready TLE in Secondary Education: A Bibliometric Study of Teacher Specialization, Deployment Gaps, and Digital Literacy in Science High Schools”</w:t>
      </w:r>
    </w:p>
    <w:bookmarkEnd w:id="0"/>
    <w:p w14:paraId="562B7E45" w14:textId="5BD43CD9" w:rsidR="00917629" w:rsidRPr="00821640" w:rsidRDefault="003C6D89" w:rsidP="0086482B">
      <w:pPr>
        <w:jc w:val="both"/>
        <w:rPr>
          <w:rFonts w:ascii="Myriad Pro" w:hAnsi="Myriad Pro" w:cstheme="majorHAnsi"/>
          <w:sz w:val="24"/>
          <w:szCs w:val="24"/>
        </w:rPr>
      </w:pPr>
      <w:r w:rsidRPr="00821640">
        <w:rPr>
          <w:rFonts w:ascii="Myriad Pro" w:hAnsi="Myriad Pro" w:cstheme="majorHAnsi"/>
          <w:noProof/>
          <w:sz w:val="24"/>
          <w:szCs w:val="24"/>
        </w:rPr>
        <mc:AlternateContent>
          <mc:Choice Requires="wps">
            <w:drawing>
              <wp:anchor distT="0" distB="0" distL="114300" distR="114300" simplePos="0" relativeHeight="251659264" behindDoc="1" locked="0" layoutInCell="1" allowOverlap="1" wp14:anchorId="5BF7668A" wp14:editId="24A90AC5">
                <wp:simplePos x="0" y="0"/>
                <wp:positionH relativeFrom="column">
                  <wp:posOffset>1836420</wp:posOffset>
                </wp:positionH>
                <wp:positionV relativeFrom="paragraph">
                  <wp:posOffset>413385</wp:posOffset>
                </wp:positionV>
                <wp:extent cx="30480" cy="6217920"/>
                <wp:effectExtent l="0" t="0" r="26670" b="30480"/>
                <wp:wrapNone/>
                <wp:docPr id="3" name="Straight Connector 3"/>
                <wp:cNvGraphicFramePr/>
                <a:graphic xmlns:a="http://schemas.openxmlformats.org/drawingml/2006/main">
                  <a:graphicData uri="http://schemas.microsoft.com/office/word/2010/wordprocessingShape">
                    <wps:wsp>
                      <wps:cNvCnPr/>
                      <wps:spPr>
                        <a:xfrm>
                          <a:off x="0" y="0"/>
                          <a:ext cx="30480" cy="621792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7566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pt,32.55pt" to="147pt,5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" strokecolor="#aeaaaa [2414]" strokeweight="1pt">
                <v:stroke joinstyle="miter"/>
              </v:line>
            </w:pict>
          </mc:Fallback>
        </mc:AlternateContent>
      </w:r>
      <w:r w:rsidRPr="00821640">
        <w:rPr>
          <w:rFonts w:ascii="Myriad Pro" w:hAnsi="Myriad Pro" w:cstheme="majorHAnsi"/>
          <w:noProof/>
          <w:sz w:val="24"/>
          <w:szCs w:val="24"/>
        </w:rPr>
        <mc:AlternateContent>
          <mc:Choice Requires="wps">
            <w:drawing>
              <wp:anchor distT="45720" distB="45720" distL="114300" distR="114300" simplePos="0" relativeHeight="251660288" behindDoc="0" locked="0" layoutInCell="1" allowOverlap="1" wp14:anchorId="1EAC5B51" wp14:editId="0A0D054A">
                <wp:simplePos x="0" y="0"/>
                <wp:positionH relativeFrom="column">
                  <wp:posOffset>1988820</wp:posOffset>
                </wp:positionH>
                <wp:positionV relativeFrom="paragraph">
                  <wp:posOffset>413385</wp:posOffset>
                </wp:positionV>
                <wp:extent cx="4689475" cy="6202680"/>
                <wp:effectExtent l="0" t="0" r="1587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620268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3439AA9A" w14:textId="77777777" w:rsidR="009A0E0E" w:rsidRPr="00F421EA" w:rsidRDefault="009A0E0E" w:rsidP="009A0E0E">
                            <w:pPr>
                              <w:spacing w:line="240" w:lineRule="auto"/>
                              <w:rPr>
                                <w:rFonts w:ascii="Myriad Pro" w:hAnsi="Myriad Pro"/>
                                <w:b/>
                                <w:bCs/>
                                <w:i/>
                                <w:iCs/>
                                <w:color w:val="7F7F7F" w:themeColor="text1" w:themeTint="80"/>
                                <w:sz w:val="24"/>
                                <w:szCs w:val="24"/>
                              </w:rPr>
                            </w:pPr>
                            <w:r w:rsidRPr="00F421EA">
                              <w:rPr>
                                <w:rFonts w:ascii="Myriad Pro" w:hAnsi="Myriad Pro"/>
                                <w:b/>
                                <w:bCs/>
                                <w:i/>
                                <w:iCs/>
                                <w:color w:val="7F7F7F" w:themeColor="text1" w:themeTint="80"/>
                                <w:sz w:val="24"/>
                                <w:szCs w:val="24"/>
                              </w:rPr>
                              <w:t>Abstract</w:t>
                            </w:r>
                          </w:p>
                          <w:p w14:paraId="13E04148" w14:textId="10CB705E" w:rsidR="00D73194" w:rsidRPr="003C6D89" w:rsidRDefault="003C6D89" w:rsidP="003C6D89">
                            <w:pPr>
                              <w:pStyle w:val="NormalWeb"/>
                              <w:ind w:firstLine="720"/>
                              <w:jc w:val="both"/>
                            </w:pPr>
                            <w:r>
                              <w:t xml:space="preserve">Technology and Livelihood Education (TLE) continues to face challenges within the academe such as mismatch in teacher loading due to uneven number of qualified teacher in certain fields, and limited integration of digital literacy practices that affects Science High Schools’ aim in preparing students with life-long and future-ready skills. This analysis targeted to map research trends from year 2015 to 2025. This study  focused on  TLE , digital literacy, and teacher deployment to identify dominant themes, knowledge gaps, and future research directions. Data were extracted using Publish or Perish from Scopus,CrossRef, Google Scholar,Semantic Scholar and Pubmed. Credible studies included English language, peer reviewed journal articles,conference papers, and reviews  with bibliometric data. Duplicates and non-academic works were excluded. Following PRISMA 2020 screening guidelines  to make the data more accurate and comprehensive. Bibliometric data were analyzed through VOSviewer and Microsoft excel is used to assess the citation metrics impact and thematic clustering. Out of 11,796 identified records, 8,796 duplicates were removed, and 2,960 verified records were included in the final analysis. Results revealed two major thematic clusters : (1) </w:t>
                            </w:r>
                            <w:r>
                              <w:rPr>
                                <w:rStyle w:val="Emphasis"/>
                              </w:rPr>
                              <w:t>digital literacy integration and teacher education</w:t>
                            </w:r>
                            <w:r>
                              <w:t xml:space="preserve">, and (2) </w:t>
                            </w:r>
                            <w:r>
                              <w:rPr>
                                <w:rStyle w:val="Emphasis"/>
                              </w:rPr>
                              <w:t>livelihood and livelihood strategy</w:t>
                            </w:r>
                            <w:r>
                              <w:t xml:space="preserve">. In contrast, </w:t>
                            </w:r>
                            <w:r>
                              <w:rPr>
                                <w:rStyle w:val="Emphasis"/>
                              </w:rPr>
                              <w:t>teacher deployment and specialization</w:t>
                            </w:r>
                            <w:r>
                              <w:t xml:space="preserve"> were found to be underrepresented in the research landscape.  The study acknowledges its limitations such as language bias, indexing disparities, and reliance on metadata rather than full analysis. Overall, the findings highlight the rising importance of digital transformation in TLE and accentuate the need for equitable teacher deployment and continuous professional development. </w:t>
                            </w:r>
                          </w:p>
                          <w:p w14:paraId="33882237" w14:textId="3713F665" w:rsidR="009A0E0E" w:rsidRPr="009A0E0E" w:rsidRDefault="009A0E0E" w:rsidP="00D73194">
                            <w:pPr>
                              <w:spacing w:line="240" w:lineRule="auto"/>
                              <w:jc w:val="both"/>
                              <w:rPr>
                                <w:rFonts w:ascii="Myriad Pro" w:hAnsi="Myriad Pro"/>
                                <w:i/>
                                <w:iCs/>
                                <w:color w:val="000000" w:themeColor="text1"/>
                              </w:rPr>
                            </w:pPr>
                            <w:r w:rsidRPr="00F421EA">
                              <w:rPr>
                                <w:rFonts w:ascii="Myriad Pro" w:hAnsi="Myriad Pro"/>
                                <w:b/>
                                <w:bCs/>
                                <w:i/>
                                <w:iCs/>
                                <w:color w:val="7F7F7F" w:themeColor="text1" w:themeTint="80"/>
                                <w:sz w:val="24"/>
                                <w:szCs w:val="24"/>
                              </w:rPr>
                              <w:t>Keywords</w:t>
                            </w:r>
                          </w:p>
                          <w:p w14:paraId="1EB01C10" w14:textId="306CC3F0" w:rsidR="003C6D89" w:rsidRDefault="003C6D89" w:rsidP="003C6D89">
                            <w:pPr>
                              <w:rPr>
                                <w:rFonts w:ascii="Times New Roman" w:hAnsi="Times New Roman" w:cs="Times New Roman"/>
                                <w:sz w:val="24"/>
                                <w:szCs w:val="24"/>
                              </w:rPr>
                            </w:pPr>
                            <w:r>
                              <w:rPr>
                                <w:rFonts w:ascii="Times New Roman" w:eastAsia="SimSun" w:hAnsi="Times New Roman" w:cs="Times New Roman"/>
                                <w:sz w:val="24"/>
                                <w:szCs w:val="24"/>
                              </w:rPr>
                              <w:t>digital literacy, ict integration, science high schools, teacher deployment, technology and livelihood education (tle).</w:t>
                            </w:r>
                            <w:r>
                              <w:rPr>
                                <w:rFonts w:ascii="Times New Roman" w:hAnsi="Times New Roman" w:cs="Times New Roman"/>
                                <w:sz w:val="24"/>
                                <w:szCs w:val="24"/>
                              </w:rPr>
                              <w:t xml:space="preserve">  </w:t>
                            </w:r>
                          </w:p>
                          <w:p w14:paraId="0895587F" w14:textId="17B53B49" w:rsidR="009A0E0E" w:rsidRPr="00F421EA" w:rsidRDefault="009A0E0E" w:rsidP="003C6D89">
                            <w:pPr>
                              <w:spacing w:line="240" w:lineRule="auto"/>
                              <w:jc w:val="both"/>
                              <w:rPr>
                                <w:rFonts w:ascii="Myriad Pro" w:hAnsi="Myriad Pro"/>
                                <w:b/>
                                <w:bCs/>
                                <w:i/>
                                <w:iCs/>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C5B51" id="_x0000_t202" coordsize="21600,21600" o:spt="202" path="m,l,21600r21600,l21600,xe">
                <v:stroke joinstyle="miter"/>
                <v:path gradientshapeok="t" o:connecttype="rect"/>
              </v:shapetype>
              <v:shape id="Text Box 2" o:spid="_x0000_s1026" type="#_x0000_t202" style="position:absolute;left:0;text-align:left;margin-left:156.6pt;margin-top:32.55pt;width:369.25pt;height:488.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" fillcolor="#91bce3 [2168]" strokecolor="#5b9bd5 [3208]" strokeweight=".5pt">
                <v:fill color2="#7aaddd [2616]" rotate="t" colors="0 #b1cbe9;.5 #a3c1e5;1 #92b9e4" focus="100%" type="gradient">
                  <o:fill v:ext="view" type="gradientUnscaled"/>
                </v:fill>
                <v:textbox>
                  <w:txbxContent>
                    <w:p w14:paraId="3439AA9A" w14:textId="77777777" w:rsidR="009A0E0E" w:rsidRPr="00F421EA" w:rsidRDefault="009A0E0E" w:rsidP="009A0E0E">
                      <w:pPr>
                        <w:spacing w:line="240" w:lineRule="auto"/>
                        <w:rPr>
                          <w:rFonts w:ascii="Myriad Pro" w:hAnsi="Myriad Pro"/>
                          <w:b/>
                          <w:bCs/>
                          <w:i/>
                          <w:iCs/>
                          <w:color w:val="7F7F7F" w:themeColor="text1" w:themeTint="80"/>
                          <w:sz w:val="24"/>
                          <w:szCs w:val="24"/>
                        </w:rPr>
                      </w:pPr>
                      <w:r w:rsidRPr="00F421EA">
                        <w:rPr>
                          <w:rFonts w:ascii="Myriad Pro" w:hAnsi="Myriad Pro"/>
                          <w:b/>
                          <w:bCs/>
                          <w:i/>
                          <w:iCs/>
                          <w:color w:val="7F7F7F" w:themeColor="text1" w:themeTint="80"/>
                          <w:sz w:val="24"/>
                          <w:szCs w:val="24"/>
                        </w:rPr>
                        <w:t>Abstract</w:t>
                      </w:r>
                    </w:p>
                    <w:p w14:paraId="13E04148" w14:textId="10CB705E" w:rsidR="00D73194" w:rsidRPr="003C6D89" w:rsidRDefault="003C6D89" w:rsidP="003C6D89">
                      <w:pPr>
                        <w:pStyle w:val="NormalWeb"/>
                        <w:ind w:firstLine="720"/>
                        <w:jc w:val="both"/>
                      </w:pPr>
                      <w:r>
                        <w:t xml:space="preserve">Technology and Livelihood Education (TLE) continues to face challenges within the academe such as mismatch in teacher loading due to uneven number of qualified </w:t>
                      </w:r>
                      <w:proofErr w:type="gramStart"/>
                      <w:r>
                        <w:t>teacher</w:t>
                      </w:r>
                      <w:proofErr w:type="gramEnd"/>
                      <w:r>
                        <w:t xml:space="preserve"> in certain fields, and limited integration of digital literacy practices that affects Science High Schools’ aim in preparing students with life-long and future-ready skills. This analysis targeted to map research trends from year 2015 to 2025. This </w:t>
                      </w:r>
                      <w:proofErr w:type="gramStart"/>
                      <w:r>
                        <w:t>study  focused</w:t>
                      </w:r>
                      <w:proofErr w:type="gramEnd"/>
                      <w:r>
                        <w:t xml:space="preserve"> on  TLE , digital literacy, and teacher deployment to identify dominant themes, knowledge gaps, and future research directions. Data were extracted using Publish or Perish from </w:t>
                      </w:r>
                      <w:proofErr w:type="spellStart"/>
                      <w:proofErr w:type="gramStart"/>
                      <w:r>
                        <w:t>Scopus,CrossRef</w:t>
                      </w:r>
                      <w:proofErr w:type="spellEnd"/>
                      <w:proofErr w:type="gramEnd"/>
                      <w:r>
                        <w:t xml:space="preserve">, Google </w:t>
                      </w:r>
                      <w:proofErr w:type="spellStart"/>
                      <w:r>
                        <w:t>Scholar,Semantic</w:t>
                      </w:r>
                      <w:proofErr w:type="spellEnd"/>
                      <w:r>
                        <w:t xml:space="preserve"> Scholar and </w:t>
                      </w:r>
                      <w:proofErr w:type="spellStart"/>
                      <w:r>
                        <w:t>Pubmed</w:t>
                      </w:r>
                      <w:proofErr w:type="spellEnd"/>
                      <w:r>
                        <w:t xml:space="preserve">. Credible studies included English language, peer reviewed journal </w:t>
                      </w:r>
                      <w:proofErr w:type="spellStart"/>
                      <w:proofErr w:type="gramStart"/>
                      <w:r>
                        <w:t>articles,conference</w:t>
                      </w:r>
                      <w:proofErr w:type="spellEnd"/>
                      <w:proofErr w:type="gramEnd"/>
                      <w:r>
                        <w:t xml:space="preserve"> papers, and reviews  with bibliometric data. Duplicates and non-academic works were excluded. Following PRISMA 2020 screening </w:t>
                      </w:r>
                      <w:proofErr w:type="gramStart"/>
                      <w:r>
                        <w:t>guidelines  to</w:t>
                      </w:r>
                      <w:proofErr w:type="gramEnd"/>
                      <w:r>
                        <w:t xml:space="preserve"> make the data more accurate and comprehensive. Bibliometric data were analyzed through </w:t>
                      </w:r>
                      <w:proofErr w:type="spellStart"/>
                      <w:r>
                        <w:t>VOSviewer</w:t>
                      </w:r>
                      <w:proofErr w:type="spellEnd"/>
                      <w:r>
                        <w:t xml:space="preserve"> and Microsoft excel is used to assess the citation metrics impact and thematic clustering. Out of 11,796 identified records, 8,796 duplicates were removed, and 2,960 verified records were included in the final analysis. Results revealed two major thematic </w:t>
                      </w:r>
                      <w:proofErr w:type="gramStart"/>
                      <w:r>
                        <w:t>clusters :</w:t>
                      </w:r>
                      <w:proofErr w:type="gramEnd"/>
                      <w:r>
                        <w:t xml:space="preserve"> (1) </w:t>
                      </w:r>
                      <w:r>
                        <w:rPr>
                          <w:rStyle w:val="Emphasis"/>
                        </w:rPr>
                        <w:t>digital literacy integration and teacher education</w:t>
                      </w:r>
                      <w:r>
                        <w:t xml:space="preserve">, and (2) </w:t>
                      </w:r>
                      <w:r>
                        <w:rPr>
                          <w:rStyle w:val="Emphasis"/>
                        </w:rPr>
                        <w:t>livelihood and livelihood strategy</w:t>
                      </w:r>
                      <w:r>
                        <w:t xml:space="preserve">. In contrast, </w:t>
                      </w:r>
                      <w:r>
                        <w:rPr>
                          <w:rStyle w:val="Emphasis"/>
                        </w:rPr>
                        <w:t>teacher deployment and specialization</w:t>
                      </w:r>
                      <w:r>
                        <w:t xml:space="preserve"> were found to be underrepresented in the research landscape.  The study acknowledges its limitations such as language bias, indexing disparities, and reliance on metadata rather than full analysis. Overall, the findings highlight the rising importance of digital transformation in TLE and accentuate the need for equitable teacher deployment and continuous professional development. </w:t>
                      </w:r>
                    </w:p>
                    <w:p w14:paraId="33882237" w14:textId="3713F665" w:rsidR="009A0E0E" w:rsidRPr="009A0E0E" w:rsidRDefault="009A0E0E" w:rsidP="00D73194">
                      <w:pPr>
                        <w:spacing w:line="240" w:lineRule="auto"/>
                        <w:jc w:val="both"/>
                        <w:rPr>
                          <w:rFonts w:ascii="Myriad Pro" w:hAnsi="Myriad Pro"/>
                          <w:i/>
                          <w:iCs/>
                          <w:color w:val="000000" w:themeColor="text1"/>
                        </w:rPr>
                      </w:pPr>
                      <w:r w:rsidRPr="00F421EA">
                        <w:rPr>
                          <w:rFonts w:ascii="Myriad Pro" w:hAnsi="Myriad Pro"/>
                          <w:b/>
                          <w:bCs/>
                          <w:i/>
                          <w:iCs/>
                          <w:color w:val="7F7F7F" w:themeColor="text1" w:themeTint="80"/>
                          <w:sz w:val="24"/>
                          <w:szCs w:val="24"/>
                        </w:rPr>
                        <w:t>Keywords</w:t>
                      </w:r>
                    </w:p>
                    <w:p w14:paraId="1EB01C10" w14:textId="306CC3F0" w:rsidR="003C6D89" w:rsidRDefault="003C6D89" w:rsidP="003C6D89">
                      <w:pPr>
                        <w:rPr>
                          <w:rFonts w:ascii="Times New Roman" w:hAnsi="Times New Roman" w:cs="Times New Roman"/>
                          <w:sz w:val="24"/>
                          <w:szCs w:val="24"/>
                        </w:rPr>
                      </w:pPr>
                      <w:r>
                        <w:rPr>
                          <w:rFonts w:ascii="Times New Roman" w:eastAsia="SimSun" w:hAnsi="Times New Roman" w:cs="Times New Roman"/>
                          <w:sz w:val="24"/>
                          <w:szCs w:val="24"/>
                        </w:rPr>
                        <w:t xml:space="preserve">digital literacy, </w:t>
                      </w:r>
                      <w:proofErr w:type="spellStart"/>
                      <w:r>
                        <w:rPr>
                          <w:rFonts w:ascii="Times New Roman" w:eastAsia="SimSun" w:hAnsi="Times New Roman" w:cs="Times New Roman"/>
                          <w:sz w:val="24"/>
                          <w:szCs w:val="24"/>
                        </w:rPr>
                        <w:t>ict</w:t>
                      </w:r>
                      <w:proofErr w:type="spellEnd"/>
                      <w:r>
                        <w:rPr>
                          <w:rFonts w:ascii="Times New Roman" w:eastAsia="SimSun" w:hAnsi="Times New Roman" w:cs="Times New Roman"/>
                          <w:sz w:val="24"/>
                          <w:szCs w:val="24"/>
                        </w:rPr>
                        <w:t xml:space="preserve"> integration, science high schools, teacher deployment, technology and livelihood education (</w:t>
                      </w:r>
                      <w:proofErr w:type="spellStart"/>
                      <w:r>
                        <w:rPr>
                          <w:rFonts w:ascii="Times New Roman" w:eastAsia="SimSun" w:hAnsi="Times New Roman" w:cs="Times New Roman"/>
                          <w:sz w:val="24"/>
                          <w:szCs w:val="24"/>
                        </w:rPr>
                        <w:t>tle</w:t>
                      </w:r>
                      <w:proofErr w:type="spellEnd"/>
                      <w:r>
                        <w:rPr>
                          <w:rFonts w:ascii="Times New Roman" w:eastAsia="SimSun" w:hAnsi="Times New Roman" w:cs="Times New Roman"/>
                          <w:sz w:val="24"/>
                          <w:szCs w:val="24"/>
                        </w:rPr>
                        <w:t>).</w:t>
                      </w:r>
                      <w:r>
                        <w:rPr>
                          <w:rFonts w:ascii="Times New Roman" w:hAnsi="Times New Roman" w:cs="Times New Roman"/>
                          <w:sz w:val="24"/>
                          <w:szCs w:val="24"/>
                        </w:rPr>
                        <w:t xml:space="preserve">  </w:t>
                      </w:r>
                    </w:p>
                    <w:p w14:paraId="0895587F" w14:textId="17B53B49" w:rsidR="009A0E0E" w:rsidRPr="00F421EA" w:rsidRDefault="009A0E0E" w:rsidP="003C6D89">
                      <w:pPr>
                        <w:spacing w:line="240" w:lineRule="auto"/>
                        <w:jc w:val="both"/>
                        <w:rPr>
                          <w:rFonts w:ascii="Myriad Pro" w:hAnsi="Myriad Pro"/>
                          <w:b/>
                          <w:bCs/>
                          <w:i/>
                          <w:iCs/>
                          <w:color w:val="7F7F7F" w:themeColor="text1" w:themeTint="80"/>
                        </w:rPr>
                      </w:pPr>
                    </w:p>
                  </w:txbxContent>
                </v:textbox>
                <w10:wrap type="square"/>
              </v:shape>
            </w:pict>
          </mc:Fallback>
        </mc:AlternateContent>
      </w:r>
      <w:r w:rsidR="00B13A18" w:rsidRPr="00821640">
        <w:rPr>
          <w:rFonts w:ascii="Myriad Pro" w:hAnsi="Myriad Pro" w:cstheme="majorHAnsi"/>
          <w:noProof/>
          <w:sz w:val="24"/>
          <w:szCs w:val="24"/>
        </w:rPr>
        <mc:AlternateContent>
          <mc:Choice Requires="wps">
            <w:drawing>
              <wp:anchor distT="45720" distB="45720" distL="114300" distR="114300" simplePos="0" relativeHeight="251658240" behindDoc="0" locked="0" layoutInCell="1" allowOverlap="1" wp14:anchorId="658FC7C8" wp14:editId="309A1F40">
                <wp:simplePos x="0" y="0"/>
                <wp:positionH relativeFrom="column">
                  <wp:posOffset>0</wp:posOffset>
                </wp:positionH>
                <wp:positionV relativeFrom="paragraph">
                  <wp:posOffset>422910</wp:posOffset>
                </wp:positionV>
                <wp:extent cx="1838960" cy="389890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3898900"/>
                        </a:xfrm>
                        <a:prstGeom prst="rect">
                          <a:avLst/>
                        </a:prstGeom>
                        <a:solidFill>
                          <a:srgbClr val="FFFFFF"/>
                        </a:solidFill>
                        <a:ln w="9525">
                          <a:noFill/>
                          <a:miter lim="800000"/>
                          <a:headEnd/>
                          <a:tailEnd/>
                        </a:ln>
                      </wps:spPr>
                      <wps:txbx>
                        <w:txbxContent>
                          <w:p w14:paraId="4BDDF362" w14:textId="77777777" w:rsidR="009F3A99" w:rsidRPr="001E4F6A" w:rsidRDefault="009F3A99" w:rsidP="009A0E0E">
                            <w:pPr>
                              <w:rPr>
                                <w:rFonts w:ascii="Myriad light" w:hAnsi="Myriad light"/>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FC7C8" id="_x0000_t202" coordsize="21600,21600" o:spt="202" path="m,l,21600r21600,l21600,xe">
                <v:stroke joinstyle="miter"/>
                <v:path gradientshapeok="t" o:connecttype="rect"/>
              </v:shapetype>
              <v:shape id="_x0000_s1027" type="#_x0000_t202" style="position:absolute;left:0;text-align:left;margin-left:0;margin-top:33.3pt;width:144.8pt;height:30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" stroked="f">
                <v:textbox>
                  <w:txbxContent>
                    <w:p w14:paraId="4BDDF362" w14:textId="77777777" w:rsidR="009F3A99" w:rsidRPr="001E4F6A" w:rsidRDefault="009F3A99" w:rsidP="009A0E0E">
                      <w:pPr>
                        <w:rPr>
                          <w:rFonts w:ascii="Myriad light" w:hAnsi="Myriad light"/>
                          <w:sz w:val="18"/>
                          <w:szCs w:val="18"/>
                        </w:rPr>
                      </w:pPr>
                    </w:p>
                  </w:txbxContent>
                </v:textbox>
                <w10:wrap type="square"/>
              </v:shape>
            </w:pict>
          </mc:Fallback>
        </mc:AlternateContent>
      </w:r>
    </w:p>
    <w:p w14:paraId="30E3DF77" w14:textId="28F96BAC" w:rsidR="009A0E0E" w:rsidRPr="00821640" w:rsidRDefault="009A0E0E" w:rsidP="0086482B">
      <w:pPr>
        <w:jc w:val="both"/>
        <w:rPr>
          <w:rFonts w:ascii="Myriad Pro" w:hAnsi="Myriad Pro" w:cstheme="majorHAnsi"/>
          <w:sz w:val="24"/>
          <w:szCs w:val="24"/>
        </w:rPr>
      </w:pPr>
    </w:p>
    <w:p w14:paraId="3100B8D0" w14:textId="77777777" w:rsidR="009A0E0E" w:rsidRPr="00821640" w:rsidRDefault="009A0E0E" w:rsidP="0086482B">
      <w:pPr>
        <w:jc w:val="both"/>
        <w:rPr>
          <w:rFonts w:ascii="Myriad Pro" w:hAnsi="Myriad Pro" w:cstheme="majorHAnsi"/>
          <w:sz w:val="24"/>
          <w:szCs w:val="24"/>
        </w:rPr>
      </w:pPr>
    </w:p>
    <w:p w14:paraId="4F5FB81C" w14:textId="77777777" w:rsidR="009A0E0E" w:rsidRPr="00821640" w:rsidRDefault="009A0E0E" w:rsidP="0086482B">
      <w:pPr>
        <w:spacing w:after="0"/>
        <w:jc w:val="both"/>
        <w:rPr>
          <w:rFonts w:ascii="Myriad Pro" w:hAnsi="Myriad Pro" w:cs="Myriad Pro"/>
          <w:b/>
          <w:bCs/>
          <w:color w:val="000000"/>
          <w:sz w:val="26"/>
          <w:szCs w:val="26"/>
        </w:rPr>
      </w:pPr>
    </w:p>
    <w:p w14:paraId="3E1A0C59" w14:textId="77777777" w:rsidR="009A0E0E" w:rsidRPr="00821640" w:rsidRDefault="009A0E0E" w:rsidP="0086482B">
      <w:pPr>
        <w:spacing w:after="0"/>
        <w:jc w:val="both"/>
        <w:rPr>
          <w:rFonts w:ascii="Myriad Pro" w:hAnsi="Myriad Pro" w:cs="Myriad Pro"/>
          <w:b/>
          <w:bCs/>
          <w:color w:val="000000"/>
          <w:sz w:val="26"/>
          <w:szCs w:val="26"/>
        </w:rPr>
      </w:pPr>
    </w:p>
    <w:p w14:paraId="46291B20" w14:textId="77777777" w:rsidR="009A0E0E" w:rsidRPr="00821640" w:rsidRDefault="009A0E0E" w:rsidP="0086482B">
      <w:pPr>
        <w:spacing w:after="0"/>
        <w:jc w:val="both"/>
        <w:rPr>
          <w:rFonts w:ascii="Myriad Pro" w:hAnsi="Myriad Pro" w:cs="Myriad Pro"/>
          <w:b/>
          <w:bCs/>
          <w:color w:val="000000"/>
          <w:sz w:val="26"/>
          <w:szCs w:val="26"/>
        </w:rPr>
      </w:pPr>
    </w:p>
    <w:p w14:paraId="223256CD" w14:textId="77777777" w:rsidR="009A0E0E" w:rsidRPr="00821640" w:rsidRDefault="009A0E0E" w:rsidP="0086482B">
      <w:pPr>
        <w:spacing w:after="0"/>
        <w:jc w:val="both"/>
        <w:rPr>
          <w:rFonts w:ascii="Myriad Pro" w:hAnsi="Myriad Pro" w:cs="Myriad Pro"/>
          <w:b/>
          <w:bCs/>
          <w:color w:val="000000"/>
          <w:sz w:val="26"/>
          <w:szCs w:val="26"/>
        </w:rPr>
      </w:pPr>
    </w:p>
    <w:p w14:paraId="1DDEA746" w14:textId="77777777" w:rsidR="009A0E0E" w:rsidRPr="00821640" w:rsidRDefault="009A0E0E" w:rsidP="0086482B">
      <w:pPr>
        <w:spacing w:after="0"/>
        <w:jc w:val="both"/>
        <w:rPr>
          <w:rFonts w:ascii="Myriad Pro" w:hAnsi="Myriad Pro" w:cs="Myriad Pro"/>
          <w:b/>
          <w:bCs/>
          <w:color w:val="000000"/>
          <w:sz w:val="26"/>
          <w:szCs w:val="26"/>
        </w:rPr>
      </w:pPr>
    </w:p>
    <w:p w14:paraId="4A09D98B" w14:textId="785366FA" w:rsidR="009A0E0E" w:rsidRPr="00821640" w:rsidRDefault="009A0E0E" w:rsidP="0086482B">
      <w:pPr>
        <w:spacing w:after="0"/>
        <w:jc w:val="both"/>
        <w:rPr>
          <w:rFonts w:ascii="Myriad Pro" w:hAnsi="Myriad Pro" w:cs="Myriad Pro"/>
          <w:b/>
          <w:bCs/>
          <w:color w:val="000000"/>
          <w:sz w:val="26"/>
          <w:szCs w:val="26"/>
        </w:rPr>
      </w:pPr>
    </w:p>
    <w:p w14:paraId="6095783B" w14:textId="61326AFD" w:rsidR="003C6D89" w:rsidRPr="00821640" w:rsidRDefault="003C6D89" w:rsidP="0086482B">
      <w:pPr>
        <w:spacing w:after="0"/>
        <w:jc w:val="both"/>
        <w:rPr>
          <w:rFonts w:ascii="Myriad Pro" w:hAnsi="Myriad Pro" w:cs="Myriad Pro"/>
          <w:b/>
          <w:bCs/>
          <w:color w:val="000000"/>
          <w:sz w:val="26"/>
          <w:szCs w:val="26"/>
        </w:rPr>
      </w:pPr>
    </w:p>
    <w:p w14:paraId="663F59E7" w14:textId="77777777" w:rsidR="003C6D89" w:rsidRPr="00821640" w:rsidRDefault="003C6D89" w:rsidP="0086482B">
      <w:pPr>
        <w:spacing w:after="0"/>
        <w:jc w:val="both"/>
        <w:rPr>
          <w:rFonts w:ascii="Myriad Pro" w:hAnsi="Myriad Pro" w:cs="Myriad Pro"/>
          <w:b/>
          <w:bCs/>
          <w:color w:val="000000"/>
          <w:sz w:val="26"/>
          <w:szCs w:val="26"/>
        </w:rPr>
      </w:pPr>
    </w:p>
    <w:p w14:paraId="03BEE293" w14:textId="3A9D927F" w:rsidR="009A0E0E" w:rsidRPr="00821640" w:rsidRDefault="009A0E0E" w:rsidP="0086482B">
      <w:pPr>
        <w:spacing w:after="0"/>
        <w:jc w:val="both"/>
        <w:rPr>
          <w:rFonts w:ascii="Myriad Pro" w:hAnsi="Myriad Pro" w:cstheme="majorHAnsi"/>
          <w:sz w:val="24"/>
          <w:szCs w:val="24"/>
        </w:rPr>
      </w:pPr>
      <w:r w:rsidRPr="00821640">
        <w:rPr>
          <w:rFonts w:ascii="Myriad Pro" w:hAnsi="Myriad Pro" w:cs="Myriad Pro"/>
          <w:b/>
          <w:bCs/>
          <w:color w:val="000000"/>
          <w:sz w:val="26"/>
          <w:szCs w:val="26"/>
        </w:rPr>
        <w:t>INTRODUCTION</w:t>
      </w:r>
    </w:p>
    <w:p w14:paraId="020F9589" w14:textId="12ABB00B" w:rsidR="00D73194" w:rsidRDefault="003C6D89" w:rsidP="0086482B">
      <w:pPr>
        <w:pStyle w:val="NoSpacing"/>
        <w:ind w:firstLine="720"/>
        <w:jc w:val="both"/>
        <w:rPr>
          <w:rFonts w:ascii="Myriad Pro" w:hAnsi="Myriad Pro" w:cs="Times New Roman"/>
          <w:sz w:val="24"/>
          <w:szCs w:val="24"/>
        </w:rPr>
      </w:pPr>
      <w:r w:rsidRPr="00821640">
        <w:rPr>
          <w:rFonts w:ascii="Myriad Pro" w:hAnsi="Myriad Pro" w:cs="Times New Roman"/>
          <w:sz w:val="24"/>
          <w:szCs w:val="24"/>
        </w:rPr>
        <w:t xml:space="preserve">Secondary Education plays an important role in molding students to the  demands of industry needs, Technology and Livelihood Education (TLE) as a subject must upgrade and follow the trends of technology of teaching. Aligning its core, TLE subjects  needs to be digitally  competent  as the evolving needs of the market industry.MATATAG and K-12 to curriculum highlights TLE’s role in fostering innovation and digital literacy(DepEd,2023). However, the arriving gaps on specialization mismatches and uneven teacher deployments hinders effective teaching, reducing instructional quality and learner outcomes(Penuliar, 2025;IJPREMS,2025). </w:t>
      </w:r>
    </w:p>
    <w:p w14:paraId="66780863" w14:textId="77777777" w:rsidR="00967E7C" w:rsidRDefault="00967E7C" w:rsidP="0086482B">
      <w:pPr>
        <w:pStyle w:val="NoSpacing"/>
        <w:ind w:firstLine="720"/>
        <w:jc w:val="both"/>
        <w:rPr>
          <w:rFonts w:ascii="Myriad Pro" w:hAnsi="Myriad Pro" w:cs="Times New Roman"/>
          <w:sz w:val="24"/>
          <w:szCs w:val="24"/>
        </w:rPr>
      </w:pPr>
    </w:p>
    <w:p w14:paraId="1DA4C59E" w14:textId="77777777" w:rsidR="00967E7C" w:rsidRPr="00821640" w:rsidRDefault="00967E7C" w:rsidP="0086482B">
      <w:pPr>
        <w:pStyle w:val="NoSpacing"/>
        <w:ind w:firstLine="720"/>
        <w:jc w:val="both"/>
        <w:rPr>
          <w:rFonts w:ascii="Myriad Pro" w:hAnsi="Myriad Pro" w:cs="Times New Roman"/>
          <w:sz w:val="24"/>
          <w:szCs w:val="24"/>
        </w:rPr>
      </w:pPr>
    </w:p>
    <w:p w14:paraId="5F8D560F" w14:textId="77777777" w:rsidR="003C6D89" w:rsidRPr="00821640" w:rsidRDefault="003C6D89" w:rsidP="0086482B">
      <w:pPr>
        <w:pStyle w:val="NoSpacing"/>
        <w:ind w:firstLine="720"/>
        <w:jc w:val="both"/>
        <w:rPr>
          <w:rFonts w:ascii="Myriad Pro" w:hAnsi="Myriad Pro" w:cs="Arial"/>
          <w:i/>
          <w:iCs/>
          <w:sz w:val="24"/>
          <w:szCs w:val="24"/>
        </w:rPr>
      </w:pPr>
    </w:p>
    <w:p w14:paraId="69FA52DD" w14:textId="4C2B62E7" w:rsidR="009A0E0E" w:rsidRPr="00821640" w:rsidRDefault="009A0E0E" w:rsidP="0086482B">
      <w:pPr>
        <w:pStyle w:val="NoSpacing"/>
        <w:jc w:val="both"/>
        <w:rPr>
          <w:rFonts w:ascii="Myriad Pro" w:hAnsi="Myriad Pro" w:cs="Arial"/>
          <w:i/>
          <w:iCs/>
          <w:sz w:val="24"/>
          <w:szCs w:val="24"/>
        </w:rPr>
      </w:pPr>
      <w:r w:rsidRPr="00821640">
        <w:rPr>
          <w:rFonts w:ascii="Myriad Pro" w:hAnsi="Myriad Pro" w:cs="Arial"/>
          <w:i/>
          <w:iCs/>
          <w:sz w:val="24"/>
          <w:szCs w:val="24"/>
        </w:rPr>
        <w:lastRenderedPageBreak/>
        <w:t>Objectives of the Study</w:t>
      </w:r>
    </w:p>
    <w:p w14:paraId="377E0F83" w14:textId="699F18BD" w:rsidR="003C6D89" w:rsidRPr="00821640" w:rsidRDefault="003C6D89" w:rsidP="0086482B">
      <w:pPr>
        <w:ind w:firstLine="720"/>
        <w:jc w:val="both"/>
        <w:rPr>
          <w:rFonts w:ascii="Myriad Pro" w:hAnsi="Myriad Pro" w:cs="Times New Roman"/>
          <w:sz w:val="24"/>
          <w:szCs w:val="24"/>
        </w:rPr>
      </w:pPr>
      <w:r w:rsidRPr="00821640">
        <w:rPr>
          <w:rFonts w:ascii="Myriad Pro" w:hAnsi="Myriad Pro" w:cs="Times New Roman"/>
          <w:sz w:val="24"/>
          <w:szCs w:val="24"/>
        </w:rPr>
        <w:t>These bibliometric analysis provides a systematic approach to mapping the  research trends, identifying thematic gaps, and guiding evidenced-based reforms that strengthens TLE’s digital and vocational integration(Ma,2025;Sugito, 2024). It seeks also to answer the following questions:</w:t>
      </w:r>
    </w:p>
    <w:p w14:paraId="71F59BC4" w14:textId="77777777" w:rsidR="003C6D89" w:rsidRPr="00821640" w:rsidRDefault="003C6D89" w:rsidP="0086482B">
      <w:pPr>
        <w:numPr>
          <w:ilvl w:val="0"/>
          <w:numId w:val="4"/>
        </w:numPr>
        <w:jc w:val="both"/>
        <w:rPr>
          <w:rFonts w:ascii="Myriad Pro" w:hAnsi="Myriad Pro" w:cs="Times New Roman"/>
          <w:sz w:val="24"/>
          <w:szCs w:val="24"/>
        </w:rPr>
      </w:pPr>
      <w:r w:rsidRPr="00821640">
        <w:rPr>
          <w:rFonts w:ascii="Myriad Pro" w:hAnsi="Myriad Pro" w:cs="Times New Roman"/>
          <w:sz w:val="24"/>
          <w:szCs w:val="24"/>
        </w:rPr>
        <w:t xml:space="preserve">What are the related dominant themes and trends in TLE related research from year 2015-2025? </w:t>
      </w:r>
    </w:p>
    <w:p w14:paraId="7665AB55" w14:textId="4043EF3B" w:rsidR="003C6D89" w:rsidRPr="00821640" w:rsidRDefault="003C6D89" w:rsidP="0086482B">
      <w:pPr>
        <w:numPr>
          <w:ilvl w:val="0"/>
          <w:numId w:val="4"/>
        </w:numPr>
        <w:jc w:val="both"/>
        <w:rPr>
          <w:rFonts w:ascii="Myriad Pro" w:hAnsi="Myriad Pro" w:cs="Times New Roman"/>
          <w:sz w:val="24"/>
          <w:szCs w:val="24"/>
        </w:rPr>
      </w:pPr>
      <w:r w:rsidRPr="00821640">
        <w:rPr>
          <w:rFonts w:ascii="Myriad Pro" w:hAnsi="Myriad Pro" w:cs="Times New Roman"/>
          <w:sz w:val="24"/>
          <w:szCs w:val="24"/>
        </w:rPr>
        <w:t xml:space="preserve">How has scholarly focus on teacher specialization and digital literacy evolved across publication cohorts? </w:t>
      </w:r>
    </w:p>
    <w:p w14:paraId="356AC2E8" w14:textId="77777777" w:rsidR="003C6D89" w:rsidRPr="00821640" w:rsidRDefault="003C6D89" w:rsidP="0086482B">
      <w:pPr>
        <w:numPr>
          <w:ilvl w:val="0"/>
          <w:numId w:val="4"/>
        </w:numPr>
        <w:jc w:val="both"/>
        <w:rPr>
          <w:rFonts w:ascii="Myriad Pro" w:hAnsi="Myriad Pro" w:cs="Times New Roman"/>
          <w:sz w:val="24"/>
          <w:szCs w:val="24"/>
        </w:rPr>
      </w:pPr>
      <w:r w:rsidRPr="00821640">
        <w:rPr>
          <w:rFonts w:ascii="Myriad Pro" w:hAnsi="Myriad Pro" w:cs="Times New Roman"/>
          <w:sz w:val="24"/>
          <w:szCs w:val="24"/>
        </w:rPr>
        <w:t xml:space="preserve">What gaps exist in the literature regarding deployment in science high schools? </w:t>
      </w:r>
    </w:p>
    <w:p w14:paraId="39023345" w14:textId="704C33E1" w:rsidR="00B43015" w:rsidRPr="00821640" w:rsidRDefault="003C6D89" w:rsidP="0086482B">
      <w:pPr>
        <w:ind w:firstLine="720"/>
        <w:jc w:val="both"/>
        <w:rPr>
          <w:rFonts w:ascii="Myriad Pro" w:hAnsi="Myriad Pro" w:cs="Times New Roman"/>
          <w:sz w:val="24"/>
          <w:szCs w:val="24"/>
        </w:rPr>
      </w:pPr>
      <w:r w:rsidRPr="00821640">
        <w:rPr>
          <w:rFonts w:ascii="Myriad Pro" w:hAnsi="Myriad Pro" w:cs="Times New Roman"/>
          <w:sz w:val="24"/>
          <w:szCs w:val="24"/>
        </w:rPr>
        <w:t>Despite, of the numerous literatures on educational reforms and digital pedagogy, there is no comprehensive bibliometric analysis that maps out how these themes intersect within TLE domain. In the context of science high schools, where teacher specialization, deployment gaps and digital readiness are most critical in teaching.</w:t>
      </w:r>
    </w:p>
    <w:p w14:paraId="5FADB78B" w14:textId="77777777" w:rsidR="009A0E0E" w:rsidRPr="00821640" w:rsidRDefault="009A0E0E" w:rsidP="0086482B">
      <w:pPr>
        <w:tabs>
          <w:tab w:val="left" w:pos="3382"/>
        </w:tabs>
        <w:spacing w:after="0" w:line="240" w:lineRule="auto"/>
        <w:jc w:val="both"/>
        <w:rPr>
          <w:rFonts w:ascii="Myriad Pro" w:hAnsi="Myriad Pro" w:cs="Myriad Pro"/>
          <w:b/>
          <w:bCs/>
          <w:color w:val="000000"/>
          <w:sz w:val="26"/>
          <w:szCs w:val="26"/>
        </w:rPr>
      </w:pPr>
      <w:r w:rsidRPr="00821640">
        <w:rPr>
          <w:rFonts w:ascii="Myriad Pro" w:hAnsi="Myriad Pro" w:cs="Myriad Pro"/>
          <w:b/>
          <w:bCs/>
          <w:color w:val="000000"/>
          <w:sz w:val="26"/>
          <w:szCs w:val="26"/>
        </w:rPr>
        <w:t>METHODS</w:t>
      </w:r>
    </w:p>
    <w:p w14:paraId="2667340D" w14:textId="77777777" w:rsidR="009A0E0E" w:rsidRPr="0086482B" w:rsidRDefault="009A0E0E" w:rsidP="0086482B">
      <w:pPr>
        <w:tabs>
          <w:tab w:val="left" w:pos="3382"/>
        </w:tabs>
        <w:spacing w:after="0" w:line="240" w:lineRule="auto"/>
        <w:jc w:val="both"/>
        <w:rPr>
          <w:rFonts w:ascii="Myriad Pro" w:hAnsi="Myriad Pro" w:cs="Arial"/>
          <w:i/>
          <w:iCs/>
          <w:sz w:val="24"/>
          <w:szCs w:val="24"/>
        </w:rPr>
      </w:pPr>
      <w:r w:rsidRPr="0086482B">
        <w:rPr>
          <w:rFonts w:ascii="Myriad Pro" w:hAnsi="Myriad Pro" w:cs="Arial"/>
          <w:i/>
          <w:iCs/>
          <w:sz w:val="24"/>
          <w:szCs w:val="24"/>
        </w:rPr>
        <w:t>Study Design</w:t>
      </w:r>
    </w:p>
    <w:p w14:paraId="411B1D34" w14:textId="57D0B04F" w:rsidR="00B43015" w:rsidRPr="0086482B" w:rsidRDefault="006E2700" w:rsidP="0086482B">
      <w:pPr>
        <w:pStyle w:val="NoSpacing"/>
        <w:ind w:firstLine="720"/>
        <w:jc w:val="both"/>
        <w:rPr>
          <w:rFonts w:ascii="Myriad Pro" w:hAnsi="Myriad Pro" w:cs="Arial"/>
          <w:sz w:val="24"/>
          <w:szCs w:val="24"/>
        </w:rPr>
      </w:pPr>
      <w:r w:rsidRPr="0086482B">
        <w:rPr>
          <w:rFonts w:ascii="Myriad Pro" w:hAnsi="Myriad Pro" w:cs="Arial"/>
          <w:sz w:val="24"/>
          <w:szCs w:val="24"/>
        </w:rPr>
        <w:t>This study</w:t>
      </w:r>
      <w:r w:rsidR="006434A9" w:rsidRPr="0086482B">
        <w:rPr>
          <w:rFonts w:ascii="Myriad Pro" w:hAnsi="Myriad Pro" w:cs="Arial"/>
          <w:sz w:val="24"/>
          <w:szCs w:val="24"/>
        </w:rPr>
        <w:t xml:space="preserve"> employed </w:t>
      </w:r>
      <w:r w:rsidRPr="0086482B">
        <w:rPr>
          <w:rFonts w:ascii="Myriad Pro" w:hAnsi="Myriad Pro" w:cs="Arial"/>
          <w:sz w:val="24"/>
          <w:szCs w:val="24"/>
        </w:rPr>
        <w:t xml:space="preserve"> a non-experimental research, descriptive bibliometric analysis design to systematically map the intellectual structure, trends, and gaps in Technology and Livelihood Education (TLE) research. Bibliometric analysis is appropriate it for this study as it enables the quantitative evaluation of large volumes of published literature, identifying patterns in research productivity, thematic development, and scholarly impact.</w:t>
      </w:r>
    </w:p>
    <w:p w14:paraId="4E05845E" w14:textId="27AB2E36" w:rsidR="006E2700" w:rsidRPr="0086482B" w:rsidRDefault="006E2700" w:rsidP="0086482B">
      <w:pPr>
        <w:pStyle w:val="NoSpacing"/>
        <w:ind w:firstLine="720"/>
        <w:jc w:val="both"/>
        <w:rPr>
          <w:rFonts w:ascii="Myriad Pro" w:hAnsi="Myriad Pro" w:cs="Arial"/>
          <w:sz w:val="24"/>
          <w:szCs w:val="24"/>
        </w:rPr>
      </w:pPr>
      <w:r w:rsidRPr="0086482B">
        <w:rPr>
          <w:rFonts w:ascii="Myriad Pro" w:hAnsi="Myriad Pro" w:cs="Arial"/>
          <w:sz w:val="24"/>
          <w:szCs w:val="24"/>
        </w:rPr>
        <w:t xml:space="preserve">The study was guided by the PRISMA 2020(Preferred Reporting Items for Systematic Reviews and Meta-Analyses) framework, which </w:t>
      </w:r>
      <w:r w:rsidR="00133C06" w:rsidRPr="0086482B">
        <w:rPr>
          <w:rFonts w:ascii="Myriad Pro" w:hAnsi="Myriad Pro" w:cs="Arial"/>
          <w:sz w:val="24"/>
          <w:szCs w:val="24"/>
        </w:rPr>
        <w:t>provided a structured process for identifying, screening, and selecting relevant studies. This framework ensured transparency, reproducibility, and rigor in the research process. The bibliometric approach allowed the researcher to analyze the relationships of among keywords, authors, and publications, thereby supporting the objective of mapping future-ready TLE research trends.</w:t>
      </w:r>
    </w:p>
    <w:p w14:paraId="1FFF0747" w14:textId="77777777" w:rsidR="009A0E0E" w:rsidRPr="0086482B" w:rsidRDefault="009A0E0E" w:rsidP="0086482B">
      <w:pPr>
        <w:pStyle w:val="NoSpacing"/>
        <w:jc w:val="both"/>
        <w:rPr>
          <w:rFonts w:ascii="Myriad Pro" w:hAnsi="Myriad Pro" w:cs="Arial"/>
          <w:i/>
          <w:iCs/>
          <w:sz w:val="24"/>
          <w:szCs w:val="24"/>
        </w:rPr>
      </w:pPr>
      <w:r w:rsidRPr="0086482B">
        <w:rPr>
          <w:rFonts w:ascii="Myriad Pro" w:hAnsi="Myriad Pro" w:cs="Arial"/>
          <w:i/>
          <w:iCs/>
          <w:sz w:val="24"/>
          <w:szCs w:val="24"/>
        </w:rPr>
        <w:t>Population</w:t>
      </w:r>
    </w:p>
    <w:p w14:paraId="30E22A03" w14:textId="0523C78A" w:rsidR="00B43015" w:rsidRPr="0086482B" w:rsidRDefault="00133C06" w:rsidP="0086482B">
      <w:pPr>
        <w:pStyle w:val="NoSpacing"/>
        <w:ind w:firstLine="360"/>
        <w:jc w:val="both"/>
        <w:rPr>
          <w:rFonts w:ascii="Myriad Pro" w:hAnsi="Myriad Pro" w:cs="Times New Roman"/>
          <w:sz w:val="24"/>
          <w:szCs w:val="24"/>
        </w:rPr>
      </w:pPr>
      <w:r w:rsidRPr="0086482B">
        <w:rPr>
          <w:rFonts w:ascii="Myriad Pro" w:hAnsi="Myriad Pro" w:cs="Times New Roman"/>
          <w:sz w:val="24"/>
          <w:szCs w:val="24"/>
        </w:rPr>
        <w:t>The study consisted of published records related to Technology and Livelihood Education (TLE), digital literacy, ICT integration, and teacher deployment in secondary education. A total of 11, 796 records were initially retrieved from five major databases: Scopus, Crossref, Semantic Scholar, Google Scholar and Pubmed.</w:t>
      </w:r>
    </w:p>
    <w:p w14:paraId="48AABCCB" w14:textId="4A6BAB42" w:rsidR="00133C06" w:rsidRPr="0086482B" w:rsidRDefault="00133C06" w:rsidP="0086482B">
      <w:pPr>
        <w:pStyle w:val="NoSpacing"/>
        <w:ind w:firstLine="360"/>
        <w:jc w:val="both"/>
        <w:rPr>
          <w:rFonts w:ascii="Myriad Pro" w:hAnsi="Myriad Pro" w:cs="Times New Roman"/>
          <w:sz w:val="24"/>
          <w:szCs w:val="24"/>
        </w:rPr>
      </w:pPr>
      <w:r w:rsidRPr="0086482B">
        <w:rPr>
          <w:rFonts w:ascii="Myriad Pro" w:hAnsi="Myriad Pro" w:cs="Times New Roman"/>
          <w:sz w:val="24"/>
          <w:szCs w:val="24"/>
        </w:rPr>
        <w:t>Through a systematic screening and deduplication process,</w:t>
      </w:r>
      <w:r w:rsidR="006434A9" w:rsidRPr="0086482B">
        <w:rPr>
          <w:rFonts w:ascii="Myriad Pro" w:hAnsi="Myriad Pro" w:cs="Times New Roman"/>
          <w:sz w:val="24"/>
          <w:szCs w:val="24"/>
        </w:rPr>
        <w:t xml:space="preserve"> </w:t>
      </w:r>
      <w:r w:rsidRPr="0086482B">
        <w:rPr>
          <w:rFonts w:ascii="Myriad Pro" w:hAnsi="Myriad Pro" w:cs="Times New Roman"/>
          <w:sz w:val="24"/>
          <w:szCs w:val="24"/>
        </w:rPr>
        <w:t>8,796 duplicate records were removed, resulting in 3,000 unique records for initial screening. After applying the inclusion and exclusion criteria, 2,960 records were retained for the final bibliometric analysis.</w:t>
      </w:r>
    </w:p>
    <w:p w14:paraId="1F95E06A" w14:textId="0CEAD2F1" w:rsidR="006434A9" w:rsidRPr="0086482B" w:rsidRDefault="006434A9" w:rsidP="0086482B">
      <w:pPr>
        <w:pStyle w:val="NoSpacing"/>
        <w:ind w:firstLine="360"/>
        <w:jc w:val="both"/>
        <w:rPr>
          <w:rFonts w:ascii="Myriad Pro" w:hAnsi="Myriad Pro" w:cs="Times New Roman"/>
          <w:sz w:val="24"/>
          <w:szCs w:val="24"/>
        </w:rPr>
      </w:pPr>
      <w:r w:rsidRPr="0086482B">
        <w:rPr>
          <w:rFonts w:ascii="Myriad Pro" w:hAnsi="Myriad Pro" w:cs="Times New Roman"/>
          <w:sz w:val="24"/>
          <w:szCs w:val="24"/>
        </w:rPr>
        <w:t>A purposive sampling technique was employed, wherein only studies that met the predefined criteria such relevance to the research variables, availability of complete bibliographic metadata, and alignment with the secondary context were included. This ensure that the studies selected were appropriate and relevant to the objectives of the research.</w:t>
      </w:r>
    </w:p>
    <w:p w14:paraId="7FC147BA" w14:textId="77777777" w:rsidR="009A0E0E" w:rsidRPr="0086482B" w:rsidRDefault="009A0E0E" w:rsidP="0086482B">
      <w:pPr>
        <w:pStyle w:val="NoSpacing"/>
        <w:jc w:val="both"/>
        <w:rPr>
          <w:rFonts w:ascii="Myriad Pro" w:hAnsi="Myriad Pro" w:cs="Times New Roman"/>
          <w:i/>
          <w:iCs/>
          <w:sz w:val="24"/>
          <w:szCs w:val="24"/>
        </w:rPr>
      </w:pPr>
      <w:r w:rsidRPr="0086482B">
        <w:rPr>
          <w:rFonts w:ascii="Myriad Pro" w:hAnsi="Myriad Pro" w:cs="Times New Roman"/>
          <w:i/>
          <w:iCs/>
          <w:sz w:val="24"/>
          <w:szCs w:val="24"/>
        </w:rPr>
        <w:t>Instrument</w:t>
      </w:r>
    </w:p>
    <w:p w14:paraId="5FC895F7" w14:textId="7553C25C" w:rsidR="00B43015" w:rsidRPr="0086482B" w:rsidRDefault="006434A9" w:rsidP="0086482B">
      <w:pPr>
        <w:pStyle w:val="NoSpacing"/>
        <w:ind w:firstLine="720"/>
        <w:jc w:val="both"/>
        <w:rPr>
          <w:rFonts w:ascii="Myriad Pro" w:hAnsi="Myriad Pro" w:cs="Arial"/>
          <w:sz w:val="24"/>
          <w:szCs w:val="24"/>
        </w:rPr>
      </w:pPr>
      <w:r w:rsidRPr="0086482B">
        <w:rPr>
          <w:rFonts w:ascii="Myriad Pro" w:hAnsi="Myriad Pro" w:cs="Arial"/>
          <w:sz w:val="24"/>
          <w:szCs w:val="24"/>
        </w:rPr>
        <w:t>The study utilized bibliometric data extraction and analysis tools as research instruments. Data were primarily extracted using the Publish or Perish, which facilitated the retrieval of scholarly records from multiple databases.</w:t>
      </w:r>
    </w:p>
    <w:p w14:paraId="12F969E5" w14:textId="77777777" w:rsidR="006434A9" w:rsidRPr="0086482B" w:rsidRDefault="006434A9" w:rsidP="0086482B">
      <w:pPr>
        <w:pStyle w:val="NoSpacing"/>
        <w:jc w:val="both"/>
        <w:rPr>
          <w:rFonts w:ascii="Myriad Pro" w:hAnsi="Myriad Pro" w:cs="Arial"/>
          <w:sz w:val="24"/>
          <w:szCs w:val="24"/>
        </w:rPr>
      </w:pPr>
    </w:p>
    <w:p w14:paraId="58D46CA2" w14:textId="77777777" w:rsidR="006434A9" w:rsidRPr="0086482B" w:rsidRDefault="006434A9" w:rsidP="0086482B">
      <w:pPr>
        <w:pStyle w:val="NoSpacing"/>
        <w:jc w:val="both"/>
        <w:rPr>
          <w:rFonts w:ascii="Myriad Pro" w:hAnsi="Myriad Pro" w:cs="Arial"/>
          <w:sz w:val="24"/>
          <w:szCs w:val="24"/>
        </w:rPr>
      </w:pPr>
    </w:p>
    <w:p w14:paraId="1BCAB32A" w14:textId="68585B7D" w:rsidR="006434A9" w:rsidRPr="0086482B" w:rsidRDefault="006434A9" w:rsidP="0086482B">
      <w:pPr>
        <w:pStyle w:val="NoSpacing"/>
        <w:jc w:val="both"/>
        <w:rPr>
          <w:rFonts w:ascii="Myriad Pro" w:hAnsi="Myriad Pro" w:cs="Arial"/>
          <w:sz w:val="24"/>
          <w:szCs w:val="24"/>
        </w:rPr>
      </w:pPr>
      <w:r w:rsidRPr="0086482B">
        <w:rPr>
          <w:rFonts w:ascii="Myriad Pro" w:hAnsi="Myriad Pro" w:cs="Arial"/>
          <w:sz w:val="24"/>
          <w:szCs w:val="24"/>
        </w:rPr>
        <w:lastRenderedPageBreak/>
        <w:t>The collected data were processed and analyzed using the following tools:</w:t>
      </w:r>
    </w:p>
    <w:p w14:paraId="20BAC60B" w14:textId="43CFEA96" w:rsidR="006434A9" w:rsidRPr="0086482B" w:rsidRDefault="006434A9" w:rsidP="0086482B">
      <w:pPr>
        <w:pStyle w:val="NoSpacing"/>
        <w:numPr>
          <w:ilvl w:val="0"/>
          <w:numId w:val="5"/>
        </w:numPr>
        <w:jc w:val="both"/>
        <w:rPr>
          <w:rFonts w:ascii="Myriad Pro" w:hAnsi="Myriad Pro" w:cs="Arial"/>
          <w:sz w:val="24"/>
          <w:szCs w:val="24"/>
        </w:rPr>
      </w:pPr>
      <w:r w:rsidRPr="0086482B">
        <w:rPr>
          <w:rFonts w:ascii="Myriad Pro" w:hAnsi="Myriad Pro" w:cs="Arial"/>
          <w:sz w:val="24"/>
          <w:szCs w:val="24"/>
        </w:rPr>
        <w:t>VOSviewer(version1.6.x)-used  for bibliometric mapping, including keyword co-occurrence analysis, clustering, and visualization of thematic networks.</w:t>
      </w:r>
    </w:p>
    <w:p w14:paraId="1A674EFE" w14:textId="5AD9DF24" w:rsidR="006434A9" w:rsidRPr="0086482B" w:rsidRDefault="00851F5D" w:rsidP="0086482B">
      <w:pPr>
        <w:pStyle w:val="NoSpacing"/>
        <w:numPr>
          <w:ilvl w:val="0"/>
          <w:numId w:val="5"/>
        </w:numPr>
        <w:jc w:val="both"/>
        <w:rPr>
          <w:rFonts w:ascii="Myriad Pro" w:hAnsi="Myriad Pro" w:cs="Arial"/>
          <w:sz w:val="24"/>
          <w:szCs w:val="24"/>
        </w:rPr>
      </w:pPr>
      <w:r w:rsidRPr="0086482B">
        <w:rPr>
          <w:rFonts w:ascii="Myriad Pro" w:hAnsi="Myriad Pro" w:cs="Arial"/>
          <w:sz w:val="24"/>
          <w:szCs w:val="24"/>
        </w:rPr>
        <w:t>Microsoft Excel – used for data organization, cleaning, filtering, and manual deduplication based on title, author, year, and DOI.</w:t>
      </w:r>
    </w:p>
    <w:p w14:paraId="73524044" w14:textId="4E4CA64C" w:rsidR="00851F5D" w:rsidRPr="0086482B" w:rsidRDefault="00851F5D" w:rsidP="0086482B">
      <w:pPr>
        <w:pStyle w:val="NoSpacing"/>
        <w:jc w:val="both"/>
        <w:rPr>
          <w:rFonts w:ascii="Myriad Pro" w:hAnsi="Myriad Pro" w:cs="Arial"/>
          <w:sz w:val="24"/>
          <w:szCs w:val="24"/>
        </w:rPr>
      </w:pPr>
      <w:r w:rsidRPr="0086482B">
        <w:rPr>
          <w:rFonts w:ascii="Myriad Pro" w:hAnsi="Myriad Pro" w:cs="Arial"/>
          <w:sz w:val="24"/>
          <w:szCs w:val="24"/>
        </w:rPr>
        <w:t>This instruments enabled the researcher to systematically organize large datasets and generate meaningful visual and statistical outputs. The validity and reliability  of the instruments were supported by their widespread use in bibliometric studies and by the adherence to established methodological guidelines</w:t>
      </w:r>
      <w:r w:rsidRPr="0086482B">
        <w:rPr>
          <w:rFonts w:ascii="Myriad Pro" w:hAnsi="Myriad Pro"/>
          <w:sz w:val="24"/>
          <w:szCs w:val="24"/>
        </w:rPr>
        <w:t xml:space="preserve"> (</w:t>
      </w:r>
      <w:r w:rsidRPr="0086482B">
        <w:rPr>
          <w:rFonts w:ascii="Myriad Pro" w:hAnsi="Myriad Pro" w:cs="Arial"/>
          <w:sz w:val="24"/>
          <w:szCs w:val="24"/>
        </w:rPr>
        <w:t>Donthu et al., 2021; Zupic &amp; Čater, 2015).</w:t>
      </w:r>
    </w:p>
    <w:p w14:paraId="2B3D6496" w14:textId="77777777" w:rsidR="006434A9" w:rsidRPr="0086482B" w:rsidRDefault="006434A9" w:rsidP="0086482B">
      <w:pPr>
        <w:pStyle w:val="NoSpacing"/>
        <w:jc w:val="both"/>
        <w:rPr>
          <w:rFonts w:ascii="Myriad Pro" w:hAnsi="Myriad Pro" w:cs="Arial"/>
          <w:sz w:val="24"/>
          <w:szCs w:val="24"/>
        </w:rPr>
      </w:pPr>
    </w:p>
    <w:p w14:paraId="2404AB86" w14:textId="77777777" w:rsidR="009A0E0E" w:rsidRPr="0086482B" w:rsidRDefault="009A0E0E" w:rsidP="0086482B">
      <w:pPr>
        <w:pStyle w:val="NoSpacing"/>
        <w:jc w:val="both"/>
        <w:rPr>
          <w:rFonts w:ascii="Myriad Pro" w:hAnsi="Myriad Pro" w:cs="Arial"/>
          <w:i/>
          <w:iCs/>
          <w:sz w:val="24"/>
          <w:szCs w:val="24"/>
        </w:rPr>
      </w:pPr>
      <w:r w:rsidRPr="0086482B">
        <w:rPr>
          <w:rFonts w:ascii="Myriad Pro" w:hAnsi="Myriad Pro" w:cs="Arial"/>
          <w:i/>
          <w:iCs/>
          <w:sz w:val="24"/>
          <w:szCs w:val="24"/>
        </w:rPr>
        <w:t>Data Collection</w:t>
      </w:r>
    </w:p>
    <w:p w14:paraId="447ECDFB" w14:textId="77777777" w:rsidR="00851F5D" w:rsidRPr="0086482B" w:rsidRDefault="00851F5D" w:rsidP="0086482B">
      <w:pPr>
        <w:pStyle w:val="NoSpacing"/>
        <w:ind w:firstLine="360"/>
        <w:jc w:val="both"/>
        <w:rPr>
          <w:rFonts w:ascii="Myriad Pro" w:hAnsi="Myriad Pro" w:cs="Arial"/>
          <w:sz w:val="24"/>
          <w:szCs w:val="24"/>
        </w:rPr>
      </w:pPr>
      <w:r w:rsidRPr="0086482B">
        <w:rPr>
          <w:rFonts w:ascii="Myriad Pro" w:hAnsi="Myriad Pro" w:cs="Arial"/>
          <w:sz w:val="24"/>
          <w:szCs w:val="24"/>
        </w:rPr>
        <w:t>Data collection followed a systematic and structured procedure. The process began with the formulation of keyword-based search strings using Boolean operators to capture relevant studies. The keywords included “Technology and Livelihood Education (TLE),” “digital literacy,” “ICT integration,” “teacher specialization,” and “teacher deployment,” among others.</w:t>
      </w:r>
    </w:p>
    <w:p w14:paraId="4FB0EB4D" w14:textId="77777777" w:rsidR="00851F5D" w:rsidRPr="0086482B" w:rsidRDefault="00851F5D" w:rsidP="0086482B">
      <w:pPr>
        <w:pStyle w:val="NoSpacing"/>
        <w:ind w:firstLine="360"/>
        <w:jc w:val="both"/>
        <w:rPr>
          <w:rFonts w:ascii="Myriad Pro" w:hAnsi="Myriad Pro" w:cs="Arial"/>
          <w:sz w:val="24"/>
          <w:szCs w:val="24"/>
        </w:rPr>
      </w:pPr>
    </w:p>
    <w:p w14:paraId="513FD000" w14:textId="77777777" w:rsidR="00851F5D" w:rsidRPr="0086482B" w:rsidRDefault="00851F5D" w:rsidP="0086482B">
      <w:pPr>
        <w:pStyle w:val="NoSpacing"/>
        <w:ind w:firstLine="360"/>
        <w:jc w:val="both"/>
        <w:rPr>
          <w:rFonts w:ascii="Myriad Pro" w:hAnsi="Myriad Pro" w:cs="Arial"/>
          <w:sz w:val="24"/>
          <w:szCs w:val="24"/>
        </w:rPr>
      </w:pPr>
      <w:r w:rsidRPr="0086482B">
        <w:rPr>
          <w:rFonts w:ascii="Myriad Pro" w:hAnsi="Myriad Pro" w:cs="Arial"/>
          <w:sz w:val="24"/>
          <w:szCs w:val="24"/>
        </w:rPr>
        <w:t>The search was conducted across five databases: Scopus, CrossRef, Semantic Scholar, Google Scholar, and PubMed. All retrieved records were exported in .RIS format and compiled into spreadsheets for processing.</w:t>
      </w:r>
    </w:p>
    <w:p w14:paraId="181B607A" w14:textId="77777777" w:rsidR="00851F5D" w:rsidRPr="0086482B" w:rsidRDefault="00851F5D" w:rsidP="0086482B">
      <w:pPr>
        <w:pStyle w:val="NoSpacing"/>
        <w:ind w:firstLine="360"/>
        <w:jc w:val="both"/>
        <w:rPr>
          <w:rFonts w:ascii="Myriad Pro" w:hAnsi="Myriad Pro" w:cs="Arial"/>
          <w:sz w:val="24"/>
          <w:szCs w:val="24"/>
        </w:rPr>
      </w:pPr>
    </w:p>
    <w:p w14:paraId="6D50DEF1" w14:textId="77777777" w:rsidR="00851F5D" w:rsidRPr="0086482B" w:rsidRDefault="00851F5D" w:rsidP="0086482B">
      <w:pPr>
        <w:pStyle w:val="NoSpacing"/>
        <w:ind w:firstLine="360"/>
        <w:jc w:val="both"/>
        <w:rPr>
          <w:rFonts w:ascii="Myriad Pro" w:hAnsi="Myriad Pro" w:cs="Arial"/>
          <w:sz w:val="24"/>
          <w:szCs w:val="24"/>
        </w:rPr>
      </w:pPr>
      <w:r w:rsidRPr="0086482B">
        <w:rPr>
          <w:rFonts w:ascii="Myriad Pro" w:hAnsi="Myriad Pro" w:cs="Arial"/>
          <w:sz w:val="24"/>
          <w:szCs w:val="24"/>
        </w:rPr>
        <w:t>The following steps were undertaken:</w:t>
      </w:r>
    </w:p>
    <w:p w14:paraId="5285AD59" w14:textId="77777777" w:rsidR="00851F5D" w:rsidRPr="0086482B" w:rsidRDefault="00851F5D" w:rsidP="0086482B">
      <w:pPr>
        <w:pStyle w:val="NoSpacing"/>
        <w:ind w:firstLine="360"/>
        <w:jc w:val="both"/>
        <w:rPr>
          <w:rFonts w:ascii="Myriad Pro" w:hAnsi="Myriad Pro" w:cs="Arial"/>
          <w:sz w:val="24"/>
          <w:szCs w:val="24"/>
        </w:rPr>
      </w:pPr>
    </w:p>
    <w:p w14:paraId="6D581B73" w14:textId="77777777" w:rsidR="00851F5D" w:rsidRPr="0086482B" w:rsidRDefault="00851F5D" w:rsidP="0086482B">
      <w:pPr>
        <w:pStyle w:val="NoSpacing"/>
        <w:numPr>
          <w:ilvl w:val="0"/>
          <w:numId w:val="6"/>
        </w:numPr>
        <w:jc w:val="both"/>
        <w:rPr>
          <w:rFonts w:ascii="Myriad Pro" w:hAnsi="Myriad Pro" w:cs="Arial"/>
          <w:sz w:val="24"/>
          <w:szCs w:val="24"/>
        </w:rPr>
      </w:pPr>
      <w:r w:rsidRPr="0086482B">
        <w:rPr>
          <w:rFonts w:ascii="Myriad Pro" w:hAnsi="Myriad Pro" w:cs="Arial"/>
          <w:sz w:val="24"/>
          <w:szCs w:val="24"/>
        </w:rPr>
        <w:t>Data Extraction – Retrieval of records from selected databases using Publish or Perish.</w:t>
      </w:r>
    </w:p>
    <w:p w14:paraId="68220F19" w14:textId="77777777" w:rsidR="00851F5D" w:rsidRPr="0086482B" w:rsidRDefault="00851F5D" w:rsidP="0086482B">
      <w:pPr>
        <w:pStyle w:val="NoSpacing"/>
        <w:ind w:firstLine="360"/>
        <w:jc w:val="both"/>
        <w:rPr>
          <w:rFonts w:ascii="Myriad Pro" w:hAnsi="Myriad Pro" w:cs="Arial"/>
          <w:sz w:val="24"/>
          <w:szCs w:val="24"/>
        </w:rPr>
      </w:pPr>
    </w:p>
    <w:p w14:paraId="7DAA29E4" w14:textId="77777777" w:rsidR="00851F5D" w:rsidRPr="0086482B" w:rsidRDefault="00851F5D" w:rsidP="0086482B">
      <w:pPr>
        <w:pStyle w:val="NoSpacing"/>
        <w:numPr>
          <w:ilvl w:val="0"/>
          <w:numId w:val="6"/>
        </w:numPr>
        <w:jc w:val="both"/>
        <w:rPr>
          <w:rFonts w:ascii="Myriad Pro" w:hAnsi="Myriad Pro" w:cs="Arial"/>
          <w:sz w:val="24"/>
          <w:szCs w:val="24"/>
        </w:rPr>
      </w:pPr>
      <w:r w:rsidRPr="0086482B">
        <w:rPr>
          <w:rFonts w:ascii="Myriad Pro" w:hAnsi="Myriad Pro" w:cs="Arial"/>
          <w:sz w:val="24"/>
          <w:szCs w:val="24"/>
        </w:rPr>
        <w:t>Data Exportation – Conversion of records into spreadsheet format for organization.</w:t>
      </w:r>
    </w:p>
    <w:p w14:paraId="0415FAAE" w14:textId="77777777" w:rsidR="00851F5D" w:rsidRPr="0086482B" w:rsidRDefault="00851F5D" w:rsidP="0086482B">
      <w:pPr>
        <w:pStyle w:val="NoSpacing"/>
        <w:ind w:firstLine="360"/>
        <w:jc w:val="both"/>
        <w:rPr>
          <w:rFonts w:ascii="Myriad Pro" w:hAnsi="Myriad Pro" w:cs="Arial"/>
          <w:sz w:val="24"/>
          <w:szCs w:val="24"/>
        </w:rPr>
      </w:pPr>
    </w:p>
    <w:p w14:paraId="5A3E9996" w14:textId="77777777" w:rsidR="00851F5D" w:rsidRPr="0086482B" w:rsidRDefault="00851F5D" w:rsidP="0086482B">
      <w:pPr>
        <w:pStyle w:val="NoSpacing"/>
        <w:numPr>
          <w:ilvl w:val="0"/>
          <w:numId w:val="6"/>
        </w:numPr>
        <w:jc w:val="both"/>
        <w:rPr>
          <w:rFonts w:ascii="Myriad Pro" w:hAnsi="Myriad Pro" w:cs="Arial"/>
          <w:sz w:val="24"/>
          <w:szCs w:val="24"/>
        </w:rPr>
      </w:pPr>
      <w:r w:rsidRPr="0086482B">
        <w:rPr>
          <w:rFonts w:ascii="Myriad Pro" w:hAnsi="Myriad Pro" w:cs="Arial"/>
          <w:sz w:val="24"/>
          <w:szCs w:val="24"/>
        </w:rPr>
        <w:t>Deduplication – Manual removal of duplicate entries based on title, author, year, and DOI.</w:t>
      </w:r>
    </w:p>
    <w:p w14:paraId="2E96E80F" w14:textId="77777777" w:rsidR="00851F5D" w:rsidRPr="0086482B" w:rsidRDefault="00851F5D" w:rsidP="0086482B">
      <w:pPr>
        <w:pStyle w:val="NoSpacing"/>
        <w:ind w:firstLine="360"/>
        <w:jc w:val="both"/>
        <w:rPr>
          <w:rFonts w:ascii="Myriad Pro" w:hAnsi="Myriad Pro" w:cs="Arial"/>
          <w:sz w:val="24"/>
          <w:szCs w:val="24"/>
        </w:rPr>
      </w:pPr>
    </w:p>
    <w:p w14:paraId="6E5155BF" w14:textId="77777777" w:rsidR="00851F5D" w:rsidRPr="0086482B" w:rsidRDefault="00851F5D" w:rsidP="0086482B">
      <w:pPr>
        <w:pStyle w:val="NoSpacing"/>
        <w:numPr>
          <w:ilvl w:val="0"/>
          <w:numId w:val="6"/>
        </w:numPr>
        <w:jc w:val="both"/>
        <w:rPr>
          <w:rFonts w:ascii="Myriad Pro" w:hAnsi="Myriad Pro" w:cs="Arial"/>
          <w:sz w:val="24"/>
          <w:szCs w:val="24"/>
        </w:rPr>
      </w:pPr>
      <w:r w:rsidRPr="0086482B">
        <w:rPr>
          <w:rFonts w:ascii="Myriad Pro" w:hAnsi="Myriad Pro" w:cs="Arial"/>
          <w:sz w:val="24"/>
          <w:szCs w:val="24"/>
        </w:rPr>
        <w:t>Screening – Evaluation of records based on inclusion and exclusion criteria, focusing on relevance and completeness of metadata.</w:t>
      </w:r>
    </w:p>
    <w:p w14:paraId="41537979" w14:textId="77777777" w:rsidR="00851F5D" w:rsidRPr="0086482B" w:rsidRDefault="00851F5D" w:rsidP="0086482B">
      <w:pPr>
        <w:pStyle w:val="NoSpacing"/>
        <w:ind w:firstLine="360"/>
        <w:jc w:val="both"/>
        <w:rPr>
          <w:rFonts w:ascii="Myriad Pro" w:hAnsi="Myriad Pro" w:cs="Arial"/>
          <w:sz w:val="24"/>
          <w:szCs w:val="24"/>
        </w:rPr>
      </w:pPr>
    </w:p>
    <w:p w14:paraId="3A67DED0" w14:textId="77777777" w:rsidR="00851F5D" w:rsidRPr="0086482B" w:rsidRDefault="00851F5D" w:rsidP="0086482B">
      <w:pPr>
        <w:pStyle w:val="NoSpacing"/>
        <w:numPr>
          <w:ilvl w:val="0"/>
          <w:numId w:val="6"/>
        </w:numPr>
        <w:jc w:val="both"/>
        <w:rPr>
          <w:rFonts w:ascii="Myriad Pro" w:hAnsi="Myriad Pro" w:cs="Arial"/>
          <w:sz w:val="24"/>
          <w:szCs w:val="24"/>
        </w:rPr>
      </w:pPr>
      <w:r w:rsidRPr="0086482B">
        <w:rPr>
          <w:rFonts w:ascii="Myriad Pro" w:hAnsi="Myriad Pro" w:cs="Arial"/>
          <w:sz w:val="24"/>
          <w:szCs w:val="24"/>
        </w:rPr>
        <w:t>Eligibility Checking – Exclusion of records with incomplete metadata, non-relevant topics, or insufficient bibliometric information.</w:t>
      </w:r>
    </w:p>
    <w:p w14:paraId="3DDBB2D2" w14:textId="77777777" w:rsidR="00851F5D" w:rsidRPr="0086482B" w:rsidRDefault="00851F5D" w:rsidP="0086482B">
      <w:pPr>
        <w:pStyle w:val="NoSpacing"/>
        <w:ind w:firstLine="360"/>
        <w:jc w:val="both"/>
        <w:rPr>
          <w:rFonts w:ascii="Myriad Pro" w:hAnsi="Myriad Pro" w:cs="Arial"/>
          <w:sz w:val="24"/>
          <w:szCs w:val="24"/>
        </w:rPr>
      </w:pPr>
    </w:p>
    <w:p w14:paraId="3067F34A" w14:textId="77777777" w:rsidR="00851F5D" w:rsidRPr="0086482B" w:rsidRDefault="00851F5D" w:rsidP="0086482B">
      <w:pPr>
        <w:pStyle w:val="NoSpacing"/>
        <w:numPr>
          <w:ilvl w:val="0"/>
          <w:numId w:val="6"/>
        </w:numPr>
        <w:jc w:val="both"/>
        <w:rPr>
          <w:rFonts w:ascii="Myriad Pro" w:hAnsi="Myriad Pro" w:cs="Arial"/>
          <w:sz w:val="24"/>
          <w:szCs w:val="24"/>
        </w:rPr>
      </w:pPr>
      <w:r w:rsidRPr="0086482B">
        <w:rPr>
          <w:rFonts w:ascii="Myriad Pro" w:hAnsi="Myriad Pro" w:cs="Arial"/>
          <w:sz w:val="24"/>
          <w:szCs w:val="24"/>
        </w:rPr>
        <w:t>Final Inclusion – Selection of 2,960 records for analysis.</w:t>
      </w:r>
    </w:p>
    <w:p w14:paraId="1EED1EEC" w14:textId="77777777" w:rsidR="00851F5D" w:rsidRPr="0086482B" w:rsidRDefault="00851F5D" w:rsidP="0086482B">
      <w:pPr>
        <w:pStyle w:val="NoSpacing"/>
        <w:ind w:firstLine="360"/>
        <w:jc w:val="both"/>
        <w:rPr>
          <w:rFonts w:ascii="Myriad Pro" w:hAnsi="Myriad Pro" w:cs="Arial"/>
          <w:sz w:val="24"/>
          <w:szCs w:val="24"/>
        </w:rPr>
      </w:pPr>
    </w:p>
    <w:p w14:paraId="01A120AF" w14:textId="09C810B0" w:rsidR="009C7D3A" w:rsidRPr="0086482B" w:rsidRDefault="00851F5D" w:rsidP="0086482B">
      <w:pPr>
        <w:pStyle w:val="NoSpacing"/>
        <w:ind w:firstLine="360"/>
        <w:jc w:val="both"/>
        <w:rPr>
          <w:rFonts w:ascii="Myriad Pro" w:hAnsi="Myriad Pro" w:cs="Arial"/>
          <w:sz w:val="24"/>
          <w:szCs w:val="24"/>
        </w:rPr>
      </w:pPr>
      <w:r w:rsidRPr="0086482B">
        <w:rPr>
          <w:rFonts w:ascii="Myriad Pro" w:hAnsi="Myriad Pro" w:cs="Arial"/>
          <w:sz w:val="24"/>
          <w:szCs w:val="24"/>
        </w:rPr>
        <w:t>The entire process adhered to the PRISMA 2020 guidelines, ensuring transparency and systematic documentation. Since the study utilized secondary data from published sources, no direct human participation was involved, and ethical standards for research were maintained.</w:t>
      </w:r>
    </w:p>
    <w:p w14:paraId="20A39ED4" w14:textId="77777777" w:rsidR="009A0E0E" w:rsidRPr="0086482B" w:rsidRDefault="009A0E0E" w:rsidP="0086482B">
      <w:pPr>
        <w:pStyle w:val="NoSpacing"/>
        <w:jc w:val="both"/>
        <w:rPr>
          <w:rFonts w:ascii="Myriad Pro" w:hAnsi="Myriad Pro" w:cs="Arial"/>
          <w:i/>
          <w:iCs/>
          <w:sz w:val="24"/>
          <w:szCs w:val="24"/>
        </w:rPr>
      </w:pPr>
      <w:r w:rsidRPr="0086482B">
        <w:rPr>
          <w:rFonts w:ascii="Myriad Pro" w:hAnsi="Myriad Pro" w:cs="Arial"/>
          <w:i/>
          <w:iCs/>
          <w:sz w:val="24"/>
          <w:szCs w:val="24"/>
        </w:rPr>
        <w:t>Data Analysis</w:t>
      </w:r>
    </w:p>
    <w:p w14:paraId="3199249A" w14:textId="6F9F76E0" w:rsidR="00851F5D" w:rsidRPr="0086482B" w:rsidRDefault="00851F5D" w:rsidP="0086482B">
      <w:p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The collected data were analyzed using bibliometric and statistical techniques to identify research trends, thematic clusters, and scholarly impact.</w:t>
      </w:r>
    </w:p>
    <w:p w14:paraId="53A065C3" w14:textId="77777777" w:rsidR="00851F5D" w:rsidRPr="00851F5D" w:rsidRDefault="00851F5D" w:rsidP="0086482B">
      <w:pPr>
        <w:spacing w:before="100" w:beforeAutospacing="1" w:after="100" w:afterAutospacing="1" w:line="240" w:lineRule="auto"/>
        <w:jc w:val="both"/>
        <w:rPr>
          <w:rFonts w:ascii="Myriad Pro" w:eastAsia="Times New Roman" w:hAnsi="Myriad Pro" w:cs="Times New Roman"/>
          <w:sz w:val="24"/>
          <w:szCs w:val="24"/>
          <w:lang w:eastAsia="en-PH"/>
        </w:rPr>
      </w:pPr>
    </w:p>
    <w:p w14:paraId="5B1DFA71" w14:textId="77777777" w:rsidR="00851F5D" w:rsidRPr="00851F5D" w:rsidRDefault="00851F5D" w:rsidP="0086482B">
      <w:p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The following analytical methods were employed:</w:t>
      </w:r>
    </w:p>
    <w:p w14:paraId="281D9A5E" w14:textId="77777777" w:rsidR="00851F5D" w:rsidRPr="00851F5D" w:rsidRDefault="00851F5D" w:rsidP="0086482B">
      <w:pPr>
        <w:numPr>
          <w:ilvl w:val="0"/>
          <w:numId w:val="7"/>
        </w:num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lastRenderedPageBreak/>
        <w:t>Keyword Co-occurrence Analysis – used to determine the relationships between frequently occurring keywords and to identify dominant research themes.</w:t>
      </w:r>
    </w:p>
    <w:p w14:paraId="12B7CF69" w14:textId="77777777" w:rsidR="00851F5D" w:rsidRPr="00851F5D" w:rsidRDefault="00851F5D" w:rsidP="0086482B">
      <w:pPr>
        <w:numPr>
          <w:ilvl w:val="0"/>
          <w:numId w:val="7"/>
        </w:num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Cluster Analysis – performed using VOSviewer to group related studies into thematic clusters based on keyword linkages.</w:t>
      </w:r>
    </w:p>
    <w:p w14:paraId="309C98A8" w14:textId="77777777" w:rsidR="00851F5D" w:rsidRPr="00851F5D" w:rsidRDefault="00851F5D" w:rsidP="0086482B">
      <w:pPr>
        <w:numPr>
          <w:ilvl w:val="0"/>
          <w:numId w:val="7"/>
        </w:num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Citation Analysis – included computation of:</w:t>
      </w:r>
    </w:p>
    <w:p w14:paraId="029930A3" w14:textId="77777777" w:rsidR="00851F5D" w:rsidRPr="00851F5D" w:rsidRDefault="00851F5D" w:rsidP="0086482B">
      <w:pPr>
        <w:numPr>
          <w:ilvl w:val="1"/>
          <w:numId w:val="7"/>
        </w:num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h-index – to measure research productivity and citation impact</w:t>
      </w:r>
    </w:p>
    <w:p w14:paraId="49EB9B41" w14:textId="77777777" w:rsidR="00851F5D" w:rsidRPr="00851F5D" w:rsidRDefault="00851F5D" w:rsidP="0086482B">
      <w:pPr>
        <w:numPr>
          <w:ilvl w:val="1"/>
          <w:numId w:val="7"/>
        </w:num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g-index – to assess the distribution of citations across publications</w:t>
      </w:r>
    </w:p>
    <w:p w14:paraId="6EAFF5BD" w14:textId="77777777" w:rsidR="00851F5D" w:rsidRPr="00851F5D" w:rsidRDefault="00851F5D" w:rsidP="0086482B">
      <w:pPr>
        <w:numPr>
          <w:ilvl w:val="1"/>
          <w:numId w:val="7"/>
        </w:num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AWCR (Age-Weighted Citation Rate) – to account for the recency and relevance of citations</w:t>
      </w:r>
    </w:p>
    <w:p w14:paraId="6F733E6E" w14:textId="77777777" w:rsidR="00851F5D" w:rsidRPr="00851F5D" w:rsidRDefault="00851F5D" w:rsidP="0086482B">
      <w:p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Analytical thresholds were set (e.g., minimum keyword occurrence and publication counts) to ensure meaningful visualization and interpretation. The results were presented through network, overlay, and density visualizations to illustrate the evolution and concentration of research themes.</w:t>
      </w:r>
    </w:p>
    <w:p w14:paraId="332EFC05" w14:textId="2534DBBF" w:rsidR="00851F5D" w:rsidRPr="0086482B" w:rsidRDefault="00851F5D" w:rsidP="0086482B">
      <w:p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These analytical techniques enabled the researcher to interpret patterns in the literature, identify dominant and emerging topics, and determine gaps in TLE-related research. The chosen methods were aligned with the objectives of the study and appropriate for handling large-scale bibliometric data.</w:t>
      </w:r>
    </w:p>
    <w:p w14:paraId="3E7FD674" w14:textId="47403161" w:rsidR="00851F5D" w:rsidRPr="0086482B" w:rsidRDefault="00851F5D" w:rsidP="0086482B">
      <w:pPr>
        <w:jc w:val="both"/>
        <w:rPr>
          <w:rFonts w:ascii="Myriad Pro" w:hAnsi="Myriad Pro" w:cs="Times New Roman"/>
          <w:b/>
          <w:bCs/>
          <w:sz w:val="24"/>
          <w:szCs w:val="24"/>
        </w:rPr>
      </w:pPr>
      <w:r w:rsidRPr="0086482B">
        <w:rPr>
          <w:rFonts w:ascii="Myriad Pro" w:hAnsi="Myriad Pro" w:cs="Times New Roman"/>
          <w:b/>
          <w:bCs/>
          <w:sz w:val="24"/>
          <w:szCs w:val="24"/>
        </w:rPr>
        <w:t>Table 1</w:t>
      </w:r>
    </w:p>
    <w:p w14:paraId="4953055E"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Search string used for database search</w:t>
      </w:r>
    </w:p>
    <w:p w14:paraId="1101D033" w14:textId="77777777" w:rsidR="00851F5D" w:rsidRPr="0086482B" w:rsidRDefault="00851F5D" w:rsidP="0086482B">
      <w:pPr>
        <w:jc w:val="both"/>
        <w:rPr>
          <w:rFonts w:ascii="Myriad Pro" w:hAnsi="Myriad Pro" w:cs="Times New Roman"/>
          <w:b/>
          <w:bCs/>
          <w:sz w:val="24"/>
          <w:szCs w:val="24"/>
        </w:rPr>
      </w:pPr>
      <w:r w:rsidRPr="0086482B">
        <w:rPr>
          <w:rFonts w:ascii="Myriad Pro" w:hAnsi="Myriad Pro" w:cs="Times New Roman"/>
          <w:b/>
          <w:bCs/>
          <w:sz w:val="24"/>
          <w:szCs w:val="24"/>
        </w:rPr>
        <w:t>Publish or Perish</w:t>
      </w:r>
    </w:p>
    <w:tbl>
      <w:tblPr>
        <w:tblW w:w="95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8"/>
        <w:gridCol w:w="1638"/>
        <w:gridCol w:w="4482"/>
        <w:gridCol w:w="2318"/>
      </w:tblGrid>
      <w:tr w:rsidR="00851F5D" w:rsidRPr="0086482B" w14:paraId="37C2793C" w14:textId="77777777" w:rsidTr="00C70D51">
        <w:trPr>
          <w:tblHeader/>
          <w:tblCellSpacing w:w="15" w:type="dxa"/>
        </w:trPr>
        <w:tc>
          <w:tcPr>
            <w:tcW w:w="997" w:type="dxa"/>
            <w:shd w:val="clear" w:color="auto" w:fill="FFFFFF"/>
            <w:vAlign w:val="center"/>
          </w:tcPr>
          <w:p w14:paraId="0D9D0155" w14:textId="77777777" w:rsidR="00851F5D" w:rsidRPr="0086482B" w:rsidRDefault="00851F5D" w:rsidP="0086482B">
            <w:pPr>
              <w:jc w:val="both"/>
              <w:rPr>
                <w:rFonts w:ascii="Myriad Pro" w:hAnsi="Myriad Pro" w:cs="Times New Roman"/>
                <w:b/>
                <w:bCs/>
                <w:color w:val="000000"/>
                <w:sz w:val="24"/>
                <w:szCs w:val="24"/>
              </w:rPr>
            </w:pPr>
            <w:r w:rsidRPr="0086482B">
              <w:rPr>
                <w:rStyle w:val="Strong"/>
                <w:rFonts w:ascii="Myriad Pro" w:eastAsia="SimSun" w:hAnsi="Myriad Pro" w:cs="Times New Roman"/>
                <w:sz w:val="24"/>
                <w:szCs w:val="24"/>
                <w:lang w:eastAsia="zh-CN" w:bidi="ar"/>
              </w:rPr>
              <w:t>Database</w:t>
            </w:r>
          </w:p>
        </w:tc>
        <w:tc>
          <w:tcPr>
            <w:tcW w:w="1607" w:type="dxa"/>
            <w:shd w:val="clear" w:color="auto" w:fill="FFFFFF"/>
            <w:vAlign w:val="center"/>
          </w:tcPr>
          <w:p w14:paraId="5B48D452" w14:textId="77777777" w:rsidR="00851F5D" w:rsidRPr="0086482B" w:rsidRDefault="00851F5D" w:rsidP="0086482B">
            <w:pPr>
              <w:jc w:val="both"/>
              <w:rPr>
                <w:rFonts w:ascii="Myriad Pro" w:hAnsi="Myriad Pro" w:cs="Times New Roman"/>
                <w:b/>
                <w:bCs/>
                <w:color w:val="000000"/>
                <w:sz w:val="24"/>
                <w:szCs w:val="24"/>
              </w:rPr>
            </w:pPr>
            <w:r w:rsidRPr="0086482B">
              <w:rPr>
                <w:rStyle w:val="Strong"/>
                <w:rFonts w:ascii="Myriad Pro" w:eastAsia="SimSun" w:hAnsi="Myriad Pro" w:cs="Times New Roman"/>
                <w:sz w:val="24"/>
                <w:szCs w:val="24"/>
                <w:lang w:eastAsia="zh-CN" w:bidi="ar"/>
              </w:rPr>
              <w:t>Keywords / Theme</w:t>
            </w:r>
          </w:p>
        </w:tc>
        <w:tc>
          <w:tcPr>
            <w:tcW w:w="4458" w:type="dxa"/>
            <w:shd w:val="clear" w:color="auto" w:fill="FFFFFF"/>
            <w:vAlign w:val="center"/>
          </w:tcPr>
          <w:p w14:paraId="140641B5" w14:textId="77777777" w:rsidR="00851F5D" w:rsidRPr="0086482B" w:rsidRDefault="00851F5D" w:rsidP="0086482B">
            <w:pPr>
              <w:jc w:val="both"/>
              <w:rPr>
                <w:rFonts w:ascii="Myriad Pro" w:hAnsi="Myriad Pro" w:cs="Times New Roman"/>
                <w:b/>
                <w:bCs/>
                <w:color w:val="000000"/>
                <w:sz w:val="24"/>
                <w:szCs w:val="24"/>
              </w:rPr>
            </w:pPr>
            <w:r w:rsidRPr="0086482B">
              <w:rPr>
                <w:rStyle w:val="Strong"/>
                <w:rFonts w:ascii="Myriad Pro" w:eastAsia="SimSun" w:hAnsi="Myriad Pro" w:cs="Times New Roman"/>
                <w:sz w:val="24"/>
                <w:szCs w:val="24"/>
                <w:lang w:eastAsia="zh-CN" w:bidi="ar"/>
              </w:rPr>
              <w:t>Representative Studies (from PoPCites.rtf)</w:t>
            </w:r>
          </w:p>
        </w:tc>
        <w:tc>
          <w:tcPr>
            <w:tcW w:w="2278" w:type="dxa"/>
            <w:shd w:val="clear" w:color="auto" w:fill="FFFFFF"/>
            <w:vAlign w:val="center"/>
          </w:tcPr>
          <w:p w14:paraId="4F137027" w14:textId="77777777" w:rsidR="00851F5D" w:rsidRPr="0086482B" w:rsidRDefault="00851F5D" w:rsidP="0086482B">
            <w:pPr>
              <w:jc w:val="both"/>
              <w:rPr>
                <w:rFonts w:ascii="Myriad Pro" w:hAnsi="Myriad Pro" w:cs="Times New Roman"/>
                <w:b/>
                <w:bCs/>
                <w:color w:val="000000"/>
                <w:sz w:val="24"/>
                <w:szCs w:val="24"/>
              </w:rPr>
            </w:pPr>
            <w:r w:rsidRPr="0086482B">
              <w:rPr>
                <w:rStyle w:val="Strong"/>
                <w:rFonts w:ascii="Myriad Pro" w:eastAsia="SimSun" w:hAnsi="Myriad Pro" w:cs="Times New Roman"/>
                <w:sz w:val="24"/>
                <w:szCs w:val="24"/>
                <w:lang w:eastAsia="zh-CN" w:bidi="ar"/>
              </w:rPr>
              <w:t>Justification / Relevance to Study</w:t>
            </w:r>
          </w:p>
        </w:tc>
      </w:tr>
      <w:tr w:rsidR="00851F5D" w:rsidRPr="0086482B" w14:paraId="077B2DDB" w14:textId="77777777" w:rsidTr="00C70D51">
        <w:trPr>
          <w:tblCellSpacing w:w="15" w:type="dxa"/>
        </w:trPr>
        <w:tc>
          <w:tcPr>
            <w:tcW w:w="997" w:type="dxa"/>
            <w:shd w:val="clear" w:color="auto" w:fill="FFFFFF"/>
            <w:vAlign w:val="center"/>
          </w:tcPr>
          <w:p w14:paraId="3AB1D04F"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t>Scopus</w:t>
            </w:r>
          </w:p>
        </w:tc>
        <w:tc>
          <w:tcPr>
            <w:tcW w:w="1607" w:type="dxa"/>
            <w:shd w:val="clear" w:color="auto" w:fill="FFFFFF"/>
            <w:vAlign w:val="center"/>
          </w:tcPr>
          <w:p w14:paraId="5291348D"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"teacher specialization"</w:t>
            </w:r>
            <w:r w:rsidRPr="0086482B">
              <w:rPr>
                <w:rFonts w:ascii="Myriad Pro" w:eastAsia="SimSun" w:hAnsi="Myriad Pro" w:cs="Times New Roman"/>
                <w:color w:val="000000"/>
                <w:sz w:val="24"/>
                <w:szCs w:val="24"/>
                <w:lang w:eastAsia="zh-CN" w:bidi="ar"/>
              </w:rPr>
              <w:t xml:space="preserve"> OR </w:t>
            </w:r>
            <w:r w:rsidRPr="0086482B">
              <w:rPr>
                <w:rStyle w:val="HTMLCode"/>
                <w:rFonts w:ascii="Myriad Pro" w:eastAsia="SimSun" w:hAnsi="Myriad Pro" w:cs="Times New Roman"/>
                <w:color w:val="000000"/>
                <w:sz w:val="24"/>
                <w:szCs w:val="24"/>
                <w:lang w:eastAsia="zh-CN" w:bidi="ar"/>
              </w:rPr>
              <w:t>"teacher deployment"</w:t>
            </w:r>
          </w:p>
        </w:tc>
        <w:tc>
          <w:tcPr>
            <w:tcW w:w="4458" w:type="dxa"/>
            <w:shd w:val="clear" w:color="auto" w:fill="FFFFFF"/>
            <w:vAlign w:val="center"/>
          </w:tcPr>
          <w:p w14:paraId="2799D480"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Albion, P.R. (2015).</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Teachers’ professional development for ICT integration: Towards a reciprocal relationship between research and practice.</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Education and Information Technologies, 20(4), 655–673.</w:t>
            </w:r>
            <w:r w:rsidRPr="0086482B">
              <w:rPr>
                <w:rFonts w:ascii="Myriad Pro" w:eastAsia="SimSun" w:hAnsi="Myriad Pro" w:cs="Times New Roman"/>
                <w:color w:val="000000"/>
                <w:sz w:val="24"/>
                <w:szCs w:val="24"/>
                <w:lang w:eastAsia="zh-CN" w:bidi="ar"/>
              </w:rPr>
              <w:t xml:space="preserve"> DOI: [10.1007/s10639-015-9401-9] - </w:t>
            </w:r>
            <w:r w:rsidRPr="0086482B">
              <w:rPr>
                <w:rStyle w:val="Strong"/>
                <w:rFonts w:ascii="Myriad Pro" w:eastAsia="SimSun" w:hAnsi="Myriad Pro" w:cs="Times New Roman"/>
                <w:sz w:val="24"/>
                <w:szCs w:val="24"/>
                <w:lang w:eastAsia="zh-CN" w:bidi="ar"/>
              </w:rPr>
              <w:t>Tondeur, J. (2019).</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Teacher educators as gatekeepers: Preparing the next generation of teachers for technology integration in education.</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British Journal of Educational Technology, 50(3), 1189–1209.</w:t>
            </w:r>
            <w:r w:rsidRPr="0086482B">
              <w:rPr>
                <w:rFonts w:ascii="Myriad Pro" w:eastAsia="SimSun" w:hAnsi="Myriad Pro" w:cs="Times New Roman"/>
                <w:color w:val="000000"/>
                <w:sz w:val="24"/>
                <w:szCs w:val="24"/>
                <w:lang w:eastAsia="zh-CN" w:bidi="ar"/>
              </w:rPr>
              <w:t xml:space="preserve"> DOI: [10.1111/bjet.12748]</w:t>
            </w:r>
          </w:p>
        </w:tc>
        <w:tc>
          <w:tcPr>
            <w:tcW w:w="2278" w:type="dxa"/>
            <w:shd w:val="clear" w:color="auto" w:fill="FFFFFF"/>
            <w:vAlign w:val="center"/>
          </w:tcPr>
          <w:p w14:paraId="5379ECB8"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Provides evidence on teacher specialization, ICT competence, and professional development — crucial for analyzing </w:t>
            </w:r>
            <w:r w:rsidRPr="0086482B">
              <w:rPr>
                <w:rStyle w:val="Emphasis"/>
                <w:rFonts w:ascii="Myriad Pro" w:eastAsia="SimSun" w:hAnsi="Myriad Pro" w:cs="Times New Roman"/>
                <w:color w:val="000000"/>
                <w:sz w:val="24"/>
                <w:szCs w:val="24"/>
                <w:lang w:eastAsia="zh-CN" w:bidi="ar"/>
              </w:rPr>
              <w:t>deployment gaps</w:t>
            </w:r>
            <w:r w:rsidRPr="0086482B">
              <w:rPr>
                <w:rFonts w:ascii="Myriad Pro" w:eastAsia="SimSun" w:hAnsi="Myriad Pro" w:cs="Times New Roman"/>
                <w:color w:val="000000"/>
                <w:sz w:val="24"/>
                <w:szCs w:val="24"/>
                <w:lang w:eastAsia="zh-CN" w:bidi="ar"/>
              </w:rPr>
              <w:t xml:space="preserve"> and </w:t>
            </w:r>
            <w:r w:rsidRPr="0086482B">
              <w:rPr>
                <w:rStyle w:val="Emphasis"/>
                <w:rFonts w:ascii="Myriad Pro" w:eastAsia="SimSun" w:hAnsi="Myriad Pro" w:cs="Times New Roman"/>
                <w:color w:val="000000"/>
                <w:sz w:val="24"/>
                <w:szCs w:val="24"/>
                <w:lang w:eastAsia="zh-CN" w:bidi="ar"/>
              </w:rPr>
              <w:t>teacher alignment</w:t>
            </w:r>
            <w:r w:rsidRPr="0086482B">
              <w:rPr>
                <w:rFonts w:ascii="Myriad Pro" w:eastAsia="SimSun" w:hAnsi="Myriad Pro" w:cs="Times New Roman"/>
                <w:color w:val="000000"/>
                <w:sz w:val="24"/>
                <w:szCs w:val="24"/>
                <w:lang w:eastAsia="zh-CN" w:bidi="ar"/>
              </w:rPr>
              <w:t xml:space="preserve"> in TLE and Science High Schools.</w:t>
            </w:r>
          </w:p>
        </w:tc>
      </w:tr>
      <w:tr w:rsidR="00851F5D" w:rsidRPr="0086482B" w14:paraId="55C32B8F" w14:textId="77777777" w:rsidTr="00C70D51">
        <w:trPr>
          <w:tblCellSpacing w:w="15" w:type="dxa"/>
        </w:trPr>
        <w:tc>
          <w:tcPr>
            <w:tcW w:w="997" w:type="dxa"/>
            <w:shd w:val="clear" w:color="auto" w:fill="FFFFFF"/>
            <w:vAlign w:val="center"/>
          </w:tcPr>
          <w:p w14:paraId="1B9AEA53"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t>Scopus</w:t>
            </w:r>
          </w:p>
        </w:tc>
        <w:tc>
          <w:tcPr>
            <w:tcW w:w="1607" w:type="dxa"/>
            <w:shd w:val="clear" w:color="auto" w:fill="FFFFFF"/>
            <w:vAlign w:val="center"/>
          </w:tcPr>
          <w:p w14:paraId="211C3BBC"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"ICT integration"</w:t>
            </w:r>
            <w:r w:rsidRPr="0086482B">
              <w:rPr>
                <w:rFonts w:ascii="Myriad Pro" w:eastAsia="SimSun" w:hAnsi="Myriad Pro" w:cs="Times New Roman"/>
                <w:color w:val="000000"/>
                <w:sz w:val="24"/>
                <w:szCs w:val="24"/>
                <w:lang w:eastAsia="zh-CN" w:bidi="ar"/>
              </w:rPr>
              <w:t xml:space="preserve"> AND </w:t>
            </w:r>
            <w:r w:rsidRPr="0086482B">
              <w:rPr>
                <w:rStyle w:val="HTMLCode"/>
                <w:rFonts w:ascii="Myriad Pro" w:eastAsia="SimSun" w:hAnsi="Myriad Pro" w:cs="Times New Roman"/>
                <w:color w:val="000000"/>
                <w:sz w:val="24"/>
                <w:szCs w:val="24"/>
                <w:lang w:eastAsia="zh-CN" w:bidi="ar"/>
              </w:rPr>
              <w:t>"teacher competencies"</w:t>
            </w:r>
          </w:p>
        </w:tc>
        <w:tc>
          <w:tcPr>
            <w:tcW w:w="4458" w:type="dxa"/>
            <w:shd w:val="clear" w:color="auto" w:fill="FFFFFF"/>
            <w:vAlign w:val="center"/>
          </w:tcPr>
          <w:p w14:paraId="532C5D02"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Koh, J.H.L. (2017).</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Teacher Professional Development for TPACK-21CL: Effects on Teacher ICT Integration and Student Outcomes.</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Journal of Educational Computing Research, 55(2), 172–196.</w:t>
            </w:r>
            <w:r w:rsidRPr="0086482B">
              <w:rPr>
                <w:rFonts w:ascii="Myriad Pro" w:eastAsia="SimSun" w:hAnsi="Myriad Pro" w:cs="Times New Roman"/>
                <w:color w:val="000000"/>
                <w:sz w:val="24"/>
                <w:szCs w:val="24"/>
                <w:lang w:eastAsia="zh-CN" w:bidi="ar"/>
              </w:rPr>
              <w:t xml:space="preserve"> DOI: [10.1177/0735633116656848] - </w:t>
            </w:r>
            <w:r w:rsidRPr="0086482B">
              <w:rPr>
                <w:rStyle w:val="Strong"/>
                <w:rFonts w:ascii="Myriad Pro" w:eastAsia="SimSun" w:hAnsi="Myriad Pro" w:cs="Times New Roman"/>
                <w:sz w:val="24"/>
                <w:szCs w:val="24"/>
                <w:lang w:eastAsia="zh-CN" w:bidi="ar"/>
              </w:rPr>
              <w:t xml:space="preserve">Tondeur, </w:t>
            </w:r>
            <w:r w:rsidRPr="0086482B">
              <w:rPr>
                <w:rStyle w:val="Strong"/>
                <w:rFonts w:ascii="Myriad Pro" w:eastAsia="SimSun" w:hAnsi="Myriad Pro" w:cs="Times New Roman"/>
                <w:sz w:val="24"/>
                <w:szCs w:val="24"/>
                <w:lang w:eastAsia="zh-CN" w:bidi="ar"/>
              </w:rPr>
              <w:lastRenderedPageBreak/>
              <w:t>J. (2018).</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A multilevel analysis of what matters in the training of pre-service teacher's ICT competencies.</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Computers and Education, 122, 32–42.</w:t>
            </w:r>
            <w:r w:rsidRPr="0086482B">
              <w:rPr>
                <w:rFonts w:ascii="Myriad Pro" w:eastAsia="SimSun" w:hAnsi="Myriad Pro" w:cs="Times New Roman"/>
                <w:color w:val="000000"/>
                <w:sz w:val="24"/>
                <w:szCs w:val="24"/>
                <w:lang w:eastAsia="zh-CN" w:bidi="ar"/>
              </w:rPr>
              <w:t xml:space="preserve"> DOI: [10.1016/j.compedu.2018.03.002]</w:t>
            </w:r>
          </w:p>
        </w:tc>
        <w:tc>
          <w:tcPr>
            <w:tcW w:w="2278" w:type="dxa"/>
            <w:shd w:val="clear" w:color="auto" w:fill="FFFFFF"/>
            <w:vAlign w:val="center"/>
          </w:tcPr>
          <w:p w14:paraId="67F8FB07"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lastRenderedPageBreak/>
              <w:t xml:space="preserve">Strengthens the ICT integration dimension of “Future-Ready TLE.” Both studies identify predictors of </w:t>
            </w:r>
            <w:r w:rsidRPr="0086482B">
              <w:rPr>
                <w:rFonts w:ascii="Myriad Pro" w:eastAsia="SimSun" w:hAnsi="Myriad Pro" w:cs="Times New Roman"/>
                <w:color w:val="000000"/>
                <w:sz w:val="24"/>
                <w:szCs w:val="24"/>
                <w:lang w:eastAsia="zh-CN" w:bidi="ar"/>
              </w:rPr>
              <w:lastRenderedPageBreak/>
              <w:t>successful ICT integration in teacher training, directly transferable to TLE teacher preparation.</w:t>
            </w:r>
          </w:p>
        </w:tc>
      </w:tr>
      <w:tr w:rsidR="00851F5D" w:rsidRPr="0086482B" w14:paraId="2784151D" w14:textId="77777777" w:rsidTr="00C70D51">
        <w:trPr>
          <w:tblCellSpacing w:w="15" w:type="dxa"/>
        </w:trPr>
        <w:tc>
          <w:tcPr>
            <w:tcW w:w="997" w:type="dxa"/>
            <w:shd w:val="clear" w:color="auto" w:fill="FFFFFF"/>
            <w:vAlign w:val="center"/>
          </w:tcPr>
          <w:p w14:paraId="3B6AFBFE"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lastRenderedPageBreak/>
              <w:t>CrossRef</w:t>
            </w:r>
          </w:p>
        </w:tc>
        <w:tc>
          <w:tcPr>
            <w:tcW w:w="1607" w:type="dxa"/>
            <w:shd w:val="clear" w:color="auto" w:fill="FFFFFF"/>
            <w:vAlign w:val="center"/>
          </w:tcPr>
          <w:p w14:paraId="12522075"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"digital literacy"</w:t>
            </w:r>
            <w:r w:rsidRPr="0086482B">
              <w:rPr>
                <w:rFonts w:ascii="Myriad Pro" w:eastAsia="SimSun" w:hAnsi="Myriad Pro" w:cs="Times New Roman"/>
                <w:color w:val="000000"/>
                <w:sz w:val="24"/>
                <w:szCs w:val="24"/>
                <w:lang w:eastAsia="zh-CN" w:bidi="ar"/>
              </w:rPr>
              <w:t xml:space="preserve"> OR </w:t>
            </w:r>
            <w:r w:rsidRPr="0086482B">
              <w:rPr>
                <w:rStyle w:val="HTMLCode"/>
                <w:rFonts w:ascii="Myriad Pro" w:eastAsia="SimSun" w:hAnsi="Myriad Pro" w:cs="Times New Roman"/>
                <w:color w:val="000000"/>
                <w:sz w:val="24"/>
                <w:szCs w:val="24"/>
                <w:lang w:eastAsia="zh-CN" w:bidi="ar"/>
              </w:rPr>
              <w:t>"digital competence"</w:t>
            </w:r>
          </w:p>
        </w:tc>
        <w:tc>
          <w:tcPr>
            <w:tcW w:w="4458" w:type="dxa"/>
            <w:shd w:val="clear" w:color="auto" w:fill="FFFFFF"/>
            <w:vAlign w:val="center"/>
          </w:tcPr>
          <w:p w14:paraId="73B3F288"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Neumann, M.M. (2017).</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A Conceptual Framework for Emergent Digital Literacy.</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Early Childhood Education Journal, 45(4), 471–479.</w:t>
            </w:r>
            <w:r w:rsidRPr="0086482B">
              <w:rPr>
                <w:rFonts w:ascii="Myriad Pro" w:eastAsia="SimSun" w:hAnsi="Myriad Pro" w:cs="Times New Roman"/>
                <w:color w:val="000000"/>
                <w:sz w:val="24"/>
                <w:szCs w:val="24"/>
                <w:lang w:eastAsia="zh-CN" w:bidi="ar"/>
              </w:rPr>
              <w:t xml:space="preserve"> DOI: [10.1007/s10643-016-0792-z] - </w:t>
            </w:r>
            <w:r w:rsidRPr="0086482B">
              <w:rPr>
                <w:rStyle w:val="Strong"/>
                <w:rFonts w:ascii="Myriad Pro" w:eastAsia="SimSun" w:hAnsi="Myriad Pro" w:cs="Times New Roman"/>
                <w:sz w:val="24"/>
                <w:szCs w:val="24"/>
                <w:lang w:eastAsia="zh-CN" w:bidi="ar"/>
              </w:rPr>
              <w:t>Falloon, G. (2020).</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From digital literacy to digital competence: The teacher digital competency (TDC) framework.</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Educational Technology Research and Development, 68(5), 2449–2472.</w:t>
            </w:r>
            <w:r w:rsidRPr="0086482B">
              <w:rPr>
                <w:rFonts w:ascii="Myriad Pro" w:eastAsia="SimSun" w:hAnsi="Myriad Pro" w:cs="Times New Roman"/>
                <w:color w:val="000000"/>
                <w:sz w:val="24"/>
                <w:szCs w:val="24"/>
                <w:lang w:eastAsia="zh-CN" w:bidi="ar"/>
              </w:rPr>
              <w:t xml:space="preserve"> DOI: [10.1007/s11423-020-09767-4]</w:t>
            </w:r>
          </w:p>
        </w:tc>
        <w:tc>
          <w:tcPr>
            <w:tcW w:w="2278" w:type="dxa"/>
            <w:shd w:val="clear" w:color="auto" w:fill="FFFFFF"/>
            <w:vAlign w:val="center"/>
          </w:tcPr>
          <w:p w14:paraId="596C36ED"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Establishes conceptual and measurement bases for defining </w:t>
            </w:r>
            <w:r w:rsidRPr="0086482B">
              <w:rPr>
                <w:rStyle w:val="Emphasis"/>
                <w:rFonts w:ascii="Myriad Pro" w:eastAsia="SimSun" w:hAnsi="Myriad Pro" w:cs="Times New Roman"/>
                <w:color w:val="000000"/>
                <w:sz w:val="24"/>
                <w:szCs w:val="24"/>
                <w:lang w:eastAsia="zh-CN" w:bidi="ar"/>
              </w:rPr>
              <w:t>digital literacy</w:t>
            </w:r>
            <w:r w:rsidRPr="0086482B">
              <w:rPr>
                <w:rFonts w:ascii="Myriad Pro" w:eastAsia="SimSun" w:hAnsi="Myriad Pro" w:cs="Times New Roman"/>
                <w:color w:val="000000"/>
                <w:sz w:val="24"/>
                <w:szCs w:val="24"/>
                <w:lang w:eastAsia="zh-CN" w:bidi="ar"/>
              </w:rPr>
              <w:t xml:space="preserve"> — a core construct for evaluating TLE teachers’ readiness under the Matatag curriculum and Science High School contexts.</w:t>
            </w:r>
          </w:p>
        </w:tc>
      </w:tr>
      <w:tr w:rsidR="00851F5D" w:rsidRPr="0086482B" w14:paraId="12E842D6" w14:textId="77777777" w:rsidTr="00C70D51">
        <w:trPr>
          <w:tblCellSpacing w:w="15" w:type="dxa"/>
        </w:trPr>
        <w:tc>
          <w:tcPr>
            <w:tcW w:w="997" w:type="dxa"/>
            <w:shd w:val="clear" w:color="auto" w:fill="FFFFFF"/>
            <w:vAlign w:val="center"/>
          </w:tcPr>
          <w:p w14:paraId="112ACC69"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t>CrossRef</w:t>
            </w:r>
          </w:p>
        </w:tc>
        <w:tc>
          <w:tcPr>
            <w:tcW w:w="1607" w:type="dxa"/>
            <w:shd w:val="clear" w:color="auto" w:fill="FFFFFF"/>
            <w:vAlign w:val="center"/>
          </w:tcPr>
          <w:p w14:paraId="31F08793"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"AI education"</w:t>
            </w:r>
            <w:r w:rsidRPr="0086482B">
              <w:rPr>
                <w:rFonts w:ascii="Myriad Pro" w:eastAsia="SimSun" w:hAnsi="Myriad Pro" w:cs="Times New Roman"/>
                <w:color w:val="000000"/>
                <w:sz w:val="24"/>
                <w:szCs w:val="24"/>
                <w:lang w:eastAsia="zh-CN" w:bidi="ar"/>
              </w:rPr>
              <w:t xml:space="preserve"> AND </w:t>
            </w:r>
            <w:r w:rsidRPr="0086482B">
              <w:rPr>
                <w:rStyle w:val="HTMLCode"/>
                <w:rFonts w:ascii="Myriad Pro" w:eastAsia="SimSun" w:hAnsi="Myriad Pro" w:cs="Times New Roman"/>
                <w:color w:val="000000"/>
                <w:sz w:val="24"/>
                <w:szCs w:val="24"/>
                <w:lang w:eastAsia="zh-CN" w:bidi="ar"/>
              </w:rPr>
              <w:t>"digital literacy"</w:t>
            </w:r>
          </w:p>
        </w:tc>
        <w:tc>
          <w:tcPr>
            <w:tcW w:w="4458" w:type="dxa"/>
            <w:shd w:val="clear" w:color="auto" w:fill="FFFFFF"/>
            <w:vAlign w:val="center"/>
          </w:tcPr>
          <w:p w14:paraId="738DEB6A"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Su, J. (2023).</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Artificial Intelligence (AI) Literacy in Early Childhood Education: The Challenges and Opportunities.</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Computers and Education: Artificial Intelligence, 4.</w:t>
            </w:r>
            <w:r w:rsidRPr="0086482B">
              <w:rPr>
                <w:rFonts w:ascii="Myriad Pro" w:eastAsia="SimSun" w:hAnsi="Myriad Pro" w:cs="Times New Roman"/>
                <w:color w:val="000000"/>
                <w:sz w:val="24"/>
                <w:szCs w:val="24"/>
                <w:lang w:eastAsia="zh-CN" w:bidi="ar"/>
              </w:rPr>
              <w:t xml:space="preserve"> DOI: [10.1016/j.caeai.2023.100124] - </w:t>
            </w:r>
            <w:r w:rsidRPr="0086482B">
              <w:rPr>
                <w:rStyle w:val="Strong"/>
                <w:rFonts w:ascii="Myriad Pro" w:eastAsia="SimSun" w:hAnsi="Myriad Pro" w:cs="Times New Roman"/>
                <w:sz w:val="24"/>
                <w:szCs w:val="24"/>
                <w:lang w:eastAsia="zh-CN" w:bidi="ar"/>
              </w:rPr>
              <w:t>Wang, S. (2023).</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Effects of higher education institutes’ AI capability on students’ self-efficacy, creativity, and learning performance.</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Education and Information Technologies, 28(5), 4919–4939.</w:t>
            </w:r>
            <w:r w:rsidRPr="0086482B">
              <w:rPr>
                <w:rFonts w:ascii="Myriad Pro" w:eastAsia="SimSun" w:hAnsi="Myriad Pro" w:cs="Times New Roman"/>
                <w:color w:val="000000"/>
                <w:sz w:val="24"/>
                <w:szCs w:val="24"/>
                <w:lang w:eastAsia="zh-CN" w:bidi="ar"/>
              </w:rPr>
              <w:t xml:space="preserve"> DOI: [10.1007/s10639-022-11338-4]</w:t>
            </w:r>
          </w:p>
        </w:tc>
        <w:tc>
          <w:tcPr>
            <w:tcW w:w="2278" w:type="dxa"/>
            <w:shd w:val="clear" w:color="auto" w:fill="FFFFFF"/>
            <w:vAlign w:val="center"/>
          </w:tcPr>
          <w:p w14:paraId="268D399F"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Demonstrates the intersection of AI integration and digital literacy — supporting the “Future-Ready” component of the study by highlighting how technology literacy impacts student outcomes.</w:t>
            </w:r>
          </w:p>
        </w:tc>
      </w:tr>
      <w:tr w:rsidR="00851F5D" w:rsidRPr="0086482B" w14:paraId="2A7BEF23" w14:textId="77777777" w:rsidTr="00C70D51">
        <w:trPr>
          <w:tblCellSpacing w:w="15" w:type="dxa"/>
        </w:trPr>
        <w:tc>
          <w:tcPr>
            <w:tcW w:w="997" w:type="dxa"/>
            <w:shd w:val="clear" w:color="auto" w:fill="FFFFFF"/>
            <w:vAlign w:val="center"/>
          </w:tcPr>
          <w:p w14:paraId="7358B673"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t>PubMed</w:t>
            </w:r>
          </w:p>
        </w:tc>
        <w:tc>
          <w:tcPr>
            <w:tcW w:w="1607" w:type="dxa"/>
            <w:shd w:val="clear" w:color="auto" w:fill="FFFFFF"/>
            <w:vAlign w:val="center"/>
          </w:tcPr>
          <w:p w14:paraId="2D5C4826"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"digital health literacy"</w:t>
            </w:r>
            <w:r w:rsidRPr="0086482B">
              <w:rPr>
                <w:rFonts w:ascii="Myriad Pro" w:eastAsia="SimSun" w:hAnsi="Myriad Pro" w:cs="Times New Roman"/>
                <w:color w:val="000000"/>
                <w:sz w:val="24"/>
                <w:szCs w:val="24"/>
                <w:lang w:eastAsia="zh-CN" w:bidi="ar"/>
              </w:rPr>
              <w:t xml:space="preserve"> OR </w:t>
            </w:r>
            <w:r w:rsidRPr="0086482B">
              <w:rPr>
                <w:rStyle w:val="HTMLCode"/>
                <w:rFonts w:ascii="Myriad Pro" w:eastAsia="SimSun" w:hAnsi="Myriad Pro" w:cs="Times New Roman"/>
                <w:color w:val="000000"/>
                <w:sz w:val="24"/>
                <w:szCs w:val="24"/>
                <w:lang w:eastAsia="zh-CN" w:bidi="ar"/>
              </w:rPr>
              <w:t>"eHealth"</w:t>
            </w:r>
          </w:p>
        </w:tc>
        <w:tc>
          <w:tcPr>
            <w:tcW w:w="4458" w:type="dxa"/>
            <w:shd w:val="clear" w:color="auto" w:fill="FFFFFF"/>
            <w:vAlign w:val="center"/>
          </w:tcPr>
          <w:p w14:paraId="4848A2B6"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Kemp, E. (2021).</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Health literacy, digital health literacy and the implementation of digital health technologies in cancer care.</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Health Promotion Journal of Australia, 32, 104–114.</w:t>
            </w:r>
            <w:r w:rsidRPr="0086482B">
              <w:rPr>
                <w:rFonts w:ascii="Myriad Pro" w:eastAsia="SimSun" w:hAnsi="Myriad Pro" w:cs="Times New Roman"/>
                <w:color w:val="000000"/>
                <w:sz w:val="24"/>
                <w:szCs w:val="24"/>
                <w:lang w:eastAsia="zh-CN" w:bidi="ar"/>
              </w:rPr>
              <w:t xml:space="preserve"> DOI: [10.1002/hpja.387] - </w:t>
            </w:r>
            <w:r w:rsidRPr="0086482B">
              <w:rPr>
                <w:rStyle w:val="Strong"/>
                <w:rFonts w:ascii="Myriad Pro" w:eastAsia="SimSun" w:hAnsi="Myriad Pro" w:cs="Times New Roman"/>
                <w:sz w:val="24"/>
                <w:szCs w:val="24"/>
                <w:lang w:eastAsia="zh-CN" w:bidi="ar"/>
              </w:rPr>
              <w:t>Karnoe, A. (2018).</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Assessing competencies needed to engage with digital health services.</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Journal of Medical Internet Research, 20(5).</w:t>
            </w:r>
            <w:r w:rsidRPr="0086482B">
              <w:rPr>
                <w:rFonts w:ascii="Myriad Pro" w:eastAsia="SimSun" w:hAnsi="Myriad Pro" w:cs="Times New Roman"/>
                <w:color w:val="000000"/>
                <w:sz w:val="24"/>
                <w:szCs w:val="24"/>
                <w:lang w:eastAsia="zh-CN" w:bidi="ar"/>
              </w:rPr>
              <w:t xml:space="preserve"> DOI: [10.2196/jmir.8347]</w:t>
            </w:r>
          </w:p>
        </w:tc>
        <w:tc>
          <w:tcPr>
            <w:tcW w:w="2278" w:type="dxa"/>
            <w:shd w:val="clear" w:color="auto" w:fill="FFFFFF"/>
            <w:vAlign w:val="center"/>
          </w:tcPr>
          <w:p w14:paraId="2596EFD8"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Illustrates applied frameworks of digital literacy in healthcare — transferable to TLE’s applied, hands-on domains (e.g., technology use, safety, data literacy). These studies justify cross-sectoral </w:t>
            </w:r>
            <w:r w:rsidRPr="0086482B">
              <w:rPr>
                <w:rFonts w:ascii="Myriad Pro" w:eastAsia="SimSun" w:hAnsi="Myriad Pro" w:cs="Times New Roman"/>
                <w:color w:val="000000"/>
                <w:sz w:val="24"/>
                <w:szCs w:val="24"/>
                <w:lang w:eastAsia="zh-CN" w:bidi="ar"/>
              </w:rPr>
              <w:lastRenderedPageBreak/>
              <w:t>competence benchmarking.</w:t>
            </w:r>
          </w:p>
        </w:tc>
      </w:tr>
      <w:tr w:rsidR="00851F5D" w:rsidRPr="0086482B" w14:paraId="21469636" w14:textId="77777777" w:rsidTr="00C70D51">
        <w:trPr>
          <w:tblCellSpacing w:w="15" w:type="dxa"/>
        </w:trPr>
        <w:tc>
          <w:tcPr>
            <w:tcW w:w="997" w:type="dxa"/>
            <w:shd w:val="clear" w:color="auto" w:fill="FFFFFF"/>
            <w:vAlign w:val="center"/>
          </w:tcPr>
          <w:p w14:paraId="6F91D7FF"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lastRenderedPageBreak/>
              <w:t>Scopus</w:t>
            </w:r>
          </w:p>
        </w:tc>
        <w:tc>
          <w:tcPr>
            <w:tcW w:w="1607" w:type="dxa"/>
            <w:shd w:val="clear" w:color="auto" w:fill="FFFFFF"/>
            <w:vAlign w:val="center"/>
          </w:tcPr>
          <w:p w14:paraId="49183A03"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"STEM teachers"</w:t>
            </w:r>
            <w:r w:rsidRPr="0086482B">
              <w:rPr>
                <w:rFonts w:ascii="Myriad Pro" w:eastAsia="SimSun" w:hAnsi="Myriad Pro" w:cs="Times New Roman"/>
                <w:color w:val="000000"/>
                <w:sz w:val="24"/>
                <w:szCs w:val="24"/>
                <w:lang w:eastAsia="zh-CN" w:bidi="ar"/>
              </w:rPr>
              <w:t xml:space="preserve"> OR </w:t>
            </w:r>
            <w:r w:rsidRPr="0086482B">
              <w:rPr>
                <w:rStyle w:val="HTMLCode"/>
                <w:rFonts w:ascii="Myriad Pro" w:eastAsia="SimSun" w:hAnsi="Myriad Pro" w:cs="Times New Roman"/>
                <w:color w:val="000000"/>
                <w:sz w:val="24"/>
                <w:szCs w:val="24"/>
                <w:lang w:eastAsia="zh-CN" w:bidi="ar"/>
              </w:rPr>
              <w:t>"Science High School"</w:t>
            </w:r>
          </w:p>
        </w:tc>
        <w:tc>
          <w:tcPr>
            <w:tcW w:w="4458" w:type="dxa"/>
            <w:shd w:val="clear" w:color="auto" w:fill="FFFFFF"/>
            <w:vAlign w:val="center"/>
          </w:tcPr>
          <w:p w14:paraId="41765FFA"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Alsalamat, M. (2021).</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Secondary Stage Science Teachers' Perceptions toward STEM Education in Saudi Arabia.</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Education and Information Technologies.</w:t>
            </w:r>
            <w:r w:rsidRPr="0086482B">
              <w:rPr>
                <w:rFonts w:ascii="Myriad Pro" w:eastAsia="SimSun" w:hAnsi="Myriad Pro" w:cs="Times New Roman"/>
                <w:color w:val="000000"/>
                <w:sz w:val="24"/>
                <w:szCs w:val="24"/>
                <w:lang w:eastAsia="zh-CN" w:bidi="ar"/>
              </w:rPr>
              <w:t xml:space="preserve"> DOI: [10.1007/s10639-021-10410-6]</w:t>
            </w:r>
          </w:p>
        </w:tc>
        <w:tc>
          <w:tcPr>
            <w:tcW w:w="2278" w:type="dxa"/>
            <w:shd w:val="clear" w:color="auto" w:fill="FFFFFF"/>
            <w:vAlign w:val="center"/>
          </w:tcPr>
          <w:p w14:paraId="754CE052"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Provides a reference model for evaluating science teachers’ digital readiness and pedagogical beliefs — directly aligning to Science High Schools’ context in the Philippines.</w:t>
            </w:r>
          </w:p>
        </w:tc>
      </w:tr>
      <w:tr w:rsidR="00851F5D" w:rsidRPr="0086482B" w14:paraId="766DB538" w14:textId="77777777" w:rsidTr="00C70D51">
        <w:trPr>
          <w:tblCellSpacing w:w="15" w:type="dxa"/>
        </w:trPr>
        <w:tc>
          <w:tcPr>
            <w:tcW w:w="997" w:type="dxa"/>
            <w:shd w:val="clear" w:color="auto" w:fill="FFFFFF"/>
            <w:vAlign w:val="center"/>
          </w:tcPr>
          <w:p w14:paraId="2BFD692A"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t>CrossRef</w:t>
            </w:r>
          </w:p>
        </w:tc>
        <w:tc>
          <w:tcPr>
            <w:tcW w:w="1607" w:type="dxa"/>
            <w:shd w:val="clear" w:color="auto" w:fill="FFFFFF"/>
            <w:vAlign w:val="center"/>
          </w:tcPr>
          <w:p w14:paraId="33B8380A"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"digital divide"</w:t>
            </w:r>
            <w:r w:rsidRPr="0086482B">
              <w:rPr>
                <w:rFonts w:ascii="Myriad Pro" w:eastAsia="SimSun" w:hAnsi="Myriad Pro" w:cs="Times New Roman"/>
                <w:color w:val="000000"/>
                <w:sz w:val="24"/>
                <w:szCs w:val="24"/>
                <w:lang w:eastAsia="zh-CN" w:bidi="ar"/>
              </w:rPr>
              <w:t xml:space="preserve"> OR </w:t>
            </w:r>
            <w:r w:rsidRPr="0086482B">
              <w:rPr>
                <w:rStyle w:val="HTMLCode"/>
                <w:rFonts w:ascii="Myriad Pro" w:eastAsia="SimSun" w:hAnsi="Myriad Pro" w:cs="Times New Roman"/>
                <w:color w:val="000000"/>
                <w:sz w:val="24"/>
                <w:szCs w:val="24"/>
                <w:lang w:eastAsia="zh-CN" w:bidi="ar"/>
              </w:rPr>
              <w:t>"deployment gap"</w:t>
            </w:r>
          </w:p>
        </w:tc>
        <w:tc>
          <w:tcPr>
            <w:tcW w:w="4458" w:type="dxa"/>
            <w:shd w:val="clear" w:color="auto" w:fill="FFFFFF"/>
            <w:vAlign w:val="center"/>
          </w:tcPr>
          <w:p w14:paraId="3D4AB1EC"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Schreurs, K. (2017).</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Problematizing the digital literacy paradox in the context of older adults' ICT use: Aging, media discourse, and self-determination.</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Canadian Journal of Communication, 42(2), 359–377.</w:t>
            </w:r>
            <w:r w:rsidRPr="0086482B">
              <w:rPr>
                <w:rFonts w:ascii="Myriad Pro" w:eastAsia="SimSun" w:hAnsi="Myriad Pro" w:cs="Times New Roman"/>
                <w:color w:val="000000"/>
                <w:sz w:val="24"/>
                <w:szCs w:val="24"/>
                <w:lang w:eastAsia="zh-CN" w:bidi="ar"/>
              </w:rPr>
              <w:t xml:space="preserve"> DOI: [10.22230/cjc.2017v42n2a3130]</w:t>
            </w:r>
          </w:p>
        </w:tc>
        <w:tc>
          <w:tcPr>
            <w:tcW w:w="2278" w:type="dxa"/>
            <w:shd w:val="clear" w:color="auto" w:fill="FFFFFF"/>
            <w:vAlign w:val="center"/>
          </w:tcPr>
          <w:p w14:paraId="75987FDA"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Expands understanding of </w:t>
            </w:r>
            <w:r w:rsidRPr="0086482B">
              <w:rPr>
                <w:rStyle w:val="Emphasis"/>
                <w:rFonts w:ascii="Myriad Pro" w:eastAsia="SimSun" w:hAnsi="Myriad Pro" w:cs="Times New Roman"/>
                <w:color w:val="000000"/>
                <w:sz w:val="24"/>
                <w:szCs w:val="24"/>
                <w:lang w:eastAsia="zh-CN" w:bidi="ar"/>
              </w:rPr>
              <w:t>deployment gaps</w:t>
            </w:r>
            <w:r w:rsidRPr="0086482B">
              <w:rPr>
                <w:rFonts w:ascii="Myriad Pro" w:eastAsia="SimSun" w:hAnsi="Myriad Pro" w:cs="Times New Roman"/>
                <w:color w:val="000000"/>
                <w:sz w:val="24"/>
                <w:szCs w:val="24"/>
                <w:lang w:eastAsia="zh-CN" w:bidi="ar"/>
              </w:rPr>
              <w:t xml:space="preserve"> from the perspective of digital inequality — a conceptual parallel to teacher deployment inequities in specialized institutions.</w:t>
            </w:r>
          </w:p>
        </w:tc>
      </w:tr>
      <w:tr w:rsidR="00851F5D" w:rsidRPr="0086482B" w14:paraId="57A04884" w14:textId="77777777" w:rsidTr="00C70D51">
        <w:trPr>
          <w:tblCellSpacing w:w="15" w:type="dxa"/>
        </w:trPr>
        <w:tc>
          <w:tcPr>
            <w:tcW w:w="997" w:type="dxa"/>
            <w:shd w:val="clear" w:color="auto" w:fill="FFFFFF"/>
            <w:vAlign w:val="center"/>
          </w:tcPr>
          <w:p w14:paraId="69CE1C41"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t>PubMed</w:t>
            </w:r>
          </w:p>
        </w:tc>
        <w:tc>
          <w:tcPr>
            <w:tcW w:w="1607" w:type="dxa"/>
            <w:shd w:val="clear" w:color="auto" w:fill="FFFFFF"/>
            <w:vAlign w:val="center"/>
          </w:tcPr>
          <w:p w14:paraId="231ECDA5"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"telemedicine"</w:t>
            </w:r>
            <w:r w:rsidRPr="0086482B">
              <w:rPr>
                <w:rFonts w:ascii="Myriad Pro" w:eastAsia="SimSun" w:hAnsi="Myriad Pro" w:cs="Times New Roman"/>
                <w:color w:val="000000"/>
                <w:sz w:val="24"/>
                <w:szCs w:val="24"/>
                <w:lang w:eastAsia="zh-CN" w:bidi="ar"/>
              </w:rPr>
              <w:t xml:space="preserve"> OR </w:t>
            </w:r>
            <w:r w:rsidRPr="0086482B">
              <w:rPr>
                <w:rStyle w:val="HTMLCode"/>
                <w:rFonts w:ascii="Myriad Pro" w:eastAsia="SimSun" w:hAnsi="Myriad Pro" w:cs="Times New Roman"/>
                <w:color w:val="000000"/>
                <w:sz w:val="24"/>
                <w:szCs w:val="24"/>
                <w:lang w:eastAsia="zh-CN" w:bidi="ar"/>
              </w:rPr>
              <w:t>"digital inclusion"</w:t>
            </w:r>
          </w:p>
        </w:tc>
        <w:tc>
          <w:tcPr>
            <w:tcW w:w="4458" w:type="dxa"/>
            <w:shd w:val="clear" w:color="auto" w:fill="FFFFFF"/>
            <w:vAlign w:val="center"/>
          </w:tcPr>
          <w:p w14:paraId="6FC3F939"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Hsiao, V. (2021).</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Disparities in Telemedicine Access: A Cross-Sectional Study of a Newly Established Infrastructure during the COVID-19 Pandemic.</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Applied Clinical Informatics, 12(3), 445–458.</w:t>
            </w:r>
            <w:r w:rsidRPr="0086482B">
              <w:rPr>
                <w:rFonts w:ascii="Myriad Pro" w:eastAsia="SimSun" w:hAnsi="Myriad Pro" w:cs="Times New Roman"/>
                <w:color w:val="000000"/>
                <w:sz w:val="24"/>
                <w:szCs w:val="24"/>
                <w:lang w:eastAsia="zh-CN" w:bidi="ar"/>
              </w:rPr>
              <w:t xml:space="preserve"> DOI: [10.1055/s-0041-1730026]</w:t>
            </w:r>
          </w:p>
        </w:tc>
        <w:tc>
          <w:tcPr>
            <w:tcW w:w="2278" w:type="dxa"/>
            <w:shd w:val="clear" w:color="auto" w:fill="FFFFFF"/>
            <w:vAlign w:val="center"/>
          </w:tcPr>
          <w:p w14:paraId="4C3CE815"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Provides empirical insights into access inequality, applicable to understanding </w:t>
            </w:r>
            <w:r w:rsidRPr="0086482B">
              <w:rPr>
                <w:rStyle w:val="Emphasis"/>
                <w:rFonts w:ascii="Myriad Pro" w:eastAsia="SimSun" w:hAnsi="Myriad Pro" w:cs="Times New Roman"/>
                <w:color w:val="000000"/>
                <w:sz w:val="24"/>
                <w:szCs w:val="24"/>
                <w:lang w:eastAsia="zh-CN" w:bidi="ar"/>
              </w:rPr>
              <w:t>resource disparities</w:t>
            </w:r>
            <w:r w:rsidRPr="0086482B">
              <w:rPr>
                <w:rFonts w:ascii="Myriad Pro" w:eastAsia="SimSun" w:hAnsi="Myriad Pro" w:cs="Times New Roman"/>
                <w:color w:val="000000"/>
                <w:sz w:val="24"/>
                <w:szCs w:val="24"/>
                <w:lang w:eastAsia="zh-CN" w:bidi="ar"/>
              </w:rPr>
              <w:t xml:space="preserve"> and </w:t>
            </w:r>
            <w:r w:rsidRPr="0086482B">
              <w:rPr>
                <w:rStyle w:val="Emphasis"/>
                <w:rFonts w:ascii="Myriad Pro" w:eastAsia="SimSun" w:hAnsi="Myriad Pro" w:cs="Times New Roman"/>
                <w:color w:val="000000"/>
                <w:sz w:val="24"/>
                <w:szCs w:val="24"/>
                <w:lang w:eastAsia="zh-CN" w:bidi="ar"/>
              </w:rPr>
              <w:t>technological readiness gaps</w:t>
            </w:r>
            <w:r w:rsidRPr="0086482B">
              <w:rPr>
                <w:rFonts w:ascii="Myriad Pro" w:eastAsia="SimSun" w:hAnsi="Myriad Pro" w:cs="Times New Roman"/>
                <w:color w:val="000000"/>
                <w:sz w:val="24"/>
                <w:szCs w:val="24"/>
                <w:lang w:eastAsia="zh-CN" w:bidi="ar"/>
              </w:rPr>
              <w:t xml:space="preserve"> among TLE educators and schools.</w:t>
            </w:r>
          </w:p>
        </w:tc>
      </w:tr>
    </w:tbl>
    <w:tbl>
      <w:tblPr>
        <w:tblStyle w:val="TableGrid"/>
        <w:tblpPr w:leftFromText="180" w:rightFromText="180" w:vertAnchor="text" w:tblpX="10908" w:tblpY="-31579"/>
        <w:tblOverlap w:val="never"/>
        <w:tblW w:w="3288" w:type="dxa"/>
        <w:tblLook w:val="04A0" w:firstRow="1" w:lastRow="0" w:firstColumn="1" w:lastColumn="0" w:noHBand="0" w:noVBand="1"/>
      </w:tblPr>
      <w:tblGrid>
        <w:gridCol w:w="3288"/>
      </w:tblGrid>
      <w:tr w:rsidR="00851F5D" w:rsidRPr="0086482B" w14:paraId="29D20C90" w14:textId="77777777" w:rsidTr="00C70D51">
        <w:trPr>
          <w:trHeight w:val="30"/>
        </w:trPr>
        <w:tc>
          <w:tcPr>
            <w:tcW w:w="3288" w:type="dxa"/>
          </w:tcPr>
          <w:p w14:paraId="3B0AD675" w14:textId="77777777" w:rsidR="00851F5D" w:rsidRPr="0086482B" w:rsidRDefault="00851F5D" w:rsidP="0086482B">
            <w:pPr>
              <w:jc w:val="both"/>
              <w:rPr>
                <w:rFonts w:ascii="Myriad Pro" w:hAnsi="Myriad Pro" w:cs="Times New Roman"/>
                <w:sz w:val="24"/>
                <w:szCs w:val="24"/>
              </w:rPr>
            </w:pPr>
          </w:p>
        </w:tc>
      </w:tr>
    </w:tbl>
    <w:p w14:paraId="7A38C3C8" w14:textId="77777777" w:rsidR="00851F5D" w:rsidRPr="0086482B" w:rsidRDefault="00851F5D" w:rsidP="0086482B">
      <w:pPr>
        <w:jc w:val="both"/>
        <w:rPr>
          <w:rFonts w:ascii="Myriad Pro" w:hAnsi="Myriad Pro" w:cs="Times New Roman"/>
          <w:sz w:val="24"/>
          <w:szCs w:val="24"/>
        </w:rPr>
      </w:pPr>
    </w:p>
    <w:p w14:paraId="6EBBB6D4"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Table 2.2</w:t>
      </w:r>
    </w:p>
    <w:p w14:paraId="3261E7DD" w14:textId="77777777" w:rsidR="00851F5D" w:rsidRPr="0086482B" w:rsidRDefault="00851F5D" w:rsidP="0086482B">
      <w:pPr>
        <w:pStyle w:val="Heading2"/>
        <w:jc w:val="both"/>
        <w:rPr>
          <w:rFonts w:ascii="Myriad Pro" w:eastAsia="Times New Roman" w:hAnsi="Myriad Pro" w:cs="Times New Roman"/>
          <w:color w:val="auto"/>
          <w:sz w:val="24"/>
          <w:szCs w:val="24"/>
          <w:lang w:val="en-PH" w:eastAsia="en-PH"/>
        </w:rPr>
      </w:pPr>
      <w:r w:rsidRPr="0086482B">
        <w:rPr>
          <w:rStyle w:val="Strong"/>
          <w:rFonts w:ascii="Myriad Pro" w:hAnsi="Myriad Pro" w:cs="Times New Roman"/>
          <w:color w:val="auto"/>
          <w:sz w:val="24"/>
          <w:szCs w:val="24"/>
        </w:rPr>
        <w:t>PRISMA Flow Summary</w:t>
      </w:r>
    </w:p>
    <w:tbl>
      <w:tblPr>
        <w:tblStyle w:val="TableGrid"/>
        <w:tblW w:w="0" w:type="auto"/>
        <w:tblLook w:val="04A0" w:firstRow="1" w:lastRow="0" w:firstColumn="1" w:lastColumn="0" w:noHBand="0" w:noVBand="1"/>
      </w:tblPr>
      <w:tblGrid>
        <w:gridCol w:w="1694"/>
        <w:gridCol w:w="7347"/>
        <w:gridCol w:w="1415"/>
      </w:tblGrid>
      <w:tr w:rsidR="00851F5D" w:rsidRPr="0086482B" w14:paraId="05EAD093" w14:textId="77777777" w:rsidTr="00C70D51">
        <w:trPr>
          <w:trHeight w:val="447"/>
        </w:trPr>
        <w:tc>
          <w:tcPr>
            <w:tcW w:w="0" w:type="auto"/>
          </w:tcPr>
          <w:p w14:paraId="7108E512" w14:textId="77777777" w:rsidR="00851F5D" w:rsidRPr="0086482B" w:rsidRDefault="00851F5D" w:rsidP="0086482B">
            <w:pPr>
              <w:jc w:val="both"/>
              <w:rPr>
                <w:rFonts w:ascii="Myriad Pro" w:hAnsi="Myriad Pro" w:cs="Times New Roman"/>
                <w:b/>
                <w:bCs/>
                <w:sz w:val="24"/>
                <w:szCs w:val="24"/>
              </w:rPr>
            </w:pPr>
            <w:r w:rsidRPr="0086482B">
              <w:rPr>
                <w:rFonts w:ascii="Myriad Pro" w:hAnsi="Myriad Pro" w:cs="Times New Roman"/>
                <w:b/>
                <w:bCs/>
                <w:sz w:val="24"/>
                <w:szCs w:val="24"/>
              </w:rPr>
              <w:t>Stage</w:t>
            </w:r>
          </w:p>
        </w:tc>
        <w:tc>
          <w:tcPr>
            <w:tcW w:w="0" w:type="auto"/>
          </w:tcPr>
          <w:p w14:paraId="7D48D0EE" w14:textId="77777777" w:rsidR="00851F5D" w:rsidRPr="0086482B" w:rsidRDefault="00851F5D" w:rsidP="0086482B">
            <w:pPr>
              <w:jc w:val="both"/>
              <w:rPr>
                <w:rFonts w:ascii="Myriad Pro" w:hAnsi="Myriad Pro" w:cs="Times New Roman"/>
                <w:b/>
                <w:bCs/>
                <w:sz w:val="24"/>
                <w:szCs w:val="24"/>
              </w:rPr>
            </w:pPr>
            <w:r w:rsidRPr="0086482B">
              <w:rPr>
                <w:rFonts w:ascii="Myriad Pro" w:hAnsi="Myriad Pro" w:cs="Times New Roman"/>
                <w:b/>
                <w:bCs/>
                <w:sz w:val="24"/>
                <w:szCs w:val="24"/>
              </w:rPr>
              <w:t>Description</w:t>
            </w:r>
          </w:p>
        </w:tc>
        <w:tc>
          <w:tcPr>
            <w:tcW w:w="0" w:type="auto"/>
          </w:tcPr>
          <w:p w14:paraId="6D844227" w14:textId="77777777" w:rsidR="00851F5D" w:rsidRPr="0086482B" w:rsidRDefault="00851F5D" w:rsidP="0086482B">
            <w:pPr>
              <w:jc w:val="both"/>
              <w:rPr>
                <w:rFonts w:ascii="Myriad Pro" w:hAnsi="Myriad Pro" w:cs="Times New Roman"/>
                <w:b/>
                <w:bCs/>
                <w:sz w:val="24"/>
                <w:szCs w:val="24"/>
              </w:rPr>
            </w:pPr>
            <w:r w:rsidRPr="0086482B">
              <w:rPr>
                <w:rFonts w:ascii="Myriad Pro" w:hAnsi="Myriad Pro" w:cs="Times New Roman"/>
                <w:b/>
                <w:bCs/>
                <w:sz w:val="24"/>
                <w:szCs w:val="24"/>
              </w:rPr>
              <w:t>Records (n)</w:t>
            </w:r>
          </w:p>
        </w:tc>
      </w:tr>
      <w:tr w:rsidR="00851F5D" w:rsidRPr="0086482B" w14:paraId="3746669B" w14:textId="77777777" w:rsidTr="00C70D51">
        <w:tc>
          <w:tcPr>
            <w:tcW w:w="0" w:type="auto"/>
          </w:tcPr>
          <w:p w14:paraId="1C505B5D"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Identification</w:t>
            </w:r>
          </w:p>
        </w:tc>
        <w:tc>
          <w:tcPr>
            <w:tcW w:w="0" w:type="auto"/>
          </w:tcPr>
          <w:p w14:paraId="51CDCEF5"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Total records retrieved across all databases</w:t>
            </w:r>
          </w:p>
        </w:tc>
        <w:tc>
          <w:tcPr>
            <w:tcW w:w="0" w:type="auto"/>
          </w:tcPr>
          <w:p w14:paraId="5F89747A"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11,796</w:t>
            </w:r>
          </w:p>
        </w:tc>
      </w:tr>
      <w:tr w:rsidR="00851F5D" w:rsidRPr="0086482B" w14:paraId="6E9A5BF1" w14:textId="77777777" w:rsidTr="00C70D51">
        <w:tc>
          <w:tcPr>
            <w:tcW w:w="0" w:type="auto"/>
          </w:tcPr>
          <w:p w14:paraId="22DB0C92" w14:textId="77777777" w:rsidR="00851F5D" w:rsidRPr="0086482B" w:rsidRDefault="00851F5D" w:rsidP="0086482B">
            <w:pPr>
              <w:jc w:val="both"/>
              <w:rPr>
                <w:rFonts w:ascii="Myriad Pro" w:hAnsi="Myriad Pro" w:cs="Times New Roman"/>
                <w:sz w:val="24"/>
                <w:szCs w:val="24"/>
              </w:rPr>
            </w:pPr>
          </w:p>
        </w:tc>
        <w:tc>
          <w:tcPr>
            <w:tcW w:w="0" w:type="auto"/>
          </w:tcPr>
          <w:p w14:paraId="487E02B9"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Scopus</w:t>
            </w:r>
          </w:p>
        </w:tc>
        <w:tc>
          <w:tcPr>
            <w:tcW w:w="0" w:type="auto"/>
          </w:tcPr>
          <w:p w14:paraId="253B4A33"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1,470</w:t>
            </w:r>
          </w:p>
        </w:tc>
      </w:tr>
      <w:tr w:rsidR="00851F5D" w:rsidRPr="0086482B" w14:paraId="7B1794B5" w14:textId="77777777" w:rsidTr="00C70D51">
        <w:tc>
          <w:tcPr>
            <w:tcW w:w="0" w:type="auto"/>
          </w:tcPr>
          <w:p w14:paraId="32C62F74" w14:textId="77777777" w:rsidR="00851F5D" w:rsidRPr="0086482B" w:rsidRDefault="00851F5D" w:rsidP="0086482B">
            <w:pPr>
              <w:jc w:val="both"/>
              <w:rPr>
                <w:rFonts w:ascii="Myriad Pro" w:hAnsi="Myriad Pro" w:cs="Times New Roman"/>
                <w:sz w:val="24"/>
                <w:szCs w:val="24"/>
              </w:rPr>
            </w:pPr>
          </w:p>
        </w:tc>
        <w:tc>
          <w:tcPr>
            <w:tcW w:w="0" w:type="auto"/>
          </w:tcPr>
          <w:p w14:paraId="78173534"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CrossRef</w:t>
            </w:r>
          </w:p>
        </w:tc>
        <w:tc>
          <w:tcPr>
            <w:tcW w:w="0" w:type="auto"/>
          </w:tcPr>
          <w:p w14:paraId="2D60F158"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5,188</w:t>
            </w:r>
          </w:p>
        </w:tc>
      </w:tr>
      <w:tr w:rsidR="00851F5D" w:rsidRPr="0086482B" w14:paraId="6898FC24" w14:textId="77777777" w:rsidTr="00C70D51">
        <w:tc>
          <w:tcPr>
            <w:tcW w:w="0" w:type="auto"/>
          </w:tcPr>
          <w:p w14:paraId="52B0D87E" w14:textId="77777777" w:rsidR="00851F5D" w:rsidRPr="0086482B" w:rsidRDefault="00851F5D" w:rsidP="0086482B">
            <w:pPr>
              <w:jc w:val="both"/>
              <w:rPr>
                <w:rFonts w:ascii="Myriad Pro" w:hAnsi="Myriad Pro" w:cs="Times New Roman"/>
                <w:sz w:val="24"/>
                <w:szCs w:val="24"/>
              </w:rPr>
            </w:pPr>
          </w:p>
        </w:tc>
        <w:tc>
          <w:tcPr>
            <w:tcW w:w="0" w:type="auto"/>
          </w:tcPr>
          <w:p w14:paraId="656E339C"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Semantic Scholar</w:t>
            </w:r>
          </w:p>
        </w:tc>
        <w:tc>
          <w:tcPr>
            <w:tcW w:w="0" w:type="auto"/>
          </w:tcPr>
          <w:p w14:paraId="4FBEDFB5"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7,000</w:t>
            </w:r>
          </w:p>
        </w:tc>
      </w:tr>
      <w:tr w:rsidR="00851F5D" w:rsidRPr="0086482B" w14:paraId="0A16A295" w14:textId="77777777" w:rsidTr="00C70D51">
        <w:tc>
          <w:tcPr>
            <w:tcW w:w="0" w:type="auto"/>
          </w:tcPr>
          <w:p w14:paraId="500DE5AA" w14:textId="77777777" w:rsidR="00851F5D" w:rsidRPr="0086482B" w:rsidRDefault="00851F5D" w:rsidP="0086482B">
            <w:pPr>
              <w:jc w:val="both"/>
              <w:rPr>
                <w:rFonts w:ascii="Myriad Pro" w:hAnsi="Myriad Pro" w:cs="Times New Roman"/>
                <w:sz w:val="24"/>
                <w:szCs w:val="24"/>
              </w:rPr>
            </w:pPr>
          </w:p>
        </w:tc>
        <w:tc>
          <w:tcPr>
            <w:tcW w:w="0" w:type="auto"/>
          </w:tcPr>
          <w:p w14:paraId="40309CE0"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Google Scholar</w:t>
            </w:r>
          </w:p>
        </w:tc>
        <w:tc>
          <w:tcPr>
            <w:tcW w:w="0" w:type="auto"/>
          </w:tcPr>
          <w:p w14:paraId="23FF095B"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610</w:t>
            </w:r>
          </w:p>
        </w:tc>
      </w:tr>
      <w:tr w:rsidR="00851F5D" w:rsidRPr="0086482B" w14:paraId="720C7D3A" w14:textId="77777777" w:rsidTr="00C70D51">
        <w:tc>
          <w:tcPr>
            <w:tcW w:w="0" w:type="auto"/>
          </w:tcPr>
          <w:p w14:paraId="2167DC49" w14:textId="77777777" w:rsidR="00851F5D" w:rsidRPr="0086482B" w:rsidRDefault="00851F5D" w:rsidP="0086482B">
            <w:pPr>
              <w:jc w:val="both"/>
              <w:rPr>
                <w:rFonts w:ascii="Myriad Pro" w:hAnsi="Myriad Pro" w:cs="Times New Roman"/>
                <w:sz w:val="24"/>
                <w:szCs w:val="24"/>
              </w:rPr>
            </w:pPr>
          </w:p>
        </w:tc>
        <w:tc>
          <w:tcPr>
            <w:tcW w:w="0" w:type="auto"/>
          </w:tcPr>
          <w:p w14:paraId="287AB22A"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PubMed</w:t>
            </w:r>
          </w:p>
        </w:tc>
        <w:tc>
          <w:tcPr>
            <w:tcW w:w="0" w:type="auto"/>
          </w:tcPr>
          <w:p w14:paraId="0611C057"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1,398</w:t>
            </w:r>
          </w:p>
        </w:tc>
      </w:tr>
      <w:tr w:rsidR="00851F5D" w:rsidRPr="0086482B" w14:paraId="753B8E94" w14:textId="77777777" w:rsidTr="00C70D51">
        <w:tc>
          <w:tcPr>
            <w:tcW w:w="0" w:type="auto"/>
          </w:tcPr>
          <w:p w14:paraId="642D200A"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Deduplication</w:t>
            </w:r>
          </w:p>
        </w:tc>
        <w:tc>
          <w:tcPr>
            <w:tcW w:w="0" w:type="auto"/>
          </w:tcPr>
          <w:p w14:paraId="32331725"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Duplicates removed (title/author/year/DOI match)</w:t>
            </w:r>
          </w:p>
        </w:tc>
        <w:tc>
          <w:tcPr>
            <w:tcW w:w="0" w:type="auto"/>
          </w:tcPr>
          <w:p w14:paraId="6D0BB56A"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8,796</w:t>
            </w:r>
          </w:p>
        </w:tc>
      </w:tr>
      <w:tr w:rsidR="00851F5D" w:rsidRPr="0086482B" w14:paraId="5B08AC52" w14:textId="77777777" w:rsidTr="00C70D51">
        <w:tc>
          <w:tcPr>
            <w:tcW w:w="0" w:type="auto"/>
          </w:tcPr>
          <w:p w14:paraId="08D9B356"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Screening</w:t>
            </w:r>
          </w:p>
        </w:tc>
        <w:tc>
          <w:tcPr>
            <w:tcW w:w="0" w:type="auto"/>
          </w:tcPr>
          <w:p w14:paraId="22C1AF8E"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Records screened for relevance and metadata completeness</w:t>
            </w:r>
          </w:p>
        </w:tc>
        <w:tc>
          <w:tcPr>
            <w:tcW w:w="0" w:type="auto"/>
          </w:tcPr>
          <w:p w14:paraId="7B788EBC"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3,000</w:t>
            </w:r>
          </w:p>
        </w:tc>
      </w:tr>
      <w:tr w:rsidR="00851F5D" w:rsidRPr="0086482B" w14:paraId="6215A3EB" w14:textId="77777777" w:rsidTr="00C70D51">
        <w:tc>
          <w:tcPr>
            <w:tcW w:w="0" w:type="auto"/>
          </w:tcPr>
          <w:p w14:paraId="76C7A086"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Eligibility</w:t>
            </w:r>
          </w:p>
        </w:tc>
        <w:tc>
          <w:tcPr>
            <w:tcW w:w="0" w:type="auto"/>
          </w:tcPr>
          <w:p w14:paraId="6366339B"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Excluded: incomplete metadata (6), non-relevant (12), zero-citation (18), other (4)</w:t>
            </w:r>
          </w:p>
        </w:tc>
        <w:tc>
          <w:tcPr>
            <w:tcW w:w="0" w:type="auto"/>
          </w:tcPr>
          <w:p w14:paraId="62D6B61F"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40</w:t>
            </w:r>
          </w:p>
        </w:tc>
      </w:tr>
      <w:tr w:rsidR="00851F5D" w:rsidRPr="0086482B" w14:paraId="619B9580" w14:textId="77777777" w:rsidTr="00C70D51">
        <w:tc>
          <w:tcPr>
            <w:tcW w:w="0" w:type="auto"/>
          </w:tcPr>
          <w:p w14:paraId="733E5458"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Included</w:t>
            </w:r>
          </w:p>
        </w:tc>
        <w:tc>
          <w:tcPr>
            <w:tcW w:w="0" w:type="auto"/>
          </w:tcPr>
          <w:p w14:paraId="3936BC57"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Final records analyzed in bibliometric mapping</w:t>
            </w:r>
          </w:p>
        </w:tc>
        <w:tc>
          <w:tcPr>
            <w:tcW w:w="0" w:type="auto"/>
          </w:tcPr>
          <w:p w14:paraId="03E41F90" w14:textId="77777777" w:rsidR="00851F5D" w:rsidRPr="0086482B" w:rsidRDefault="00851F5D" w:rsidP="0086482B">
            <w:pPr>
              <w:jc w:val="both"/>
              <w:rPr>
                <w:rFonts w:ascii="Myriad Pro" w:hAnsi="Myriad Pro" w:cs="Times New Roman"/>
                <w:sz w:val="24"/>
                <w:szCs w:val="24"/>
              </w:rPr>
            </w:pPr>
            <w:r w:rsidRPr="0086482B">
              <w:rPr>
                <w:rStyle w:val="Strong"/>
                <w:rFonts w:ascii="Myriad Pro" w:hAnsi="Myriad Pro" w:cs="Times New Roman"/>
                <w:sz w:val="24"/>
                <w:szCs w:val="24"/>
              </w:rPr>
              <w:t>2,960</w:t>
            </w:r>
          </w:p>
        </w:tc>
      </w:tr>
    </w:tbl>
    <w:p w14:paraId="28C34690" w14:textId="77777777" w:rsidR="00851F5D" w:rsidRPr="0086482B" w:rsidRDefault="00851F5D" w:rsidP="0086482B">
      <w:pPr>
        <w:pStyle w:val="NormalWeb"/>
        <w:spacing w:afterAutospacing="0"/>
        <w:jc w:val="both"/>
        <w:rPr>
          <w:rFonts w:ascii="Myriad Pro" w:hAnsi="Myriad Pro"/>
        </w:rPr>
      </w:pPr>
      <w:r w:rsidRPr="0086482B">
        <w:rPr>
          <w:rStyle w:val="Strong"/>
          <w:rFonts w:ascii="Myriad Pro" w:hAnsi="Myriad Pro"/>
        </w:rPr>
        <w:t>Computation verification:</w:t>
      </w:r>
      <w:r w:rsidRPr="0086482B">
        <w:rPr>
          <w:rFonts w:ascii="Myriad Pro" w:hAnsi="Myriad Pro"/>
        </w:rPr>
        <w:t xml:space="preserve"> 11,796 − 8,796 = 3,000 screened → 3,000 − 40 excluded = </w:t>
      </w:r>
      <w:r w:rsidRPr="0086482B">
        <w:rPr>
          <w:rStyle w:val="Strong"/>
          <w:rFonts w:ascii="Myriad Pro" w:hAnsi="Myriad Pro"/>
        </w:rPr>
        <w:t>2,960 included</w:t>
      </w:r>
      <w:r w:rsidRPr="0086482B">
        <w:rPr>
          <w:rFonts w:ascii="Myriad Pro" w:hAnsi="Myriad Pro"/>
        </w:rPr>
        <w:t>.</w:t>
      </w:r>
    </w:p>
    <w:p w14:paraId="68B85BF5" w14:textId="77777777" w:rsidR="00821640" w:rsidRPr="0086482B" w:rsidRDefault="00821640" w:rsidP="0086482B">
      <w:pPr>
        <w:pStyle w:val="NoSpacing"/>
        <w:jc w:val="both"/>
        <w:rPr>
          <w:rFonts w:ascii="Myriad Pro" w:hAnsi="Myriad Pro" w:cs="Arial"/>
          <w:b/>
          <w:bCs/>
          <w:sz w:val="24"/>
          <w:szCs w:val="24"/>
        </w:rPr>
      </w:pPr>
    </w:p>
    <w:p w14:paraId="083794EC" w14:textId="68FE27CE" w:rsidR="00A75672" w:rsidRPr="00821640" w:rsidRDefault="009A0E0E" w:rsidP="0086482B">
      <w:pPr>
        <w:pStyle w:val="NoSpacing"/>
        <w:jc w:val="both"/>
        <w:rPr>
          <w:rFonts w:ascii="Myriad Pro" w:hAnsi="Myriad Pro" w:cs="Arial"/>
          <w:b/>
          <w:bCs/>
          <w:sz w:val="26"/>
          <w:szCs w:val="26"/>
        </w:rPr>
      </w:pPr>
      <w:r w:rsidRPr="00821640">
        <w:rPr>
          <w:rFonts w:ascii="Myriad Pro" w:hAnsi="Myriad Pro" w:cs="Arial"/>
          <w:b/>
          <w:bCs/>
          <w:sz w:val="26"/>
          <w:szCs w:val="26"/>
        </w:rPr>
        <w:t>RESULTS AND DISCUSSIONS</w:t>
      </w:r>
    </w:p>
    <w:p w14:paraId="3B790961" w14:textId="57D94120" w:rsidR="002F2076" w:rsidRPr="0086482B" w:rsidRDefault="002F2076" w:rsidP="0086482B">
      <w:pPr>
        <w:pStyle w:val="NormalWeb"/>
        <w:ind w:firstLine="720"/>
        <w:jc w:val="both"/>
        <w:rPr>
          <w:rFonts w:ascii="Myriad Pro" w:hAnsi="Myriad Pro"/>
        </w:rPr>
      </w:pPr>
      <w:r w:rsidRPr="0086482B">
        <w:rPr>
          <w:rFonts w:ascii="Myriad Pro" w:hAnsi="Myriad Pro"/>
        </w:rPr>
        <w:t>This chapter presents, analyzes, and interprets the findings of the study based on the stated research objectives. The results are organized according to each objective and supported by tables and figures generated through bibliometric analysis using Publish or Perish, Microsoft Excel, and VOSviewer.</w:t>
      </w:r>
    </w:p>
    <w:p w14:paraId="44A43DE5" w14:textId="77777777" w:rsidR="00821640" w:rsidRPr="0086482B" w:rsidRDefault="00821640" w:rsidP="0086482B">
      <w:pPr>
        <w:pStyle w:val="NormalWeb"/>
        <w:jc w:val="both"/>
        <w:rPr>
          <w:rFonts w:ascii="Myriad Pro" w:hAnsi="Myriad Pro"/>
        </w:rPr>
      </w:pPr>
    </w:p>
    <w:p w14:paraId="2D69A7EE"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 Dominant themes and trends in TLE-related research from 2015–2025</w:t>
      </w:r>
    </w:p>
    <w:p w14:paraId="495C1932" w14:textId="77777777" w:rsidR="002F2076" w:rsidRPr="0086482B" w:rsidRDefault="002F2076" w:rsidP="0086482B">
      <w:pPr>
        <w:pStyle w:val="NormalWeb"/>
        <w:jc w:val="both"/>
        <w:rPr>
          <w:rFonts w:ascii="Myriad Pro" w:hAnsi="Myriad Pro"/>
        </w:rPr>
      </w:pPr>
      <w:r w:rsidRPr="0086482B">
        <w:rPr>
          <w:rFonts w:ascii="Myriad Pro" w:hAnsi="Myriad Pro"/>
        </w:rPr>
        <w:t>A comprehensive bibliometric analysis was conducted using the deduplicated master dataset extracted from Publish or Perish and organized through Microsoft Excel. Visualization and mapping were performed using VOSviewer (v1.6.x).</w:t>
      </w:r>
    </w:p>
    <w:p w14:paraId="36708396" w14:textId="268D3506" w:rsidR="002F2076" w:rsidRPr="0086482B" w:rsidRDefault="002F2076" w:rsidP="0086482B">
      <w:pPr>
        <w:pStyle w:val="NormalWeb"/>
        <w:jc w:val="both"/>
        <w:rPr>
          <w:rFonts w:ascii="Myriad Pro" w:hAnsi="Myriad Pro"/>
        </w:rPr>
      </w:pPr>
      <w:r w:rsidRPr="0086482B">
        <w:rPr>
          <w:rFonts w:ascii="Myriad Pro" w:hAnsi="Myriad Pro"/>
        </w:rPr>
        <w:t xml:space="preserve">Across the five databases—Scopus, CrossRef, Semantic Scholar, Google Scholar, and PubMed—a total of </w:t>
      </w:r>
      <w:r w:rsidRPr="0086482B">
        <w:rPr>
          <w:rStyle w:val="Strong"/>
          <w:rFonts w:ascii="Myriad Pro" w:hAnsi="Myriad Pro"/>
        </w:rPr>
        <w:t>11,796 records</w:t>
      </w:r>
      <w:r w:rsidRPr="0086482B">
        <w:rPr>
          <w:rFonts w:ascii="Myriad Pro" w:hAnsi="Myriad Pro"/>
        </w:rPr>
        <w:t xml:space="preserve"> were identified. Following manual deduplication based on DOI, title, author, and publication year, </w:t>
      </w:r>
      <w:r w:rsidRPr="0086482B">
        <w:rPr>
          <w:rStyle w:val="Strong"/>
          <w:rFonts w:ascii="Myriad Pro" w:hAnsi="Myriad Pro"/>
        </w:rPr>
        <w:t>8,796 duplicate entries</w:t>
      </w:r>
      <w:r w:rsidRPr="0086482B">
        <w:rPr>
          <w:rFonts w:ascii="Myriad Pro" w:hAnsi="Myriad Pro"/>
        </w:rPr>
        <w:t xml:space="preserve"> were removed, resulting in </w:t>
      </w:r>
      <w:r w:rsidRPr="0086482B">
        <w:rPr>
          <w:rStyle w:val="Strong"/>
          <w:rFonts w:ascii="Myriad Pro" w:hAnsi="Myriad Pro"/>
        </w:rPr>
        <w:t>3,000 unique records</w:t>
      </w:r>
      <w:r w:rsidRPr="0086482B">
        <w:rPr>
          <w:rFonts w:ascii="Myriad Pro" w:hAnsi="Myriad Pro"/>
        </w:rPr>
        <w:t xml:space="preserve"> for initial screening. During the screening process, </w:t>
      </w:r>
      <w:r w:rsidRPr="0086482B">
        <w:rPr>
          <w:rStyle w:val="Strong"/>
          <w:rFonts w:ascii="Myriad Pro" w:hAnsi="Myriad Pro"/>
        </w:rPr>
        <w:t>40 records</w:t>
      </w:r>
      <w:r w:rsidRPr="0086482B">
        <w:rPr>
          <w:rFonts w:ascii="Myriad Pro" w:hAnsi="Myriad Pro"/>
        </w:rPr>
        <w:t xml:space="preserve"> were excluded due to incomplete metadata (n = 6), non-relevant topics (n = 12), zero-citation or missing keyword data (n = 18), and minor inconsistencies (n = 4). This resulted in a final dataset of </w:t>
      </w:r>
      <w:r w:rsidRPr="0086482B">
        <w:rPr>
          <w:rStyle w:val="Strong"/>
          <w:rFonts w:ascii="Myriad Pro" w:hAnsi="Myriad Pro"/>
        </w:rPr>
        <w:t>2,960 records</w:t>
      </w:r>
      <w:r w:rsidRPr="0086482B">
        <w:rPr>
          <w:rFonts w:ascii="Myriad Pro" w:hAnsi="Myriad Pro"/>
        </w:rPr>
        <w:t xml:space="preserve"> included for bibliometric mapping and analysis. This process followed the PRISMA 2020 guidelines, ensuring transparency and methodological rigor.</w:t>
      </w:r>
    </w:p>
    <w:p w14:paraId="1574E471"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Table 1. Characteristics of Included Studies</w:t>
      </w:r>
    </w:p>
    <w:tbl>
      <w:tblPr>
        <w:tblStyle w:val="TableGrid"/>
        <w:tblW w:w="0" w:type="auto"/>
        <w:tblLook w:val="04A0" w:firstRow="1" w:lastRow="0" w:firstColumn="1" w:lastColumn="0" w:noHBand="0" w:noVBand="1"/>
      </w:tblPr>
      <w:tblGrid>
        <w:gridCol w:w="1936"/>
        <w:gridCol w:w="1090"/>
        <w:gridCol w:w="2830"/>
        <w:gridCol w:w="1177"/>
        <w:gridCol w:w="948"/>
        <w:gridCol w:w="1502"/>
        <w:gridCol w:w="973"/>
      </w:tblGrid>
      <w:tr w:rsidR="002F2076" w:rsidRPr="0086482B" w14:paraId="6D4CE77B" w14:textId="77777777" w:rsidTr="002F2076">
        <w:tc>
          <w:tcPr>
            <w:tcW w:w="0" w:type="auto"/>
            <w:hideMark/>
          </w:tcPr>
          <w:p w14:paraId="406C7973"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Keyword</w:t>
            </w:r>
          </w:p>
        </w:tc>
        <w:tc>
          <w:tcPr>
            <w:tcW w:w="0" w:type="auto"/>
            <w:hideMark/>
          </w:tcPr>
          <w:p w14:paraId="1C7C05AC"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Source</w:t>
            </w:r>
          </w:p>
        </w:tc>
        <w:tc>
          <w:tcPr>
            <w:tcW w:w="0" w:type="auto"/>
            <w:hideMark/>
          </w:tcPr>
          <w:p w14:paraId="5CF2699B"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Database</w:t>
            </w:r>
          </w:p>
        </w:tc>
        <w:tc>
          <w:tcPr>
            <w:tcW w:w="0" w:type="auto"/>
            <w:hideMark/>
          </w:tcPr>
          <w:p w14:paraId="5ACA3C25"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Year Range</w:t>
            </w:r>
          </w:p>
        </w:tc>
        <w:tc>
          <w:tcPr>
            <w:tcW w:w="0" w:type="auto"/>
            <w:hideMark/>
          </w:tcPr>
          <w:p w14:paraId="1B72334E"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h-index</w:t>
            </w:r>
          </w:p>
        </w:tc>
        <w:tc>
          <w:tcPr>
            <w:tcW w:w="0" w:type="auto"/>
            <w:hideMark/>
          </w:tcPr>
          <w:p w14:paraId="07270557"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Total Citations</w:t>
            </w:r>
          </w:p>
        </w:tc>
        <w:tc>
          <w:tcPr>
            <w:tcW w:w="0" w:type="auto"/>
            <w:hideMark/>
          </w:tcPr>
          <w:p w14:paraId="7F049173"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Papers</w:t>
            </w:r>
          </w:p>
        </w:tc>
      </w:tr>
      <w:tr w:rsidR="002F2076" w:rsidRPr="0086482B" w14:paraId="532299C4" w14:textId="77777777" w:rsidTr="002F2076">
        <w:tc>
          <w:tcPr>
            <w:tcW w:w="0" w:type="auto"/>
            <w:hideMark/>
          </w:tcPr>
          <w:p w14:paraId="3A593984"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Digital Literacy</w:t>
            </w:r>
          </w:p>
        </w:tc>
        <w:tc>
          <w:tcPr>
            <w:tcW w:w="0" w:type="auto"/>
            <w:hideMark/>
          </w:tcPr>
          <w:p w14:paraId="0C006315"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Multiple</w:t>
            </w:r>
          </w:p>
        </w:tc>
        <w:tc>
          <w:tcPr>
            <w:tcW w:w="0" w:type="auto"/>
            <w:hideMark/>
          </w:tcPr>
          <w:p w14:paraId="05E5E636"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Scopus, CrossRef, Semantic Scholar</w:t>
            </w:r>
          </w:p>
        </w:tc>
        <w:tc>
          <w:tcPr>
            <w:tcW w:w="0" w:type="auto"/>
            <w:hideMark/>
          </w:tcPr>
          <w:p w14:paraId="5FBD6754"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2015–2025</w:t>
            </w:r>
          </w:p>
        </w:tc>
        <w:tc>
          <w:tcPr>
            <w:tcW w:w="0" w:type="auto"/>
            <w:hideMark/>
          </w:tcPr>
          <w:p w14:paraId="0031E6D3"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47</w:t>
            </w:r>
          </w:p>
        </w:tc>
        <w:tc>
          <w:tcPr>
            <w:tcW w:w="0" w:type="auto"/>
            <w:hideMark/>
          </w:tcPr>
          <w:p w14:paraId="1570CFF2"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72,291 (max)</w:t>
            </w:r>
          </w:p>
        </w:tc>
        <w:tc>
          <w:tcPr>
            <w:tcW w:w="0" w:type="auto"/>
            <w:hideMark/>
          </w:tcPr>
          <w:p w14:paraId="23E63F99"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1000</w:t>
            </w:r>
          </w:p>
        </w:tc>
      </w:tr>
      <w:tr w:rsidR="002F2076" w:rsidRPr="0086482B" w14:paraId="564C7D02" w14:textId="77777777" w:rsidTr="002F2076">
        <w:tc>
          <w:tcPr>
            <w:tcW w:w="0" w:type="auto"/>
            <w:hideMark/>
          </w:tcPr>
          <w:p w14:paraId="7171E7AA"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ICT Integration</w:t>
            </w:r>
          </w:p>
        </w:tc>
        <w:tc>
          <w:tcPr>
            <w:tcW w:w="0" w:type="auto"/>
            <w:hideMark/>
          </w:tcPr>
          <w:p w14:paraId="39D16170"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Multiple</w:t>
            </w:r>
          </w:p>
        </w:tc>
        <w:tc>
          <w:tcPr>
            <w:tcW w:w="0" w:type="auto"/>
            <w:hideMark/>
          </w:tcPr>
          <w:p w14:paraId="3093E91E"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Semantic Scholar, Google Scholar, CrossRef</w:t>
            </w:r>
          </w:p>
        </w:tc>
        <w:tc>
          <w:tcPr>
            <w:tcW w:w="0" w:type="auto"/>
            <w:hideMark/>
          </w:tcPr>
          <w:p w14:paraId="3562FF29"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2015–2025</w:t>
            </w:r>
          </w:p>
        </w:tc>
        <w:tc>
          <w:tcPr>
            <w:tcW w:w="0" w:type="auto"/>
            <w:hideMark/>
          </w:tcPr>
          <w:p w14:paraId="31E3AAE0"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42</w:t>
            </w:r>
          </w:p>
        </w:tc>
        <w:tc>
          <w:tcPr>
            <w:tcW w:w="0" w:type="auto"/>
            <w:hideMark/>
          </w:tcPr>
          <w:p w14:paraId="061F2B32"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57,481 (max)</w:t>
            </w:r>
          </w:p>
        </w:tc>
        <w:tc>
          <w:tcPr>
            <w:tcW w:w="0" w:type="auto"/>
            <w:hideMark/>
          </w:tcPr>
          <w:p w14:paraId="74C8CC24"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1000</w:t>
            </w:r>
          </w:p>
        </w:tc>
      </w:tr>
      <w:tr w:rsidR="002F2076" w:rsidRPr="0086482B" w14:paraId="02FB6C1F" w14:textId="77777777" w:rsidTr="002F2076">
        <w:tc>
          <w:tcPr>
            <w:tcW w:w="0" w:type="auto"/>
            <w:hideMark/>
          </w:tcPr>
          <w:p w14:paraId="4F64A059"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lastRenderedPageBreak/>
              <w:t>Science High Schools</w:t>
            </w:r>
          </w:p>
        </w:tc>
        <w:tc>
          <w:tcPr>
            <w:tcW w:w="0" w:type="auto"/>
            <w:hideMark/>
          </w:tcPr>
          <w:p w14:paraId="62686260"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Multiple</w:t>
            </w:r>
          </w:p>
        </w:tc>
        <w:tc>
          <w:tcPr>
            <w:tcW w:w="0" w:type="auto"/>
            <w:hideMark/>
          </w:tcPr>
          <w:p w14:paraId="5992FA3B"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Google Scholar, Semantic Scholar, Scopus</w:t>
            </w:r>
          </w:p>
        </w:tc>
        <w:tc>
          <w:tcPr>
            <w:tcW w:w="0" w:type="auto"/>
            <w:hideMark/>
          </w:tcPr>
          <w:p w14:paraId="76967ED9"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2015–2025</w:t>
            </w:r>
          </w:p>
        </w:tc>
        <w:tc>
          <w:tcPr>
            <w:tcW w:w="0" w:type="auto"/>
            <w:hideMark/>
          </w:tcPr>
          <w:p w14:paraId="068D4DBC"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86</w:t>
            </w:r>
          </w:p>
        </w:tc>
        <w:tc>
          <w:tcPr>
            <w:tcW w:w="0" w:type="auto"/>
            <w:hideMark/>
          </w:tcPr>
          <w:p w14:paraId="75EBE55C"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151,578 (max)</w:t>
            </w:r>
          </w:p>
        </w:tc>
        <w:tc>
          <w:tcPr>
            <w:tcW w:w="0" w:type="auto"/>
            <w:hideMark/>
          </w:tcPr>
          <w:p w14:paraId="75CADFDF"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1000</w:t>
            </w:r>
          </w:p>
        </w:tc>
      </w:tr>
      <w:tr w:rsidR="002F2076" w:rsidRPr="0086482B" w14:paraId="1BE798D9" w14:textId="77777777" w:rsidTr="002F2076">
        <w:tc>
          <w:tcPr>
            <w:tcW w:w="0" w:type="auto"/>
            <w:hideMark/>
          </w:tcPr>
          <w:p w14:paraId="026F895A"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Teacher Deployment</w:t>
            </w:r>
          </w:p>
        </w:tc>
        <w:tc>
          <w:tcPr>
            <w:tcW w:w="0" w:type="auto"/>
            <w:hideMark/>
          </w:tcPr>
          <w:p w14:paraId="0BF4FBFF"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Multiple</w:t>
            </w:r>
          </w:p>
        </w:tc>
        <w:tc>
          <w:tcPr>
            <w:tcW w:w="0" w:type="auto"/>
            <w:hideMark/>
          </w:tcPr>
          <w:p w14:paraId="507415E3"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Semantic Scholar, Google Scholar, Scopus</w:t>
            </w:r>
          </w:p>
        </w:tc>
        <w:tc>
          <w:tcPr>
            <w:tcW w:w="0" w:type="auto"/>
            <w:hideMark/>
          </w:tcPr>
          <w:p w14:paraId="107876C9"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2015–2025</w:t>
            </w:r>
          </w:p>
        </w:tc>
        <w:tc>
          <w:tcPr>
            <w:tcW w:w="0" w:type="auto"/>
            <w:hideMark/>
          </w:tcPr>
          <w:p w14:paraId="7871ABB2"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35</w:t>
            </w:r>
          </w:p>
        </w:tc>
        <w:tc>
          <w:tcPr>
            <w:tcW w:w="0" w:type="auto"/>
            <w:hideMark/>
          </w:tcPr>
          <w:p w14:paraId="3BD4D216"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43,514 (max)</w:t>
            </w:r>
          </w:p>
        </w:tc>
        <w:tc>
          <w:tcPr>
            <w:tcW w:w="0" w:type="auto"/>
            <w:hideMark/>
          </w:tcPr>
          <w:p w14:paraId="6E8C6ABC"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1000</w:t>
            </w:r>
          </w:p>
        </w:tc>
      </w:tr>
      <w:tr w:rsidR="002F2076" w:rsidRPr="0086482B" w14:paraId="3C5C4891" w14:textId="77777777" w:rsidTr="002F2076">
        <w:tc>
          <w:tcPr>
            <w:tcW w:w="0" w:type="auto"/>
            <w:hideMark/>
          </w:tcPr>
          <w:p w14:paraId="1EDF7BB3"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TLE</w:t>
            </w:r>
          </w:p>
        </w:tc>
        <w:tc>
          <w:tcPr>
            <w:tcW w:w="0" w:type="auto"/>
            <w:hideMark/>
          </w:tcPr>
          <w:p w14:paraId="7E9944B6"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Multiple</w:t>
            </w:r>
          </w:p>
        </w:tc>
        <w:tc>
          <w:tcPr>
            <w:tcW w:w="0" w:type="auto"/>
            <w:hideMark/>
          </w:tcPr>
          <w:p w14:paraId="58EDED48"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Semantic Scholar, Scopus, CrossRef</w:t>
            </w:r>
          </w:p>
        </w:tc>
        <w:tc>
          <w:tcPr>
            <w:tcW w:w="0" w:type="auto"/>
            <w:hideMark/>
          </w:tcPr>
          <w:p w14:paraId="3AB4C40A"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2015–2025</w:t>
            </w:r>
          </w:p>
        </w:tc>
        <w:tc>
          <w:tcPr>
            <w:tcW w:w="0" w:type="auto"/>
            <w:hideMark/>
          </w:tcPr>
          <w:p w14:paraId="43D18827"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12</w:t>
            </w:r>
          </w:p>
        </w:tc>
        <w:tc>
          <w:tcPr>
            <w:tcW w:w="0" w:type="auto"/>
            <w:hideMark/>
          </w:tcPr>
          <w:p w14:paraId="586115CF"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4,658 (max)</w:t>
            </w:r>
          </w:p>
        </w:tc>
        <w:tc>
          <w:tcPr>
            <w:tcW w:w="0" w:type="auto"/>
            <w:hideMark/>
          </w:tcPr>
          <w:p w14:paraId="1F8E97A5"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1000</w:t>
            </w:r>
          </w:p>
        </w:tc>
      </w:tr>
    </w:tbl>
    <w:p w14:paraId="57223BAA" w14:textId="1F84EB91" w:rsidR="002F2076" w:rsidRPr="0086482B" w:rsidRDefault="002F2076" w:rsidP="0086482B">
      <w:pPr>
        <w:pStyle w:val="NormalWeb"/>
        <w:jc w:val="both"/>
        <w:rPr>
          <w:rFonts w:ascii="Myriad Pro" w:hAnsi="Myriad Pro"/>
        </w:rPr>
      </w:pPr>
      <w:r w:rsidRPr="0086482B">
        <w:rPr>
          <w:rStyle w:val="Emphasis"/>
          <w:rFonts w:ascii="Myriad Pro" w:hAnsi="Myriad Pro"/>
        </w:rPr>
        <w:t>Source: Verified master dataset (October 10, 2025).</w:t>
      </w:r>
    </w:p>
    <w:p w14:paraId="5757DE18" w14:textId="77777777" w:rsidR="002F2076" w:rsidRPr="0086482B" w:rsidRDefault="002F2076" w:rsidP="0086482B">
      <w:pPr>
        <w:pStyle w:val="NormalWeb"/>
        <w:jc w:val="both"/>
        <w:rPr>
          <w:rFonts w:ascii="Myriad Pro" w:hAnsi="Myriad Pro"/>
        </w:rPr>
      </w:pPr>
      <w:r w:rsidRPr="0086482B">
        <w:rPr>
          <w:rFonts w:ascii="Myriad Pro" w:hAnsi="Myriad Pro"/>
        </w:rPr>
        <w:t>The results reveal two dominant thematic clusters derived from keyword co-occurrence analysis.</w:t>
      </w:r>
    </w:p>
    <w:p w14:paraId="60F029CA" w14:textId="77777777" w:rsidR="002F2076" w:rsidRPr="0086482B" w:rsidRDefault="002F2076" w:rsidP="0086482B">
      <w:pPr>
        <w:pStyle w:val="NormalWeb"/>
        <w:jc w:val="both"/>
        <w:rPr>
          <w:rFonts w:ascii="Myriad Pro" w:hAnsi="Myriad Pro"/>
        </w:rPr>
      </w:pPr>
      <w:r w:rsidRPr="0086482B">
        <w:rPr>
          <w:rStyle w:val="Strong"/>
          <w:rFonts w:ascii="Myriad Pro" w:hAnsi="Myriad Pro"/>
        </w:rPr>
        <w:t>Cluster 1</w:t>
      </w:r>
      <w:r w:rsidRPr="0086482B">
        <w:rPr>
          <w:rFonts w:ascii="Myriad Pro" w:hAnsi="Myriad Pro"/>
        </w:rPr>
        <w:t xml:space="preserve"> focuses on </w:t>
      </w:r>
      <w:r w:rsidRPr="0086482B">
        <w:rPr>
          <w:rStyle w:val="Emphasis"/>
          <w:rFonts w:ascii="Myriad Pro" w:hAnsi="Myriad Pro"/>
        </w:rPr>
        <w:t>digital literacy, teacher education, and TLE</w:t>
      </w:r>
      <w:r w:rsidRPr="0086482B">
        <w:rPr>
          <w:rFonts w:ascii="Myriad Pro" w:hAnsi="Myriad Pro"/>
        </w:rPr>
        <w:t>. This cluster exhibited dense interconnections, high keyword co-occurrence, and strong citation impact. The overlay visualization shows that these themes have become increasingly prominent from 2020 to 2024, indicating a growing emphasis on digital transformation in education.</w:t>
      </w:r>
    </w:p>
    <w:p w14:paraId="656D8B00" w14:textId="5B5DC766" w:rsidR="002F2076" w:rsidRPr="0086482B" w:rsidRDefault="002F2076" w:rsidP="0086482B">
      <w:pPr>
        <w:pStyle w:val="NormalWeb"/>
        <w:jc w:val="both"/>
        <w:rPr>
          <w:rFonts w:ascii="Myriad Pro" w:hAnsi="Myriad Pro"/>
        </w:rPr>
      </w:pPr>
      <w:r w:rsidRPr="0086482B">
        <w:rPr>
          <w:rStyle w:val="Strong"/>
          <w:rFonts w:ascii="Myriad Pro" w:hAnsi="Myriad Pro"/>
        </w:rPr>
        <w:t>Cluster 2</w:t>
      </w:r>
      <w:r w:rsidRPr="0086482B">
        <w:rPr>
          <w:rFonts w:ascii="Myriad Pro" w:hAnsi="Myriad Pro"/>
        </w:rPr>
        <w:t xml:space="preserve"> centers on </w:t>
      </w:r>
      <w:r w:rsidRPr="0086482B">
        <w:rPr>
          <w:rStyle w:val="Emphasis"/>
          <w:rFonts w:ascii="Myriad Pro" w:hAnsi="Myriad Pro"/>
        </w:rPr>
        <w:t>livelihood and livelihood strategy</w:t>
      </w:r>
      <w:r w:rsidRPr="0086482B">
        <w:rPr>
          <w:rFonts w:ascii="Myriad Pro" w:hAnsi="Myriad Pro"/>
        </w:rPr>
        <w:t>. Although smaller in node size, this cluster demonstrated strong internal cohesion. However, its average publication period (2016–2019) suggests that it represents earlier foundational research with slower recent growth.</w:t>
      </w:r>
    </w:p>
    <w:p w14:paraId="37B77EAE" w14:textId="15839EE6" w:rsidR="001C24F0" w:rsidRPr="0086482B" w:rsidRDefault="001C24F0" w:rsidP="0086482B">
      <w:pPr>
        <w:pStyle w:val="NormalWeb"/>
        <w:jc w:val="both"/>
        <w:rPr>
          <w:rFonts w:ascii="Myriad Pro" w:hAnsi="Myriad Pro"/>
        </w:rPr>
      </w:pPr>
    </w:p>
    <w:p w14:paraId="75738E2E" w14:textId="77777777" w:rsidR="001C24F0" w:rsidRPr="0086482B" w:rsidRDefault="001C24F0" w:rsidP="0086482B">
      <w:pPr>
        <w:pStyle w:val="NormalWeb"/>
        <w:jc w:val="both"/>
        <w:rPr>
          <w:rFonts w:ascii="Myriad Pro" w:hAnsi="Myriad Pro"/>
        </w:rPr>
      </w:pPr>
    </w:p>
    <w:p w14:paraId="326ACDC2" w14:textId="77777777" w:rsidR="001C24F0" w:rsidRPr="0086482B" w:rsidRDefault="001C24F0" w:rsidP="0086482B">
      <w:pPr>
        <w:jc w:val="both"/>
        <w:rPr>
          <w:rFonts w:ascii="Myriad Pro" w:hAnsi="Myriad Pro"/>
          <w:i/>
          <w:iCs/>
          <w:sz w:val="24"/>
          <w:szCs w:val="24"/>
        </w:rPr>
      </w:pPr>
      <w:r w:rsidRPr="0086482B">
        <w:rPr>
          <w:rFonts w:ascii="Myriad Pro" w:hAnsi="Myriad Pro"/>
          <w:noProof/>
          <w:sz w:val="24"/>
          <w:szCs w:val="24"/>
        </w:rPr>
        <w:drawing>
          <wp:inline distT="0" distB="0" distL="114300" distR="114300" wp14:anchorId="69DC0AD9" wp14:editId="70B79416">
            <wp:extent cx="6515100" cy="3375197"/>
            <wp:effectExtent l="0" t="0" r="0" b="0"/>
            <wp:docPr id="8" name="Picture 8" descr="networkvis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tworkvisualization"/>
                    <pic:cNvPicPr>
                      <a:picLocks noChangeAspect="1"/>
                    </pic:cNvPicPr>
                  </pic:nvPicPr>
                  <pic:blipFill>
                    <a:blip r:embed="rId7"/>
                    <a:stretch>
                      <a:fillRect/>
                    </a:stretch>
                  </pic:blipFill>
                  <pic:spPr>
                    <a:xfrm>
                      <a:off x="0" y="0"/>
                      <a:ext cx="6589370" cy="3413673"/>
                    </a:xfrm>
                    <a:prstGeom prst="rect">
                      <a:avLst/>
                    </a:prstGeom>
                  </pic:spPr>
                </pic:pic>
              </a:graphicData>
            </a:graphic>
          </wp:inline>
        </w:drawing>
      </w:r>
    </w:p>
    <w:p w14:paraId="49C4725C" w14:textId="77777777" w:rsidR="001C24F0" w:rsidRPr="0086482B" w:rsidRDefault="001C24F0" w:rsidP="0086482B">
      <w:pPr>
        <w:spacing w:after="0"/>
        <w:jc w:val="both"/>
        <w:rPr>
          <w:rFonts w:ascii="Myriad Pro" w:hAnsi="Myriad Pro"/>
          <w:sz w:val="24"/>
          <w:szCs w:val="24"/>
        </w:rPr>
      </w:pPr>
      <w:r w:rsidRPr="0086482B">
        <w:rPr>
          <w:rFonts w:ascii="Myriad Pro" w:hAnsi="Myriad Pro"/>
          <w:sz w:val="24"/>
          <w:szCs w:val="24"/>
        </w:rPr>
        <w:t>Figure 1. Keyword Co-Occurrence Network (2015–2025)</w:t>
      </w:r>
    </w:p>
    <w:p w14:paraId="68043BC3" w14:textId="6CD42807" w:rsidR="002F2076" w:rsidRPr="0086482B" w:rsidRDefault="002F2076" w:rsidP="0086482B">
      <w:pPr>
        <w:spacing w:after="0"/>
        <w:ind w:firstLine="720"/>
        <w:jc w:val="both"/>
        <w:rPr>
          <w:rFonts w:ascii="Myriad Pro" w:hAnsi="Myriad Pro"/>
          <w:i/>
          <w:iCs/>
          <w:sz w:val="24"/>
          <w:szCs w:val="24"/>
        </w:rPr>
      </w:pPr>
      <w:r w:rsidRPr="0086482B">
        <w:rPr>
          <w:rFonts w:ascii="Myriad Pro" w:hAnsi="Myriad Pro"/>
          <w:i/>
          <w:iCs/>
          <w:sz w:val="24"/>
          <w:szCs w:val="24"/>
        </w:rPr>
        <w:t>Shows the interrelationship of major research themes including digital literacy, TLE, livelihood, and teacher education.</w:t>
      </w:r>
    </w:p>
    <w:p w14:paraId="2210750E" w14:textId="6C674BC3" w:rsidR="0086482B" w:rsidRPr="0086482B" w:rsidRDefault="0086482B" w:rsidP="0086482B">
      <w:pPr>
        <w:spacing w:after="0"/>
        <w:ind w:firstLine="720"/>
        <w:jc w:val="both"/>
        <w:rPr>
          <w:rFonts w:ascii="Myriad Pro" w:hAnsi="Myriad Pro"/>
          <w:i/>
          <w:iCs/>
          <w:sz w:val="24"/>
          <w:szCs w:val="24"/>
        </w:rPr>
      </w:pPr>
    </w:p>
    <w:p w14:paraId="51D26216" w14:textId="0F09D5B7" w:rsidR="0086482B" w:rsidRPr="0086482B" w:rsidRDefault="0086482B" w:rsidP="0086482B">
      <w:pPr>
        <w:spacing w:after="0"/>
        <w:ind w:firstLine="720"/>
        <w:jc w:val="both"/>
        <w:rPr>
          <w:rFonts w:ascii="Myriad Pro" w:hAnsi="Myriad Pro"/>
          <w:i/>
          <w:iCs/>
          <w:sz w:val="24"/>
          <w:szCs w:val="24"/>
        </w:rPr>
      </w:pPr>
    </w:p>
    <w:p w14:paraId="07587A4B" w14:textId="77777777" w:rsidR="0086482B" w:rsidRPr="0086482B" w:rsidRDefault="0086482B" w:rsidP="0086482B">
      <w:pPr>
        <w:spacing w:after="0"/>
        <w:ind w:firstLine="720"/>
        <w:jc w:val="both"/>
        <w:rPr>
          <w:rFonts w:ascii="Myriad Pro" w:hAnsi="Myriad Pro"/>
          <w:i/>
          <w:iCs/>
          <w:sz w:val="24"/>
          <w:szCs w:val="24"/>
        </w:rPr>
      </w:pPr>
    </w:p>
    <w:p w14:paraId="69715BF8" w14:textId="52D52213" w:rsidR="001C24F0" w:rsidRPr="0086482B" w:rsidRDefault="001C24F0" w:rsidP="0086482B">
      <w:pPr>
        <w:jc w:val="both"/>
        <w:rPr>
          <w:rFonts w:ascii="Myriad Pro" w:hAnsi="Myriad Pro"/>
          <w:sz w:val="24"/>
          <w:szCs w:val="24"/>
        </w:rPr>
      </w:pPr>
      <w:r w:rsidRPr="0086482B">
        <w:rPr>
          <w:rFonts w:ascii="Myriad Pro" w:hAnsi="Myriad Pro" w:cs="Times New Roman"/>
          <w:noProof/>
          <w:sz w:val="24"/>
          <w:szCs w:val="24"/>
        </w:rPr>
        <w:lastRenderedPageBreak/>
        <w:drawing>
          <wp:inline distT="0" distB="0" distL="114300" distR="114300" wp14:anchorId="63A335F1" wp14:editId="6AB39441">
            <wp:extent cx="6309360" cy="3253016"/>
            <wp:effectExtent l="0" t="0" r="0" b="5080"/>
            <wp:docPr id="9" name="Picture 9" descr="overlay vis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verlay visualization"/>
                    <pic:cNvPicPr>
                      <a:picLocks noChangeAspect="1"/>
                    </pic:cNvPicPr>
                  </pic:nvPicPr>
                  <pic:blipFill>
                    <a:blip r:embed="rId8"/>
                    <a:stretch>
                      <a:fillRect/>
                    </a:stretch>
                  </pic:blipFill>
                  <pic:spPr>
                    <a:xfrm>
                      <a:off x="0" y="0"/>
                      <a:ext cx="6375465" cy="3287099"/>
                    </a:xfrm>
                    <a:prstGeom prst="rect">
                      <a:avLst/>
                    </a:prstGeom>
                  </pic:spPr>
                </pic:pic>
              </a:graphicData>
            </a:graphic>
          </wp:inline>
        </w:drawing>
      </w:r>
    </w:p>
    <w:p w14:paraId="3C6A2FAA" w14:textId="77777777" w:rsidR="001C24F0" w:rsidRPr="0086482B" w:rsidRDefault="001C24F0" w:rsidP="0086482B">
      <w:pPr>
        <w:spacing w:after="0"/>
        <w:jc w:val="both"/>
        <w:rPr>
          <w:rFonts w:ascii="Myriad Pro" w:hAnsi="Myriad Pro"/>
          <w:sz w:val="24"/>
          <w:szCs w:val="24"/>
        </w:rPr>
      </w:pPr>
      <w:r w:rsidRPr="0086482B">
        <w:rPr>
          <w:rFonts w:ascii="Myriad Pro" w:hAnsi="Myriad Pro"/>
          <w:sz w:val="24"/>
          <w:szCs w:val="24"/>
        </w:rPr>
        <w:t>Figure 2. Temporal Overlay of Keywords (2016–2024)</w:t>
      </w:r>
    </w:p>
    <w:p w14:paraId="0A6C85D3" w14:textId="50B36CE4" w:rsidR="002F2076" w:rsidRPr="0086482B" w:rsidRDefault="002F2076" w:rsidP="0086482B">
      <w:pPr>
        <w:spacing w:after="0"/>
        <w:jc w:val="both"/>
        <w:rPr>
          <w:rFonts w:ascii="Myriad Pro" w:hAnsi="Myriad Pro"/>
          <w:i/>
          <w:iCs/>
          <w:sz w:val="24"/>
          <w:szCs w:val="24"/>
        </w:rPr>
      </w:pPr>
      <w:r w:rsidRPr="0086482B">
        <w:rPr>
          <w:rFonts w:ascii="Myriad Pro" w:hAnsi="Myriad Pro"/>
          <w:i/>
          <w:iCs/>
          <w:sz w:val="24"/>
          <w:szCs w:val="24"/>
        </w:rPr>
        <w:t>Illustrates the evolution of research focus, highlighting the increasing prominence of digital literacy.</w:t>
      </w:r>
    </w:p>
    <w:p w14:paraId="0E654265" w14:textId="6E5DCBE4" w:rsidR="001C24F0" w:rsidRPr="0086482B" w:rsidRDefault="001C24F0" w:rsidP="0086482B">
      <w:pPr>
        <w:jc w:val="both"/>
        <w:rPr>
          <w:rFonts w:ascii="Myriad Pro" w:hAnsi="Myriad Pro"/>
          <w:sz w:val="24"/>
          <w:szCs w:val="24"/>
        </w:rPr>
      </w:pPr>
    </w:p>
    <w:p w14:paraId="67055C41" w14:textId="53B11E20" w:rsidR="0086482B" w:rsidRPr="0086482B" w:rsidRDefault="0086482B" w:rsidP="0086482B">
      <w:pPr>
        <w:jc w:val="both"/>
        <w:rPr>
          <w:rFonts w:ascii="Myriad Pro" w:hAnsi="Myriad Pro"/>
          <w:sz w:val="24"/>
          <w:szCs w:val="24"/>
        </w:rPr>
      </w:pPr>
    </w:p>
    <w:p w14:paraId="4CDD9CC6" w14:textId="77777777" w:rsidR="0086482B" w:rsidRPr="0086482B" w:rsidRDefault="0086482B" w:rsidP="0086482B">
      <w:pPr>
        <w:jc w:val="both"/>
        <w:rPr>
          <w:rFonts w:ascii="Myriad Pro" w:hAnsi="Myriad Pro"/>
          <w:sz w:val="24"/>
          <w:szCs w:val="24"/>
        </w:rPr>
      </w:pPr>
    </w:p>
    <w:p w14:paraId="1043A625" w14:textId="17D1737B" w:rsidR="001C24F0" w:rsidRPr="0086482B" w:rsidRDefault="001C24F0" w:rsidP="0086482B">
      <w:pPr>
        <w:jc w:val="both"/>
        <w:rPr>
          <w:rFonts w:ascii="Myriad Pro" w:hAnsi="Myriad Pro"/>
          <w:sz w:val="24"/>
          <w:szCs w:val="24"/>
        </w:rPr>
      </w:pPr>
      <w:r w:rsidRPr="0086482B">
        <w:rPr>
          <w:rFonts w:ascii="Myriad Pro" w:hAnsi="Myriad Pro" w:cs="Times New Roman"/>
          <w:noProof/>
          <w:sz w:val="24"/>
          <w:szCs w:val="24"/>
        </w:rPr>
        <w:drawing>
          <wp:anchor distT="0" distB="0" distL="114300" distR="114300" simplePos="0" relativeHeight="251681792" behindDoc="0" locked="0" layoutInCell="1" allowOverlap="1" wp14:anchorId="17C1DC91" wp14:editId="163044CF">
            <wp:simplePos x="0" y="0"/>
            <wp:positionH relativeFrom="margin">
              <wp:align>left</wp:align>
            </wp:positionH>
            <wp:positionV relativeFrom="paragraph">
              <wp:posOffset>12065</wp:posOffset>
            </wp:positionV>
            <wp:extent cx="5318760" cy="2868364"/>
            <wp:effectExtent l="0" t="0" r="0" b="8255"/>
            <wp:wrapNone/>
            <wp:docPr id="6" name="Picture 6" descr="vosviewer result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osviewer result density"/>
                    <pic:cNvPicPr>
                      <a:picLocks noChangeAspect="1"/>
                    </pic:cNvPicPr>
                  </pic:nvPicPr>
                  <pic:blipFill>
                    <a:blip r:embed="rId9"/>
                    <a:stretch>
                      <a:fillRect/>
                    </a:stretch>
                  </pic:blipFill>
                  <pic:spPr>
                    <a:xfrm>
                      <a:off x="0" y="0"/>
                      <a:ext cx="5335824" cy="2877566"/>
                    </a:xfrm>
                    <a:prstGeom prst="rect">
                      <a:avLst/>
                    </a:prstGeom>
                  </pic:spPr>
                </pic:pic>
              </a:graphicData>
            </a:graphic>
            <wp14:sizeRelH relativeFrom="margin">
              <wp14:pctWidth>0</wp14:pctWidth>
            </wp14:sizeRelH>
            <wp14:sizeRelV relativeFrom="margin">
              <wp14:pctHeight>0</wp14:pctHeight>
            </wp14:sizeRelV>
          </wp:anchor>
        </w:drawing>
      </w:r>
    </w:p>
    <w:p w14:paraId="377B5C31" w14:textId="5C1E62FC" w:rsidR="001C24F0" w:rsidRPr="0086482B" w:rsidRDefault="001C24F0" w:rsidP="0086482B">
      <w:pPr>
        <w:jc w:val="both"/>
        <w:rPr>
          <w:rFonts w:ascii="Myriad Pro" w:hAnsi="Myriad Pro"/>
          <w:sz w:val="24"/>
          <w:szCs w:val="24"/>
        </w:rPr>
      </w:pPr>
    </w:p>
    <w:p w14:paraId="38DE7EDC" w14:textId="6DDECF6F" w:rsidR="001C24F0" w:rsidRPr="0086482B" w:rsidRDefault="001C24F0" w:rsidP="0086482B">
      <w:pPr>
        <w:jc w:val="both"/>
        <w:rPr>
          <w:rFonts w:ascii="Myriad Pro" w:hAnsi="Myriad Pro"/>
          <w:sz w:val="24"/>
          <w:szCs w:val="24"/>
        </w:rPr>
      </w:pPr>
    </w:p>
    <w:p w14:paraId="34B9B7EF" w14:textId="2A902B10" w:rsidR="001C24F0" w:rsidRPr="0086482B" w:rsidRDefault="001C24F0" w:rsidP="0086482B">
      <w:pPr>
        <w:jc w:val="both"/>
        <w:rPr>
          <w:rFonts w:ascii="Myriad Pro" w:hAnsi="Myriad Pro"/>
          <w:sz w:val="24"/>
          <w:szCs w:val="24"/>
        </w:rPr>
      </w:pPr>
    </w:p>
    <w:p w14:paraId="77D0CF10" w14:textId="6778A265" w:rsidR="001C24F0" w:rsidRPr="0086482B" w:rsidRDefault="001C24F0" w:rsidP="0086482B">
      <w:pPr>
        <w:jc w:val="both"/>
        <w:rPr>
          <w:rFonts w:ascii="Myriad Pro" w:hAnsi="Myriad Pro"/>
          <w:sz w:val="24"/>
          <w:szCs w:val="24"/>
        </w:rPr>
      </w:pPr>
    </w:p>
    <w:p w14:paraId="19FAE6DE" w14:textId="77777777" w:rsidR="001C24F0" w:rsidRPr="0086482B" w:rsidRDefault="001C24F0" w:rsidP="0086482B">
      <w:pPr>
        <w:jc w:val="both"/>
        <w:rPr>
          <w:rFonts w:ascii="Myriad Pro" w:hAnsi="Myriad Pro"/>
          <w:sz w:val="24"/>
          <w:szCs w:val="24"/>
        </w:rPr>
      </w:pPr>
    </w:p>
    <w:p w14:paraId="3E4F6FB3" w14:textId="54CC8660" w:rsidR="001C24F0" w:rsidRPr="0086482B" w:rsidRDefault="001C24F0" w:rsidP="0086482B">
      <w:pPr>
        <w:jc w:val="both"/>
        <w:rPr>
          <w:rFonts w:ascii="Myriad Pro" w:hAnsi="Myriad Pro"/>
          <w:sz w:val="24"/>
          <w:szCs w:val="24"/>
        </w:rPr>
      </w:pPr>
    </w:p>
    <w:p w14:paraId="454BEE29" w14:textId="0CFC7A35" w:rsidR="0086482B" w:rsidRPr="0086482B" w:rsidRDefault="0086482B" w:rsidP="0086482B">
      <w:pPr>
        <w:jc w:val="both"/>
        <w:rPr>
          <w:rFonts w:ascii="Myriad Pro" w:hAnsi="Myriad Pro"/>
          <w:sz w:val="24"/>
          <w:szCs w:val="24"/>
        </w:rPr>
      </w:pPr>
    </w:p>
    <w:p w14:paraId="01BF2B3A" w14:textId="1DE9F9E2" w:rsidR="0086482B" w:rsidRPr="0086482B" w:rsidRDefault="0086482B" w:rsidP="0086482B">
      <w:pPr>
        <w:jc w:val="both"/>
        <w:rPr>
          <w:rFonts w:ascii="Myriad Pro" w:hAnsi="Myriad Pro"/>
          <w:sz w:val="24"/>
          <w:szCs w:val="24"/>
        </w:rPr>
      </w:pPr>
    </w:p>
    <w:p w14:paraId="34241438" w14:textId="77777777" w:rsidR="0086482B" w:rsidRPr="0086482B" w:rsidRDefault="0086482B" w:rsidP="0086482B">
      <w:pPr>
        <w:spacing w:after="0"/>
        <w:jc w:val="both"/>
        <w:rPr>
          <w:rFonts w:ascii="Myriad Pro" w:hAnsi="Myriad Pro"/>
          <w:sz w:val="24"/>
          <w:szCs w:val="24"/>
        </w:rPr>
      </w:pPr>
    </w:p>
    <w:p w14:paraId="0564141D" w14:textId="77777777" w:rsidR="001C24F0" w:rsidRPr="0086482B" w:rsidRDefault="001C24F0" w:rsidP="0086482B">
      <w:pPr>
        <w:spacing w:after="0"/>
        <w:jc w:val="both"/>
        <w:rPr>
          <w:rFonts w:ascii="Myriad Pro" w:hAnsi="Myriad Pro"/>
          <w:sz w:val="24"/>
          <w:szCs w:val="24"/>
        </w:rPr>
      </w:pPr>
      <w:r w:rsidRPr="0086482B">
        <w:rPr>
          <w:rFonts w:ascii="Myriad Pro" w:hAnsi="Myriad Pro"/>
          <w:sz w:val="24"/>
          <w:szCs w:val="24"/>
        </w:rPr>
        <w:t>Figure 3. Keyword Density Map</w:t>
      </w:r>
    </w:p>
    <w:p w14:paraId="005696C5" w14:textId="3BDC16D1" w:rsidR="002F2076" w:rsidRPr="0086482B" w:rsidRDefault="002F2076" w:rsidP="0086482B">
      <w:pPr>
        <w:spacing w:after="0"/>
        <w:jc w:val="both"/>
        <w:rPr>
          <w:rFonts w:ascii="Myriad Pro" w:hAnsi="Myriad Pro"/>
          <w:i/>
          <w:iCs/>
          <w:sz w:val="24"/>
          <w:szCs w:val="24"/>
        </w:rPr>
      </w:pPr>
      <w:r w:rsidRPr="0086482B">
        <w:rPr>
          <w:rFonts w:ascii="Myriad Pro" w:hAnsi="Myriad Pro"/>
          <w:i/>
          <w:iCs/>
          <w:sz w:val="24"/>
          <w:szCs w:val="24"/>
        </w:rPr>
        <w:t>Displays areas of high research concentration and thematic intensity.</w:t>
      </w:r>
    </w:p>
    <w:p w14:paraId="14E2B000" w14:textId="554F5462" w:rsidR="002F2076" w:rsidRPr="0086482B" w:rsidRDefault="002F2076" w:rsidP="0086482B">
      <w:pPr>
        <w:jc w:val="both"/>
        <w:rPr>
          <w:rFonts w:ascii="Myriad Pro" w:hAnsi="Myriad Pro"/>
          <w:sz w:val="24"/>
          <w:szCs w:val="24"/>
        </w:rPr>
      </w:pPr>
    </w:p>
    <w:p w14:paraId="5786BED3" w14:textId="4EE8622D" w:rsidR="002F2076" w:rsidRPr="0086482B" w:rsidRDefault="002F2076" w:rsidP="0086482B">
      <w:pPr>
        <w:jc w:val="both"/>
        <w:rPr>
          <w:rFonts w:ascii="Myriad Pro" w:hAnsi="Myriad Pro"/>
          <w:sz w:val="24"/>
          <w:szCs w:val="24"/>
        </w:rPr>
      </w:pPr>
      <w:r w:rsidRPr="0086482B">
        <w:rPr>
          <w:rFonts w:ascii="Myriad Pro" w:hAnsi="Myriad Pro"/>
          <w:sz w:val="24"/>
          <w:szCs w:val="24"/>
        </w:rPr>
        <w:t>Discussion</w:t>
      </w:r>
    </w:p>
    <w:p w14:paraId="7E209F7E" w14:textId="763D1F12" w:rsidR="002F2076" w:rsidRPr="0086482B" w:rsidRDefault="002F2076" w:rsidP="0086482B">
      <w:pPr>
        <w:pStyle w:val="NormalWeb"/>
        <w:ind w:firstLine="720"/>
        <w:jc w:val="both"/>
        <w:rPr>
          <w:rFonts w:ascii="Myriad Pro" w:hAnsi="Myriad Pro"/>
        </w:rPr>
      </w:pPr>
      <w:r w:rsidRPr="0086482B">
        <w:rPr>
          <w:rFonts w:ascii="Myriad Pro" w:hAnsi="Myriad Pro"/>
        </w:rPr>
        <w:t xml:space="preserve">The findings indicate that </w:t>
      </w:r>
      <w:r w:rsidRPr="0086482B">
        <w:rPr>
          <w:rStyle w:val="Strong"/>
          <w:rFonts w:ascii="Myriad Pro" w:hAnsi="Myriad Pro"/>
        </w:rPr>
        <w:t>digital literacy and teacher education dominate current TLE research</w:t>
      </w:r>
      <w:r w:rsidRPr="0086482B">
        <w:rPr>
          <w:rFonts w:ascii="Myriad Pro" w:hAnsi="Myriad Pro"/>
        </w:rPr>
        <w:t xml:space="preserve">, reflecting the increasing integration of technology in teaching and learning processes. This trend aligns with global studies emphasizing the importance of digital competencies in modern </w:t>
      </w:r>
      <w:r w:rsidRPr="0086482B">
        <w:rPr>
          <w:rFonts w:ascii="Myriad Pro" w:hAnsi="Myriad Pro"/>
        </w:rPr>
        <w:lastRenderedPageBreak/>
        <w:t>education (Rahman et al., 2023; Tinmaz et al., 2022).</w:t>
      </w:r>
      <w:r w:rsidR="0086482B" w:rsidRPr="0086482B">
        <w:rPr>
          <w:rFonts w:ascii="Myriad Pro" w:hAnsi="Myriad Pro"/>
        </w:rPr>
        <w:t xml:space="preserve"> </w:t>
      </w:r>
      <w:r w:rsidRPr="0086482B">
        <w:rPr>
          <w:rFonts w:ascii="Myriad Pro" w:hAnsi="Myriad Pro"/>
        </w:rPr>
        <w:t>In contrast, livelihood-related research, while foundational, has experienced slower growth, suggesting a shift in scholarly attention toward digital transformation. The results highlight the evolving priorities in TLE, where technological competencies are becoming central to curriculum and instruction.</w:t>
      </w:r>
    </w:p>
    <w:p w14:paraId="68A45D66" w14:textId="77777777" w:rsidR="0086482B" w:rsidRPr="0086482B" w:rsidRDefault="002F2076" w:rsidP="0086482B">
      <w:pPr>
        <w:jc w:val="both"/>
        <w:rPr>
          <w:rFonts w:ascii="Myriad Pro" w:hAnsi="Myriad Pro"/>
          <w:sz w:val="24"/>
          <w:szCs w:val="24"/>
        </w:rPr>
      </w:pPr>
      <w:r w:rsidRPr="0086482B">
        <w:rPr>
          <w:rFonts w:ascii="Myriad Pro" w:hAnsi="Myriad Pro"/>
          <w:sz w:val="24"/>
          <w:szCs w:val="24"/>
        </w:rPr>
        <w:t>2. Evolution of scholarly focus on teacher specialization and digital literacy</w:t>
      </w:r>
    </w:p>
    <w:p w14:paraId="6D94AEEE" w14:textId="298B861A" w:rsidR="002F2076" w:rsidRPr="0086482B" w:rsidRDefault="002F2076" w:rsidP="0086482B">
      <w:pPr>
        <w:ind w:firstLine="720"/>
        <w:jc w:val="both"/>
        <w:rPr>
          <w:rFonts w:ascii="Myriad Pro" w:hAnsi="Myriad Pro"/>
          <w:sz w:val="24"/>
          <w:szCs w:val="24"/>
        </w:rPr>
      </w:pPr>
      <w:r w:rsidRPr="0086482B">
        <w:rPr>
          <w:rFonts w:ascii="Myriad Pro" w:hAnsi="Myriad Pro"/>
          <w:sz w:val="24"/>
          <w:szCs w:val="24"/>
        </w:rPr>
        <w:t>The temporal overlay analysis (Figure 2) reveals a clear shift in research focus over time. From 2015 to 2019, research was more concentrated on livelihood and vocational education. However, from 2020 onwards, there is a noticeable increase in studies related to digital literacy, ICT integration, and teacher education.</w:t>
      </w:r>
    </w:p>
    <w:p w14:paraId="1ABCFB0B" w14:textId="77777777" w:rsidR="0086482B" w:rsidRPr="0086482B" w:rsidRDefault="002F2076" w:rsidP="0086482B">
      <w:pPr>
        <w:jc w:val="both"/>
        <w:rPr>
          <w:rFonts w:ascii="Myriad Pro" w:hAnsi="Myriad Pro"/>
          <w:sz w:val="24"/>
          <w:szCs w:val="24"/>
        </w:rPr>
      </w:pPr>
      <w:r w:rsidRPr="0086482B">
        <w:rPr>
          <w:rFonts w:ascii="Myriad Pro" w:hAnsi="Myriad Pro"/>
          <w:sz w:val="24"/>
          <w:szCs w:val="24"/>
        </w:rPr>
        <w:t>Discussion</w:t>
      </w:r>
    </w:p>
    <w:p w14:paraId="4109E2FA" w14:textId="5B124CCE" w:rsidR="002F2076" w:rsidRPr="0086482B" w:rsidRDefault="002F2076" w:rsidP="0086482B">
      <w:pPr>
        <w:ind w:firstLine="720"/>
        <w:jc w:val="both"/>
        <w:rPr>
          <w:rFonts w:ascii="Myriad Pro" w:hAnsi="Myriad Pro"/>
          <w:sz w:val="24"/>
          <w:szCs w:val="24"/>
        </w:rPr>
      </w:pPr>
      <w:r w:rsidRPr="0086482B">
        <w:rPr>
          <w:rFonts w:ascii="Myriad Pro" w:hAnsi="Myriad Pro"/>
          <w:sz w:val="24"/>
          <w:szCs w:val="24"/>
        </w:rPr>
        <w:t>This shift reflects global educational changes driven by rapid technological advancements and the increasing reliance on digital learning environments. The surge in digital literacy research corresponds with the transition to online and blended learning modalities, particularly during the COVID-19 pandemic.</w:t>
      </w:r>
      <w:r w:rsidR="0086482B" w:rsidRPr="0086482B">
        <w:rPr>
          <w:rFonts w:ascii="Myriad Pro" w:hAnsi="Myriad Pro"/>
          <w:sz w:val="24"/>
          <w:szCs w:val="24"/>
        </w:rPr>
        <w:t xml:space="preserve"> </w:t>
      </w:r>
      <w:r w:rsidRPr="0086482B">
        <w:rPr>
          <w:rFonts w:ascii="Myriad Pro" w:hAnsi="Myriad Pro"/>
          <w:sz w:val="24"/>
          <w:szCs w:val="24"/>
        </w:rPr>
        <w:t xml:space="preserve">However, the findings also show that </w:t>
      </w:r>
      <w:r w:rsidRPr="0086482B">
        <w:rPr>
          <w:rStyle w:val="Strong"/>
          <w:rFonts w:ascii="Myriad Pro" w:hAnsi="Myriad Pro"/>
          <w:sz w:val="24"/>
          <w:szCs w:val="24"/>
        </w:rPr>
        <w:t>teacher specialization and deployment have not experienced the same level of growth</w:t>
      </w:r>
      <w:r w:rsidRPr="0086482B">
        <w:rPr>
          <w:rFonts w:ascii="Myriad Pro" w:hAnsi="Myriad Pro"/>
          <w:sz w:val="24"/>
          <w:szCs w:val="24"/>
        </w:rPr>
        <w:t>, indicating a gap between technological advancement and human resource development in education. This imbalance suggests that while digital tools are advancing, the alignment of teacher expertise remains a critical issue.</w:t>
      </w:r>
    </w:p>
    <w:p w14:paraId="33555B86"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3. Gaps in the literature regarding teacher deployment in Science High Schools</w:t>
      </w:r>
    </w:p>
    <w:p w14:paraId="6CA50130" w14:textId="77777777" w:rsidR="002F2076" w:rsidRPr="0086482B" w:rsidRDefault="002F2076" w:rsidP="0086482B">
      <w:pPr>
        <w:pStyle w:val="NormalWeb"/>
        <w:ind w:firstLine="720"/>
        <w:jc w:val="both"/>
        <w:rPr>
          <w:rFonts w:ascii="Myriad Pro" w:hAnsi="Myriad Pro"/>
        </w:rPr>
      </w:pPr>
      <w:r w:rsidRPr="0086482B">
        <w:rPr>
          <w:rFonts w:ascii="Myriad Pro" w:hAnsi="Myriad Pro"/>
        </w:rPr>
        <w:t xml:space="preserve">Despite the high citation impact of studies related to Science High Schools, the analysis reveals that </w:t>
      </w:r>
      <w:r w:rsidRPr="0086482B">
        <w:rPr>
          <w:rStyle w:val="Strong"/>
          <w:rFonts w:ascii="Myriad Pro" w:hAnsi="Myriad Pro"/>
        </w:rPr>
        <w:t>teacher deployment and specialization remain underrepresented</w:t>
      </w:r>
      <w:r w:rsidRPr="0086482B">
        <w:rPr>
          <w:rFonts w:ascii="Myriad Pro" w:hAnsi="Myriad Pro"/>
        </w:rPr>
        <w:t xml:space="preserve"> in the literature.</w:t>
      </w:r>
    </w:p>
    <w:p w14:paraId="112B82A8"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Discussion</w:t>
      </w:r>
    </w:p>
    <w:p w14:paraId="53376E40" w14:textId="40E2BE05" w:rsidR="002F2076" w:rsidRPr="0086482B" w:rsidRDefault="002F2076" w:rsidP="0086482B">
      <w:pPr>
        <w:pStyle w:val="NormalWeb"/>
        <w:ind w:firstLine="720"/>
        <w:jc w:val="both"/>
        <w:rPr>
          <w:rFonts w:ascii="Myriad Pro" w:hAnsi="Myriad Pro"/>
        </w:rPr>
      </w:pPr>
      <w:r w:rsidRPr="0086482B">
        <w:rPr>
          <w:rFonts w:ascii="Myriad Pro" w:hAnsi="Myriad Pro"/>
        </w:rPr>
        <w:t>The weak presence of teacher deployment in keyword networks and citation metrics indicates limited scholarly attention to this area. This finding suggests that issues related to teacher allocation, specialization mismatch, and workforce planning are not sufficiently addressed in current research.</w:t>
      </w:r>
      <w:r w:rsidR="0086482B" w:rsidRPr="0086482B">
        <w:rPr>
          <w:rFonts w:ascii="Myriad Pro" w:hAnsi="Myriad Pro"/>
        </w:rPr>
        <w:t xml:space="preserve"> </w:t>
      </w:r>
      <w:r w:rsidRPr="0086482B">
        <w:rPr>
          <w:rFonts w:ascii="Myriad Pro" w:hAnsi="Myriad Pro"/>
        </w:rPr>
        <w:t>The observed heterogeneity between clusters further supports this conclusion. Cluster 1 reflects modern, technology-driven educational research, while Cluster 2 represents traditional livelihood studies. The divergence highlights a gap in integrating human resource concerns within evolving educational frameworks.</w:t>
      </w:r>
      <w:r w:rsidR="0086482B" w:rsidRPr="0086482B">
        <w:rPr>
          <w:rFonts w:ascii="Myriad Pro" w:hAnsi="Myriad Pro"/>
        </w:rPr>
        <w:t xml:space="preserve"> </w:t>
      </w:r>
      <w:r w:rsidRPr="0086482B">
        <w:rPr>
          <w:rFonts w:ascii="Myriad Pro" w:hAnsi="Myriad Pro"/>
        </w:rPr>
        <w:t>Certainty analysis shows that Cluster 1 has high confidence indicators, including strong citation density and widespread author collaboration. In contrast, Cluster 2 demonstrates moderate certainty due to lower recent activity.</w:t>
      </w:r>
    </w:p>
    <w:p w14:paraId="1D9E792C" w14:textId="7256D921" w:rsidR="002F2076" w:rsidRPr="0086482B" w:rsidRDefault="002F2076" w:rsidP="0086482B">
      <w:pPr>
        <w:pStyle w:val="NormalWeb"/>
        <w:ind w:firstLine="720"/>
        <w:jc w:val="both"/>
        <w:rPr>
          <w:rFonts w:ascii="Myriad Pro" w:hAnsi="Myriad Pro"/>
        </w:rPr>
      </w:pPr>
      <w:r w:rsidRPr="0086482B">
        <w:rPr>
          <w:rFonts w:ascii="Myriad Pro" w:hAnsi="Myriad Pro"/>
        </w:rPr>
        <w:t>These findings are consistent with national and international reports highlighting persistent challenges in teacher deployment and specialization (Villanueva, 2023; Generelao, 2022).</w:t>
      </w:r>
    </w:p>
    <w:p w14:paraId="639B6074"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Summary of Findings</w:t>
      </w:r>
    </w:p>
    <w:p w14:paraId="5AD02951" w14:textId="77777777" w:rsidR="002F2076" w:rsidRPr="0086482B" w:rsidRDefault="002F2076" w:rsidP="0086482B">
      <w:pPr>
        <w:pStyle w:val="NormalWeb"/>
        <w:numPr>
          <w:ilvl w:val="0"/>
          <w:numId w:val="10"/>
        </w:numPr>
        <w:jc w:val="both"/>
        <w:rPr>
          <w:rFonts w:ascii="Myriad Pro" w:hAnsi="Myriad Pro"/>
        </w:rPr>
      </w:pPr>
      <w:r w:rsidRPr="0086482B">
        <w:rPr>
          <w:rFonts w:ascii="Myriad Pro" w:hAnsi="Myriad Pro"/>
        </w:rPr>
        <w:t xml:space="preserve">Total records identified: </w:t>
      </w:r>
      <w:r w:rsidRPr="0086482B">
        <w:rPr>
          <w:rStyle w:val="Strong"/>
          <w:rFonts w:ascii="Myriad Pro" w:hAnsi="Myriad Pro"/>
        </w:rPr>
        <w:t>11,796</w:t>
      </w:r>
    </w:p>
    <w:p w14:paraId="7ECDE6D5" w14:textId="77777777" w:rsidR="002F2076" w:rsidRPr="0086482B" w:rsidRDefault="002F2076" w:rsidP="0086482B">
      <w:pPr>
        <w:pStyle w:val="NormalWeb"/>
        <w:numPr>
          <w:ilvl w:val="0"/>
          <w:numId w:val="10"/>
        </w:numPr>
        <w:jc w:val="both"/>
        <w:rPr>
          <w:rFonts w:ascii="Myriad Pro" w:hAnsi="Myriad Pro"/>
        </w:rPr>
      </w:pPr>
      <w:r w:rsidRPr="0086482B">
        <w:rPr>
          <w:rFonts w:ascii="Myriad Pro" w:hAnsi="Myriad Pro"/>
        </w:rPr>
        <w:t xml:space="preserve">Duplicates removed: </w:t>
      </w:r>
      <w:r w:rsidRPr="0086482B">
        <w:rPr>
          <w:rStyle w:val="Strong"/>
          <w:rFonts w:ascii="Myriad Pro" w:hAnsi="Myriad Pro"/>
        </w:rPr>
        <w:t>8,796</w:t>
      </w:r>
    </w:p>
    <w:p w14:paraId="3C1D747D" w14:textId="77777777" w:rsidR="002F2076" w:rsidRPr="0086482B" w:rsidRDefault="002F2076" w:rsidP="0086482B">
      <w:pPr>
        <w:pStyle w:val="NormalWeb"/>
        <w:numPr>
          <w:ilvl w:val="0"/>
          <w:numId w:val="10"/>
        </w:numPr>
        <w:jc w:val="both"/>
        <w:rPr>
          <w:rFonts w:ascii="Myriad Pro" w:hAnsi="Myriad Pro"/>
        </w:rPr>
      </w:pPr>
      <w:r w:rsidRPr="0086482B">
        <w:rPr>
          <w:rFonts w:ascii="Myriad Pro" w:hAnsi="Myriad Pro"/>
        </w:rPr>
        <w:t xml:space="preserve">Records screened: </w:t>
      </w:r>
      <w:r w:rsidRPr="0086482B">
        <w:rPr>
          <w:rStyle w:val="Strong"/>
          <w:rFonts w:ascii="Myriad Pro" w:hAnsi="Myriad Pro"/>
        </w:rPr>
        <w:t>3,000</w:t>
      </w:r>
    </w:p>
    <w:p w14:paraId="510AA3AB" w14:textId="77777777" w:rsidR="002F2076" w:rsidRPr="0086482B" w:rsidRDefault="002F2076" w:rsidP="0086482B">
      <w:pPr>
        <w:pStyle w:val="NormalWeb"/>
        <w:numPr>
          <w:ilvl w:val="0"/>
          <w:numId w:val="10"/>
        </w:numPr>
        <w:jc w:val="both"/>
        <w:rPr>
          <w:rFonts w:ascii="Myriad Pro" w:hAnsi="Myriad Pro"/>
        </w:rPr>
      </w:pPr>
      <w:r w:rsidRPr="0086482B">
        <w:rPr>
          <w:rFonts w:ascii="Myriad Pro" w:hAnsi="Myriad Pro"/>
        </w:rPr>
        <w:t xml:space="preserve">Records excluded: </w:t>
      </w:r>
      <w:r w:rsidRPr="0086482B">
        <w:rPr>
          <w:rStyle w:val="Strong"/>
          <w:rFonts w:ascii="Myriad Pro" w:hAnsi="Myriad Pro"/>
        </w:rPr>
        <w:t>40</w:t>
      </w:r>
    </w:p>
    <w:p w14:paraId="498D1F9D" w14:textId="263ADB5A" w:rsidR="002F2076" w:rsidRPr="0086482B" w:rsidRDefault="002F2076" w:rsidP="0086482B">
      <w:pPr>
        <w:pStyle w:val="NormalWeb"/>
        <w:numPr>
          <w:ilvl w:val="0"/>
          <w:numId w:val="10"/>
        </w:numPr>
        <w:jc w:val="both"/>
        <w:rPr>
          <w:rFonts w:ascii="Myriad Pro" w:hAnsi="Myriad Pro"/>
        </w:rPr>
      </w:pPr>
      <w:r w:rsidRPr="0086482B">
        <w:rPr>
          <w:rFonts w:ascii="Myriad Pro" w:hAnsi="Myriad Pro"/>
        </w:rPr>
        <w:t xml:space="preserve">Final records analyzed: </w:t>
      </w:r>
      <w:r w:rsidRPr="0086482B">
        <w:rPr>
          <w:rStyle w:val="Strong"/>
          <w:rFonts w:ascii="Myriad Pro" w:hAnsi="Myriad Pro"/>
        </w:rPr>
        <w:t>2,960</w:t>
      </w:r>
    </w:p>
    <w:p w14:paraId="46029F74"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lastRenderedPageBreak/>
        <w:t>Limitations of the Study</w:t>
      </w:r>
    </w:p>
    <w:p w14:paraId="6DAC01AD" w14:textId="77777777" w:rsidR="002F2076" w:rsidRPr="0086482B" w:rsidRDefault="002F2076" w:rsidP="0086482B">
      <w:pPr>
        <w:pStyle w:val="NormalWeb"/>
        <w:ind w:firstLine="720"/>
        <w:jc w:val="both"/>
        <w:rPr>
          <w:rFonts w:ascii="Myriad Pro" w:hAnsi="Myriad Pro"/>
        </w:rPr>
      </w:pPr>
      <w:r w:rsidRPr="0086482B">
        <w:rPr>
          <w:rFonts w:ascii="Myriad Pro" w:hAnsi="Myriad Pro"/>
        </w:rPr>
        <w:t>Despite the robustness of the analysis, several limitations were identified. First, there is an imbalance between thematic clusters, with digital literacy dominating the research landscape. Second, database indexing favors English-language and Western publications, limiting regional representation. Third, citation inconsistencies across databases, particularly in Google Scholar and PubMed, may affect the accuracy of bibliometric indicators.</w:t>
      </w:r>
    </w:p>
    <w:p w14:paraId="7949FAAD" w14:textId="19B3EB52" w:rsidR="002F2076" w:rsidRPr="0086482B" w:rsidRDefault="002F2076" w:rsidP="0086482B">
      <w:pPr>
        <w:pStyle w:val="NormalWeb"/>
        <w:ind w:firstLine="720"/>
        <w:jc w:val="both"/>
        <w:rPr>
          <w:rFonts w:ascii="Myriad Pro" w:hAnsi="Myriad Pro"/>
        </w:rPr>
      </w:pPr>
      <w:r w:rsidRPr="0086482B">
        <w:rPr>
          <w:rFonts w:ascii="Myriad Pro" w:hAnsi="Myriad Pro"/>
        </w:rPr>
        <w:t>These limitations suggest the need for cautious interpretation and further research incorporating qualitative analysis and local data sources.</w:t>
      </w:r>
    </w:p>
    <w:p w14:paraId="2E11BB43" w14:textId="10A0D0B2" w:rsidR="00A75672" w:rsidRDefault="00A75672" w:rsidP="0086482B">
      <w:pPr>
        <w:pStyle w:val="NoSpacing"/>
        <w:jc w:val="both"/>
        <w:rPr>
          <w:rFonts w:ascii="Myriad Pro" w:hAnsi="Myriad Pro"/>
        </w:rPr>
      </w:pPr>
    </w:p>
    <w:p w14:paraId="0472E43B" w14:textId="46AA5B50" w:rsidR="0086482B" w:rsidRDefault="0086482B" w:rsidP="0086482B">
      <w:pPr>
        <w:pStyle w:val="NoSpacing"/>
        <w:jc w:val="both"/>
        <w:rPr>
          <w:rFonts w:ascii="Myriad Pro" w:hAnsi="Myriad Pro"/>
        </w:rPr>
      </w:pPr>
    </w:p>
    <w:p w14:paraId="107DE887" w14:textId="494E3C10" w:rsidR="0086482B" w:rsidRDefault="0086482B" w:rsidP="0086482B">
      <w:pPr>
        <w:pStyle w:val="NoSpacing"/>
        <w:jc w:val="both"/>
        <w:rPr>
          <w:rFonts w:ascii="Myriad Pro" w:hAnsi="Myriad Pro"/>
        </w:rPr>
      </w:pPr>
    </w:p>
    <w:p w14:paraId="5963146B" w14:textId="77777777" w:rsidR="0086482B" w:rsidRPr="00821640" w:rsidRDefault="0086482B" w:rsidP="0086482B">
      <w:pPr>
        <w:pStyle w:val="NoSpacing"/>
        <w:jc w:val="both"/>
        <w:rPr>
          <w:rFonts w:ascii="Myriad Pro" w:hAnsi="Myriad Pro"/>
        </w:rPr>
      </w:pPr>
    </w:p>
    <w:p w14:paraId="50D64026" w14:textId="26575BF8" w:rsidR="0086482B" w:rsidRDefault="00AC5998" w:rsidP="0086482B">
      <w:pPr>
        <w:pStyle w:val="NoSpacing"/>
        <w:jc w:val="both"/>
        <w:rPr>
          <w:rFonts w:ascii="Myriad Pro" w:hAnsi="Myriad Pro" w:cs="Times New Roman"/>
          <w:b/>
          <w:bCs/>
          <w:sz w:val="26"/>
          <w:szCs w:val="26"/>
        </w:rPr>
      </w:pPr>
      <w:r w:rsidRPr="00821640">
        <w:rPr>
          <w:rFonts w:ascii="Myriad Pro" w:hAnsi="Myriad Pro" w:cs="Times New Roman"/>
          <w:b/>
          <w:bCs/>
          <w:sz w:val="26"/>
          <w:szCs w:val="26"/>
        </w:rPr>
        <w:t>CONCLUSIONS AND RECOMMENDATIONS</w:t>
      </w:r>
    </w:p>
    <w:p w14:paraId="522DAE9A" w14:textId="77777777" w:rsidR="0086482B" w:rsidRPr="0086482B" w:rsidRDefault="0086482B" w:rsidP="0086482B">
      <w:pPr>
        <w:pStyle w:val="NormalWeb"/>
        <w:jc w:val="both"/>
        <w:rPr>
          <w:rFonts w:ascii="Myriad Pro" w:hAnsi="Myriad Pro"/>
          <w:b/>
          <w:bCs/>
          <w:sz w:val="26"/>
          <w:szCs w:val="28"/>
        </w:rPr>
      </w:pPr>
      <w:r w:rsidRPr="0086482B">
        <w:rPr>
          <w:rFonts w:ascii="Myriad Pro" w:hAnsi="Myriad Pro"/>
          <w:b/>
          <w:bCs/>
          <w:sz w:val="26"/>
          <w:szCs w:val="28"/>
        </w:rPr>
        <w:t>Conclusions</w:t>
      </w:r>
    </w:p>
    <w:p w14:paraId="12A8B713" w14:textId="527AF59F" w:rsidR="001C24F0" w:rsidRPr="0086482B" w:rsidRDefault="001C24F0" w:rsidP="0086482B">
      <w:pPr>
        <w:pStyle w:val="NormalWeb"/>
        <w:ind w:firstLine="720"/>
        <w:jc w:val="both"/>
        <w:rPr>
          <w:rFonts w:ascii="Myriad Pro" w:hAnsi="Myriad Pro"/>
        </w:rPr>
      </w:pPr>
      <w:r w:rsidRPr="0086482B">
        <w:rPr>
          <w:rFonts w:ascii="Myriad Pro" w:hAnsi="Myriad Pro"/>
        </w:rPr>
        <w:t xml:space="preserve">This study conducted a comprehensive bibliometric analysis of Technology and Livelihood Education (TLE) research from 2015 to 2025 in order to identify dominant themes, examine the evolution of scholarly focus, and determine existing gaps in the literature. Based on the analysis of 2,960 verified academic records, the findings reveal that </w:t>
      </w:r>
      <w:r w:rsidRPr="0086482B">
        <w:rPr>
          <w:rStyle w:val="Strong"/>
          <w:rFonts w:ascii="Myriad Pro" w:hAnsi="Myriad Pro"/>
        </w:rPr>
        <w:t>digital literacy, ICT integration, and teacher education</w:t>
      </w:r>
      <w:r w:rsidRPr="0086482B">
        <w:rPr>
          <w:rFonts w:ascii="Myriad Pro" w:hAnsi="Myriad Pro"/>
        </w:rPr>
        <w:t xml:space="preserve"> have emerged as the most dominant and rapidly expanding research themes. These topics demonstrated strong keyword co-occurrence, high citation impact, and increasing prominence in recent years, indicating a clear shift toward digital transformation in education.</w:t>
      </w:r>
      <w:r w:rsidR="00CA43F9" w:rsidRPr="0086482B">
        <w:rPr>
          <w:rFonts w:ascii="Myriad Pro" w:hAnsi="Myriad Pro"/>
        </w:rPr>
        <w:t xml:space="preserve"> </w:t>
      </w:r>
      <w:r w:rsidRPr="0086482B">
        <w:rPr>
          <w:rFonts w:ascii="Myriad Pro" w:hAnsi="Myriad Pro"/>
        </w:rPr>
        <w:t>Furthermore, the study identified two major thematic clusters: (1) digital literacy, teacher education, and TLE, and (2) livelihood and livelihood strategy. The first cluster reflects contemporary and reform-oriented educational research, showing sustained growth particularly from 2020 onwards. In contrast, the second cluster represents foundational research with earlier publication peaks and relatively slower development in recent years. This indicates that while livelihood education remains relevant, scholarly attention has shifted toward integrating digital competencies in teaching and learning.</w:t>
      </w:r>
      <w:r w:rsidR="00CA43F9" w:rsidRPr="0086482B">
        <w:rPr>
          <w:rFonts w:ascii="Myriad Pro" w:hAnsi="Myriad Pro"/>
        </w:rPr>
        <w:t xml:space="preserve"> </w:t>
      </w:r>
      <w:r w:rsidRPr="0086482B">
        <w:rPr>
          <w:rFonts w:ascii="Myriad Pro" w:hAnsi="Myriad Pro"/>
        </w:rPr>
        <w:t xml:space="preserve">In terms of the evolution of research focus, the findings demonstrate a significant increase in studies related to digital literacy and ICT integration, particularly in response to global educational changes and the adoption of technology-driven learning environments. However, despite these advancements, </w:t>
      </w:r>
      <w:r w:rsidRPr="0086482B">
        <w:rPr>
          <w:rStyle w:val="Strong"/>
          <w:rFonts w:ascii="Myriad Pro" w:hAnsi="Myriad Pro"/>
        </w:rPr>
        <w:t>teacher specialization and deployment</w:t>
      </w:r>
      <w:r w:rsidRPr="0086482B">
        <w:rPr>
          <w:rFonts w:ascii="Myriad Pro" w:hAnsi="Myriad Pro"/>
        </w:rPr>
        <w:t xml:space="preserve"> have not received proportional attention in the literature. The analysis revealed that these areas exhibit lower keyword occurrence and citation density, suggesting limited scholarly focus.</w:t>
      </w:r>
    </w:p>
    <w:p w14:paraId="6D8415B0" w14:textId="77777777" w:rsidR="001C24F0" w:rsidRPr="0086482B" w:rsidRDefault="001C24F0" w:rsidP="0086482B">
      <w:pPr>
        <w:pStyle w:val="NormalWeb"/>
        <w:ind w:firstLine="720"/>
        <w:jc w:val="both"/>
        <w:rPr>
          <w:rFonts w:ascii="Myriad Pro" w:hAnsi="Myriad Pro"/>
        </w:rPr>
      </w:pPr>
      <w:r w:rsidRPr="0086482B">
        <w:rPr>
          <w:rFonts w:ascii="Myriad Pro" w:hAnsi="Myriad Pro"/>
        </w:rPr>
        <w:t xml:space="preserve">Moreover, the study identified a critical gap in research concerning </w:t>
      </w:r>
      <w:r w:rsidRPr="0086482B">
        <w:rPr>
          <w:rStyle w:val="Strong"/>
          <w:rFonts w:ascii="Myriad Pro" w:hAnsi="Myriad Pro"/>
        </w:rPr>
        <w:t>teacher deployment and specialization in Science High Schools</w:t>
      </w:r>
      <w:r w:rsidRPr="0086482B">
        <w:rPr>
          <w:rFonts w:ascii="Myriad Pro" w:hAnsi="Myriad Pro"/>
        </w:rPr>
        <w:t>. While Science High Schools show high citation metrics, the lack of studies addressing teacher alignment and workforce distribution indicates an imbalance between technological advancement and human resource development in education. This highlights the need for more focused research on teacher allocation, specialization, and policy implementation in specialized school settings.</w:t>
      </w:r>
    </w:p>
    <w:p w14:paraId="78D8F639" w14:textId="231AFC85" w:rsidR="001C24F0" w:rsidRPr="0086482B" w:rsidRDefault="001C24F0" w:rsidP="0086482B">
      <w:pPr>
        <w:jc w:val="both"/>
        <w:rPr>
          <w:rFonts w:ascii="Myriad Pro" w:hAnsi="Myriad Pro"/>
          <w:sz w:val="24"/>
          <w:szCs w:val="24"/>
        </w:rPr>
      </w:pPr>
      <w:r w:rsidRPr="0086482B">
        <w:rPr>
          <w:rFonts w:ascii="Myriad Pro" w:hAnsi="Myriad Pro"/>
          <w:sz w:val="24"/>
          <w:szCs w:val="24"/>
        </w:rPr>
        <w:t xml:space="preserve">Overall, the findings imply that although TLE research is progressing toward digital transformation, there remains a significant need to address structural issues related to teacher deployment and </w:t>
      </w:r>
      <w:r w:rsidRPr="0086482B">
        <w:rPr>
          <w:rFonts w:ascii="Myriad Pro" w:hAnsi="Myriad Pro"/>
          <w:sz w:val="24"/>
          <w:szCs w:val="24"/>
        </w:rPr>
        <w:lastRenderedPageBreak/>
        <w:t>specialization. The study contributes to the understanding of current research trends and provides a foundation for evidence-based decision-making in curriculum development and educational policy.</w:t>
      </w:r>
    </w:p>
    <w:p w14:paraId="366ADF2B" w14:textId="77777777" w:rsidR="001C24F0" w:rsidRPr="0086482B" w:rsidRDefault="001C24F0" w:rsidP="0086482B">
      <w:pPr>
        <w:jc w:val="both"/>
        <w:rPr>
          <w:rFonts w:ascii="Myriad Pro" w:hAnsi="Myriad Pro"/>
          <w:b/>
          <w:bCs/>
          <w:sz w:val="26"/>
          <w:szCs w:val="28"/>
        </w:rPr>
      </w:pPr>
      <w:r w:rsidRPr="0086482B">
        <w:rPr>
          <w:rFonts w:ascii="Myriad Pro" w:hAnsi="Myriad Pro"/>
          <w:b/>
          <w:bCs/>
          <w:sz w:val="26"/>
          <w:szCs w:val="28"/>
        </w:rPr>
        <w:t>Recommendations</w:t>
      </w:r>
    </w:p>
    <w:p w14:paraId="7B718E3D" w14:textId="5A5FF4EB" w:rsidR="001C24F0" w:rsidRPr="0086482B" w:rsidRDefault="001C24F0" w:rsidP="0086482B">
      <w:pPr>
        <w:pStyle w:val="NormalWeb"/>
        <w:ind w:firstLine="720"/>
        <w:jc w:val="both"/>
        <w:rPr>
          <w:rFonts w:ascii="Myriad Pro" w:hAnsi="Myriad Pro"/>
        </w:rPr>
      </w:pPr>
      <w:r w:rsidRPr="0086482B">
        <w:rPr>
          <w:rFonts w:ascii="Myriad Pro" w:hAnsi="Myriad Pro"/>
        </w:rPr>
        <w:t>Based on the conclusions of the study, several recommendations are proposed to enhance the development and implementation of Technology and Livelihood Education (TLE) in secondary education.</w:t>
      </w:r>
      <w:r w:rsidR="00CA43F9" w:rsidRPr="0086482B">
        <w:rPr>
          <w:rFonts w:ascii="Myriad Pro" w:hAnsi="Myriad Pro"/>
        </w:rPr>
        <w:t xml:space="preserve"> </w:t>
      </w:r>
      <w:r w:rsidRPr="0086482B">
        <w:rPr>
          <w:rFonts w:ascii="Myriad Pro" w:hAnsi="Myriad Pro"/>
        </w:rPr>
        <w:t xml:space="preserve">First, </w:t>
      </w:r>
      <w:r w:rsidRPr="0086482B">
        <w:rPr>
          <w:rStyle w:val="Strong"/>
          <w:rFonts w:ascii="Myriad Pro" w:hAnsi="Myriad Pro"/>
        </w:rPr>
        <w:t>educational policymakers and school administrators</w:t>
      </w:r>
      <w:r w:rsidRPr="0086482B">
        <w:rPr>
          <w:rFonts w:ascii="Myriad Pro" w:hAnsi="Myriad Pro"/>
        </w:rPr>
        <w:t xml:space="preserve"> should prioritize the development of clear and equitable </w:t>
      </w:r>
      <w:r w:rsidRPr="0086482B">
        <w:rPr>
          <w:rStyle w:val="Strong"/>
          <w:rFonts w:ascii="Myriad Pro" w:hAnsi="Myriad Pro"/>
        </w:rPr>
        <w:t>teacher deployment and specialization frameworks</w:t>
      </w:r>
      <w:r w:rsidRPr="0086482B">
        <w:rPr>
          <w:rFonts w:ascii="Myriad Pro" w:hAnsi="Myriad Pro"/>
        </w:rPr>
        <w:t>, particularly in Science High Schools. Ensuring that teachers are aligned with their areas of expertise can improve instructional quality, enhance student learning outcomes, and address existing mismatches in teacher loading.</w:t>
      </w:r>
      <w:r w:rsidR="00CA43F9" w:rsidRPr="0086482B">
        <w:rPr>
          <w:rFonts w:ascii="Myriad Pro" w:hAnsi="Myriad Pro"/>
        </w:rPr>
        <w:t xml:space="preserve"> </w:t>
      </w:r>
      <w:r w:rsidRPr="0086482B">
        <w:rPr>
          <w:rFonts w:ascii="Myriad Pro" w:hAnsi="Myriad Pro"/>
        </w:rPr>
        <w:t xml:space="preserve">Second, there is a need to strengthen </w:t>
      </w:r>
      <w:r w:rsidRPr="0086482B">
        <w:rPr>
          <w:rStyle w:val="Strong"/>
          <w:rFonts w:ascii="Myriad Pro" w:hAnsi="Myriad Pro"/>
        </w:rPr>
        <w:t>professional development programs</w:t>
      </w:r>
      <w:r w:rsidRPr="0086482B">
        <w:rPr>
          <w:rFonts w:ascii="Myriad Pro" w:hAnsi="Myriad Pro"/>
        </w:rPr>
        <w:t xml:space="preserve"> focusing on </w:t>
      </w:r>
      <w:r w:rsidRPr="0086482B">
        <w:rPr>
          <w:rStyle w:val="Strong"/>
          <w:rFonts w:ascii="Myriad Pro" w:hAnsi="Myriad Pro"/>
        </w:rPr>
        <w:t>digital literacy and ICT integration</w:t>
      </w:r>
      <w:r w:rsidRPr="0086482B">
        <w:rPr>
          <w:rFonts w:ascii="Myriad Pro" w:hAnsi="Myriad Pro"/>
        </w:rPr>
        <w:t xml:space="preserve"> among TLE teachers. Continuous training and capacity-building initiatives will enable teachers to effectively integrate technology into their teaching practices and support the demands of future-ready education under current curriculum reforms.</w:t>
      </w:r>
      <w:r w:rsidR="00CA43F9" w:rsidRPr="0086482B">
        <w:rPr>
          <w:rFonts w:ascii="Myriad Pro" w:hAnsi="Myriad Pro"/>
        </w:rPr>
        <w:t xml:space="preserve"> </w:t>
      </w:r>
      <w:r w:rsidRPr="0086482B">
        <w:rPr>
          <w:rFonts w:ascii="Myriad Pro" w:hAnsi="Myriad Pro"/>
        </w:rPr>
        <w:t xml:space="preserve">Third, schools and curriculum developers are encouraged to </w:t>
      </w:r>
      <w:r w:rsidRPr="0086482B">
        <w:rPr>
          <w:rStyle w:val="Strong"/>
          <w:rFonts w:ascii="Myriad Pro" w:hAnsi="Myriad Pro"/>
        </w:rPr>
        <w:t>integrate livelihood education with digital competencies</w:t>
      </w:r>
      <w:r w:rsidRPr="0086482B">
        <w:rPr>
          <w:rFonts w:ascii="Myriad Pro" w:hAnsi="Myriad Pro"/>
        </w:rPr>
        <w:t>, creating a more holistic and relevant learning experience for students. This integration will help bridge the gap between traditional vocational skills and modern technological demands, making TLE more responsive to industry needs.</w:t>
      </w:r>
      <w:r w:rsidR="00CA43F9" w:rsidRPr="0086482B">
        <w:rPr>
          <w:rFonts w:ascii="Myriad Pro" w:hAnsi="Myriad Pro"/>
        </w:rPr>
        <w:t xml:space="preserve"> </w:t>
      </w:r>
      <w:r w:rsidRPr="0086482B">
        <w:rPr>
          <w:rFonts w:ascii="Myriad Pro" w:hAnsi="Myriad Pro"/>
        </w:rPr>
        <w:t xml:space="preserve">Fourth, future researchers should conduct more in-depth studies on </w:t>
      </w:r>
      <w:r w:rsidRPr="0086482B">
        <w:rPr>
          <w:rStyle w:val="Strong"/>
          <w:rFonts w:ascii="Myriad Pro" w:hAnsi="Myriad Pro"/>
        </w:rPr>
        <w:t>teacher deployment, specialization mismatches, and workforce planning</w:t>
      </w:r>
      <w:r w:rsidRPr="0086482B">
        <w:rPr>
          <w:rFonts w:ascii="Myriad Pro" w:hAnsi="Myriad Pro"/>
        </w:rPr>
        <w:t xml:space="preserve">, particularly in the context of Science High Schools. There is also a need to expand research coverage by including </w:t>
      </w:r>
      <w:r w:rsidRPr="0086482B">
        <w:rPr>
          <w:rStyle w:val="Strong"/>
          <w:rFonts w:ascii="Myriad Pro" w:hAnsi="Myriad Pro"/>
        </w:rPr>
        <w:t>local and non-English databases</w:t>
      </w:r>
      <w:r w:rsidRPr="0086482B">
        <w:rPr>
          <w:rFonts w:ascii="Myriad Pro" w:hAnsi="Myriad Pro"/>
        </w:rPr>
        <w:t xml:space="preserve"> to improve regional representation and capture diverse educational contexts.</w:t>
      </w:r>
    </w:p>
    <w:p w14:paraId="4E6AC5D3" w14:textId="77777777" w:rsidR="001C24F0" w:rsidRPr="0086482B" w:rsidRDefault="001C24F0" w:rsidP="0086482B">
      <w:pPr>
        <w:pStyle w:val="NormalWeb"/>
        <w:ind w:firstLine="720"/>
        <w:jc w:val="both"/>
        <w:rPr>
          <w:rFonts w:ascii="Myriad Pro" w:hAnsi="Myriad Pro"/>
        </w:rPr>
      </w:pPr>
      <w:r w:rsidRPr="0086482B">
        <w:rPr>
          <w:rFonts w:ascii="Myriad Pro" w:hAnsi="Myriad Pro"/>
        </w:rPr>
        <w:t xml:space="preserve">Finally, it is recommended that future studies adopt </w:t>
      </w:r>
      <w:r w:rsidRPr="0086482B">
        <w:rPr>
          <w:rStyle w:val="Strong"/>
          <w:rFonts w:ascii="Myriad Pro" w:hAnsi="Myriad Pro"/>
        </w:rPr>
        <w:t>mixed-method approaches</w:t>
      </w:r>
      <w:r w:rsidRPr="0086482B">
        <w:rPr>
          <w:rFonts w:ascii="Myriad Pro" w:hAnsi="Myriad Pro"/>
        </w:rPr>
        <w:t>, combining bibliometric analysis with qualitative investigations such as interviews, case studies, or policy analysis. This will provide deeper insights into the practical implications of research trends and support more comprehensive educational reforms.</w:t>
      </w:r>
    </w:p>
    <w:p w14:paraId="0393C94E" w14:textId="77777777" w:rsidR="00CA43F9" w:rsidRPr="00821640" w:rsidRDefault="00CA43F9" w:rsidP="0086482B">
      <w:pPr>
        <w:pStyle w:val="NoSpacing"/>
        <w:jc w:val="both"/>
        <w:rPr>
          <w:rFonts w:ascii="Myriad Pro" w:hAnsi="Myriad Pro" w:cs="Myriad Pro"/>
          <w:b/>
          <w:bCs/>
          <w:color w:val="000000"/>
          <w:sz w:val="24"/>
          <w:szCs w:val="24"/>
        </w:rPr>
      </w:pPr>
      <w:r w:rsidRPr="00821640">
        <w:rPr>
          <w:rFonts w:ascii="Myriad Pro" w:hAnsi="Myriad Pro" w:cs="Myriad Pro"/>
          <w:b/>
          <w:bCs/>
          <w:color w:val="000000"/>
          <w:sz w:val="24"/>
          <w:szCs w:val="24"/>
        </w:rPr>
        <w:t>Funding</w:t>
      </w:r>
    </w:p>
    <w:p w14:paraId="69BE3882" w14:textId="130522B9" w:rsidR="00CA43F9" w:rsidRPr="00821640" w:rsidRDefault="00CA43F9" w:rsidP="0086482B">
      <w:pPr>
        <w:pStyle w:val="NoSpacing"/>
        <w:jc w:val="both"/>
        <w:rPr>
          <w:rFonts w:ascii="Myriad Pro" w:hAnsi="Myriad Pro" w:cs="Myriad Pro"/>
          <w:color w:val="000000"/>
          <w:sz w:val="24"/>
          <w:szCs w:val="24"/>
        </w:rPr>
      </w:pPr>
      <w:r w:rsidRPr="00821640">
        <w:rPr>
          <w:rFonts w:ascii="Myriad Pro" w:hAnsi="Myriad Pro" w:cs="Myriad Pro"/>
          <w:color w:val="000000"/>
          <w:sz w:val="24"/>
          <w:szCs w:val="24"/>
        </w:rPr>
        <w:t>The researcher received no financial support for the research, authorship, and/or publication of this article.</w:t>
      </w:r>
    </w:p>
    <w:p w14:paraId="418ABD40" w14:textId="77777777" w:rsidR="00CA43F9" w:rsidRPr="00821640" w:rsidRDefault="00CA43F9" w:rsidP="0086482B">
      <w:pPr>
        <w:pStyle w:val="NoSpacing"/>
        <w:jc w:val="both"/>
        <w:rPr>
          <w:rFonts w:ascii="Myriad Pro" w:hAnsi="Myriad Pro" w:cs="Myriad Pro"/>
          <w:b/>
          <w:bCs/>
          <w:color w:val="000000"/>
          <w:sz w:val="24"/>
          <w:szCs w:val="24"/>
        </w:rPr>
      </w:pPr>
      <w:r w:rsidRPr="00821640">
        <w:rPr>
          <w:rFonts w:ascii="Myriad Pro" w:hAnsi="Myriad Pro" w:cs="Myriad Pro"/>
          <w:b/>
          <w:bCs/>
          <w:color w:val="000000"/>
          <w:sz w:val="24"/>
          <w:szCs w:val="24"/>
        </w:rPr>
        <w:t>Ethical Approval</w:t>
      </w:r>
    </w:p>
    <w:p w14:paraId="2D94549B" w14:textId="51804CBE" w:rsidR="00CA43F9" w:rsidRPr="00821640" w:rsidRDefault="00CA43F9" w:rsidP="0086482B">
      <w:pPr>
        <w:pStyle w:val="NoSpacing"/>
        <w:jc w:val="both"/>
        <w:rPr>
          <w:rFonts w:ascii="Myriad Pro" w:hAnsi="Myriad Pro" w:cs="Myriad Pro"/>
          <w:color w:val="000000"/>
          <w:sz w:val="24"/>
          <w:szCs w:val="24"/>
        </w:rPr>
      </w:pPr>
      <w:r w:rsidRPr="00821640">
        <w:rPr>
          <w:rFonts w:ascii="Myriad Pro" w:hAnsi="Myriad Pro" w:cs="Myriad Pro"/>
          <w:color w:val="000000"/>
          <w:sz w:val="24"/>
          <w:szCs w:val="24"/>
        </w:rPr>
        <w:t>This study was conducted in accordance with ethical standards and no human participants w</w:t>
      </w:r>
      <w:r w:rsidR="00821640" w:rsidRPr="00821640">
        <w:rPr>
          <w:rFonts w:ascii="Myriad Pro" w:hAnsi="Myriad Pro" w:cs="Myriad Pro"/>
          <w:color w:val="000000"/>
          <w:sz w:val="24"/>
          <w:szCs w:val="24"/>
        </w:rPr>
        <w:t xml:space="preserve">ere </w:t>
      </w:r>
      <w:r w:rsidRPr="00821640">
        <w:rPr>
          <w:rFonts w:ascii="Myriad Pro" w:hAnsi="Myriad Pro" w:cs="Myriad Pro"/>
          <w:color w:val="000000"/>
          <w:sz w:val="24"/>
          <w:szCs w:val="24"/>
        </w:rPr>
        <w:t>involved in the study.</w:t>
      </w:r>
    </w:p>
    <w:p w14:paraId="48833F48" w14:textId="77777777" w:rsidR="00CA43F9" w:rsidRPr="00821640" w:rsidRDefault="00CA43F9" w:rsidP="0086482B">
      <w:pPr>
        <w:pStyle w:val="NoSpacing"/>
        <w:jc w:val="both"/>
        <w:rPr>
          <w:rFonts w:ascii="Myriad Pro" w:hAnsi="Myriad Pro" w:cs="Myriad Pro"/>
          <w:b/>
          <w:bCs/>
          <w:color w:val="000000"/>
          <w:sz w:val="24"/>
          <w:szCs w:val="24"/>
        </w:rPr>
      </w:pPr>
      <w:r w:rsidRPr="00821640">
        <w:rPr>
          <w:rFonts w:ascii="Myriad Pro" w:hAnsi="Myriad Pro" w:cs="Myriad Pro"/>
          <w:b/>
          <w:bCs/>
          <w:color w:val="000000"/>
          <w:sz w:val="24"/>
          <w:szCs w:val="24"/>
        </w:rPr>
        <w:t>Conflicts of Interest</w:t>
      </w:r>
    </w:p>
    <w:p w14:paraId="35C59297" w14:textId="4E36C2DE" w:rsidR="00CA43F9" w:rsidRPr="00821640" w:rsidRDefault="00CA43F9" w:rsidP="0086482B">
      <w:pPr>
        <w:pStyle w:val="NoSpacing"/>
        <w:jc w:val="both"/>
        <w:rPr>
          <w:rFonts w:ascii="Myriad Pro" w:hAnsi="Myriad Pro" w:cs="Myriad Pro"/>
          <w:color w:val="000000"/>
          <w:sz w:val="24"/>
          <w:szCs w:val="24"/>
        </w:rPr>
      </w:pPr>
      <w:r w:rsidRPr="00821640">
        <w:rPr>
          <w:rFonts w:ascii="Myriad Pro" w:hAnsi="Myriad Pro" w:cs="Myriad Pro"/>
          <w:color w:val="000000"/>
          <w:sz w:val="24"/>
          <w:szCs w:val="24"/>
        </w:rPr>
        <w:t>The researcher/author declares that there are no conflicts of interest regarding the publication of this paper.</w:t>
      </w:r>
    </w:p>
    <w:p w14:paraId="63751EBA" w14:textId="11E97C9F" w:rsidR="00CA43F9" w:rsidRPr="00821640" w:rsidRDefault="00CA43F9" w:rsidP="0086482B">
      <w:pPr>
        <w:pStyle w:val="NoSpacing"/>
        <w:jc w:val="both"/>
        <w:rPr>
          <w:rFonts w:ascii="Myriad Pro" w:hAnsi="Myriad Pro" w:cs="Myriad Pro"/>
          <w:b/>
          <w:bCs/>
          <w:color w:val="000000"/>
          <w:sz w:val="24"/>
          <w:szCs w:val="24"/>
        </w:rPr>
      </w:pPr>
      <w:r w:rsidRPr="00821640">
        <w:rPr>
          <w:rFonts w:ascii="Myriad Pro" w:hAnsi="Myriad Pro" w:cs="Myriad Pro"/>
          <w:b/>
          <w:bCs/>
          <w:color w:val="000000"/>
          <w:sz w:val="24"/>
          <w:szCs w:val="24"/>
        </w:rPr>
        <w:t>Data Availability Statement</w:t>
      </w:r>
    </w:p>
    <w:p w14:paraId="7718F28D" w14:textId="77777777" w:rsidR="00CA43F9" w:rsidRPr="00821640" w:rsidRDefault="00CA43F9" w:rsidP="0086482B">
      <w:pPr>
        <w:pStyle w:val="NoSpacing"/>
        <w:jc w:val="both"/>
        <w:rPr>
          <w:rFonts w:ascii="Myriad Pro" w:hAnsi="Myriad Pro" w:cs="Myriad Pro"/>
          <w:color w:val="000000"/>
          <w:sz w:val="24"/>
          <w:szCs w:val="24"/>
        </w:rPr>
      </w:pPr>
      <w:r w:rsidRPr="00821640">
        <w:rPr>
          <w:rFonts w:ascii="Myriad Pro" w:hAnsi="Myriad Pro" w:cs="Myriad Pro"/>
          <w:color w:val="000000"/>
          <w:sz w:val="24"/>
          <w:szCs w:val="24"/>
        </w:rPr>
        <w:t>The datasets generated and/or analyzed during the current study are not publicly available due to privacy and ethical considerations but are available from the corresponding author on reasonable request.</w:t>
      </w:r>
    </w:p>
    <w:p w14:paraId="01CEB02D" w14:textId="77777777" w:rsidR="00CA43F9" w:rsidRPr="00821640" w:rsidRDefault="00CA43F9" w:rsidP="0086482B">
      <w:pPr>
        <w:pStyle w:val="NoSpacing"/>
        <w:jc w:val="both"/>
        <w:rPr>
          <w:rFonts w:ascii="Myriad Pro" w:hAnsi="Myriad Pro" w:cs="Myriad Pro"/>
          <w:b/>
          <w:bCs/>
          <w:color w:val="000000"/>
          <w:sz w:val="24"/>
          <w:szCs w:val="24"/>
        </w:rPr>
      </w:pPr>
      <w:r w:rsidRPr="00821640">
        <w:rPr>
          <w:rFonts w:ascii="Myriad Pro" w:hAnsi="Myriad Pro" w:cs="Myriad Pro"/>
          <w:b/>
          <w:bCs/>
          <w:color w:val="000000"/>
          <w:sz w:val="24"/>
          <w:szCs w:val="24"/>
        </w:rPr>
        <w:t>Author Contributions</w:t>
      </w:r>
    </w:p>
    <w:p w14:paraId="29263737" w14:textId="139A1B28" w:rsidR="00CA43F9" w:rsidRPr="00821640" w:rsidRDefault="00CA43F9" w:rsidP="0086482B">
      <w:pPr>
        <w:pStyle w:val="NoSpacing"/>
        <w:jc w:val="both"/>
        <w:rPr>
          <w:rFonts w:ascii="Myriad Pro" w:hAnsi="Myriad Pro" w:cs="Myriad Pro"/>
          <w:color w:val="000000"/>
          <w:sz w:val="24"/>
          <w:szCs w:val="24"/>
        </w:rPr>
      </w:pPr>
      <w:r w:rsidRPr="00821640">
        <w:rPr>
          <w:rFonts w:ascii="Myriad Pro" w:hAnsi="Myriad Pro" w:cs="Myriad Pro"/>
          <w:color w:val="000000"/>
          <w:sz w:val="24"/>
          <w:szCs w:val="24"/>
        </w:rPr>
        <w:t>The researcher/author solely conceptualized the study, conducted data collection and analysis, and prepared the manuscript.</w:t>
      </w:r>
    </w:p>
    <w:p w14:paraId="3B59E97E" w14:textId="5C2BAFD3" w:rsidR="00CA43F9" w:rsidRPr="00821640" w:rsidRDefault="00CA43F9" w:rsidP="0086482B">
      <w:pPr>
        <w:pStyle w:val="NoSpacing"/>
        <w:jc w:val="both"/>
        <w:rPr>
          <w:rFonts w:ascii="Myriad Pro" w:hAnsi="Myriad Pro" w:cs="Myriad Pro"/>
          <w:b/>
          <w:bCs/>
          <w:color w:val="000000"/>
          <w:sz w:val="24"/>
          <w:szCs w:val="24"/>
        </w:rPr>
      </w:pPr>
      <w:r w:rsidRPr="00821640">
        <w:rPr>
          <w:rFonts w:ascii="Myriad Pro" w:hAnsi="Myriad Pro" w:cs="Myriad Pro"/>
          <w:b/>
          <w:bCs/>
          <w:color w:val="000000"/>
          <w:sz w:val="24"/>
          <w:szCs w:val="24"/>
        </w:rPr>
        <w:t>Declaration of Artificial Intelligence (AI) Use</w:t>
      </w:r>
    </w:p>
    <w:p w14:paraId="70C46C1E" w14:textId="4D1E0F99" w:rsidR="009F126A" w:rsidRPr="00821640" w:rsidRDefault="00CA43F9" w:rsidP="0086482B">
      <w:pPr>
        <w:pStyle w:val="NoSpacing"/>
        <w:jc w:val="both"/>
        <w:rPr>
          <w:rStyle w:val="A5"/>
          <w:rFonts w:ascii="Myriad Pro" w:hAnsi="Myriad Pro"/>
          <w:sz w:val="24"/>
          <w:szCs w:val="24"/>
        </w:rPr>
      </w:pPr>
      <w:r w:rsidRPr="00821640">
        <w:rPr>
          <w:rFonts w:ascii="Myriad Pro" w:hAnsi="Myriad Pro" w:cs="Myriad Pro"/>
          <w:color w:val="000000"/>
          <w:sz w:val="24"/>
          <w:szCs w:val="24"/>
        </w:rPr>
        <w:lastRenderedPageBreak/>
        <w:t>The author used</w:t>
      </w:r>
      <w:r w:rsidR="00821640" w:rsidRPr="00821640">
        <w:rPr>
          <w:rFonts w:ascii="Myriad Pro" w:hAnsi="Myriad Pro" w:cs="Myriad Pro"/>
          <w:color w:val="000000"/>
          <w:sz w:val="24"/>
          <w:szCs w:val="24"/>
        </w:rPr>
        <w:t xml:space="preserve"> the following:</w:t>
      </w:r>
      <w:r w:rsidRPr="00821640">
        <w:rPr>
          <w:rFonts w:ascii="Myriad Pro" w:hAnsi="Myriad Pro" w:cs="Myriad Pro"/>
          <w:color w:val="000000"/>
          <w:sz w:val="24"/>
          <w:szCs w:val="24"/>
        </w:rPr>
        <w:t xml:space="preserve"> ChatGPT</w:t>
      </w:r>
      <w:r w:rsidR="00821640" w:rsidRPr="00821640">
        <w:rPr>
          <w:rFonts w:ascii="Myriad Pro" w:hAnsi="Myriad Pro" w:cs="Myriad Pro"/>
          <w:color w:val="000000"/>
          <w:sz w:val="24"/>
          <w:szCs w:val="24"/>
        </w:rPr>
        <w:t>,Grammarly,Copilot</w:t>
      </w:r>
      <w:r w:rsidRPr="00821640">
        <w:rPr>
          <w:rFonts w:ascii="Myriad Pro" w:hAnsi="Myriad Pro" w:cs="Myriad Pro"/>
          <w:color w:val="000000"/>
          <w:sz w:val="24"/>
          <w:szCs w:val="24"/>
        </w:rPr>
        <w:t xml:space="preserve"> an artificial intelligence (AI) tool, to assist in improving the clarity, grammar, and organization of the manuscript. All outputs generated by the AI tool were critically reviewed, verified, and revised by the author. The author takes full responsibility for the accuracy, integrity, and originality of the final content.</w:t>
      </w:r>
    </w:p>
    <w:p w14:paraId="08FA71EF" w14:textId="77777777" w:rsidR="009F126A" w:rsidRPr="00821640" w:rsidRDefault="009F126A" w:rsidP="0086482B">
      <w:pPr>
        <w:pStyle w:val="NoSpacing"/>
        <w:jc w:val="both"/>
        <w:rPr>
          <w:rStyle w:val="A5"/>
          <w:rFonts w:ascii="Myriad Pro" w:hAnsi="Myriad Pro"/>
          <w:sz w:val="24"/>
          <w:szCs w:val="24"/>
        </w:rPr>
      </w:pPr>
    </w:p>
    <w:p w14:paraId="70ECE24E" w14:textId="77777777" w:rsidR="009F126A" w:rsidRPr="00821640" w:rsidRDefault="009F126A" w:rsidP="0086482B">
      <w:pPr>
        <w:pStyle w:val="NoSpacing"/>
        <w:jc w:val="both"/>
        <w:rPr>
          <w:rStyle w:val="A5"/>
          <w:rFonts w:ascii="Myriad Pro" w:hAnsi="Myriad Pro"/>
          <w:b/>
          <w:bCs/>
          <w:sz w:val="26"/>
          <w:szCs w:val="26"/>
        </w:rPr>
      </w:pPr>
      <w:r w:rsidRPr="00821640">
        <w:rPr>
          <w:rStyle w:val="A5"/>
          <w:rFonts w:ascii="Myriad Pro" w:hAnsi="Myriad Pro"/>
          <w:b/>
          <w:bCs/>
          <w:sz w:val="26"/>
          <w:szCs w:val="26"/>
        </w:rPr>
        <w:t>REFERENCES</w:t>
      </w:r>
    </w:p>
    <w:p w14:paraId="4699CE76" w14:textId="77777777" w:rsidR="00821640" w:rsidRPr="00821640" w:rsidRDefault="00821640" w:rsidP="0086482B">
      <w:pPr>
        <w:pStyle w:val="NormalWeb"/>
        <w:jc w:val="both"/>
        <w:rPr>
          <w:rFonts w:ascii="Myriad Pro" w:hAnsi="Myriad Pro"/>
        </w:rPr>
      </w:pPr>
      <w:r w:rsidRPr="00821640">
        <w:rPr>
          <w:rFonts w:ascii="Myriad Pro" w:hAnsi="Myriad Pro"/>
        </w:rPr>
        <w:t xml:space="preserve">Aria, M., &amp; Cuccurullo, C. (2017). </w:t>
      </w:r>
      <w:r w:rsidRPr="00821640">
        <w:rPr>
          <w:rStyle w:val="15"/>
          <w:rFonts w:ascii="Myriad Pro" w:hAnsi="Myriad Pro"/>
        </w:rPr>
        <w:t>Bibliometrix: An R-tool for comprehensive science mapping analysis.</w:t>
      </w:r>
      <w:r w:rsidRPr="00821640">
        <w:rPr>
          <w:rFonts w:ascii="Myriad Pro" w:hAnsi="Myriad Pro"/>
        </w:rPr>
        <w:t xml:space="preserve"> </w:t>
      </w:r>
      <w:r w:rsidRPr="00821640">
        <w:rPr>
          <w:rStyle w:val="15"/>
          <w:rFonts w:ascii="Myriad Pro" w:hAnsi="Myriad Pro"/>
        </w:rPr>
        <w:t>Journal of Informetrics, 11</w:t>
      </w:r>
      <w:r w:rsidRPr="00821640">
        <w:rPr>
          <w:rFonts w:ascii="Myriad Pro" w:hAnsi="Myriad Pro"/>
        </w:rPr>
        <w:t xml:space="preserve">(4), 959–975. </w:t>
      </w:r>
      <w:hyperlink r:id="rId10" w:history="1">
        <w:r w:rsidRPr="00821640">
          <w:rPr>
            <w:rStyle w:val="16"/>
            <w:rFonts w:ascii="Myriad Pro" w:hAnsi="Myriad Pro"/>
          </w:rPr>
          <w:t>https://doi.org/10.1016/j.joi.2017.08.007</w:t>
        </w:r>
      </w:hyperlink>
    </w:p>
    <w:p w14:paraId="15924FB9" w14:textId="77777777" w:rsidR="00821640" w:rsidRPr="00821640" w:rsidRDefault="00821640" w:rsidP="0086482B">
      <w:pPr>
        <w:pStyle w:val="NormalWeb"/>
        <w:jc w:val="both"/>
        <w:rPr>
          <w:rFonts w:ascii="Myriad Pro" w:hAnsi="Myriad Pro"/>
        </w:rPr>
      </w:pPr>
      <w:r w:rsidRPr="00821640">
        <w:rPr>
          <w:rFonts w:ascii="Myriad Pro" w:hAnsi="Myriad Pro"/>
        </w:rPr>
        <w:t xml:space="preserve">Arnold, D., Petersen, A., &amp; Sørensen, P. (2018). Teachers’ attitudes and contextual factors influencing technology adoption. </w:t>
      </w:r>
      <w:r w:rsidRPr="00821640">
        <w:rPr>
          <w:rStyle w:val="15"/>
          <w:rFonts w:ascii="Myriad Pro" w:hAnsi="Myriad Pro"/>
        </w:rPr>
        <w:t>Technology, Pedagogy and Education, 27</w:t>
      </w:r>
      <w:r w:rsidRPr="00821640">
        <w:rPr>
          <w:rFonts w:ascii="Myriad Pro" w:hAnsi="Myriad Pro"/>
        </w:rPr>
        <w:t xml:space="preserve">(5), 547–560. </w:t>
      </w:r>
      <w:hyperlink r:id="rId11" w:history="1">
        <w:r w:rsidRPr="00821640">
          <w:rPr>
            <w:rStyle w:val="16"/>
            <w:rFonts w:ascii="Myriad Pro" w:hAnsi="Myriad Pro"/>
          </w:rPr>
          <w:t>https://doi.org/10.1080/1475939X.2018.1510988</w:t>
        </w:r>
      </w:hyperlink>
    </w:p>
    <w:p w14:paraId="2909314B" w14:textId="77777777" w:rsidR="00821640" w:rsidRPr="00821640" w:rsidRDefault="00821640" w:rsidP="0086482B">
      <w:pPr>
        <w:pStyle w:val="NormalWeb"/>
        <w:jc w:val="both"/>
        <w:rPr>
          <w:rFonts w:ascii="Myriad Pro" w:hAnsi="Myriad Pro"/>
        </w:rPr>
      </w:pPr>
      <w:r w:rsidRPr="00821640">
        <w:rPr>
          <w:rFonts w:ascii="Myriad Pro" w:hAnsi="Myriad Pro"/>
        </w:rPr>
        <w:t xml:space="preserve">Chen, C. (2006). CiteSpace II: Detecting and visualizing emerging trends and transient patterns in scientific literature. </w:t>
      </w:r>
      <w:r w:rsidRPr="00821640">
        <w:rPr>
          <w:rStyle w:val="15"/>
          <w:rFonts w:ascii="Myriad Pro" w:hAnsi="Myriad Pro"/>
        </w:rPr>
        <w:t>Journal of the American Society for Information Science and Technology, 57</w:t>
      </w:r>
      <w:r w:rsidRPr="00821640">
        <w:rPr>
          <w:rFonts w:ascii="Myriad Pro" w:hAnsi="Myriad Pro"/>
        </w:rPr>
        <w:t xml:space="preserve">(3), 359–377. </w:t>
      </w:r>
      <w:hyperlink r:id="rId12" w:history="1">
        <w:r w:rsidRPr="00821640">
          <w:rPr>
            <w:rStyle w:val="16"/>
            <w:rFonts w:ascii="Myriad Pro" w:hAnsi="Myriad Pro"/>
          </w:rPr>
          <w:t>https://doi.org/10.1002/asi.20317</w:t>
        </w:r>
      </w:hyperlink>
    </w:p>
    <w:p w14:paraId="60B4CFDA" w14:textId="77777777" w:rsidR="00821640" w:rsidRPr="00821640" w:rsidRDefault="00821640" w:rsidP="0086482B">
      <w:pPr>
        <w:pStyle w:val="NormalWeb"/>
        <w:jc w:val="both"/>
        <w:rPr>
          <w:rFonts w:ascii="Myriad Pro" w:hAnsi="Myriad Pro"/>
        </w:rPr>
      </w:pPr>
      <w:r w:rsidRPr="00821640">
        <w:rPr>
          <w:rFonts w:ascii="Myriad Pro" w:hAnsi="Myriad Pro"/>
        </w:rPr>
        <w:t xml:space="preserve">Cobo, M. J., López-Herrera, A. G., Herrera-Viedma, E., &amp; Herrera, F. (2011). Science mapping software tools: Review, analysis, and cooperative study among tools. </w:t>
      </w:r>
      <w:r w:rsidRPr="00821640">
        <w:rPr>
          <w:rStyle w:val="15"/>
          <w:rFonts w:ascii="Myriad Pro" w:hAnsi="Myriad Pro"/>
        </w:rPr>
        <w:t>Journal of the American Society for Information Science and Technology, 62</w:t>
      </w:r>
      <w:r w:rsidRPr="00821640">
        <w:rPr>
          <w:rFonts w:ascii="Myriad Pro" w:hAnsi="Myriad Pro"/>
        </w:rPr>
        <w:t xml:space="preserve">(7), 1382–1402. </w:t>
      </w:r>
      <w:hyperlink r:id="rId13" w:history="1">
        <w:r w:rsidRPr="00821640">
          <w:rPr>
            <w:rStyle w:val="16"/>
            <w:rFonts w:ascii="Myriad Pro" w:hAnsi="Myriad Pro"/>
          </w:rPr>
          <w:t>https://doi.org/10.1002/asi.21525</w:t>
        </w:r>
      </w:hyperlink>
    </w:p>
    <w:p w14:paraId="1396D496" w14:textId="77777777" w:rsidR="00821640" w:rsidRPr="00821640" w:rsidRDefault="00821640" w:rsidP="0086482B">
      <w:pPr>
        <w:pStyle w:val="NormalWeb"/>
        <w:jc w:val="both"/>
        <w:rPr>
          <w:rFonts w:ascii="Myriad Pro" w:hAnsi="Myriad Pro"/>
        </w:rPr>
      </w:pPr>
      <w:r w:rsidRPr="00821640">
        <w:rPr>
          <w:rFonts w:ascii="Myriad Pro" w:hAnsi="Myriad Pro"/>
        </w:rPr>
        <w:t xml:space="preserve">Damayanti, F., Wijaya, R., &amp; Rasuki, E. (2024). Digital literacy in developing countries: Barriers and teacher-training implications. </w:t>
      </w:r>
      <w:r w:rsidRPr="00821640">
        <w:rPr>
          <w:rStyle w:val="15"/>
          <w:rFonts w:ascii="Myriad Pro" w:hAnsi="Myriad Pro"/>
        </w:rPr>
        <w:t>International Journal of Education and Learning, 12</w:t>
      </w:r>
      <w:r w:rsidRPr="00821640">
        <w:rPr>
          <w:rFonts w:ascii="Myriad Pro" w:hAnsi="Myriad Pro"/>
        </w:rPr>
        <w:t xml:space="preserve">(1), 45–58. </w:t>
      </w:r>
      <w:hyperlink r:id="rId14" w:history="1">
        <w:r w:rsidRPr="00821640">
          <w:rPr>
            <w:rStyle w:val="16"/>
            <w:rFonts w:ascii="Myriad Pro" w:hAnsi="Myriad Pro"/>
          </w:rPr>
          <w:t>https://injoe.org/index.php/INJOE/article/view/211</w:t>
        </w:r>
      </w:hyperlink>
    </w:p>
    <w:p w14:paraId="1C6631AC" w14:textId="77777777" w:rsidR="00821640" w:rsidRPr="00821640" w:rsidRDefault="00821640" w:rsidP="0086482B">
      <w:pPr>
        <w:pStyle w:val="NormalWeb"/>
        <w:jc w:val="both"/>
        <w:rPr>
          <w:rFonts w:ascii="Myriad Pro" w:hAnsi="Myriad Pro"/>
        </w:rPr>
      </w:pPr>
      <w:r w:rsidRPr="00821640">
        <w:rPr>
          <w:rFonts w:ascii="Myriad Pro" w:hAnsi="Myriad Pro"/>
        </w:rPr>
        <w:t xml:space="preserve">Donthu, N., Kumar, S., Mukherjee, D., Pandey, N., &amp; Lim, W. M. (2021). How to conduct a bibliometric analysis: An overview and guidelines. </w:t>
      </w:r>
      <w:r w:rsidRPr="00821640">
        <w:rPr>
          <w:rStyle w:val="15"/>
          <w:rFonts w:ascii="Myriad Pro" w:hAnsi="Myriad Pro"/>
        </w:rPr>
        <w:t>Journal of Business Research, 133,</w:t>
      </w:r>
      <w:r w:rsidRPr="00821640">
        <w:rPr>
          <w:rFonts w:ascii="Myriad Pro" w:hAnsi="Myriad Pro"/>
        </w:rPr>
        <w:t xml:space="preserve"> 285–296. </w:t>
      </w:r>
      <w:hyperlink r:id="rId15" w:history="1">
        <w:r w:rsidRPr="00821640">
          <w:rPr>
            <w:rStyle w:val="16"/>
            <w:rFonts w:ascii="Myriad Pro" w:hAnsi="Myriad Pro"/>
          </w:rPr>
          <w:t>https://doi.org/10.1016/j.jbusres.2021.04.070</w:t>
        </w:r>
      </w:hyperlink>
    </w:p>
    <w:p w14:paraId="178C4949" w14:textId="77777777" w:rsidR="00821640" w:rsidRPr="00821640" w:rsidRDefault="00821640" w:rsidP="0086482B">
      <w:pPr>
        <w:pStyle w:val="NormalWeb"/>
        <w:jc w:val="both"/>
        <w:rPr>
          <w:rFonts w:ascii="Myriad Pro" w:hAnsi="Myriad Pro"/>
        </w:rPr>
      </w:pPr>
      <w:r w:rsidRPr="00821640">
        <w:rPr>
          <w:rFonts w:ascii="Myriad Pro" w:hAnsi="Myriad Pro"/>
        </w:rPr>
        <w:t xml:space="preserve">Eric, E. (2024). The growing role of digital competencies in remote learning and curriculum innovation. </w:t>
      </w:r>
      <w:r w:rsidRPr="00821640">
        <w:rPr>
          <w:rStyle w:val="15"/>
          <w:rFonts w:ascii="Myriad Pro" w:hAnsi="Myriad Pro"/>
        </w:rPr>
        <w:t>Journal of Educational Innovation and Practice, 8</w:t>
      </w:r>
      <w:r w:rsidRPr="00821640">
        <w:rPr>
          <w:rFonts w:ascii="Myriad Pro" w:hAnsi="Myriad Pro"/>
        </w:rPr>
        <w:t>(2), 55–70.</w:t>
      </w:r>
    </w:p>
    <w:p w14:paraId="7BE43907" w14:textId="77777777" w:rsidR="00821640" w:rsidRPr="00821640" w:rsidRDefault="00821640" w:rsidP="0086482B">
      <w:pPr>
        <w:pStyle w:val="NormalWeb"/>
        <w:jc w:val="both"/>
        <w:rPr>
          <w:rFonts w:ascii="Myriad Pro" w:hAnsi="Myriad Pro"/>
        </w:rPr>
      </w:pPr>
      <w:r w:rsidRPr="00821640">
        <w:rPr>
          <w:rFonts w:ascii="Myriad Pro" w:hAnsi="Myriad Pro"/>
        </w:rPr>
        <w:t xml:space="preserve">Frontiers in Education. (2025). Mapping teachers’ digital-literacy research evolution: A bibliometric analysis. </w:t>
      </w:r>
      <w:r w:rsidRPr="00821640">
        <w:rPr>
          <w:rStyle w:val="15"/>
          <w:rFonts w:ascii="Myriad Pro" w:hAnsi="Myriad Pro"/>
        </w:rPr>
        <w:t>Frontiers in Education, 10,</w:t>
      </w:r>
      <w:r w:rsidRPr="00821640">
        <w:rPr>
          <w:rFonts w:ascii="Myriad Pro" w:hAnsi="Myriad Pro"/>
        </w:rPr>
        <w:t xml:space="preserve"> 1597121. </w:t>
      </w:r>
      <w:hyperlink r:id="rId16" w:history="1">
        <w:r w:rsidRPr="00821640">
          <w:rPr>
            <w:rStyle w:val="16"/>
            <w:rFonts w:ascii="Myriad Pro" w:hAnsi="Myriad Pro"/>
          </w:rPr>
          <w:t>https://www.frontiersin.org/articles/10.3389/feduc.2025.1597121/full</w:t>
        </w:r>
      </w:hyperlink>
    </w:p>
    <w:p w14:paraId="7D6CB4A1" w14:textId="77777777" w:rsidR="00821640" w:rsidRPr="00821640" w:rsidRDefault="00821640" w:rsidP="0086482B">
      <w:pPr>
        <w:pStyle w:val="NormalWeb"/>
        <w:jc w:val="both"/>
        <w:rPr>
          <w:rFonts w:ascii="Myriad Pro" w:hAnsi="Myriad Pro"/>
        </w:rPr>
      </w:pPr>
      <w:r w:rsidRPr="00821640">
        <w:rPr>
          <w:rFonts w:ascii="Myriad Pro" w:hAnsi="Myriad Pro"/>
        </w:rPr>
        <w:t xml:space="preserve">Generelao, R. (2022). </w:t>
      </w:r>
      <w:r w:rsidRPr="00821640">
        <w:rPr>
          <w:rStyle w:val="15"/>
          <w:rFonts w:ascii="Myriad Pro" w:hAnsi="Myriad Pro"/>
        </w:rPr>
        <w:t>Teacher deployment gaps in Philippine secondary schools: A policy brief.</w:t>
      </w:r>
      <w:r w:rsidRPr="00821640">
        <w:rPr>
          <w:rFonts w:ascii="Myriad Pro" w:hAnsi="Myriad Pro"/>
        </w:rPr>
        <w:t xml:space="preserve"> Department of Education.</w:t>
      </w:r>
    </w:p>
    <w:p w14:paraId="4E5A84B1" w14:textId="77777777" w:rsidR="00821640" w:rsidRPr="00821640" w:rsidRDefault="00821640" w:rsidP="0086482B">
      <w:pPr>
        <w:pStyle w:val="NormalWeb"/>
        <w:jc w:val="both"/>
        <w:rPr>
          <w:rFonts w:ascii="Myriad Pro" w:hAnsi="Myriad Pro"/>
        </w:rPr>
      </w:pPr>
      <w:r w:rsidRPr="00821640">
        <w:rPr>
          <w:rFonts w:ascii="Myriad Pro" w:hAnsi="Myriad Pro"/>
        </w:rPr>
        <w:t xml:space="preserve">Kassymova, G., Tashkeyeva, G., &amp; Saduakas, S. (2024). Digital competencies in post-pandemic education: A global review. </w:t>
      </w:r>
      <w:r w:rsidRPr="00821640">
        <w:rPr>
          <w:rStyle w:val="15"/>
          <w:rFonts w:ascii="Myriad Pro" w:hAnsi="Myriad Pro"/>
        </w:rPr>
        <w:t>International Journal of Educational Technology, 9</w:t>
      </w:r>
      <w:r w:rsidRPr="00821640">
        <w:rPr>
          <w:rFonts w:ascii="Myriad Pro" w:hAnsi="Myriad Pro"/>
        </w:rPr>
        <w:t>(2), 101–120.</w:t>
      </w:r>
    </w:p>
    <w:p w14:paraId="01A14C0D" w14:textId="77777777" w:rsidR="00821640" w:rsidRPr="00821640" w:rsidRDefault="00821640" w:rsidP="0086482B">
      <w:pPr>
        <w:pStyle w:val="NormalWeb"/>
        <w:jc w:val="both"/>
        <w:rPr>
          <w:rFonts w:ascii="Myriad Pro" w:hAnsi="Myriad Pro"/>
        </w:rPr>
      </w:pPr>
      <w:r w:rsidRPr="00821640">
        <w:rPr>
          <w:rFonts w:ascii="Myriad Pro" w:hAnsi="Myriad Pro"/>
        </w:rPr>
        <w:t xml:space="preserve">Moher, D., Liberati, A., Tetzlaff, J., Altman, D. G., &amp; The PRISMA Group. (2009). Preferred reporting items for systematic reviews and meta-analyses: The PRISMA statement. </w:t>
      </w:r>
      <w:r w:rsidRPr="00821640">
        <w:rPr>
          <w:rStyle w:val="15"/>
          <w:rFonts w:ascii="Myriad Pro" w:hAnsi="Myriad Pro"/>
        </w:rPr>
        <w:t>PLoS Medicine, 6</w:t>
      </w:r>
      <w:r w:rsidRPr="00821640">
        <w:rPr>
          <w:rFonts w:ascii="Myriad Pro" w:hAnsi="Myriad Pro"/>
        </w:rPr>
        <w:t xml:space="preserve">(7), e1000097. </w:t>
      </w:r>
      <w:hyperlink r:id="rId17" w:history="1">
        <w:r w:rsidRPr="00821640">
          <w:rPr>
            <w:rStyle w:val="16"/>
            <w:rFonts w:ascii="Myriad Pro" w:hAnsi="Myriad Pro"/>
          </w:rPr>
          <w:t>https://doi.org/10.1371/journal.pmed.1000097</w:t>
        </w:r>
      </w:hyperlink>
    </w:p>
    <w:p w14:paraId="23EF48B8" w14:textId="77777777" w:rsidR="00821640" w:rsidRPr="00821640" w:rsidRDefault="00821640" w:rsidP="0086482B">
      <w:pPr>
        <w:pStyle w:val="NormalWeb"/>
        <w:jc w:val="both"/>
        <w:rPr>
          <w:rFonts w:ascii="Myriad Pro" w:hAnsi="Myriad Pro"/>
        </w:rPr>
      </w:pPr>
      <w:r w:rsidRPr="00821640">
        <w:rPr>
          <w:rFonts w:ascii="Myriad Pro" w:hAnsi="Myriad Pro"/>
        </w:rPr>
        <w:t xml:space="preserve">Oktarina, D., Abdullah, N., &amp; Ismail, H. (2025). Mapping digital literacy in Southeast Asian teacher education. </w:t>
      </w:r>
      <w:r w:rsidRPr="00821640">
        <w:rPr>
          <w:rStyle w:val="15"/>
          <w:rFonts w:ascii="Myriad Pro" w:hAnsi="Myriad Pro"/>
        </w:rPr>
        <w:t>Journal of Southeast Asian Educational Studies, 7</w:t>
      </w:r>
      <w:r w:rsidRPr="00821640">
        <w:rPr>
          <w:rFonts w:ascii="Myriad Pro" w:hAnsi="Myriad Pro"/>
        </w:rPr>
        <w:t>(1), 33–49.</w:t>
      </w:r>
    </w:p>
    <w:p w14:paraId="2DC584F3" w14:textId="77777777" w:rsidR="00821640" w:rsidRPr="00821640" w:rsidRDefault="00821640" w:rsidP="0086482B">
      <w:pPr>
        <w:pStyle w:val="NormalWeb"/>
        <w:jc w:val="both"/>
        <w:rPr>
          <w:rFonts w:ascii="Myriad Pro" w:hAnsi="Myriad Pro"/>
        </w:rPr>
      </w:pPr>
      <w:r w:rsidRPr="00821640">
        <w:rPr>
          <w:rFonts w:ascii="Myriad Pro" w:hAnsi="Myriad Pro"/>
        </w:rPr>
        <w:lastRenderedPageBreak/>
        <w:t xml:space="preserve">Page, M. J., McKenzie, J. E., Bossuyt, P. M., Boutron, I., Hoffmann, T. C., Mulrow, C. D., ... &amp; Moher, D. (2021). The PRISMA 2020 statement: An updated guideline for reporting systematic reviews. </w:t>
      </w:r>
      <w:r w:rsidRPr="00821640">
        <w:rPr>
          <w:rStyle w:val="15"/>
          <w:rFonts w:ascii="Myriad Pro" w:hAnsi="Myriad Pro"/>
        </w:rPr>
        <w:t>BMJ, 372,</w:t>
      </w:r>
      <w:r w:rsidRPr="00821640">
        <w:rPr>
          <w:rFonts w:ascii="Myriad Pro" w:hAnsi="Myriad Pro"/>
        </w:rPr>
        <w:t xml:space="preserve"> n71. </w:t>
      </w:r>
      <w:hyperlink r:id="rId18" w:history="1">
        <w:r w:rsidRPr="00821640">
          <w:rPr>
            <w:rStyle w:val="16"/>
            <w:rFonts w:ascii="Myriad Pro" w:hAnsi="Myriad Pro"/>
          </w:rPr>
          <w:t>https://doi.org/10.1136/bmj.n71</w:t>
        </w:r>
      </w:hyperlink>
    </w:p>
    <w:p w14:paraId="0D8A35E9" w14:textId="77777777" w:rsidR="00821640" w:rsidRPr="00821640" w:rsidRDefault="00821640" w:rsidP="0086482B">
      <w:pPr>
        <w:pStyle w:val="NormalWeb"/>
        <w:jc w:val="both"/>
        <w:rPr>
          <w:rFonts w:ascii="Myriad Pro" w:hAnsi="Myriad Pro"/>
        </w:rPr>
      </w:pPr>
      <w:r w:rsidRPr="00821640">
        <w:rPr>
          <w:rFonts w:ascii="Myriad Pro" w:hAnsi="Myriad Pro"/>
        </w:rPr>
        <w:t xml:space="preserve">Rahman, A., Hassan, Z., &amp; Lee, C. (2023). Global research trends on digital literacy: A bibliometric and science-mapping analysis. </w:t>
      </w:r>
      <w:r w:rsidRPr="00821640">
        <w:rPr>
          <w:rStyle w:val="15"/>
          <w:rFonts w:ascii="Myriad Pro" w:hAnsi="Myriad Pro"/>
        </w:rPr>
        <w:t>Sustainability, 15</w:t>
      </w:r>
      <w:r w:rsidRPr="00821640">
        <w:rPr>
          <w:rFonts w:ascii="Myriad Pro" w:hAnsi="Myriad Pro"/>
        </w:rPr>
        <w:t xml:space="preserve">(7), 5769. </w:t>
      </w:r>
      <w:hyperlink r:id="rId19" w:history="1">
        <w:r w:rsidRPr="00821640">
          <w:rPr>
            <w:rStyle w:val="16"/>
            <w:rFonts w:ascii="Myriad Pro" w:hAnsi="Myriad Pro"/>
          </w:rPr>
          <w:t>https://doi.org/10.3390/su15075769</w:t>
        </w:r>
      </w:hyperlink>
    </w:p>
    <w:p w14:paraId="0A42DC64" w14:textId="77777777" w:rsidR="00821640" w:rsidRPr="00821640" w:rsidRDefault="00821640" w:rsidP="0086482B">
      <w:pPr>
        <w:pStyle w:val="NormalWeb"/>
        <w:jc w:val="both"/>
        <w:rPr>
          <w:rFonts w:ascii="Myriad Pro" w:hAnsi="Myriad Pro"/>
        </w:rPr>
      </w:pPr>
      <w:r w:rsidRPr="00821640">
        <w:rPr>
          <w:rFonts w:ascii="Myriad Pro" w:hAnsi="Myriad Pro"/>
        </w:rPr>
        <w:t xml:space="preserve">Small, H. (1973). Co-citation in the scientific literature: A new measure of the relationship between two documents. </w:t>
      </w:r>
      <w:r w:rsidRPr="00821640">
        <w:rPr>
          <w:rStyle w:val="15"/>
          <w:rFonts w:ascii="Myriad Pro" w:hAnsi="Myriad Pro"/>
        </w:rPr>
        <w:t>Journal of the American Society for Information Science, 24</w:t>
      </w:r>
      <w:r w:rsidRPr="00821640">
        <w:rPr>
          <w:rFonts w:ascii="Myriad Pro" w:hAnsi="Myriad Pro"/>
        </w:rPr>
        <w:t xml:space="preserve">(4), 265–269. </w:t>
      </w:r>
      <w:hyperlink r:id="rId20" w:history="1">
        <w:r w:rsidRPr="00821640">
          <w:rPr>
            <w:rStyle w:val="16"/>
            <w:rFonts w:ascii="Myriad Pro" w:hAnsi="Myriad Pro"/>
          </w:rPr>
          <w:t>https://doi.org/10.1002/asi.4630240406</w:t>
        </w:r>
      </w:hyperlink>
    </w:p>
    <w:p w14:paraId="420D8EA7" w14:textId="77777777" w:rsidR="00821640" w:rsidRPr="00821640" w:rsidRDefault="00821640" w:rsidP="0086482B">
      <w:pPr>
        <w:pStyle w:val="NormalWeb"/>
        <w:jc w:val="both"/>
        <w:rPr>
          <w:rFonts w:ascii="Myriad Pro" w:hAnsi="Myriad Pro"/>
        </w:rPr>
      </w:pPr>
      <w:r w:rsidRPr="00821640">
        <w:rPr>
          <w:rFonts w:ascii="Myriad Pro" w:hAnsi="Myriad Pro"/>
        </w:rPr>
        <w:t xml:space="preserve">Tinmaz, H., Lee, J., &amp; Fanea-Ivanovici, M. (2022). A systematic review of digital-literacy research: Concepts, trends, and future directions. </w:t>
      </w:r>
      <w:r w:rsidRPr="00821640">
        <w:rPr>
          <w:rStyle w:val="15"/>
          <w:rFonts w:ascii="Myriad Pro" w:hAnsi="Myriad Pro"/>
        </w:rPr>
        <w:t>Smart Learning Environments, 9</w:t>
      </w:r>
      <w:r w:rsidRPr="00821640">
        <w:rPr>
          <w:rFonts w:ascii="Myriad Pro" w:hAnsi="Myriad Pro"/>
        </w:rPr>
        <w:t xml:space="preserve">(1), 12. </w:t>
      </w:r>
      <w:hyperlink r:id="rId21" w:history="1">
        <w:r w:rsidRPr="00821640">
          <w:rPr>
            <w:rStyle w:val="16"/>
            <w:rFonts w:ascii="Myriad Pro" w:hAnsi="Myriad Pro"/>
          </w:rPr>
          <w:t>https://doi.org/10.1186/s40561-022-00204-y</w:t>
        </w:r>
      </w:hyperlink>
    </w:p>
    <w:p w14:paraId="1D268635" w14:textId="77777777" w:rsidR="00821640" w:rsidRPr="00821640" w:rsidRDefault="00821640" w:rsidP="0086482B">
      <w:pPr>
        <w:pStyle w:val="NormalWeb"/>
        <w:jc w:val="both"/>
        <w:rPr>
          <w:rFonts w:ascii="Myriad Pro" w:hAnsi="Myriad Pro"/>
        </w:rPr>
      </w:pPr>
      <w:r w:rsidRPr="00821640">
        <w:rPr>
          <w:rFonts w:ascii="Myriad Pro" w:hAnsi="Myriad Pro"/>
        </w:rPr>
        <w:t xml:space="preserve">van Eck, N. J., &amp; Waltman, L. (2010). Software survey: VOSviewer, a computer program for bibliometric mapping. </w:t>
      </w:r>
      <w:r w:rsidRPr="00821640">
        <w:rPr>
          <w:rStyle w:val="15"/>
          <w:rFonts w:ascii="Myriad Pro" w:hAnsi="Myriad Pro"/>
        </w:rPr>
        <w:t>Scientometrics, 84</w:t>
      </w:r>
      <w:r w:rsidRPr="00821640">
        <w:rPr>
          <w:rFonts w:ascii="Myriad Pro" w:hAnsi="Myriad Pro"/>
        </w:rPr>
        <w:t xml:space="preserve">(2), 523–538. </w:t>
      </w:r>
      <w:hyperlink r:id="rId22" w:history="1">
        <w:r w:rsidRPr="00821640">
          <w:rPr>
            <w:rStyle w:val="16"/>
            <w:rFonts w:ascii="Myriad Pro" w:hAnsi="Myriad Pro"/>
          </w:rPr>
          <w:t>https://doi.org/10.1007/s11192-009-0146-3</w:t>
        </w:r>
      </w:hyperlink>
    </w:p>
    <w:p w14:paraId="69F75FD7" w14:textId="77777777" w:rsidR="00821640" w:rsidRPr="00821640" w:rsidRDefault="00821640" w:rsidP="0086482B">
      <w:pPr>
        <w:pStyle w:val="NormalWeb"/>
        <w:jc w:val="both"/>
        <w:rPr>
          <w:rFonts w:ascii="Myriad Pro" w:hAnsi="Myriad Pro"/>
        </w:rPr>
      </w:pPr>
      <w:r w:rsidRPr="00821640">
        <w:rPr>
          <w:rFonts w:ascii="Myriad Pro" w:hAnsi="Myriad Pro"/>
        </w:rPr>
        <w:t xml:space="preserve">Villanueva, J. (2023). Teacher shortages in Philippine science high schools: A national review. </w:t>
      </w:r>
      <w:r w:rsidRPr="00821640">
        <w:rPr>
          <w:rStyle w:val="15"/>
          <w:rFonts w:ascii="Myriad Pro" w:hAnsi="Myriad Pro"/>
        </w:rPr>
        <w:t>Education Policy Monitor, 6</w:t>
      </w:r>
      <w:r w:rsidRPr="00821640">
        <w:rPr>
          <w:rFonts w:ascii="Myriad Pro" w:hAnsi="Myriad Pro"/>
        </w:rPr>
        <w:t>(3), 101–115.</w:t>
      </w:r>
    </w:p>
    <w:p w14:paraId="5224AAF9" w14:textId="77777777" w:rsidR="00821640" w:rsidRPr="00821640" w:rsidRDefault="00821640" w:rsidP="0086482B">
      <w:pPr>
        <w:pStyle w:val="NormalWeb"/>
        <w:jc w:val="both"/>
        <w:rPr>
          <w:rFonts w:ascii="Myriad Pro" w:hAnsi="Myriad Pro"/>
        </w:rPr>
      </w:pPr>
      <w:r w:rsidRPr="00821640">
        <w:rPr>
          <w:rFonts w:ascii="Myriad Pro" w:hAnsi="Myriad Pro"/>
        </w:rPr>
        <w:t xml:space="preserve">Waltman, L., &amp; van Eck, N. J. (2015). Field-normalized citation impact indicators and the choice of an appropriate counting method. </w:t>
      </w:r>
      <w:r w:rsidRPr="00821640">
        <w:rPr>
          <w:rStyle w:val="15"/>
          <w:rFonts w:ascii="Myriad Pro" w:hAnsi="Myriad Pro"/>
        </w:rPr>
        <w:t>Journal of Informetrics, 9</w:t>
      </w:r>
      <w:r w:rsidRPr="00821640">
        <w:rPr>
          <w:rFonts w:ascii="Myriad Pro" w:hAnsi="Myriad Pro"/>
        </w:rPr>
        <w:t>(4), 872–894. https://doi.org/10.1016/j.joi.2015.08.001</w:t>
      </w:r>
    </w:p>
    <w:p w14:paraId="4267F49C" w14:textId="0081F0C8" w:rsidR="0086482B" w:rsidRDefault="00821640" w:rsidP="0086482B">
      <w:pPr>
        <w:pStyle w:val="NormalWeb"/>
        <w:jc w:val="both"/>
        <w:rPr>
          <w:rFonts w:ascii="Myriad Pro" w:hAnsi="Myriad Pro"/>
        </w:rPr>
      </w:pPr>
      <w:r w:rsidRPr="00821640">
        <w:rPr>
          <w:rFonts w:ascii="Myriad Pro" w:hAnsi="Myriad Pro"/>
        </w:rPr>
        <w:t xml:space="preserve">Zupic, I., &amp; Čater, T. (2015). Bibliometric methods in management and organization. </w:t>
      </w:r>
      <w:r w:rsidRPr="00821640">
        <w:rPr>
          <w:rStyle w:val="15"/>
          <w:rFonts w:ascii="Myriad Pro" w:hAnsi="Myriad Pro"/>
        </w:rPr>
        <w:t>Organizational Research Methods, 18</w:t>
      </w:r>
      <w:r w:rsidRPr="00821640">
        <w:rPr>
          <w:rFonts w:ascii="Myriad Pro" w:hAnsi="Myriad Pro"/>
        </w:rPr>
        <w:t xml:space="preserve">(3), 429–472. </w:t>
      </w:r>
      <w:hyperlink r:id="rId23" w:history="1">
        <w:r w:rsidR="0086482B" w:rsidRPr="00ED03D7">
          <w:rPr>
            <w:rStyle w:val="Hyperlink"/>
            <w:rFonts w:ascii="Myriad Pro" w:hAnsi="Myriad Pro"/>
          </w:rPr>
          <w:t>https://doi.org/10.1177/1094428114562629</w:t>
        </w:r>
      </w:hyperlink>
    </w:p>
    <w:p w14:paraId="6DB2301A" w14:textId="5C8055C9" w:rsidR="00BC3AC8" w:rsidRPr="0086482B" w:rsidRDefault="00BC3AC8" w:rsidP="0086482B">
      <w:pPr>
        <w:pStyle w:val="NormalWeb"/>
        <w:jc w:val="both"/>
        <w:rPr>
          <w:rFonts w:ascii="Myriad Pro" w:hAnsi="Myriad Pro"/>
        </w:rPr>
      </w:pPr>
      <w:r w:rsidRPr="00821640">
        <w:rPr>
          <w:rFonts w:ascii="Myriad Pro" w:hAnsi="Myriad Pro" w:cstheme="majorHAnsi"/>
          <w:noProof/>
        </w:rPr>
        <mc:AlternateContent>
          <mc:Choice Requires="wps">
            <w:drawing>
              <wp:anchor distT="0" distB="0" distL="114300" distR="114300" simplePos="0" relativeHeight="251679744" behindDoc="0" locked="0" layoutInCell="1" allowOverlap="1" wp14:anchorId="70E66FBE" wp14:editId="5359B17A">
                <wp:simplePos x="0" y="0"/>
                <wp:positionH relativeFrom="column">
                  <wp:posOffset>67310</wp:posOffset>
                </wp:positionH>
                <wp:positionV relativeFrom="paragraph">
                  <wp:posOffset>65243</wp:posOffset>
                </wp:positionV>
                <wp:extent cx="6590665"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6590665"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A67C7" id="Straight Connector 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15pt" to="524.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" strokecolor="#aeaaaa [2414]" strokeweight="1pt">
                <v:stroke joinstyle="miter"/>
              </v:line>
            </w:pict>
          </mc:Fallback>
        </mc:AlternateContent>
      </w:r>
    </w:p>
    <w:sectPr w:rsidR="00BC3AC8" w:rsidRPr="0086482B" w:rsidSect="00D7579E">
      <w:footerReference w:type="default" r:id="rId24"/>
      <w:pgSz w:w="11906" w:h="16838" w:code="9"/>
      <w:pgMar w:top="720" w:right="720" w:bottom="630" w:left="720" w:header="708"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01B9" w14:textId="77777777" w:rsidR="00A62738" w:rsidRDefault="00A62738" w:rsidP="009A0E0E">
      <w:pPr>
        <w:spacing w:after="0" w:line="240" w:lineRule="auto"/>
      </w:pPr>
      <w:r>
        <w:separator/>
      </w:r>
    </w:p>
  </w:endnote>
  <w:endnote w:type="continuationSeparator" w:id="0">
    <w:p w14:paraId="357605F5" w14:textId="77777777" w:rsidR="00A62738" w:rsidRDefault="00A62738" w:rsidP="009A0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A4E5" w14:textId="77777777" w:rsidR="00000000" w:rsidRPr="00D7579E" w:rsidRDefault="0026096C" w:rsidP="00D7579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2A26" w14:textId="77777777" w:rsidR="00A62738" w:rsidRDefault="00A62738" w:rsidP="009A0E0E">
      <w:pPr>
        <w:spacing w:after="0" w:line="240" w:lineRule="auto"/>
      </w:pPr>
      <w:r>
        <w:separator/>
      </w:r>
    </w:p>
  </w:footnote>
  <w:footnote w:type="continuationSeparator" w:id="0">
    <w:p w14:paraId="6F6FB2B5" w14:textId="77777777" w:rsidR="00A62738" w:rsidRDefault="00A62738" w:rsidP="009A0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1B5C2B"/>
    <w:multiLevelType w:val="singleLevel"/>
    <w:tmpl w:val="8D1B5C2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7B83042"/>
    <w:multiLevelType w:val="multilevel"/>
    <w:tmpl w:val="1CA2F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44AD3"/>
    <w:multiLevelType w:val="multilevel"/>
    <w:tmpl w:val="25F44A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79B2DBE"/>
    <w:multiLevelType w:val="multilevel"/>
    <w:tmpl w:val="116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5155E"/>
    <w:multiLevelType w:val="hybridMultilevel"/>
    <w:tmpl w:val="E1BC81E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F5A45BA"/>
    <w:multiLevelType w:val="hybridMultilevel"/>
    <w:tmpl w:val="1664584A"/>
    <w:lvl w:ilvl="0" w:tplc="E8BAC28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34794E18"/>
    <w:multiLevelType w:val="hybridMultilevel"/>
    <w:tmpl w:val="6A62B23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09553A0"/>
    <w:multiLevelType w:val="multilevel"/>
    <w:tmpl w:val="409553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2B856D4"/>
    <w:multiLevelType w:val="hybridMultilevel"/>
    <w:tmpl w:val="781EA78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57175348"/>
    <w:multiLevelType w:val="hybridMultilevel"/>
    <w:tmpl w:val="8E9A3A88"/>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767695436">
    <w:abstractNumId w:val="8"/>
  </w:num>
  <w:num w:numId="2" w16cid:durableId="855651512">
    <w:abstractNumId w:val="5"/>
  </w:num>
  <w:num w:numId="3" w16cid:durableId="814372760">
    <w:abstractNumId w:val="0"/>
  </w:num>
  <w:num w:numId="4" w16cid:durableId="48506481">
    <w:abstractNumId w:val="6"/>
  </w:num>
  <w:num w:numId="5" w16cid:durableId="1166477568">
    <w:abstractNumId w:val="4"/>
  </w:num>
  <w:num w:numId="6" w16cid:durableId="307245301">
    <w:abstractNumId w:val="9"/>
  </w:num>
  <w:num w:numId="7" w16cid:durableId="1524826533">
    <w:abstractNumId w:val="1"/>
  </w:num>
  <w:num w:numId="8" w16cid:durableId="767972328">
    <w:abstractNumId w:val="7"/>
  </w:num>
  <w:num w:numId="9" w16cid:durableId="22755486">
    <w:abstractNumId w:val="2"/>
  </w:num>
  <w:num w:numId="10" w16cid:durableId="50882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0E"/>
    <w:rsid w:val="000C7338"/>
    <w:rsid w:val="00133BC5"/>
    <w:rsid w:val="00133C06"/>
    <w:rsid w:val="001C24F0"/>
    <w:rsid w:val="001E4F6A"/>
    <w:rsid w:val="0026096C"/>
    <w:rsid w:val="002F2076"/>
    <w:rsid w:val="00393741"/>
    <w:rsid w:val="003C6D89"/>
    <w:rsid w:val="005031EF"/>
    <w:rsid w:val="006434A9"/>
    <w:rsid w:val="006E2700"/>
    <w:rsid w:val="00821640"/>
    <w:rsid w:val="00851F5D"/>
    <w:rsid w:val="0086482B"/>
    <w:rsid w:val="00917629"/>
    <w:rsid w:val="00967E7C"/>
    <w:rsid w:val="009A0E0E"/>
    <w:rsid w:val="009C7D3A"/>
    <w:rsid w:val="009F126A"/>
    <w:rsid w:val="009F3A99"/>
    <w:rsid w:val="00A62738"/>
    <w:rsid w:val="00A75672"/>
    <w:rsid w:val="00AC5998"/>
    <w:rsid w:val="00B13A18"/>
    <w:rsid w:val="00B43015"/>
    <w:rsid w:val="00B66F74"/>
    <w:rsid w:val="00B93B2C"/>
    <w:rsid w:val="00BA2C79"/>
    <w:rsid w:val="00BC3AC8"/>
    <w:rsid w:val="00CA43F9"/>
    <w:rsid w:val="00D73194"/>
    <w:rsid w:val="00E440F9"/>
    <w:rsid w:val="00EA0E18"/>
    <w:rsid w:val="00EB531C"/>
    <w:rsid w:val="00ED2881"/>
    <w:rsid w:val="00FC2B8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A849"/>
  <w15:chartTrackingRefBased/>
  <w15:docId w15:val="{125754EC-7D5A-41FC-8ED6-3D9FCE03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0E"/>
  </w:style>
  <w:style w:type="paragraph" w:styleId="Heading1">
    <w:name w:val="heading 1"/>
    <w:basedOn w:val="Normal"/>
    <w:next w:val="Normal"/>
    <w:link w:val="Heading1Char"/>
    <w:uiPriority w:val="9"/>
    <w:qFormat/>
    <w:rsid w:val="009A0E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1F5D"/>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A756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E0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A0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E0E"/>
  </w:style>
  <w:style w:type="paragraph" w:styleId="Footer">
    <w:name w:val="footer"/>
    <w:basedOn w:val="Normal"/>
    <w:link w:val="FooterChar"/>
    <w:uiPriority w:val="99"/>
    <w:unhideWhenUsed/>
    <w:rsid w:val="009A0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E0E"/>
  </w:style>
  <w:style w:type="paragraph" w:styleId="NoSpacing">
    <w:name w:val="No Spacing"/>
    <w:uiPriority w:val="1"/>
    <w:qFormat/>
    <w:rsid w:val="009A0E0E"/>
    <w:pPr>
      <w:spacing w:after="0" w:line="240" w:lineRule="auto"/>
    </w:pPr>
  </w:style>
  <w:style w:type="table" w:styleId="TableGrid">
    <w:name w:val="Table Grid"/>
    <w:basedOn w:val="TableNormal"/>
    <w:uiPriority w:val="39"/>
    <w:qFormat/>
    <w:rsid w:val="009A0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C7D3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a5">
    <w:name w:val="Pa5"/>
    <w:basedOn w:val="Default"/>
    <w:next w:val="Default"/>
    <w:uiPriority w:val="99"/>
    <w:rsid w:val="00AC5998"/>
    <w:pPr>
      <w:spacing w:line="201" w:lineRule="atLeast"/>
    </w:pPr>
    <w:rPr>
      <w:rFonts w:ascii="Myriad Pro" w:eastAsiaTheme="minorHAnsi" w:hAnsi="Myriad Pro" w:cstheme="minorBidi"/>
      <w:color w:val="auto"/>
      <w:lang w:val="en-PH"/>
    </w:rPr>
  </w:style>
  <w:style w:type="paragraph" w:customStyle="1" w:styleId="Pa2">
    <w:name w:val="Pa2"/>
    <w:basedOn w:val="Default"/>
    <w:next w:val="Default"/>
    <w:uiPriority w:val="99"/>
    <w:rsid w:val="00AC5998"/>
    <w:pPr>
      <w:spacing w:line="241" w:lineRule="atLeast"/>
    </w:pPr>
    <w:rPr>
      <w:rFonts w:ascii="Myriad Pro" w:eastAsiaTheme="minorHAnsi" w:hAnsi="Myriad Pro" w:cstheme="minorBidi"/>
      <w:color w:val="auto"/>
      <w:lang w:val="en-PH"/>
    </w:rPr>
  </w:style>
  <w:style w:type="character" w:customStyle="1" w:styleId="A5">
    <w:name w:val="A5"/>
    <w:uiPriority w:val="99"/>
    <w:rsid w:val="00AC5998"/>
    <w:rPr>
      <w:rFonts w:cs="Myriad Pro"/>
      <w:color w:val="000000"/>
      <w:sz w:val="20"/>
      <w:szCs w:val="20"/>
    </w:rPr>
  </w:style>
  <w:style w:type="character" w:styleId="Hyperlink">
    <w:name w:val="Hyperlink"/>
    <w:basedOn w:val="DefaultParagraphFont"/>
    <w:uiPriority w:val="99"/>
    <w:unhideWhenUsed/>
    <w:rsid w:val="00BC3AC8"/>
    <w:rPr>
      <w:color w:val="0563C1" w:themeColor="hyperlink"/>
      <w:u w:val="single"/>
    </w:rPr>
  </w:style>
  <w:style w:type="paragraph" w:styleId="NormalWeb">
    <w:name w:val="Normal (Web)"/>
    <w:basedOn w:val="Normal"/>
    <w:uiPriority w:val="99"/>
    <w:qFormat/>
    <w:rsid w:val="00BC3AC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C3AC8"/>
    <w:rPr>
      <w:color w:val="605E5C"/>
      <w:shd w:val="clear" w:color="auto" w:fill="E1DFDD"/>
    </w:rPr>
  </w:style>
  <w:style w:type="character" w:customStyle="1" w:styleId="A4">
    <w:name w:val="A4"/>
    <w:uiPriority w:val="99"/>
    <w:rsid w:val="00BC3AC8"/>
    <w:rPr>
      <w:rFonts w:cs="Myriad Pro Cond"/>
      <w:b/>
      <w:bCs/>
      <w:color w:val="000000"/>
      <w:sz w:val="22"/>
      <w:szCs w:val="22"/>
    </w:rPr>
  </w:style>
  <w:style w:type="paragraph" w:styleId="ListParagraph">
    <w:name w:val="List Paragraph"/>
    <w:basedOn w:val="Normal"/>
    <w:uiPriority w:val="34"/>
    <w:qFormat/>
    <w:rsid w:val="00B43015"/>
    <w:pPr>
      <w:ind w:left="720"/>
      <w:contextualSpacing/>
    </w:pPr>
  </w:style>
  <w:style w:type="character" w:styleId="Strong">
    <w:name w:val="Strong"/>
    <w:basedOn w:val="DefaultParagraphFont"/>
    <w:uiPriority w:val="22"/>
    <w:qFormat/>
    <w:rsid w:val="009F126A"/>
    <w:rPr>
      <w:b/>
      <w:bCs/>
    </w:rPr>
  </w:style>
  <w:style w:type="character" w:styleId="Emphasis">
    <w:name w:val="Emphasis"/>
    <w:basedOn w:val="DefaultParagraphFont"/>
    <w:uiPriority w:val="20"/>
    <w:qFormat/>
    <w:rsid w:val="009F126A"/>
    <w:rPr>
      <w:i/>
      <w:iCs/>
    </w:rPr>
  </w:style>
  <w:style w:type="character" w:customStyle="1" w:styleId="Heading2Char">
    <w:name w:val="Heading 2 Char"/>
    <w:basedOn w:val="DefaultParagraphFont"/>
    <w:link w:val="Heading2"/>
    <w:uiPriority w:val="9"/>
    <w:qFormat/>
    <w:rsid w:val="00851F5D"/>
    <w:rPr>
      <w:rFonts w:asciiTheme="majorHAnsi" w:eastAsiaTheme="majorEastAsia" w:hAnsiTheme="majorHAnsi" w:cstheme="majorBidi"/>
      <w:color w:val="2F5496" w:themeColor="accent1" w:themeShade="BF"/>
      <w:sz w:val="26"/>
      <w:szCs w:val="26"/>
      <w:lang w:val="en-US"/>
    </w:rPr>
  </w:style>
  <w:style w:type="character" w:styleId="HTMLCode">
    <w:name w:val="HTML Code"/>
    <w:basedOn w:val="DefaultParagraphFont"/>
    <w:uiPriority w:val="99"/>
    <w:semiHidden/>
    <w:unhideWhenUsed/>
    <w:qFormat/>
    <w:rsid w:val="00851F5D"/>
    <w:rPr>
      <w:rFonts w:ascii="Courier New" w:hAnsi="Courier New" w:cs="Courier New"/>
      <w:sz w:val="20"/>
      <w:szCs w:val="20"/>
    </w:rPr>
  </w:style>
  <w:style w:type="character" w:customStyle="1" w:styleId="Heading3Char">
    <w:name w:val="Heading 3 Char"/>
    <w:basedOn w:val="DefaultParagraphFont"/>
    <w:link w:val="Heading3"/>
    <w:uiPriority w:val="9"/>
    <w:rsid w:val="00A75672"/>
    <w:rPr>
      <w:rFonts w:asciiTheme="majorHAnsi" w:eastAsiaTheme="majorEastAsia" w:hAnsiTheme="majorHAnsi" w:cstheme="majorBidi"/>
      <w:color w:val="1F3763" w:themeColor="accent1" w:themeShade="7F"/>
      <w:sz w:val="24"/>
      <w:szCs w:val="24"/>
    </w:rPr>
  </w:style>
  <w:style w:type="character" w:customStyle="1" w:styleId="15">
    <w:name w:val="15"/>
    <w:basedOn w:val="DefaultParagraphFont"/>
    <w:rsid w:val="00821640"/>
    <w:rPr>
      <w:rFonts w:ascii="Times New Roman" w:hAnsi="Times New Roman" w:cs="Times New Roman" w:hint="default"/>
      <w:i/>
      <w:iCs/>
    </w:rPr>
  </w:style>
  <w:style w:type="character" w:customStyle="1" w:styleId="16">
    <w:name w:val="16"/>
    <w:basedOn w:val="DefaultParagraphFont"/>
    <w:rsid w:val="00821640"/>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275">
      <w:bodyDiv w:val="1"/>
      <w:marLeft w:val="0"/>
      <w:marRight w:val="0"/>
      <w:marTop w:val="0"/>
      <w:marBottom w:val="0"/>
      <w:divBdr>
        <w:top w:val="none" w:sz="0" w:space="0" w:color="auto"/>
        <w:left w:val="none" w:sz="0" w:space="0" w:color="auto"/>
        <w:bottom w:val="none" w:sz="0" w:space="0" w:color="auto"/>
        <w:right w:val="none" w:sz="0" w:space="0" w:color="auto"/>
      </w:divBdr>
    </w:div>
    <w:div w:id="165747505">
      <w:bodyDiv w:val="1"/>
      <w:marLeft w:val="0"/>
      <w:marRight w:val="0"/>
      <w:marTop w:val="0"/>
      <w:marBottom w:val="0"/>
      <w:divBdr>
        <w:top w:val="none" w:sz="0" w:space="0" w:color="auto"/>
        <w:left w:val="none" w:sz="0" w:space="0" w:color="auto"/>
        <w:bottom w:val="none" w:sz="0" w:space="0" w:color="auto"/>
        <w:right w:val="none" w:sz="0" w:space="0" w:color="auto"/>
      </w:divBdr>
    </w:div>
    <w:div w:id="262420874">
      <w:bodyDiv w:val="1"/>
      <w:marLeft w:val="0"/>
      <w:marRight w:val="0"/>
      <w:marTop w:val="0"/>
      <w:marBottom w:val="0"/>
      <w:divBdr>
        <w:top w:val="none" w:sz="0" w:space="0" w:color="auto"/>
        <w:left w:val="none" w:sz="0" w:space="0" w:color="auto"/>
        <w:bottom w:val="none" w:sz="0" w:space="0" w:color="auto"/>
        <w:right w:val="none" w:sz="0" w:space="0" w:color="auto"/>
      </w:divBdr>
      <w:divsChild>
        <w:div w:id="1981304689">
          <w:marLeft w:val="0"/>
          <w:marRight w:val="0"/>
          <w:marTop w:val="0"/>
          <w:marBottom w:val="0"/>
          <w:divBdr>
            <w:top w:val="none" w:sz="0" w:space="0" w:color="auto"/>
            <w:left w:val="none" w:sz="0" w:space="0" w:color="auto"/>
            <w:bottom w:val="none" w:sz="0" w:space="0" w:color="auto"/>
            <w:right w:val="none" w:sz="0" w:space="0" w:color="auto"/>
          </w:divBdr>
          <w:divsChild>
            <w:div w:id="1858154012">
              <w:marLeft w:val="0"/>
              <w:marRight w:val="0"/>
              <w:marTop w:val="0"/>
              <w:marBottom w:val="0"/>
              <w:divBdr>
                <w:top w:val="none" w:sz="0" w:space="0" w:color="auto"/>
                <w:left w:val="none" w:sz="0" w:space="0" w:color="auto"/>
                <w:bottom w:val="none" w:sz="0" w:space="0" w:color="auto"/>
                <w:right w:val="none" w:sz="0" w:space="0" w:color="auto"/>
              </w:divBdr>
            </w:div>
          </w:divsChild>
        </w:div>
        <w:div w:id="1860269820">
          <w:marLeft w:val="0"/>
          <w:marRight w:val="0"/>
          <w:marTop w:val="0"/>
          <w:marBottom w:val="0"/>
          <w:divBdr>
            <w:top w:val="none" w:sz="0" w:space="0" w:color="auto"/>
            <w:left w:val="none" w:sz="0" w:space="0" w:color="auto"/>
            <w:bottom w:val="none" w:sz="0" w:space="0" w:color="auto"/>
            <w:right w:val="none" w:sz="0" w:space="0" w:color="auto"/>
          </w:divBdr>
          <w:divsChild>
            <w:div w:id="538129151">
              <w:marLeft w:val="0"/>
              <w:marRight w:val="0"/>
              <w:marTop w:val="0"/>
              <w:marBottom w:val="0"/>
              <w:divBdr>
                <w:top w:val="none" w:sz="0" w:space="0" w:color="auto"/>
                <w:left w:val="none" w:sz="0" w:space="0" w:color="auto"/>
                <w:bottom w:val="none" w:sz="0" w:space="0" w:color="auto"/>
                <w:right w:val="none" w:sz="0" w:space="0" w:color="auto"/>
              </w:divBdr>
            </w:div>
          </w:divsChild>
        </w:div>
        <w:div w:id="1387946858">
          <w:marLeft w:val="0"/>
          <w:marRight w:val="0"/>
          <w:marTop w:val="0"/>
          <w:marBottom w:val="0"/>
          <w:divBdr>
            <w:top w:val="none" w:sz="0" w:space="0" w:color="auto"/>
            <w:left w:val="none" w:sz="0" w:space="0" w:color="auto"/>
            <w:bottom w:val="none" w:sz="0" w:space="0" w:color="auto"/>
            <w:right w:val="none" w:sz="0" w:space="0" w:color="auto"/>
          </w:divBdr>
          <w:divsChild>
            <w:div w:id="20286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4120">
      <w:bodyDiv w:val="1"/>
      <w:marLeft w:val="0"/>
      <w:marRight w:val="0"/>
      <w:marTop w:val="0"/>
      <w:marBottom w:val="0"/>
      <w:divBdr>
        <w:top w:val="none" w:sz="0" w:space="0" w:color="auto"/>
        <w:left w:val="none" w:sz="0" w:space="0" w:color="auto"/>
        <w:bottom w:val="none" w:sz="0" w:space="0" w:color="auto"/>
        <w:right w:val="none" w:sz="0" w:space="0" w:color="auto"/>
      </w:divBdr>
    </w:div>
    <w:div w:id="730734183">
      <w:bodyDiv w:val="1"/>
      <w:marLeft w:val="0"/>
      <w:marRight w:val="0"/>
      <w:marTop w:val="0"/>
      <w:marBottom w:val="0"/>
      <w:divBdr>
        <w:top w:val="none" w:sz="0" w:space="0" w:color="auto"/>
        <w:left w:val="none" w:sz="0" w:space="0" w:color="auto"/>
        <w:bottom w:val="none" w:sz="0" w:space="0" w:color="auto"/>
        <w:right w:val="none" w:sz="0" w:space="0" w:color="auto"/>
      </w:divBdr>
    </w:div>
    <w:div w:id="844903824">
      <w:bodyDiv w:val="1"/>
      <w:marLeft w:val="0"/>
      <w:marRight w:val="0"/>
      <w:marTop w:val="0"/>
      <w:marBottom w:val="0"/>
      <w:divBdr>
        <w:top w:val="none" w:sz="0" w:space="0" w:color="auto"/>
        <w:left w:val="none" w:sz="0" w:space="0" w:color="auto"/>
        <w:bottom w:val="none" w:sz="0" w:space="0" w:color="auto"/>
        <w:right w:val="none" w:sz="0" w:space="0" w:color="auto"/>
      </w:divBdr>
      <w:divsChild>
        <w:div w:id="2074037905">
          <w:marLeft w:val="0"/>
          <w:marRight w:val="0"/>
          <w:marTop w:val="0"/>
          <w:marBottom w:val="0"/>
          <w:divBdr>
            <w:top w:val="none" w:sz="0" w:space="0" w:color="auto"/>
            <w:left w:val="none" w:sz="0" w:space="0" w:color="auto"/>
            <w:bottom w:val="none" w:sz="0" w:space="0" w:color="auto"/>
            <w:right w:val="none" w:sz="0" w:space="0" w:color="auto"/>
          </w:divBdr>
          <w:divsChild>
            <w:div w:id="316736625">
              <w:marLeft w:val="0"/>
              <w:marRight w:val="0"/>
              <w:marTop w:val="0"/>
              <w:marBottom w:val="0"/>
              <w:divBdr>
                <w:top w:val="none" w:sz="0" w:space="0" w:color="auto"/>
                <w:left w:val="none" w:sz="0" w:space="0" w:color="auto"/>
                <w:bottom w:val="none" w:sz="0" w:space="0" w:color="auto"/>
                <w:right w:val="none" w:sz="0" w:space="0" w:color="auto"/>
              </w:divBdr>
            </w:div>
          </w:divsChild>
        </w:div>
        <w:div w:id="777221277">
          <w:marLeft w:val="0"/>
          <w:marRight w:val="0"/>
          <w:marTop w:val="0"/>
          <w:marBottom w:val="0"/>
          <w:divBdr>
            <w:top w:val="none" w:sz="0" w:space="0" w:color="auto"/>
            <w:left w:val="none" w:sz="0" w:space="0" w:color="auto"/>
            <w:bottom w:val="none" w:sz="0" w:space="0" w:color="auto"/>
            <w:right w:val="none" w:sz="0" w:space="0" w:color="auto"/>
          </w:divBdr>
          <w:divsChild>
            <w:div w:id="816654850">
              <w:marLeft w:val="0"/>
              <w:marRight w:val="0"/>
              <w:marTop w:val="0"/>
              <w:marBottom w:val="0"/>
              <w:divBdr>
                <w:top w:val="none" w:sz="0" w:space="0" w:color="auto"/>
                <w:left w:val="none" w:sz="0" w:space="0" w:color="auto"/>
                <w:bottom w:val="none" w:sz="0" w:space="0" w:color="auto"/>
                <w:right w:val="none" w:sz="0" w:space="0" w:color="auto"/>
              </w:divBdr>
            </w:div>
          </w:divsChild>
        </w:div>
        <w:div w:id="523980690">
          <w:marLeft w:val="0"/>
          <w:marRight w:val="0"/>
          <w:marTop w:val="0"/>
          <w:marBottom w:val="0"/>
          <w:divBdr>
            <w:top w:val="none" w:sz="0" w:space="0" w:color="auto"/>
            <w:left w:val="none" w:sz="0" w:space="0" w:color="auto"/>
            <w:bottom w:val="none" w:sz="0" w:space="0" w:color="auto"/>
            <w:right w:val="none" w:sz="0" w:space="0" w:color="auto"/>
          </w:divBdr>
          <w:divsChild>
            <w:div w:id="13173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3987">
      <w:bodyDiv w:val="1"/>
      <w:marLeft w:val="0"/>
      <w:marRight w:val="0"/>
      <w:marTop w:val="0"/>
      <w:marBottom w:val="0"/>
      <w:divBdr>
        <w:top w:val="none" w:sz="0" w:space="0" w:color="auto"/>
        <w:left w:val="none" w:sz="0" w:space="0" w:color="auto"/>
        <w:bottom w:val="none" w:sz="0" w:space="0" w:color="auto"/>
        <w:right w:val="none" w:sz="0" w:space="0" w:color="auto"/>
      </w:divBdr>
    </w:div>
    <w:div w:id="1230769259">
      <w:bodyDiv w:val="1"/>
      <w:marLeft w:val="0"/>
      <w:marRight w:val="0"/>
      <w:marTop w:val="0"/>
      <w:marBottom w:val="0"/>
      <w:divBdr>
        <w:top w:val="none" w:sz="0" w:space="0" w:color="auto"/>
        <w:left w:val="none" w:sz="0" w:space="0" w:color="auto"/>
        <w:bottom w:val="none" w:sz="0" w:space="0" w:color="auto"/>
        <w:right w:val="none" w:sz="0" w:space="0" w:color="auto"/>
      </w:divBdr>
    </w:div>
    <w:div w:id="1243951877">
      <w:bodyDiv w:val="1"/>
      <w:marLeft w:val="0"/>
      <w:marRight w:val="0"/>
      <w:marTop w:val="0"/>
      <w:marBottom w:val="0"/>
      <w:divBdr>
        <w:top w:val="none" w:sz="0" w:space="0" w:color="auto"/>
        <w:left w:val="none" w:sz="0" w:space="0" w:color="auto"/>
        <w:bottom w:val="none" w:sz="0" w:space="0" w:color="auto"/>
        <w:right w:val="none" w:sz="0" w:space="0" w:color="auto"/>
      </w:divBdr>
      <w:divsChild>
        <w:div w:id="693071952">
          <w:marLeft w:val="0"/>
          <w:marRight w:val="0"/>
          <w:marTop w:val="0"/>
          <w:marBottom w:val="0"/>
          <w:divBdr>
            <w:top w:val="none" w:sz="0" w:space="0" w:color="auto"/>
            <w:left w:val="none" w:sz="0" w:space="0" w:color="auto"/>
            <w:bottom w:val="none" w:sz="0" w:space="0" w:color="auto"/>
            <w:right w:val="none" w:sz="0" w:space="0" w:color="auto"/>
          </w:divBdr>
          <w:divsChild>
            <w:div w:id="2597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620">
      <w:bodyDiv w:val="1"/>
      <w:marLeft w:val="0"/>
      <w:marRight w:val="0"/>
      <w:marTop w:val="0"/>
      <w:marBottom w:val="0"/>
      <w:divBdr>
        <w:top w:val="none" w:sz="0" w:space="0" w:color="auto"/>
        <w:left w:val="none" w:sz="0" w:space="0" w:color="auto"/>
        <w:bottom w:val="none" w:sz="0" w:space="0" w:color="auto"/>
        <w:right w:val="none" w:sz="0" w:space="0" w:color="auto"/>
      </w:divBdr>
    </w:div>
    <w:div w:id="1588541963">
      <w:bodyDiv w:val="1"/>
      <w:marLeft w:val="0"/>
      <w:marRight w:val="0"/>
      <w:marTop w:val="0"/>
      <w:marBottom w:val="0"/>
      <w:divBdr>
        <w:top w:val="none" w:sz="0" w:space="0" w:color="auto"/>
        <w:left w:val="none" w:sz="0" w:space="0" w:color="auto"/>
        <w:bottom w:val="none" w:sz="0" w:space="0" w:color="auto"/>
        <w:right w:val="none" w:sz="0" w:space="0" w:color="auto"/>
      </w:divBdr>
    </w:div>
    <w:div w:id="1666860241">
      <w:bodyDiv w:val="1"/>
      <w:marLeft w:val="0"/>
      <w:marRight w:val="0"/>
      <w:marTop w:val="0"/>
      <w:marBottom w:val="0"/>
      <w:divBdr>
        <w:top w:val="none" w:sz="0" w:space="0" w:color="auto"/>
        <w:left w:val="none" w:sz="0" w:space="0" w:color="auto"/>
        <w:bottom w:val="none" w:sz="0" w:space="0" w:color="auto"/>
        <w:right w:val="none" w:sz="0" w:space="0" w:color="auto"/>
      </w:divBdr>
    </w:div>
    <w:div w:id="2050185666">
      <w:bodyDiv w:val="1"/>
      <w:marLeft w:val="0"/>
      <w:marRight w:val="0"/>
      <w:marTop w:val="0"/>
      <w:marBottom w:val="0"/>
      <w:divBdr>
        <w:top w:val="none" w:sz="0" w:space="0" w:color="auto"/>
        <w:left w:val="none" w:sz="0" w:space="0" w:color="auto"/>
        <w:bottom w:val="none" w:sz="0" w:space="0" w:color="auto"/>
        <w:right w:val="none" w:sz="0" w:space="0" w:color="auto"/>
      </w:divBdr>
    </w:div>
    <w:div w:id="2057312819">
      <w:bodyDiv w:val="1"/>
      <w:marLeft w:val="0"/>
      <w:marRight w:val="0"/>
      <w:marTop w:val="0"/>
      <w:marBottom w:val="0"/>
      <w:divBdr>
        <w:top w:val="none" w:sz="0" w:space="0" w:color="auto"/>
        <w:left w:val="none" w:sz="0" w:space="0" w:color="auto"/>
        <w:bottom w:val="none" w:sz="0" w:space="0" w:color="auto"/>
        <w:right w:val="none" w:sz="0" w:space="0" w:color="auto"/>
      </w:divBdr>
    </w:div>
    <w:div w:id="2121340868">
      <w:bodyDiv w:val="1"/>
      <w:marLeft w:val="0"/>
      <w:marRight w:val="0"/>
      <w:marTop w:val="0"/>
      <w:marBottom w:val="0"/>
      <w:divBdr>
        <w:top w:val="none" w:sz="0" w:space="0" w:color="auto"/>
        <w:left w:val="none" w:sz="0" w:space="0" w:color="auto"/>
        <w:bottom w:val="none" w:sz="0" w:space="0" w:color="auto"/>
        <w:right w:val="none" w:sz="0" w:space="0" w:color="auto"/>
      </w:divBdr>
      <w:divsChild>
        <w:div w:id="961764176">
          <w:marLeft w:val="0"/>
          <w:marRight w:val="0"/>
          <w:marTop w:val="0"/>
          <w:marBottom w:val="0"/>
          <w:divBdr>
            <w:top w:val="none" w:sz="0" w:space="0" w:color="auto"/>
            <w:left w:val="none" w:sz="0" w:space="0" w:color="auto"/>
            <w:bottom w:val="none" w:sz="0" w:space="0" w:color="auto"/>
            <w:right w:val="none" w:sz="0" w:space="0" w:color="auto"/>
          </w:divBdr>
          <w:divsChild>
            <w:div w:id="13977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2/asi.21525" TargetMode="External"/><Relationship Id="rId18" Type="http://schemas.openxmlformats.org/officeDocument/2006/relationships/hyperlink" Target="https://doi.org/10.1136/bmj.n7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86/s40561-022-00204-y" TargetMode="External"/><Relationship Id="rId7" Type="http://schemas.openxmlformats.org/officeDocument/2006/relationships/image" Target="media/image1.png"/><Relationship Id="rId12" Type="http://schemas.openxmlformats.org/officeDocument/2006/relationships/hyperlink" Target="https://doi.org/10.1002/asi.20317" TargetMode="External"/><Relationship Id="rId17" Type="http://schemas.openxmlformats.org/officeDocument/2006/relationships/hyperlink" Target="https://doi.org/10.1371/journal.pmed.100009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rontiersin.org/articles/10.3389/feduc.2025.1597121/full" TargetMode="External"/><Relationship Id="rId20" Type="http://schemas.openxmlformats.org/officeDocument/2006/relationships/hyperlink" Target="https://doi.org/10.1002/asi.46302404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475939X.2018.151098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jbusres.2021.04.070" TargetMode="External"/><Relationship Id="rId23" Type="http://schemas.openxmlformats.org/officeDocument/2006/relationships/hyperlink" Target="https://doi.org/10.1177/1094428114562629" TargetMode="External"/><Relationship Id="rId10" Type="http://schemas.openxmlformats.org/officeDocument/2006/relationships/hyperlink" Target="https://doi.org/10.1016/j.joi.2017.08.007" TargetMode="External"/><Relationship Id="rId19" Type="http://schemas.openxmlformats.org/officeDocument/2006/relationships/hyperlink" Target="https://doi.org/10.3390/su1507576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njoe.org/index.php/INJOE/article/view/211?utm_source=chatgpt.com" TargetMode="External"/><Relationship Id="rId22" Type="http://schemas.openxmlformats.org/officeDocument/2006/relationships/hyperlink" Target="https://doi.org/10.1007/s11192-009-01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4583</Words>
  <Characters>26126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theaisha1707@gmail.com</cp:lastModifiedBy>
  <cp:revision>7</cp:revision>
  <cp:lastPrinted>2026-03-10T00:44:00Z</cp:lastPrinted>
  <dcterms:created xsi:type="dcterms:W3CDTF">2026-03-20T16:59:00Z</dcterms:created>
  <dcterms:modified xsi:type="dcterms:W3CDTF">2026-04-11T05:58:00Z</dcterms:modified>
</cp:coreProperties>
</file>