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02EDCA" w14:textId="77777777" w:rsidR="00463559" w:rsidRDefault="003E4200" w:rsidP="003E4200">
      <w:pPr>
        <w:jc w:val="center"/>
        <w:rPr>
          <w:b/>
          <w:bCs/>
          <w:sz w:val="22"/>
          <w:szCs w:val="22"/>
        </w:rPr>
      </w:pPr>
      <w:r>
        <w:rPr>
          <w:b/>
          <w:bCs/>
          <w:sz w:val="22"/>
          <w:szCs w:val="22"/>
        </w:rPr>
        <w:t xml:space="preserve">EVALUATION OF ANTIOXIDANT AND ANTIBACTERIAL POTENTIAL OF ALKALOIDS FRACTION OF </w:t>
      </w:r>
      <w:r>
        <w:rPr>
          <w:b/>
          <w:bCs/>
          <w:i/>
          <w:iCs/>
          <w:sz w:val="22"/>
          <w:szCs w:val="22"/>
        </w:rPr>
        <w:t>NEWBOULDA LAEVIS</w:t>
      </w:r>
      <w:r>
        <w:rPr>
          <w:b/>
          <w:bCs/>
          <w:sz w:val="22"/>
          <w:szCs w:val="22"/>
        </w:rPr>
        <w:t xml:space="preserve"> LEAF</w:t>
      </w:r>
    </w:p>
    <w:p w14:paraId="396685CE" w14:textId="3431211F" w:rsidR="00463559" w:rsidRPr="000063AB" w:rsidRDefault="00463559" w:rsidP="000063AB">
      <w:pPr>
        <w:spacing w:line="240" w:lineRule="auto"/>
        <w:jc w:val="both"/>
      </w:pPr>
    </w:p>
    <w:p w14:paraId="2D280541" w14:textId="77777777" w:rsidR="00463559" w:rsidRDefault="0003691C" w:rsidP="00B34C17">
      <w:pPr>
        <w:jc w:val="both"/>
        <w:rPr>
          <w:sz w:val="22"/>
          <w:szCs w:val="22"/>
        </w:rPr>
      </w:pPr>
      <w:r>
        <w:rPr>
          <w:b/>
          <w:bCs/>
          <w:sz w:val="22"/>
          <w:szCs w:val="22"/>
        </w:rPr>
        <w:t>ABSTRACT</w:t>
      </w:r>
    </w:p>
    <w:p w14:paraId="735E6B26" w14:textId="77777777" w:rsidR="00655699" w:rsidRDefault="00655699" w:rsidP="00655699">
      <w:pPr>
        <w:pStyle w:val="NormalWeb"/>
        <w:jc w:val="both"/>
      </w:pPr>
      <w:r>
        <w:t xml:space="preserve">The alkaloid leaf fraction of </w:t>
      </w:r>
      <w:proofErr w:type="spellStart"/>
      <w:r>
        <w:rPr>
          <w:rStyle w:val="Emphasis"/>
        </w:rPr>
        <w:t>Newbouldia</w:t>
      </w:r>
      <w:proofErr w:type="spellEnd"/>
      <w:r>
        <w:rPr>
          <w:rStyle w:val="Emphasis"/>
        </w:rPr>
        <w:t xml:space="preserve"> laevis</w:t>
      </w:r>
      <w:r>
        <w:t xml:space="preserve">, a plant widely used in traditional medicine for wound healing and infection control, was evaluated for its antioxidant and antibacterial activities alongside molecular docking analysis to predict possible mechanisms of action. Antioxidant capacity was assessed using hydroxyl radical, nitric oxide, DPPH radical scavenging, and lipid peroxidation inhibition assays. Antibacterial activity was tested against </w:t>
      </w:r>
      <w:r>
        <w:rPr>
          <w:rStyle w:val="Emphasis"/>
        </w:rPr>
        <w:t>Staphylococcus aureus, Salmonella typhi, Pseudomonas aeruginosa,</w:t>
      </w:r>
      <w:r>
        <w:t xml:space="preserve"> and </w:t>
      </w:r>
      <w:r>
        <w:rPr>
          <w:rStyle w:val="Emphasis"/>
        </w:rPr>
        <w:t>Escherichia coli</w:t>
      </w:r>
      <w:r>
        <w:t xml:space="preserve"> using agar well diffusion, minimum inhibitory concentration (MIC), and minimum bactericidal concentration (MBC) methods. The extract showed strong, concentration-dependent radical scavenging effects, reaching maximum inhibition at 320 µg/mL, particularly in DPPH (79.10%) and lipid peroxidation (86.90%) assays. IC₅₀ values ranged from 92.70 µg/mL for DPPH to 382.90 µg/mL for hydroxyl radicals, confirming substantial antioxidant potential. The antibacterial result showed dose-dependent inhibition, with </w:t>
      </w:r>
      <w:r>
        <w:rPr>
          <w:rStyle w:val="Emphasis"/>
        </w:rPr>
        <w:t>S. aureus</w:t>
      </w:r>
      <w:r>
        <w:t xml:space="preserve"> showing the highest susceptibility (14.90 mm inhibition zone at 400 mg/mL). Bactericidal effects were observed at 50 mg/mL against all organisms, indicating both bacteriostatic and bactericidal actions, with Gram-positive bacteria showing greater sensitivity. The findings validate the ethnomedicinal use of </w:t>
      </w:r>
      <w:r>
        <w:rPr>
          <w:rStyle w:val="Emphasis"/>
        </w:rPr>
        <w:t>N. laevis</w:t>
      </w:r>
      <w:r>
        <w:t xml:space="preserve"> and highlight its potential as a source of lead compounds for developing plant-based therapies against oxidative stress and bacterial infections.</w:t>
      </w:r>
    </w:p>
    <w:p w14:paraId="08417729" w14:textId="77777777" w:rsidR="000063AB" w:rsidRDefault="00B5670F" w:rsidP="00B34C17">
      <w:pPr>
        <w:pBdr>
          <w:top w:val="nil"/>
          <w:left w:val="nil"/>
          <w:bottom w:val="nil"/>
          <w:right w:val="nil"/>
          <w:between w:val="nil"/>
        </w:pBdr>
        <w:spacing w:line="240" w:lineRule="auto"/>
        <w:jc w:val="both"/>
        <w:rPr>
          <w:color w:val="000000"/>
          <w:sz w:val="22"/>
          <w:szCs w:val="22"/>
        </w:rPr>
      </w:pPr>
      <w:r>
        <w:rPr>
          <w:color w:val="000000"/>
          <w:sz w:val="22"/>
          <w:szCs w:val="22"/>
        </w:rPr>
        <w:t>Keywords: Antibacterial</w:t>
      </w:r>
      <w:r w:rsidR="000063AB">
        <w:rPr>
          <w:color w:val="000000"/>
          <w:sz w:val="22"/>
          <w:szCs w:val="22"/>
        </w:rPr>
        <w:t xml:space="preserve">, Antioxidant, </w:t>
      </w:r>
      <w:r w:rsidR="00F63B03">
        <w:t xml:space="preserve">alkaloid fraction </w:t>
      </w:r>
      <w:proofErr w:type="spellStart"/>
      <w:r>
        <w:rPr>
          <w:rStyle w:val="Emphasis"/>
        </w:rPr>
        <w:t>Newbouldia</w:t>
      </w:r>
      <w:proofErr w:type="spellEnd"/>
      <w:r>
        <w:rPr>
          <w:rStyle w:val="Emphasis"/>
        </w:rPr>
        <w:t xml:space="preserve"> laevis</w:t>
      </w:r>
      <w:r w:rsidR="00F63B03">
        <w:rPr>
          <w:rStyle w:val="Emphasis"/>
        </w:rPr>
        <w:t xml:space="preserve">, </w:t>
      </w:r>
      <w:r w:rsidR="00F63B03">
        <w:t>susceptibility</w:t>
      </w:r>
    </w:p>
    <w:p w14:paraId="5285182A" w14:textId="77777777" w:rsidR="00463559" w:rsidRPr="000063AB" w:rsidRDefault="00263D28" w:rsidP="000063AB">
      <w:pPr>
        <w:pBdr>
          <w:top w:val="nil"/>
          <w:left w:val="nil"/>
          <w:bottom w:val="nil"/>
          <w:right w:val="nil"/>
          <w:between w:val="nil"/>
        </w:pBdr>
        <w:spacing w:line="240" w:lineRule="auto"/>
        <w:jc w:val="both"/>
        <w:rPr>
          <w:color w:val="000000"/>
          <w:sz w:val="22"/>
          <w:szCs w:val="22"/>
        </w:rPr>
      </w:pPr>
      <w:r>
        <w:rPr>
          <w:b/>
          <w:bCs/>
          <w:sz w:val="22"/>
          <w:szCs w:val="22"/>
        </w:rPr>
        <w:t>Introduction</w:t>
      </w:r>
    </w:p>
    <w:p w14:paraId="56FCECE8" w14:textId="77777777" w:rsidR="00BA5923" w:rsidRDefault="00BA5923" w:rsidP="00263D28">
      <w:pPr>
        <w:pStyle w:val="NormalWeb"/>
        <w:spacing w:line="360" w:lineRule="auto"/>
        <w:jc w:val="both"/>
      </w:pPr>
      <w:r>
        <w:t>Oxidative stress and microbial infections remain major global health challenges because both contribute significantly to chronic diseases and treatment-resistant infections. Reactive oxygen species (ROS) generated during oxidative stress can damage DNA, proteins, and lipids, thereby contributing to the development of cancer, cardiovascular diseases, and neurodegenerative disorders (Sies &amp; Jones, 2020; Sies et al., 2022). At the same time, the rapid rise of antibiotic-resistant pathogens has intensified the search for novel and effective antibacterial agents. In this context, natural products particularly plant-derived alkaloids have gained increasing attention due to their strong antioxidative and antimicrobial activities (Porras et al., 2020; Abdallah et al., 2023).</w:t>
      </w:r>
    </w:p>
    <w:p w14:paraId="40195E77" w14:textId="77777777" w:rsidR="00BA5923" w:rsidRDefault="00BA5923" w:rsidP="00263D28">
      <w:pPr>
        <w:pStyle w:val="NormalWeb"/>
        <w:spacing w:line="360" w:lineRule="auto"/>
        <w:jc w:val="both"/>
      </w:pPr>
      <w:proofErr w:type="spellStart"/>
      <w:r>
        <w:t>Newbouldia</w:t>
      </w:r>
      <w:proofErr w:type="spellEnd"/>
      <w:r>
        <w:t xml:space="preserve"> laevis, commonly known as the African Border Tree or “tree of life,” belongs to the Bignoniaceae family and is widely distributed in West Africa. It has long been used in </w:t>
      </w:r>
      <w:r>
        <w:lastRenderedPageBreak/>
        <w:t>traditional African medicine for treating fever, dysentery, wounds, and microbial infections (Kanu et al., 2018). Phytochemical studies reveal that the plant is rich in secondary metabolites such as alkaloids, phenols, saponins, and flavonoids, which underpin its diverse pharmacological activities (Oke et al., 2020). Among these compounds, alkaloids are particularly important because of their pharmacological versatility, including antioxidative, antimicrobial, analgesic, and anti-inflammatory properties (Peter et al., 2022; Sibri et al., 2023).</w:t>
      </w:r>
    </w:p>
    <w:p w14:paraId="2849E16F" w14:textId="77777777" w:rsidR="00BA5923" w:rsidRDefault="00BA5923" w:rsidP="00263D28">
      <w:pPr>
        <w:pStyle w:val="NormalWeb"/>
        <w:spacing w:line="360" w:lineRule="auto"/>
        <w:jc w:val="both"/>
      </w:pPr>
      <w:r>
        <w:t>Plant-derived alkaloids demonstrate strong antioxidant activity through mechanisms such as free-radical scavenging, metal-ion chelation, and inhibition of lipid peroxidation (Chukwuma et al., 2023). Their antioxidative capacity is commonly evaluated using in vitro assays including the DPPH radical scavenging assay, ferric reducing antioxidant power (FRAP) assay, and total antioxidant capacity (TAC) assay, which collectively assess the ability of plant extracts to neutralize oxidative stress (</w:t>
      </w:r>
      <w:proofErr w:type="spellStart"/>
      <w:r>
        <w:t>Ramabulana</w:t>
      </w:r>
      <w:proofErr w:type="spellEnd"/>
      <w:r>
        <w:t xml:space="preserve">, 2016). Previous investigations have already shown that alkaloids from </w:t>
      </w:r>
      <w:proofErr w:type="spellStart"/>
      <w:r>
        <w:t>Newbouldia</w:t>
      </w:r>
      <w:proofErr w:type="spellEnd"/>
      <w:r>
        <w:t xml:space="preserve"> laevis possess notable radical-scavenging activity, suggesting a protective role against oxidative damage (Flieger et al., 2021).</w:t>
      </w:r>
    </w:p>
    <w:p w14:paraId="355A2FE0" w14:textId="77777777" w:rsidR="00BA5923" w:rsidRDefault="00BA5923" w:rsidP="00263D28">
      <w:pPr>
        <w:pStyle w:val="NormalWeb"/>
        <w:spacing w:line="360" w:lineRule="auto"/>
        <w:jc w:val="both"/>
      </w:pPr>
      <w:r>
        <w:t xml:space="preserve">Beyond antioxidant potential, alkaloids from </w:t>
      </w:r>
      <w:proofErr w:type="spellStart"/>
      <w:r>
        <w:t>Newbouldia</w:t>
      </w:r>
      <w:proofErr w:type="spellEnd"/>
      <w:r>
        <w:t xml:space="preserve"> laevis exhibit significant antibacterial activity. Studies report inhibitory effects against both Gram-positive and Gram-negative bacteria, including Escherichia coli, Staphylococcus aur</w:t>
      </w:r>
      <w:r w:rsidR="00C17FFD">
        <w:t xml:space="preserve">eus, and Pseudomonas aeruginosa, which are </w:t>
      </w:r>
      <w:r>
        <w:t xml:space="preserve">pathogens commonly implicated in human infections (Kuete et al., 2007; Usman and Osuji, 2007; Akerele et al., 2011). The antibacterial mechanisms of alkaloids typically involve disruption of microbial cell walls, inhibition of protein synthesis, and interference with DNA replication, ultimately leading to cell death (Yan et al., 2021; </w:t>
      </w:r>
      <w:proofErr w:type="spellStart"/>
      <w:r>
        <w:t>Abookleesh</w:t>
      </w:r>
      <w:proofErr w:type="spellEnd"/>
      <w:r>
        <w:t xml:space="preserve"> et al., 2022). Given the growing threat of antimicrobial resistance, plant alkaloids represent promising alternatives to conventional antibiotics (</w:t>
      </w:r>
      <w:proofErr w:type="spellStart"/>
      <w:r>
        <w:t>Arip</w:t>
      </w:r>
      <w:proofErr w:type="spellEnd"/>
      <w:r>
        <w:t xml:space="preserve"> et al., 2022).</w:t>
      </w:r>
      <w:r w:rsidR="00B5670F">
        <w:t xml:space="preserve"> </w:t>
      </w:r>
      <w:r w:rsidR="003D2808">
        <w:t xml:space="preserve">In view of the phytochemical richness and therapeutic promise of </w:t>
      </w:r>
      <w:proofErr w:type="spellStart"/>
      <w:r w:rsidR="003D2808">
        <w:t>Newbouldia</w:t>
      </w:r>
      <w:proofErr w:type="spellEnd"/>
      <w:r w:rsidR="003D2808">
        <w:t xml:space="preserve"> laevis, this study aims to evaluate the antioxidant and antibacterial activities of its alkaloid fraction. In vitro assays will be used to assess free-radical scavenging, oxidative stress reduction, and antibacterial effects against pathogenic bacteria. </w:t>
      </w:r>
      <w:r>
        <w:t xml:space="preserve">The findings are expected to expand current knowledge on the medicinal value of </w:t>
      </w:r>
      <w:proofErr w:type="spellStart"/>
      <w:r w:rsidRPr="00263D28">
        <w:rPr>
          <w:i/>
        </w:rPr>
        <w:t>Newbouldia</w:t>
      </w:r>
      <w:proofErr w:type="spellEnd"/>
      <w:r w:rsidRPr="00263D28">
        <w:rPr>
          <w:i/>
        </w:rPr>
        <w:t xml:space="preserve"> laevis </w:t>
      </w:r>
      <w:r>
        <w:t>and support its potential as a source of natural antioxidant and antibacterial agents.</w:t>
      </w:r>
    </w:p>
    <w:p w14:paraId="5FEB61F7" w14:textId="77777777" w:rsidR="00463559" w:rsidRDefault="0003691C" w:rsidP="00633025">
      <w:pPr>
        <w:spacing w:after="0" w:line="360" w:lineRule="auto"/>
        <w:jc w:val="both"/>
        <w:rPr>
          <w:b/>
          <w:bCs/>
          <w:sz w:val="22"/>
          <w:szCs w:val="22"/>
        </w:rPr>
      </w:pPr>
      <w:r>
        <w:rPr>
          <w:b/>
          <w:bCs/>
          <w:sz w:val="22"/>
          <w:szCs w:val="22"/>
        </w:rPr>
        <w:lastRenderedPageBreak/>
        <w:t xml:space="preserve">MATERIALS AND METHODS </w:t>
      </w:r>
    </w:p>
    <w:p w14:paraId="641A2668" w14:textId="77777777" w:rsidR="00263D28" w:rsidRDefault="00263D28" w:rsidP="00633025">
      <w:pPr>
        <w:pStyle w:val="NormalWeb"/>
        <w:spacing w:line="360" w:lineRule="auto"/>
        <w:jc w:val="both"/>
      </w:pPr>
      <w:r>
        <w:rPr>
          <w:rStyle w:val="Strong"/>
        </w:rPr>
        <w:t>Plant Collection and Preparation</w:t>
      </w:r>
    </w:p>
    <w:p w14:paraId="5A405047" w14:textId="77777777" w:rsidR="00263D28" w:rsidRDefault="00263D28" w:rsidP="00633025">
      <w:pPr>
        <w:pStyle w:val="NormalWeb"/>
        <w:spacing w:line="360" w:lineRule="auto"/>
        <w:jc w:val="both"/>
      </w:pPr>
      <w:r>
        <w:t xml:space="preserve">Fresh </w:t>
      </w:r>
      <w:r w:rsidR="0066046D" w:rsidRPr="0066046D">
        <w:rPr>
          <w:rStyle w:val="Emphasis"/>
          <w:i w:val="0"/>
        </w:rPr>
        <w:t>leaves of</w:t>
      </w:r>
      <w:r w:rsidR="0066046D">
        <w:rPr>
          <w:rStyle w:val="Emphasis"/>
        </w:rPr>
        <w:t xml:space="preserve"> N. laevis</w:t>
      </w:r>
      <w:r>
        <w:t xml:space="preserve"> were collected from the premises of Michael Okpara University of Agriculture, </w:t>
      </w:r>
      <w:proofErr w:type="spellStart"/>
      <w:r>
        <w:t>Umudike</w:t>
      </w:r>
      <w:proofErr w:type="spellEnd"/>
      <w:r>
        <w:t xml:space="preserve"> (MOUAU), Nigeria, in </w:t>
      </w:r>
      <w:r w:rsidR="0066046D">
        <w:t>August</w:t>
      </w:r>
      <w:r>
        <w:t xml:space="preserve"> 2023 and authenticated by Dr. G. </w:t>
      </w:r>
      <w:proofErr w:type="spellStart"/>
      <w:r>
        <w:t>Omosun</w:t>
      </w:r>
      <w:proofErr w:type="spellEnd"/>
      <w:r>
        <w:t xml:space="preserve"> of the Department of Plant Science and Biotechnology, MOUAU. A voucher specimen</w:t>
      </w:r>
      <w:r w:rsidR="0066046D">
        <w:t xml:space="preserve"> (OANL023</w:t>
      </w:r>
      <w:r>
        <w:t xml:space="preserve">2023) was deposited in the herbarium of the same department and herbarium accession number </w:t>
      </w:r>
      <w:r w:rsidR="0066046D" w:rsidRPr="0066046D">
        <w:rPr>
          <w:rStyle w:val="Strong"/>
          <w:b w:val="0"/>
        </w:rPr>
        <w:t>MOUAU/PSB/HERB/2023/023</w:t>
      </w:r>
      <w:r>
        <w:t xml:space="preserve"> was assigned. The leaves were washed with tap water, air-dried at room temperature (25°C), and then ground into a fine powder using an electric blender.</w:t>
      </w:r>
    </w:p>
    <w:p w14:paraId="70548E3B" w14:textId="77777777" w:rsidR="00263D28" w:rsidRDefault="00263D28" w:rsidP="00633025">
      <w:pPr>
        <w:pStyle w:val="NormalWeb"/>
        <w:spacing w:line="360" w:lineRule="auto"/>
        <w:jc w:val="both"/>
      </w:pPr>
      <w:r>
        <w:rPr>
          <w:rStyle w:val="Strong"/>
        </w:rPr>
        <w:t>Extraction and Preparation of the alkaloids-Rich Fractions</w:t>
      </w:r>
      <w:r>
        <w:t xml:space="preserve"> </w:t>
      </w:r>
    </w:p>
    <w:p w14:paraId="76E1507C" w14:textId="77777777" w:rsidR="00463559" w:rsidRPr="00633025" w:rsidRDefault="001371D4" w:rsidP="00633025">
      <w:pPr>
        <w:pStyle w:val="NormalWeb"/>
        <w:spacing w:line="360" w:lineRule="auto"/>
        <w:jc w:val="both"/>
      </w:pPr>
      <w:r>
        <w:t>A total of 360 g of the powdered sample was extracted by maceration in 1.2 L of absolute methanol for 72 hours. The residue (filter cake) was subsequently washed with an additional 600 mL of methanol. The combined methanol extract was concentrated using a rotary evaporator at 45 °C to obtain the crude extract. The concentrated extract was then partitioned between 100 mL of chloroform and 50 mL of 0.1 M hydrochloric acid (HCl) using a separating funnel. The lower organic layer was discarded, while the aqueous acidic layer was retained. This aqueous layer was basified with ammonia and further partitioned with 80 mL of chloroform. The lower aqueous layer was discarded, and the chloroform layer containing the alkaloid-rich fraction was collected. The chloroform fraction was finally evaporated to dryness on a water bath to obtain the alkaloid-ri</w:t>
      </w:r>
      <w:r w:rsidR="00633025">
        <w:t>ch extract (</w:t>
      </w:r>
      <w:proofErr w:type="spellStart"/>
      <w:r w:rsidR="00633025">
        <w:t>Uwah</w:t>
      </w:r>
      <w:proofErr w:type="spellEnd"/>
      <w:r w:rsidR="00633025">
        <w:t xml:space="preserve"> et al., 2013).</w:t>
      </w:r>
    </w:p>
    <w:p w14:paraId="3CD9AA58" w14:textId="77777777" w:rsidR="00633025" w:rsidRPr="00EE2681" w:rsidRDefault="00633025" w:rsidP="00633025">
      <w:pPr>
        <w:spacing w:before="100" w:beforeAutospacing="1" w:after="100" w:afterAutospacing="1" w:line="360" w:lineRule="auto"/>
        <w:jc w:val="both"/>
        <w:outlineLvl w:val="2"/>
        <w:rPr>
          <w:b/>
        </w:rPr>
      </w:pPr>
      <w:r w:rsidRPr="00EE2681">
        <w:rPr>
          <w:b/>
        </w:rPr>
        <w:t>Antimicrobial activity by Agar well diffusion method</w:t>
      </w:r>
    </w:p>
    <w:p w14:paraId="0568D135" w14:textId="77777777" w:rsidR="00463559" w:rsidRDefault="006351D5" w:rsidP="006351D5">
      <w:pPr>
        <w:pBdr>
          <w:top w:val="nil"/>
          <w:left w:val="nil"/>
          <w:bottom w:val="nil"/>
          <w:right w:val="nil"/>
          <w:between w:val="nil"/>
        </w:pBdr>
        <w:spacing w:after="0" w:line="360" w:lineRule="auto"/>
        <w:jc w:val="both"/>
      </w:pPr>
      <w:r>
        <w:t xml:space="preserve">The agar well diffusion technique is widely employed to evaluate the antimicrobial activity of plant and microbial extracts. In this study, the procedure described by </w:t>
      </w:r>
      <w:proofErr w:type="spellStart"/>
      <w:r>
        <w:t>Prabuseenivasan</w:t>
      </w:r>
      <w:proofErr w:type="spellEnd"/>
      <w:r>
        <w:t xml:space="preserve"> et al. (2006) was used with slight modifications. The alkaloid fraction of </w:t>
      </w:r>
      <w:proofErr w:type="spellStart"/>
      <w:r>
        <w:t>Newbouldia</w:t>
      </w:r>
      <w:proofErr w:type="spellEnd"/>
      <w:r>
        <w:t xml:space="preserve"> laevis was tested for antibacterial activity against selected bacterial strains, including the Gram-negative organisms Escherichia coli, Salmonella typhimurium, and Pseudomonas aeruginosa, as well as the Gram-positive bacterium Staphylococcus aureus. Each bacterial strain was cultured in </w:t>
      </w:r>
      <w:r>
        <w:lastRenderedPageBreak/>
        <w:t>nutrient broth at 37 °C for 24 hours, after which the turbidity of the suspension was adjusted to match the 0.5 McFarland standard (approximately 1.5 × 10⁸ CFU/mL). Mueller–Hinton agar plates (</w:t>
      </w:r>
      <w:proofErr w:type="spellStart"/>
      <w:r>
        <w:t>Condalab</w:t>
      </w:r>
      <w:proofErr w:type="spellEnd"/>
      <w:r>
        <w:t>, Spain) were uniformly inoculated by evenly spreading the standardized microbial suspension across the agar surface. Sterile wells of about 7 mm diameter were then created aseptically using autoclaved micropipette tips. A solution of the alkaloid fraction (0.25 mg/mL) was introduced into the wells, and the plates were incubated at 37 °C for 24 hours. Antibacterial activity was determined by measuring the diameter of the clear zones of inhibition (in millimeters) surrounding each well.</w:t>
      </w:r>
    </w:p>
    <w:p w14:paraId="212E8C90" w14:textId="77777777" w:rsidR="006351D5" w:rsidRDefault="006351D5" w:rsidP="006351D5">
      <w:pPr>
        <w:pBdr>
          <w:top w:val="nil"/>
          <w:left w:val="nil"/>
          <w:bottom w:val="nil"/>
          <w:right w:val="nil"/>
          <w:between w:val="nil"/>
        </w:pBdr>
        <w:spacing w:after="0" w:line="360" w:lineRule="auto"/>
        <w:jc w:val="both"/>
        <w:rPr>
          <w:color w:val="000000"/>
          <w:sz w:val="22"/>
          <w:szCs w:val="22"/>
        </w:rPr>
      </w:pPr>
    </w:p>
    <w:p w14:paraId="11D32D88" w14:textId="77777777" w:rsidR="00463559" w:rsidRPr="0066046D" w:rsidRDefault="0003691C" w:rsidP="00633025">
      <w:pPr>
        <w:spacing w:line="360" w:lineRule="auto"/>
        <w:jc w:val="both"/>
        <w:rPr>
          <w:b/>
          <w:iCs/>
          <w:sz w:val="22"/>
          <w:szCs w:val="22"/>
        </w:rPr>
      </w:pPr>
      <w:r w:rsidRPr="0066046D">
        <w:rPr>
          <w:b/>
          <w:iCs/>
          <w:sz w:val="22"/>
          <w:szCs w:val="22"/>
        </w:rPr>
        <w:t>Determination of total alkaloids content:</w:t>
      </w:r>
    </w:p>
    <w:p w14:paraId="6D867D3D" w14:textId="77777777" w:rsidR="001371D4" w:rsidRDefault="001371D4" w:rsidP="00633025">
      <w:pPr>
        <w:pStyle w:val="NormalWeb"/>
        <w:spacing w:line="360" w:lineRule="auto"/>
        <w:jc w:val="both"/>
      </w:pPr>
      <w:r>
        <w:t>Total alkaloid content was determined using the method described by Sharma et al. (2</w:t>
      </w:r>
      <w:r w:rsidR="00D91EE6">
        <w:t xml:space="preserve">020) with slight modifications. </w:t>
      </w:r>
      <w:r>
        <w:t>A known weight (1.0 g) of the alkaloid-rich extract was accurately measured and transferred into a 250 mL beaker. The sample was dispersed in 40 mL of 10% acetic acid in ethanol, covered with aluminum foil, and allowed to stand for 4 hours at room temperature with occasional stirring to ensure co</w:t>
      </w:r>
      <w:r w:rsidR="00D91EE6">
        <w:t xml:space="preserve">mplete extraction of alkaloids. </w:t>
      </w:r>
      <w:r>
        <w:t>The mixture was filtered using Whatman No. 1 filter paper, and the filtrate was concentrated on a water bath at approximately 60 °C until the volume was reduced to one-quarter of the original volume. Concentrated ammonium hydroxide solution was then added dropwise to the extract until precipitation was complete, indicating the form</w:t>
      </w:r>
      <w:r w:rsidR="00D91EE6">
        <w:t xml:space="preserve">ation of alkaloid precipitates. </w:t>
      </w:r>
      <w:r>
        <w:t>The resulting precipitate was allowed to settle, after which it was collected by filtration using pre-weighed filter paper. The residue was washed with dilute ammonium hydroxide to remove residual impurities and then dried to const</w:t>
      </w:r>
      <w:r w:rsidR="00D91EE6">
        <w:t xml:space="preserve">ant weight in an oven at 60 °C. </w:t>
      </w:r>
      <w:r>
        <w:t>The total alkaloid content was calculated gravimetrically and expressed as a percentage of the initial sample weight using the formula:</w:t>
      </w:r>
    </w:p>
    <w:p w14:paraId="5B7F8E43" w14:textId="77777777" w:rsidR="00D91EE6" w:rsidRDefault="00D91EE6" w:rsidP="00633025">
      <w:pPr>
        <w:pStyle w:val="NormalWeb"/>
        <w:spacing w:line="360" w:lineRule="auto"/>
        <w:jc w:val="both"/>
      </w:pPr>
      <m:oMathPara>
        <m:oMath>
          <m:r>
            <w:rPr>
              <w:rFonts w:ascii="Cambria Math" w:hAnsi="Cambria Math" w:cs="Cambria Math"/>
            </w:rPr>
            <m:t>% Total Alkaloid content</m:t>
          </m:r>
          <m:r>
            <m:rPr>
              <m:sty m:val="p"/>
            </m:rPr>
            <w:rPr>
              <w:rFonts w:ascii="Cambria Math" w:hAnsi="Cambria Math" w:cs="Cambria Math"/>
            </w:rPr>
            <m:t>=</m:t>
          </m:r>
          <m:f>
            <m:fPr>
              <m:ctrlPr>
                <w:rPr>
                  <w:rFonts w:ascii="Cambria Math" w:hAnsi="Cambria Math"/>
                </w:rPr>
              </m:ctrlPr>
            </m:fPr>
            <m:num>
              <m:r>
                <w:rPr>
                  <w:rFonts w:ascii="Cambria Math" w:hAnsi="Cambria Math"/>
                </w:rPr>
                <m:t xml:space="preserve">[weight of dried alkaloid precipitate </m:t>
              </m:r>
            </m:num>
            <m:den>
              <m:r>
                <m:rPr>
                  <m:sty m:val="p"/>
                </m:rPr>
                <w:rPr>
                  <w:rFonts w:ascii="Cambria Math" w:hAnsi="Cambria Math" w:cs="Cambria Math"/>
                </w:rPr>
                <m:t>weight of sample</m:t>
              </m:r>
            </m:den>
          </m:f>
          <m:r>
            <w:rPr>
              <w:rFonts w:ascii="Cambria Math" w:hAnsi="Cambria Math"/>
            </w:rPr>
            <m:t xml:space="preserve"> x 100</m:t>
          </m:r>
        </m:oMath>
      </m:oMathPara>
    </w:p>
    <w:p w14:paraId="478178FB" w14:textId="77777777" w:rsidR="0066046D" w:rsidRPr="0066046D" w:rsidRDefault="0066046D" w:rsidP="00633025">
      <w:pPr>
        <w:spacing w:line="360" w:lineRule="auto"/>
        <w:jc w:val="both"/>
        <w:rPr>
          <w:b/>
          <w:iCs/>
          <w:sz w:val="22"/>
          <w:szCs w:val="22"/>
        </w:rPr>
      </w:pPr>
      <w:r w:rsidRPr="0066046D">
        <w:rPr>
          <w:b/>
          <w:iCs/>
          <w:color w:val="000000"/>
          <w:sz w:val="22"/>
          <w:szCs w:val="22"/>
        </w:rPr>
        <w:t xml:space="preserve">Evaluation of In Vitro Antioxidant Activity </w:t>
      </w:r>
    </w:p>
    <w:p w14:paraId="4D0B0A74" w14:textId="77777777" w:rsidR="00463559" w:rsidRPr="0066046D" w:rsidRDefault="0003691C" w:rsidP="00633025">
      <w:pPr>
        <w:spacing w:line="360" w:lineRule="auto"/>
        <w:jc w:val="both"/>
        <w:rPr>
          <w:b/>
          <w:iCs/>
          <w:sz w:val="22"/>
          <w:szCs w:val="22"/>
        </w:rPr>
      </w:pPr>
      <w:r w:rsidRPr="0066046D">
        <w:rPr>
          <w:b/>
          <w:iCs/>
          <w:sz w:val="22"/>
          <w:szCs w:val="22"/>
        </w:rPr>
        <w:t>Determination of hydrogen peroxide scavenging capacity:</w:t>
      </w:r>
    </w:p>
    <w:p w14:paraId="3B9CD2BE" w14:textId="77777777" w:rsidR="001371D4" w:rsidRDefault="001371D4" w:rsidP="00633025">
      <w:pPr>
        <w:spacing w:before="100" w:beforeAutospacing="1" w:after="100" w:afterAutospacing="1" w:line="360" w:lineRule="auto"/>
        <w:jc w:val="both"/>
        <w:rPr>
          <w:lang w:val="en-US"/>
        </w:rPr>
      </w:pPr>
      <w:r w:rsidRPr="001371D4">
        <w:rPr>
          <w:lang w:val="en-US"/>
        </w:rPr>
        <w:lastRenderedPageBreak/>
        <w:t>The hydrogen peroxide (H₂O₂) scavenging activity of the extract was determined using the method described by Srinivasan et al. (2</w:t>
      </w:r>
      <w:r w:rsidR="00D91EE6">
        <w:rPr>
          <w:lang w:val="en-US"/>
        </w:rPr>
        <w:t xml:space="preserve">022) with slight modifications. </w:t>
      </w:r>
      <w:r w:rsidRPr="001371D4">
        <w:rPr>
          <w:lang w:val="en-US"/>
        </w:rPr>
        <w:t xml:space="preserve">A 40 mM hydrogen peroxide solution was prepared in phosphate buffer (0.1 M, pH 7.4). Different concentrations of the extract (e.g., 20–100 µg/mL) were prepared in distilled water or appropriate solvent. Ascorbic acid was </w:t>
      </w:r>
      <w:r w:rsidR="00D91EE6">
        <w:rPr>
          <w:lang w:val="en-US"/>
        </w:rPr>
        <w:t xml:space="preserve">used as the reference standard. </w:t>
      </w:r>
      <w:r w:rsidRPr="001371D4">
        <w:rPr>
          <w:lang w:val="en-US"/>
        </w:rPr>
        <w:t>An aliquot of 0.6 mL of the H₂O₂ solution was mixed with 1.0 mL of the extract solution at each concentration. The reaction mixture was vortexed and incubated at room temperature for 10 minutes. A control solution containing hydrogen peroxide without the extract was prepared simultaneously.</w:t>
      </w:r>
      <w:r w:rsidR="00D91EE6">
        <w:rPr>
          <w:lang w:val="en-US"/>
        </w:rPr>
        <w:t xml:space="preserve"> </w:t>
      </w:r>
      <w:r w:rsidRPr="001371D4">
        <w:rPr>
          <w:lang w:val="en-US"/>
        </w:rPr>
        <w:t>After incubation, the absorbance of the reaction mixture was measured at 230 nm using a UV–Visible spectrophotometer against a blank solution containing phosphate bu</w:t>
      </w:r>
      <w:r w:rsidR="00D91EE6">
        <w:rPr>
          <w:lang w:val="en-US"/>
        </w:rPr>
        <w:t xml:space="preserve">ffer without hydrogen peroxide. </w:t>
      </w:r>
      <w:r w:rsidRPr="001371D4">
        <w:rPr>
          <w:lang w:val="en-US"/>
        </w:rPr>
        <w:t>The percentage scavenging activity of hydrogen peroxide by the extract was calculated using the following equation:</w:t>
      </w:r>
    </w:p>
    <w:p w14:paraId="0A4D8B42" w14:textId="77777777" w:rsidR="0003691C" w:rsidRDefault="00D91EE6" w:rsidP="00EE2681">
      <w:pPr>
        <w:spacing w:before="100" w:beforeAutospacing="1" w:after="100" w:afterAutospacing="1" w:line="360" w:lineRule="auto"/>
        <w:jc w:val="both"/>
        <w:rPr>
          <w:lang w:val="en-US"/>
        </w:rPr>
      </w:pPr>
      <m:oMathPara>
        <m:oMath>
          <m:r>
            <w:rPr>
              <w:rFonts w:ascii="Cambria Math" w:hAnsi="Cambria Math" w:cs="Cambria Math"/>
            </w:rPr>
            <m:t xml:space="preserve">% </m:t>
          </m:r>
          <m:r>
            <m:rPr>
              <m:sty m:val="p"/>
            </m:rPr>
            <w:rPr>
              <w:rFonts w:ascii="Cambria Math" w:hAnsi="Cambria Math"/>
              <w:lang w:val="en-US"/>
            </w:rPr>
            <m:t>H₂O₂ </m:t>
          </m:r>
          <m:r>
            <w:rPr>
              <w:rFonts w:ascii="Cambria Math" w:hAnsi="Cambria Math" w:cs="Cambria Math"/>
            </w:rPr>
            <m:t xml:space="preserve"> scavenging potential</m:t>
          </m:r>
          <m:r>
            <m:rPr>
              <m:sty m:val="p"/>
            </m:rPr>
            <w:rPr>
              <w:rFonts w:ascii="Cambria Math" w:hAnsi="Cambria Math" w:cs="Cambria Math"/>
            </w:rPr>
            <m:t>=</m:t>
          </m:r>
          <m:f>
            <m:fPr>
              <m:ctrlPr>
                <w:rPr>
                  <w:rFonts w:ascii="Cambria Math" w:hAnsi="Cambria Math"/>
                </w:rPr>
              </m:ctrlPr>
            </m:fPr>
            <m:num>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Control</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sample</m:t>
                  </m:r>
                </m:sub>
              </m:sSub>
              <m:r>
                <w:rPr>
                  <w:rFonts w:ascii="Cambria Math" w:hAnsi="Cambria Math"/>
                </w:rPr>
                <m:t xml:space="preserve"> </m:t>
              </m:r>
            </m:num>
            <m:den>
              <m:sSub>
                <m:sSubPr>
                  <m:ctrlPr>
                    <w:rPr>
                      <w:rFonts w:ascii="Cambria Math" w:hAnsi="Cambria Math" w:cs="Cambria Math"/>
                    </w:rPr>
                  </m:ctrlPr>
                </m:sSubPr>
                <m:e>
                  <m:r>
                    <w:rPr>
                      <w:rFonts w:ascii="Cambria Math" w:hAnsi="Cambria Math" w:cs="Cambria Math"/>
                    </w:rPr>
                    <m:t>A</m:t>
                  </m:r>
                </m:e>
                <m:sub>
                  <m:r>
                    <w:rPr>
                      <w:rFonts w:ascii="Cambria Math" w:hAnsi="Cambria Math" w:cs="Cambria Math"/>
                    </w:rPr>
                    <m:t>control</m:t>
                  </m:r>
                </m:sub>
              </m:sSub>
            </m:den>
          </m:f>
          <m:r>
            <w:rPr>
              <w:rFonts w:ascii="Cambria Math" w:hAnsi="Cambria Math"/>
            </w:rPr>
            <m:t xml:space="preserve"> x 100</m:t>
          </m:r>
        </m:oMath>
      </m:oMathPara>
    </w:p>
    <w:p w14:paraId="5BE41A59" w14:textId="77777777" w:rsidR="00463559" w:rsidRPr="0066046D" w:rsidRDefault="0003691C" w:rsidP="00633025">
      <w:pPr>
        <w:spacing w:line="360" w:lineRule="auto"/>
        <w:jc w:val="both"/>
        <w:rPr>
          <w:b/>
          <w:iCs/>
          <w:sz w:val="22"/>
          <w:szCs w:val="22"/>
        </w:rPr>
      </w:pPr>
      <w:r w:rsidRPr="0066046D">
        <w:rPr>
          <w:b/>
          <w:iCs/>
          <w:sz w:val="22"/>
          <w:szCs w:val="22"/>
        </w:rPr>
        <w:t>Determination of nitric oxide (NO) scavenging activity:</w:t>
      </w:r>
    </w:p>
    <w:p w14:paraId="58D3AB16" w14:textId="77777777" w:rsidR="0003691C" w:rsidRPr="0003691C" w:rsidRDefault="0003691C" w:rsidP="00633025">
      <w:pPr>
        <w:spacing w:before="100" w:beforeAutospacing="1" w:after="100" w:afterAutospacing="1" w:line="360" w:lineRule="auto"/>
        <w:jc w:val="both"/>
        <w:rPr>
          <w:lang w:val="en-US"/>
        </w:rPr>
      </w:pPr>
      <w:r w:rsidRPr="0003691C">
        <w:rPr>
          <w:lang w:val="en-US"/>
        </w:rPr>
        <w:t>The nitric oxide (NO) scavenging activity of the extract was determined using the method described by Alisi et al. (2</w:t>
      </w:r>
      <w:r w:rsidR="00D91EE6">
        <w:rPr>
          <w:lang w:val="en-US"/>
        </w:rPr>
        <w:t xml:space="preserve">008) with slight modifications. </w:t>
      </w:r>
      <w:r w:rsidRPr="0003691C">
        <w:rPr>
          <w:lang w:val="en-US"/>
        </w:rPr>
        <w:t xml:space="preserve">Sodium nitroprusside (10 mM) was prepared in phosphate buffer saline (PBS, pH 7.4). Different concentrations of the extract (e.g., 20–100 µg/mL) were prepared in an appropriate solvent. Ascorbic acid was </w:t>
      </w:r>
      <w:r w:rsidR="00D91EE6">
        <w:rPr>
          <w:lang w:val="en-US"/>
        </w:rPr>
        <w:t xml:space="preserve">used as the reference standard. </w:t>
      </w:r>
      <w:r w:rsidRPr="0003691C">
        <w:rPr>
          <w:lang w:val="en-US"/>
        </w:rPr>
        <w:t>A reaction mixture containing 2.0 mL of sodium nitroprusside solution and 0.5 mL of the extract at various concentrations was incubated at room temperature for 150 minutes under light to generate nitric oxide radicals. A control containing sodium nitroprusside without extract</w:t>
      </w:r>
      <w:r w:rsidR="00D91EE6">
        <w:rPr>
          <w:lang w:val="en-US"/>
        </w:rPr>
        <w:t xml:space="preserve"> was prepared simultaneously. </w:t>
      </w:r>
      <w:r w:rsidRPr="0003691C">
        <w:rPr>
          <w:lang w:val="en-US"/>
        </w:rPr>
        <w:t>After incubation, 1.0 mL of the reaction mixture was transferred into a clean test tube and mixed with 1.0 mL of Griess reagent (prepared by mixing equal volumes of 1% sulfanilamide in 2% phosphoric acid and 0.1% N-(1-naphthyl)</w:t>
      </w:r>
      <w:r>
        <w:rPr>
          <w:lang w:val="en-US"/>
        </w:rPr>
        <w:t xml:space="preserve"> </w:t>
      </w:r>
      <w:r w:rsidRPr="0003691C">
        <w:rPr>
          <w:lang w:val="en-US"/>
        </w:rPr>
        <w:t>ethylenediamine dihydrochloride). The mixture was allowed to stand for 10 minutes at room tem</w:t>
      </w:r>
      <w:r w:rsidR="00D91EE6">
        <w:rPr>
          <w:lang w:val="en-US"/>
        </w:rPr>
        <w:t xml:space="preserve">perature for color development. </w:t>
      </w:r>
      <w:r w:rsidRPr="0003691C">
        <w:rPr>
          <w:lang w:val="en-US"/>
        </w:rPr>
        <w:t>The absorbance of the resulting chromophore was measured at 546 nm using a UV–Visible spe</w:t>
      </w:r>
      <w:r w:rsidR="00D91EE6">
        <w:rPr>
          <w:lang w:val="en-US"/>
        </w:rPr>
        <w:t xml:space="preserve">ctrophotometer against a blank. </w:t>
      </w:r>
      <w:r w:rsidRPr="0003691C">
        <w:rPr>
          <w:lang w:val="en-US"/>
        </w:rPr>
        <w:t>The percentage nitric oxide scavenging activity was calculated using the formula:</w:t>
      </w:r>
    </w:p>
    <w:p w14:paraId="4B575444" w14:textId="77777777" w:rsidR="00D91EE6" w:rsidRDefault="00D91EE6" w:rsidP="00633025">
      <w:pPr>
        <w:spacing w:after="0" w:line="360" w:lineRule="auto"/>
        <w:jc w:val="both"/>
        <w:rPr>
          <w:lang w:val="en-US"/>
        </w:rPr>
      </w:pPr>
      <m:oMathPara>
        <m:oMath>
          <m:r>
            <w:rPr>
              <w:rFonts w:ascii="Cambria Math" w:hAnsi="Cambria Math" w:cs="Cambria Math"/>
            </w:rPr>
            <w:lastRenderedPageBreak/>
            <m:t>% NO scavenging</m:t>
          </m:r>
          <m:r>
            <m:rPr>
              <m:sty m:val="p"/>
            </m:rPr>
            <w:rPr>
              <w:rFonts w:ascii="Cambria Math" w:hAnsi="Cambria Math" w:cs="Cambria Math"/>
            </w:rPr>
            <m:t>=</m:t>
          </m:r>
          <m:f>
            <m:fPr>
              <m:ctrlPr>
                <w:rPr>
                  <w:rFonts w:ascii="Cambria Math" w:hAnsi="Cambria Math"/>
                </w:rPr>
              </m:ctrlPr>
            </m:fPr>
            <m:num>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control</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sample</m:t>
                  </m:r>
                </m:sub>
              </m:sSub>
              <m:r>
                <w:rPr>
                  <w:rFonts w:ascii="Cambria Math" w:hAnsi="Cambria Math"/>
                </w:rPr>
                <m:t xml:space="preserve"> </m:t>
              </m:r>
            </m:num>
            <m:den>
              <m:sSub>
                <m:sSubPr>
                  <m:ctrlPr>
                    <w:rPr>
                      <w:rFonts w:ascii="Cambria Math" w:hAnsi="Cambria Math" w:cs="Cambria Math"/>
                    </w:rPr>
                  </m:ctrlPr>
                </m:sSubPr>
                <m:e>
                  <m:r>
                    <w:rPr>
                      <w:rFonts w:ascii="Cambria Math" w:hAnsi="Cambria Math" w:cs="Cambria Math"/>
                    </w:rPr>
                    <m:t>A</m:t>
                  </m:r>
                </m:e>
                <m:sub>
                  <m:r>
                    <w:rPr>
                      <w:rFonts w:ascii="Cambria Math" w:hAnsi="Cambria Math" w:cs="Cambria Math"/>
                    </w:rPr>
                    <m:t>control</m:t>
                  </m:r>
                </m:sub>
              </m:sSub>
            </m:den>
          </m:f>
          <m:r>
            <w:rPr>
              <w:rFonts w:ascii="Cambria Math" w:hAnsi="Cambria Math"/>
            </w:rPr>
            <m:t xml:space="preserve"> x 100</m:t>
          </m:r>
        </m:oMath>
      </m:oMathPara>
    </w:p>
    <w:p w14:paraId="70489668" w14:textId="77777777" w:rsidR="0066046D" w:rsidRPr="0066046D" w:rsidRDefault="0066046D" w:rsidP="00633025">
      <w:pPr>
        <w:spacing w:before="100" w:beforeAutospacing="1" w:after="100" w:afterAutospacing="1" w:line="360" w:lineRule="auto"/>
        <w:jc w:val="both"/>
        <w:rPr>
          <w:b/>
          <w:lang w:val="en-US"/>
        </w:rPr>
      </w:pPr>
      <w:r w:rsidRPr="0066046D">
        <w:rPr>
          <w:b/>
          <w:lang w:val="en-US"/>
        </w:rPr>
        <w:t xml:space="preserve">The 2,2-diphenyl-1-picrylhydrazyl (DPPH) assay </w:t>
      </w:r>
    </w:p>
    <w:p w14:paraId="2BBF0E97" w14:textId="77777777" w:rsidR="0003691C" w:rsidRPr="0003691C" w:rsidRDefault="0003691C" w:rsidP="00633025">
      <w:pPr>
        <w:spacing w:before="100" w:beforeAutospacing="1" w:after="100" w:afterAutospacing="1" w:line="360" w:lineRule="auto"/>
        <w:jc w:val="both"/>
        <w:rPr>
          <w:lang w:val="en-US"/>
        </w:rPr>
      </w:pPr>
      <w:r w:rsidRPr="0003691C">
        <w:rPr>
          <w:lang w:val="en-US"/>
        </w:rPr>
        <w:t>The free radical scavenging activity of the extract was evaluated using the 2,2-diphenyl-1-picrylhydrazyl (DPPH) assay according to the method of Brand-Williams et al. (1995) with slight modifications.</w:t>
      </w:r>
      <w:r w:rsidR="00EE2681">
        <w:rPr>
          <w:lang w:val="en-US"/>
        </w:rPr>
        <w:t xml:space="preserve"> </w:t>
      </w:r>
      <w:r w:rsidRPr="0003691C">
        <w:rPr>
          <w:lang w:val="en-US"/>
        </w:rPr>
        <w:t xml:space="preserve">A 0.1 mM solution of DPPH was prepared by dissolving DPPH in methanol and kept in the dark to prevent degradation. Different concentrations of the extract (e.g., 20–100 µg/mL) were prepared in methanol. Ascorbic acid was </w:t>
      </w:r>
      <w:r w:rsidR="00EE2681">
        <w:rPr>
          <w:lang w:val="en-US"/>
        </w:rPr>
        <w:t xml:space="preserve">used as the reference standard. </w:t>
      </w:r>
      <w:r w:rsidRPr="0003691C">
        <w:rPr>
          <w:lang w:val="en-US"/>
        </w:rPr>
        <w:t xml:space="preserve">An aliquot of 1.0 mL of the extract solution was mixed with 1.0 mL of the DPPH solution. A control solution containing DPPH and methanol without the extract was prepared simultaneously. The reaction mixtures were vortexed and incubated in the dark at room temperature for 30 minutes </w:t>
      </w:r>
      <w:r w:rsidR="00EE2681">
        <w:rPr>
          <w:lang w:val="en-US"/>
        </w:rPr>
        <w:t xml:space="preserve">to allow the reaction to occur. </w:t>
      </w:r>
      <w:r w:rsidRPr="0003691C">
        <w:rPr>
          <w:lang w:val="en-US"/>
        </w:rPr>
        <w:t>After incubation, the decrease in absorbance was measured at 517 nm using a UV–Visible spectrophotometer against a methanol blank</w:t>
      </w:r>
      <w:r w:rsidR="00EE2681">
        <w:rPr>
          <w:lang w:val="en-US"/>
        </w:rPr>
        <w:t xml:space="preserve">. </w:t>
      </w:r>
      <w:r w:rsidRPr="0003691C">
        <w:rPr>
          <w:lang w:val="en-US"/>
        </w:rPr>
        <w:t>The percentage DPPH radical scavenging activity was calculated using the following equation:</w:t>
      </w:r>
    </w:p>
    <w:p w14:paraId="5B9F859B" w14:textId="77777777" w:rsidR="00D91EE6" w:rsidRDefault="00D91EE6" w:rsidP="00633025">
      <w:pPr>
        <w:spacing w:line="360" w:lineRule="auto"/>
        <w:jc w:val="both"/>
        <w:rPr>
          <w:lang w:val="en-US"/>
        </w:rPr>
      </w:pPr>
      <m:oMathPara>
        <m:oMath>
          <m:r>
            <w:rPr>
              <w:rFonts w:ascii="Cambria Math" w:hAnsi="Cambria Math" w:cs="Cambria Math"/>
            </w:rPr>
            <m:t>% DPPH scavenging potential</m:t>
          </m:r>
          <m:r>
            <m:rPr>
              <m:sty m:val="p"/>
            </m:rPr>
            <w:rPr>
              <w:rFonts w:ascii="Cambria Math" w:hAnsi="Cambria Math" w:cs="Cambria Math"/>
            </w:rPr>
            <m:t>=</m:t>
          </m:r>
          <m:f>
            <m:fPr>
              <m:ctrlPr>
                <w:rPr>
                  <w:rFonts w:ascii="Cambria Math" w:hAnsi="Cambria Math"/>
                </w:rPr>
              </m:ctrlPr>
            </m:fPr>
            <m:num>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control</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sample</m:t>
                  </m:r>
                </m:sub>
              </m:sSub>
              <m:r>
                <w:rPr>
                  <w:rFonts w:ascii="Cambria Math" w:hAnsi="Cambria Math"/>
                </w:rPr>
                <m:t xml:space="preserve"> </m:t>
              </m:r>
            </m:num>
            <m:den>
              <m:sSub>
                <m:sSubPr>
                  <m:ctrlPr>
                    <w:rPr>
                      <w:rFonts w:ascii="Cambria Math" w:hAnsi="Cambria Math" w:cs="Cambria Math"/>
                    </w:rPr>
                  </m:ctrlPr>
                </m:sSubPr>
                <m:e>
                  <m:r>
                    <w:rPr>
                      <w:rFonts w:ascii="Cambria Math" w:hAnsi="Cambria Math" w:cs="Cambria Math"/>
                    </w:rPr>
                    <m:t>A</m:t>
                  </m:r>
                </m:e>
                <m:sub>
                  <m:r>
                    <w:rPr>
                      <w:rFonts w:ascii="Cambria Math" w:hAnsi="Cambria Math" w:cs="Cambria Math"/>
                    </w:rPr>
                    <m:t>control</m:t>
                  </m:r>
                </m:sub>
              </m:sSub>
            </m:den>
          </m:f>
          <m:r>
            <w:rPr>
              <w:rFonts w:ascii="Cambria Math" w:hAnsi="Cambria Math"/>
            </w:rPr>
            <m:t xml:space="preserve"> x 100</m:t>
          </m:r>
        </m:oMath>
      </m:oMathPara>
    </w:p>
    <w:p w14:paraId="11D5617B" w14:textId="77777777" w:rsidR="0003691C" w:rsidRPr="0003691C" w:rsidRDefault="0003691C" w:rsidP="00633025">
      <w:pPr>
        <w:spacing w:before="100" w:beforeAutospacing="1" w:after="100" w:afterAutospacing="1" w:line="360" w:lineRule="auto"/>
        <w:jc w:val="both"/>
        <w:rPr>
          <w:lang w:val="en-US"/>
        </w:rPr>
      </w:pPr>
      <w:r w:rsidRPr="0003691C">
        <w:rPr>
          <w:b/>
          <w:bCs/>
          <w:lang w:val="en-US"/>
        </w:rPr>
        <w:t>Inhibition of Lipid Peroxidation by Malondialdehyde (MDA) Assay (TBARS Method)</w:t>
      </w:r>
    </w:p>
    <w:p w14:paraId="42095AD0" w14:textId="77777777" w:rsidR="0003691C" w:rsidRPr="0003691C" w:rsidRDefault="0003691C" w:rsidP="00633025">
      <w:pPr>
        <w:spacing w:before="100" w:beforeAutospacing="1" w:after="100" w:afterAutospacing="1" w:line="360" w:lineRule="auto"/>
        <w:jc w:val="both"/>
        <w:rPr>
          <w:lang w:val="en-US"/>
        </w:rPr>
      </w:pPr>
      <w:r w:rsidRPr="0003691C">
        <w:rPr>
          <w:lang w:val="en-US"/>
        </w:rPr>
        <w:t xml:space="preserve">The inhibitory capacity of the extract on lipid peroxidation was determined </w:t>
      </w:r>
      <w:proofErr w:type="spellStart"/>
      <w:r w:rsidRPr="0003691C">
        <w:rPr>
          <w:lang w:val="en-US"/>
        </w:rPr>
        <w:t>colorimetrically</w:t>
      </w:r>
      <w:proofErr w:type="spellEnd"/>
      <w:r w:rsidRPr="0003691C">
        <w:rPr>
          <w:lang w:val="en-US"/>
        </w:rPr>
        <w:t xml:space="preserve"> using the </w:t>
      </w:r>
      <w:proofErr w:type="spellStart"/>
      <w:r w:rsidRPr="0003691C">
        <w:rPr>
          <w:lang w:val="en-US"/>
        </w:rPr>
        <w:t>thiobarbituric</w:t>
      </w:r>
      <w:proofErr w:type="spellEnd"/>
      <w:r w:rsidRPr="0003691C">
        <w:rPr>
          <w:lang w:val="en-US"/>
        </w:rPr>
        <w:t xml:space="preserve"> acid reactive substances (TBARS) method as described by Tan et al. (2</w:t>
      </w:r>
      <w:r w:rsidR="00EE2681">
        <w:rPr>
          <w:lang w:val="en-US"/>
        </w:rPr>
        <w:t xml:space="preserve">014) with slight modifications. </w:t>
      </w:r>
      <w:r w:rsidRPr="0003691C">
        <w:rPr>
          <w:lang w:val="en-US"/>
        </w:rPr>
        <w:t>A lipid-rich medium (such as egg yolk homogenate) was prepared by homogenizing fresh egg yolk in phosphate buffer (0.1 M, pH 7.4) to obtain a 10% (v/v) homogenate. The homogenate served as a source of polyunsaturated fatt</w:t>
      </w:r>
      <w:r w:rsidR="00EE2681">
        <w:rPr>
          <w:lang w:val="en-US"/>
        </w:rPr>
        <w:t xml:space="preserve">y acids for lipid peroxidation. </w:t>
      </w:r>
      <w:r w:rsidRPr="0003691C">
        <w:rPr>
          <w:lang w:val="en-US"/>
        </w:rPr>
        <w:t>Reaction mixtures were prepared by adding 0.5 mL of the egg yolk homogenate to 0.1 mL of the extract at various concentrations (e.g., 20–100 µg/mL). Lipid peroxidation was initiated by adding 0.05 mL of 0.07 M ferrous sulfate (</w:t>
      </w:r>
      <w:proofErr w:type="spellStart"/>
      <w:r w:rsidRPr="0003691C">
        <w:rPr>
          <w:lang w:val="en-US"/>
        </w:rPr>
        <w:t>FeSO</w:t>
      </w:r>
      <w:proofErr w:type="spellEnd"/>
      <w:r w:rsidRPr="0003691C">
        <w:rPr>
          <w:lang w:val="en-US"/>
        </w:rPr>
        <w:t>₄). The volume of the reaction mixture was adjusted to 1.5 mL with phosphate buffer. A control containing all reagents except the extra</w:t>
      </w:r>
      <w:r w:rsidR="00EE2681">
        <w:rPr>
          <w:lang w:val="en-US"/>
        </w:rPr>
        <w:t xml:space="preserve">ct was prepared simultaneously. </w:t>
      </w:r>
      <w:r w:rsidRPr="0003691C">
        <w:rPr>
          <w:lang w:val="en-US"/>
        </w:rPr>
        <w:t xml:space="preserve">The reaction mixtures were incubated at 37 </w:t>
      </w:r>
      <w:r w:rsidRPr="0003691C">
        <w:rPr>
          <w:lang w:val="en-US"/>
        </w:rPr>
        <w:lastRenderedPageBreak/>
        <w:t xml:space="preserve">°C for 30 minutes. After incubation, 1.5 mL of 20% trichloroacetic acid (TCA) and 1.5 mL of 0.67% </w:t>
      </w:r>
      <w:proofErr w:type="spellStart"/>
      <w:r w:rsidRPr="0003691C">
        <w:rPr>
          <w:lang w:val="en-US"/>
        </w:rPr>
        <w:t>thiobarbituric</w:t>
      </w:r>
      <w:proofErr w:type="spellEnd"/>
      <w:r w:rsidRPr="0003691C">
        <w:rPr>
          <w:lang w:val="en-US"/>
        </w:rPr>
        <w:t xml:space="preserve"> acid (TBA) were added to each tube. The mixtures were vortexed and heated in a boiling water bath at 95 °C for 30 minutes to allow the formation of a pi</w:t>
      </w:r>
      <w:r w:rsidR="00EE2681">
        <w:rPr>
          <w:lang w:val="en-US"/>
        </w:rPr>
        <w:t xml:space="preserve">nk chromogen (MDA–TBA complex). </w:t>
      </w:r>
      <w:r w:rsidRPr="0003691C">
        <w:rPr>
          <w:lang w:val="en-US"/>
        </w:rPr>
        <w:t>The tubes were cooled to room temperature and centrifuged at 3000 rpm for 10 minutes to remove precipitated proteins. The absorbance of the supernatant was measured at 532 nm using a UV–Visible spectrophot</w:t>
      </w:r>
      <w:r w:rsidR="00EE2681">
        <w:rPr>
          <w:lang w:val="en-US"/>
        </w:rPr>
        <w:t xml:space="preserve">ometer against a reagent blank. </w:t>
      </w:r>
      <w:r w:rsidRPr="0003691C">
        <w:rPr>
          <w:lang w:val="en-US"/>
        </w:rPr>
        <w:t>The percentage inhibition of lipid peroxidation was calculated using the formula:</w:t>
      </w:r>
    </w:p>
    <w:p w14:paraId="7BEDC110" w14:textId="77777777" w:rsidR="00D91EE6" w:rsidRDefault="00D91EE6" w:rsidP="00633025">
      <w:pPr>
        <w:spacing w:after="0" w:line="360" w:lineRule="auto"/>
        <w:jc w:val="both"/>
        <w:rPr>
          <w:lang w:val="en-US"/>
        </w:rPr>
      </w:pPr>
      <m:oMathPara>
        <m:oMath>
          <m:r>
            <w:rPr>
              <w:rFonts w:ascii="Cambria Math" w:hAnsi="Cambria Math" w:cs="Cambria Math"/>
            </w:rPr>
            <m:t>% Inhibition of lipid peroxidation</m:t>
          </m:r>
          <m:r>
            <m:rPr>
              <m:sty m:val="p"/>
            </m:rPr>
            <w:rPr>
              <w:rFonts w:ascii="Cambria Math" w:hAnsi="Cambria Math" w:cs="Cambria Math"/>
            </w:rPr>
            <m:t>=</m:t>
          </m:r>
          <m:f>
            <m:fPr>
              <m:ctrlPr>
                <w:rPr>
                  <w:rFonts w:ascii="Cambria Math" w:hAnsi="Cambria Math"/>
                </w:rPr>
              </m:ctrlPr>
            </m:fPr>
            <m:num>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control</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sample</m:t>
                  </m:r>
                </m:sub>
              </m:sSub>
              <m:r>
                <w:rPr>
                  <w:rFonts w:ascii="Cambria Math" w:hAnsi="Cambria Math"/>
                </w:rPr>
                <m:t xml:space="preserve"> </m:t>
              </m:r>
            </m:num>
            <m:den>
              <m:sSub>
                <m:sSubPr>
                  <m:ctrlPr>
                    <w:rPr>
                      <w:rFonts w:ascii="Cambria Math" w:hAnsi="Cambria Math" w:cs="Cambria Math"/>
                    </w:rPr>
                  </m:ctrlPr>
                </m:sSubPr>
                <m:e>
                  <m:r>
                    <w:rPr>
                      <w:rFonts w:ascii="Cambria Math" w:hAnsi="Cambria Math" w:cs="Cambria Math"/>
                    </w:rPr>
                    <m:t>A</m:t>
                  </m:r>
                </m:e>
                <m:sub>
                  <m:r>
                    <w:rPr>
                      <w:rFonts w:ascii="Cambria Math" w:hAnsi="Cambria Math" w:cs="Cambria Math"/>
                    </w:rPr>
                    <m:t>control</m:t>
                  </m:r>
                </m:sub>
              </m:sSub>
            </m:den>
          </m:f>
          <m:r>
            <w:rPr>
              <w:rFonts w:ascii="Cambria Math" w:hAnsi="Cambria Math"/>
            </w:rPr>
            <m:t xml:space="preserve"> x 100</m:t>
          </m:r>
        </m:oMath>
      </m:oMathPara>
    </w:p>
    <w:p w14:paraId="6B148B68" w14:textId="77777777" w:rsidR="00893600" w:rsidRPr="0003691C" w:rsidRDefault="00893600" w:rsidP="00B34C17">
      <w:pPr>
        <w:spacing w:after="0" w:line="240" w:lineRule="auto"/>
        <w:jc w:val="both"/>
        <w:rPr>
          <w:lang w:val="en-US"/>
        </w:rPr>
      </w:pPr>
    </w:p>
    <w:p w14:paraId="0E34F3B8" w14:textId="77777777" w:rsidR="00463559" w:rsidRPr="00D91EE6" w:rsidRDefault="0003691C" w:rsidP="00B34C17">
      <w:pPr>
        <w:spacing w:line="360" w:lineRule="auto"/>
        <w:jc w:val="both"/>
        <w:rPr>
          <w:b/>
          <w:iCs/>
        </w:rPr>
      </w:pPr>
      <w:r w:rsidRPr="00D91EE6">
        <w:rPr>
          <w:b/>
          <w:iCs/>
          <w:color w:val="000000"/>
        </w:rPr>
        <w:t xml:space="preserve">Statistical Analysis </w:t>
      </w:r>
    </w:p>
    <w:p w14:paraId="207692B7" w14:textId="77777777" w:rsidR="00463559" w:rsidRPr="00D91EE6" w:rsidRDefault="0003691C" w:rsidP="00B34C17">
      <w:pPr>
        <w:spacing w:line="360" w:lineRule="auto"/>
        <w:jc w:val="both"/>
        <w:rPr>
          <w:color w:val="000000"/>
        </w:rPr>
      </w:pPr>
      <w:r w:rsidRPr="00D91EE6">
        <w:rPr>
          <w:color w:val="000000"/>
        </w:rPr>
        <w:t xml:space="preserve">All values will be reported as the mean </w:t>
      </w:r>
      <w:r w:rsidRPr="00D91EE6">
        <w:rPr>
          <w:i/>
          <w:iCs/>
          <w:color w:val="000000"/>
        </w:rPr>
        <w:t xml:space="preserve">± </w:t>
      </w:r>
      <w:r w:rsidRPr="00D91EE6">
        <w:rPr>
          <w:color w:val="000000"/>
        </w:rPr>
        <w:t xml:space="preserve">SEM (standard error mean). Duncan post hoc test was applied to compare values, as appropriate, using SPSS v 22.0 software. Values was considered significant at </w:t>
      </w:r>
      <w:r w:rsidRPr="00D91EE6">
        <w:rPr>
          <w:i/>
          <w:iCs/>
          <w:color w:val="000000"/>
        </w:rPr>
        <w:t xml:space="preserve">p </w:t>
      </w:r>
      <w:r w:rsidRPr="00D91EE6">
        <w:rPr>
          <w:color w:val="000000"/>
        </w:rPr>
        <w:t>&lt; 0.05.</w:t>
      </w:r>
    </w:p>
    <w:p w14:paraId="7FE74B25" w14:textId="77777777" w:rsidR="00463559" w:rsidRDefault="00463559" w:rsidP="00B34C17">
      <w:pPr>
        <w:spacing w:line="360" w:lineRule="auto"/>
        <w:jc w:val="both"/>
        <w:rPr>
          <w:color w:val="000000"/>
          <w:sz w:val="22"/>
          <w:szCs w:val="22"/>
        </w:rPr>
      </w:pPr>
    </w:p>
    <w:p w14:paraId="673AD462" w14:textId="77777777" w:rsidR="00463559" w:rsidRDefault="0003691C" w:rsidP="00B34C17">
      <w:pPr>
        <w:jc w:val="both"/>
        <w:rPr>
          <w:b/>
          <w:bCs/>
          <w:sz w:val="22"/>
          <w:szCs w:val="22"/>
        </w:rPr>
      </w:pPr>
      <w:r>
        <w:rPr>
          <w:b/>
          <w:bCs/>
          <w:sz w:val="22"/>
          <w:szCs w:val="22"/>
        </w:rPr>
        <w:t>RESULT &amp; DISCUSSION</w:t>
      </w:r>
    </w:p>
    <w:p w14:paraId="56F29CE0" w14:textId="77777777" w:rsidR="00463559" w:rsidRPr="0051013D" w:rsidRDefault="0003691C" w:rsidP="00B34C17">
      <w:pPr>
        <w:jc w:val="both"/>
        <w:rPr>
          <w:b/>
          <w:iCs/>
          <w:sz w:val="22"/>
          <w:szCs w:val="22"/>
        </w:rPr>
      </w:pPr>
      <w:r w:rsidRPr="0051013D">
        <w:rPr>
          <w:b/>
          <w:iCs/>
          <w:sz w:val="22"/>
          <w:szCs w:val="22"/>
        </w:rPr>
        <w:t>Antioxidant Activity &amp; IC₅₀ Values</w:t>
      </w:r>
      <w:r w:rsidR="00981163">
        <w:rPr>
          <w:b/>
          <w:iCs/>
          <w:sz w:val="22"/>
          <w:szCs w:val="22"/>
        </w:rPr>
        <w:t xml:space="preserve"> and Alkaloid content</w:t>
      </w:r>
    </w:p>
    <w:p w14:paraId="34791F15" w14:textId="77777777" w:rsidR="005E3024" w:rsidRDefault="0003691C" w:rsidP="00B34C17">
      <w:pPr>
        <w:spacing w:line="360" w:lineRule="auto"/>
        <w:jc w:val="both"/>
        <w:rPr>
          <w:sz w:val="22"/>
          <w:szCs w:val="22"/>
        </w:rPr>
      </w:pPr>
      <w:r>
        <w:rPr>
          <w:sz w:val="22"/>
          <w:szCs w:val="22"/>
        </w:rPr>
        <w:t xml:space="preserve">The alkaloid fraction exhibited a dose-dependent increase in radical scavenging activity against hydroxyl and nitric oxide radicals as shown in table 1. At 320 µg/mL, the highest inhibitory effects were observed (68.50% and 79.60%, respectively), indicating a significant free radical neutralization potential. </w:t>
      </w:r>
      <w:r w:rsidR="005E3024">
        <w:rPr>
          <w:sz w:val="22"/>
          <w:szCs w:val="22"/>
        </w:rPr>
        <w:t>The fraction demonstrated progressive antioxidant activity, achieving maximum DPPH inhibition of 79.10% and lipid peroxidation inhibition of 86.90% at 320 µg/</w:t>
      </w:r>
      <w:proofErr w:type="spellStart"/>
      <w:r w:rsidR="005E3024">
        <w:rPr>
          <w:sz w:val="22"/>
          <w:szCs w:val="22"/>
        </w:rPr>
        <w:t>mL.</w:t>
      </w:r>
      <w:proofErr w:type="spellEnd"/>
      <w:r w:rsidR="005E3024">
        <w:rPr>
          <w:sz w:val="22"/>
          <w:szCs w:val="22"/>
        </w:rPr>
        <w:t xml:space="preserve"> The strong inhibition of lipid peroxidation reveals its potential to protect cellular membranes from oxidative damage, a property linked to phenolic and alkaloid constituents. </w:t>
      </w:r>
      <w:r w:rsidR="0051013D">
        <w:rPr>
          <w:sz w:val="22"/>
          <w:szCs w:val="22"/>
        </w:rPr>
        <w:t xml:space="preserve"> The </w:t>
      </w:r>
      <w:r w:rsidR="005E3024">
        <w:rPr>
          <w:sz w:val="22"/>
          <w:szCs w:val="22"/>
        </w:rPr>
        <w:t xml:space="preserve">IC₅₀ values indicate that the alkaloid fraction is effective but less potent than ascorbic acid, a standard antioxidant (see table 2). DPPH and nitric oxide radical IC₅₀ values (92.70 µg/mL and 102.50 µg/mL) reflect strong scavenging capacity, whereas a higher IC₅₀ for hydroxyl radicals (382.90 µg/mL) suggests differential affinity </w:t>
      </w:r>
      <w:r w:rsidR="0051013D">
        <w:rPr>
          <w:sz w:val="22"/>
          <w:szCs w:val="22"/>
        </w:rPr>
        <w:t xml:space="preserve">for distinct reactive species. </w:t>
      </w:r>
      <w:r w:rsidR="00981163">
        <w:rPr>
          <w:sz w:val="22"/>
          <w:szCs w:val="22"/>
        </w:rPr>
        <w:t>The total alkal</w:t>
      </w:r>
      <w:r w:rsidR="00017F9E">
        <w:rPr>
          <w:sz w:val="22"/>
          <w:szCs w:val="22"/>
        </w:rPr>
        <w:t>oids content of the fraction is 28.46%</w:t>
      </w:r>
    </w:p>
    <w:p w14:paraId="25AA3D13" w14:textId="77777777" w:rsidR="00463559" w:rsidRPr="0051013D" w:rsidRDefault="0003691C" w:rsidP="00B34C17">
      <w:pPr>
        <w:spacing w:line="360" w:lineRule="auto"/>
        <w:jc w:val="both"/>
        <w:rPr>
          <w:b/>
          <w:iCs/>
          <w:sz w:val="22"/>
          <w:szCs w:val="22"/>
        </w:rPr>
      </w:pPr>
      <w:r w:rsidRPr="0051013D">
        <w:rPr>
          <w:b/>
          <w:iCs/>
          <w:sz w:val="22"/>
          <w:szCs w:val="22"/>
        </w:rPr>
        <w:t>Table 1: Percentage Inhibition of Alkaloid Fractions (N. laevis)</w:t>
      </w:r>
    </w:p>
    <w:tbl>
      <w:tblPr>
        <w:tblStyle w:val="a"/>
        <w:tblW w:w="8748" w:type="dxa"/>
        <w:tblInd w:w="-108" w:type="dxa"/>
        <w:tblBorders>
          <w:top w:val="single" w:sz="4" w:space="0" w:color="000000"/>
          <w:left w:val="nil"/>
          <w:bottom w:val="single" w:sz="4" w:space="0" w:color="000000"/>
          <w:right w:val="nil"/>
          <w:insideH w:val="nil"/>
          <w:insideV w:val="nil"/>
        </w:tblBorders>
        <w:tblLayout w:type="fixed"/>
        <w:tblLook w:val="04A0" w:firstRow="1" w:lastRow="0" w:firstColumn="1" w:lastColumn="0" w:noHBand="0" w:noVBand="1"/>
      </w:tblPr>
      <w:tblGrid>
        <w:gridCol w:w="1790"/>
        <w:gridCol w:w="1642"/>
        <w:gridCol w:w="1772"/>
        <w:gridCol w:w="1772"/>
        <w:gridCol w:w="1772"/>
      </w:tblGrid>
      <w:tr w:rsidR="005E3024" w14:paraId="39F6FAD8" w14:textId="77777777" w:rsidTr="005E3024">
        <w:trPr>
          <w:cnfStyle w:val="100000000000" w:firstRow="1" w:lastRow="0" w:firstColumn="0" w:lastColumn="0" w:oddVBand="0" w:evenVBand="0" w:oddHBand="0"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1790" w:type="dxa"/>
            <w:tcBorders>
              <w:top w:val="single" w:sz="4" w:space="0" w:color="000000"/>
              <w:bottom w:val="single" w:sz="4" w:space="0" w:color="000000"/>
            </w:tcBorders>
          </w:tcPr>
          <w:p w14:paraId="0EF5D095" w14:textId="77777777" w:rsidR="005E3024" w:rsidRDefault="005E3024" w:rsidP="00B34C17">
            <w:pPr>
              <w:jc w:val="both"/>
              <w:rPr>
                <w:sz w:val="22"/>
                <w:szCs w:val="22"/>
              </w:rPr>
            </w:pPr>
            <w:r>
              <w:rPr>
                <w:b w:val="0"/>
                <w:bCs w:val="0"/>
                <w:sz w:val="22"/>
                <w:szCs w:val="22"/>
              </w:rPr>
              <w:lastRenderedPageBreak/>
              <w:t>Concentration (µg/mL)</w:t>
            </w:r>
          </w:p>
        </w:tc>
        <w:tc>
          <w:tcPr>
            <w:tcW w:w="1642" w:type="dxa"/>
            <w:tcBorders>
              <w:top w:val="single" w:sz="4" w:space="0" w:color="000000"/>
              <w:bottom w:val="single" w:sz="4" w:space="0" w:color="000000"/>
            </w:tcBorders>
          </w:tcPr>
          <w:p w14:paraId="074F8CF8" w14:textId="77777777" w:rsidR="005E3024" w:rsidRDefault="005E3024" w:rsidP="00B34C17">
            <w:pPr>
              <w:jc w:val="both"/>
              <w:cnfStyle w:val="100000000000" w:firstRow="1" w:lastRow="0" w:firstColumn="0" w:lastColumn="0" w:oddVBand="0" w:evenVBand="0" w:oddHBand="0" w:evenHBand="0" w:firstRowFirstColumn="0" w:firstRowLastColumn="0" w:lastRowFirstColumn="0" w:lastRowLastColumn="0"/>
              <w:rPr>
                <w:sz w:val="22"/>
                <w:szCs w:val="22"/>
              </w:rPr>
            </w:pPr>
            <w:r>
              <w:rPr>
                <w:b w:val="0"/>
                <w:bCs w:val="0"/>
                <w:sz w:val="22"/>
                <w:szCs w:val="22"/>
              </w:rPr>
              <w:t>Hydroxyl Radical (%)</w:t>
            </w:r>
          </w:p>
        </w:tc>
        <w:tc>
          <w:tcPr>
            <w:tcW w:w="1772" w:type="dxa"/>
            <w:tcBorders>
              <w:top w:val="single" w:sz="4" w:space="0" w:color="000000"/>
              <w:bottom w:val="single" w:sz="4" w:space="0" w:color="000000"/>
            </w:tcBorders>
          </w:tcPr>
          <w:p w14:paraId="11DFB959" w14:textId="77777777" w:rsidR="005E3024" w:rsidRDefault="005E3024" w:rsidP="00B34C17">
            <w:pPr>
              <w:jc w:val="both"/>
              <w:cnfStyle w:val="100000000000" w:firstRow="1" w:lastRow="0" w:firstColumn="0" w:lastColumn="0" w:oddVBand="0" w:evenVBand="0" w:oddHBand="0" w:evenHBand="0" w:firstRowFirstColumn="0" w:firstRowLastColumn="0" w:lastRowFirstColumn="0" w:lastRowLastColumn="0"/>
              <w:rPr>
                <w:sz w:val="22"/>
                <w:szCs w:val="22"/>
              </w:rPr>
            </w:pPr>
            <w:r>
              <w:rPr>
                <w:b w:val="0"/>
                <w:bCs w:val="0"/>
                <w:sz w:val="22"/>
                <w:szCs w:val="22"/>
              </w:rPr>
              <w:t>Nitric Oxide Radical (%)</w:t>
            </w:r>
          </w:p>
        </w:tc>
        <w:tc>
          <w:tcPr>
            <w:tcW w:w="1772" w:type="dxa"/>
            <w:tcBorders>
              <w:top w:val="single" w:sz="4" w:space="0" w:color="000000"/>
              <w:bottom w:val="single" w:sz="4" w:space="0" w:color="000000"/>
            </w:tcBorders>
          </w:tcPr>
          <w:p w14:paraId="4ED64819" w14:textId="77777777" w:rsidR="005E3024" w:rsidRDefault="005E3024" w:rsidP="00B34C17">
            <w:pPr>
              <w:jc w:val="both"/>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DPPH (%)</w:t>
            </w:r>
          </w:p>
        </w:tc>
        <w:tc>
          <w:tcPr>
            <w:tcW w:w="1772" w:type="dxa"/>
            <w:tcBorders>
              <w:top w:val="single" w:sz="4" w:space="0" w:color="000000"/>
              <w:bottom w:val="single" w:sz="4" w:space="0" w:color="000000"/>
            </w:tcBorders>
          </w:tcPr>
          <w:p w14:paraId="0D98CCD7" w14:textId="77777777" w:rsidR="005E3024" w:rsidRDefault="005E3024" w:rsidP="00B34C17">
            <w:pPr>
              <w:jc w:val="both"/>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Lipid Peroxidation (%)</w:t>
            </w:r>
          </w:p>
        </w:tc>
      </w:tr>
      <w:tr w:rsidR="005E3024" w14:paraId="7BBD4709" w14:textId="77777777" w:rsidTr="005E3024">
        <w:trPr>
          <w:trHeight w:val="355"/>
        </w:trPr>
        <w:tc>
          <w:tcPr>
            <w:cnfStyle w:val="001000000000" w:firstRow="0" w:lastRow="0" w:firstColumn="1" w:lastColumn="0" w:oddVBand="0" w:evenVBand="0" w:oddHBand="0" w:evenHBand="0" w:firstRowFirstColumn="0" w:firstRowLastColumn="0" w:lastRowFirstColumn="0" w:lastRowLastColumn="0"/>
            <w:tcW w:w="1790" w:type="dxa"/>
            <w:tcBorders>
              <w:top w:val="single" w:sz="4" w:space="0" w:color="000000"/>
            </w:tcBorders>
          </w:tcPr>
          <w:p w14:paraId="530206C9" w14:textId="77777777" w:rsidR="005E3024" w:rsidRDefault="005E3024" w:rsidP="00B34C17">
            <w:pPr>
              <w:jc w:val="both"/>
              <w:rPr>
                <w:sz w:val="22"/>
                <w:szCs w:val="22"/>
              </w:rPr>
            </w:pPr>
            <w:r>
              <w:rPr>
                <w:sz w:val="22"/>
                <w:szCs w:val="22"/>
              </w:rPr>
              <w:t>20</w:t>
            </w:r>
          </w:p>
        </w:tc>
        <w:tc>
          <w:tcPr>
            <w:tcW w:w="1642" w:type="dxa"/>
            <w:tcBorders>
              <w:top w:val="single" w:sz="4" w:space="0" w:color="000000"/>
            </w:tcBorders>
          </w:tcPr>
          <w:p w14:paraId="0FCB3074" w14:textId="77777777" w:rsidR="005E3024" w:rsidRDefault="005E3024"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26.40 ± 2.14</w:t>
            </w:r>
          </w:p>
        </w:tc>
        <w:tc>
          <w:tcPr>
            <w:tcW w:w="1772" w:type="dxa"/>
            <w:tcBorders>
              <w:top w:val="single" w:sz="4" w:space="0" w:color="000000"/>
            </w:tcBorders>
          </w:tcPr>
          <w:p w14:paraId="010E870B" w14:textId="77777777" w:rsidR="005E3024" w:rsidRDefault="005E3024"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38.60 ± 1.15</w:t>
            </w:r>
          </w:p>
        </w:tc>
        <w:tc>
          <w:tcPr>
            <w:tcW w:w="1772" w:type="dxa"/>
            <w:tcBorders>
              <w:top w:val="single" w:sz="4" w:space="0" w:color="000000"/>
            </w:tcBorders>
          </w:tcPr>
          <w:p w14:paraId="255F6D9D" w14:textId="77777777" w:rsidR="005E3024" w:rsidRDefault="005E3024"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45.20 ± 1.42</w:t>
            </w:r>
          </w:p>
        </w:tc>
        <w:tc>
          <w:tcPr>
            <w:tcW w:w="1772" w:type="dxa"/>
            <w:tcBorders>
              <w:top w:val="single" w:sz="4" w:space="0" w:color="000000"/>
            </w:tcBorders>
          </w:tcPr>
          <w:p w14:paraId="58FCF7DA" w14:textId="77777777" w:rsidR="005E3024" w:rsidRDefault="005E3024"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56.80 ± 1.90</w:t>
            </w:r>
          </w:p>
        </w:tc>
      </w:tr>
      <w:tr w:rsidR="005E3024" w14:paraId="781B4B68" w14:textId="77777777" w:rsidTr="005E3024">
        <w:trPr>
          <w:trHeight w:val="375"/>
        </w:trPr>
        <w:tc>
          <w:tcPr>
            <w:cnfStyle w:val="001000000000" w:firstRow="0" w:lastRow="0" w:firstColumn="1" w:lastColumn="0" w:oddVBand="0" w:evenVBand="0" w:oddHBand="0" w:evenHBand="0" w:firstRowFirstColumn="0" w:firstRowLastColumn="0" w:lastRowFirstColumn="0" w:lastRowLastColumn="0"/>
            <w:tcW w:w="1790" w:type="dxa"/>
          </w:tcPr>
          <w:p w14:paraId="275B2EE4" w14:textId="77777777" w:rsidR="005E3024" w:rsidRDefault="005E3024" w:rsidP="00B34C17">
            <w:pPr>
              <w:jc w:val="both"/>
              <w:rPr>
                <w:sz w:val="22"/>
                <w:szCs w:val="22"/>
              </w:rPr>
            </w:pPr>
            <w:r>
              <w:rPr>
                <w:sz w:val="22"/>
                <w:szCs w:val="22"/>
              </w:rPr>
              <w:t>40</w:t>
            </w:r>
          </w:p>
        </w:tc>
        <w:tc>
          <w:tcPr>
            <w:tcW w:w="1642" w:type="dxa"/>
          </w:tcPr>
          <w:p w14:paraId="702295CD" w14:textId="77777777" w:rsidR="005E3024" w:rsidRDefault="005E3024"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37.00 ± 0.90</w:t>
            </w:r>
          </w:p>
        </w:tc>
        <w:tc>
          <w:tcPr>
            <w:tcW w:w="1772" w:type="dxa"/>
          </w:tcPr>
          <w:p w14:paraId="79D9C36B" w14:textId="77777777" w:rsidR="005E3024" w:rsidRDefault="005E3024"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46.50 ± 2.60</w:t>
            </w:r>
          </w:p>
        </w:tc>
        <w:tc>
          <w:tcPr>
            <w:tcW w:w="1772" w:type="dxa"/>
          </w:tcPr>
          <w:p w14:paraId="322ADA15" w14:textId="77777777" w:rsidR="005E3024" w:rsidRDefault="005E3024"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48.90 ± 0.80</w:t>
            </w:r>
          </w:p>
        </w:tc>
        <w:tc>
          <w:tcPr>
            <w:tcW w:w="1772" w:type="dxa"/>
          </w:tcPr>
          <w:p w14:paraId="30FD14FF" w14:textId="77777777" w:rsidR="005E3024" w:rsidRDefault="005E3024"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61.40 ± 0.78</w:t>
            </w:r>
          </w:p>
        </w:tc>
      </w:tr>
      <w:tr w:rsidR="005E3024" w14:paraId="10556CD8" w14:textId="77777777" w:rsidTr="005E3024">
        <w:trPr>
          <w:trHeight w:val="355"/>
        </w:trPr>
        <w:tc>
          <w:tcPr>
            <w:cnfStyle w:val="001000000000" w:firstRow="0" w:lastRow="0" w:firstColumn="1" w:lastColumn="0" w:oddVBand="0" w:evenVBand="0" w:oddHBand="0" w:evenHBand="0" w:firstRowFirstColumn="0" w:firstRowLastColumn="0" w:lastRowFirstColumn="0" w:lastRowLastColumn="0"/>
            <w:tcW w:w="1790" w:type="dxa"/>
          </w:tcPr>
          <w:p w14:paraId="4A28CDA4" w14:textId="77777777" w:rsidR="005E3024" w:rsidRDefault="005E3024" w:rsidP="00B34C17">
            <w:pPr>
              <w:jc w:val="both"/>
              <w:rPr>
                <w:sz w:val="22"/>
                <w:szCs w:val="22"/>
              </w:rPr>
            </w:pPr>
            <w:r>
              <w:rPr>
                <w:sz w:val="22"/>
                <w:szCs w:val="22"/>
              </w:rPr>
              <w:t>80</w:t>
            </w:r>
          </w:p>
        </w:tc>
        <w:tc>
          <w:tcPr>
            <w:tcW w:w="1642" w:type="dxa"/>
          </w:tcPr>
          <w:p w14:paraId="1A65E5F8" w14:textId="77777777" w:rsidR="005E3024" w:rsidRDefault="005E3024"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48.20 ± 3.40</w:t>
            </w:r>
          </w:p>
        </w:tc>
        <w:tc>
          <w:tcPr>
            <w:tcW w:w="1772" w:type="dxa"/>
          </w:tcPr>
          <w:p w14:paraId="52342951" w14:textId="77777777" w:rsidR="005E3024" w:rsidRDefault="005E3024"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51.40 ± 1.70</w:t>
            </w:r>
          </w:p>
        </w:tc>
        <w:tc>
          <w:tcPr>
            <w:tcW w:w="1772" w:type="dxa"/>
          </w:tcPr>
          <w:p w14:paraId="3621FA8B" w14:textId="77777777" w:rsidR="005E3024" w:rsidRDefault="005E3024"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62.10 ± 1.20</w:t>
            </w:r>
          </w:p>
        </w:tc>
        <w:tc>
          <w:tcPr>
            <w:tcW w:w="1772" w:type="dxa"/>
          </w:tcPr>
          <w:p w14:paraId="50957279" w14:textId="77777777" w:rsidR="005E3024" w:rsidRDefault="005E3024"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75.00 ± 1.26</w:t>
            </w:r>
          </w:p>
        </w:tc>
      </w:tr>
      <w:tr w:rsidR="005E3024" w14:paraId="4B7A47B0" w14:textId="77777777" w:rsidTr="005E3024">
        <w:trPr>
          <w:trHeight w:val="355"/>
        </w:trPr>
        <w:tc>
          <w:tcPr>
            <w:cnfStyle w:val="001000000000" w:firstRow="0" w:lastRow="0" w:firstColumn="1" w:lastColumn="0" w:oddVBand="0" w:evenVBand="0" w:oddHBand="0" w:evenHBand="0" w:firstRowFirstColumn="0" w:firstRowLastColumn="0" w:lastRowFirstColumn="0" w:lastRowLastColumn="0"/>
            <w:tcW w:w="1790" w:type="dxa"/>
          </w:tcPr>
          <w:p w14:paraId="383D48A0" w14:textId="77777777" w:rsidR="005E3024" w:rsidRDefault="005E3024" w:rsidP="00B34C17">
            <w:pPr>
              <w:jc w:val="both"/>
              <w:rPr>
                <w:sz w:val="22"/>
                <w:szCs w:val="22"/>
              </w:rPr>
            </w:pPr>
            <w:r>
              <w:rPr>
                <w:sz w:val="22"/>
                <w:szCs w:val="22"/>
              </w:rPr>
              <w:t>160</w:t>
            </w:r>
          </w:p>
        </w:tc>
        <w:tc>
          <w:tcPr>
            <w:tcW w:w="1642" w:type="dxa"/>
          </w:tcPr>
          <w:p w14:paraId="2217F7C5" w14:textId="77777777" w:rsidR="005E3024" w:rsidRDefault="005E3024"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57.40 ± 2.30</w:t>
            </w:r>
          </w:p>
        </w:tc>
        <w:tc>
          <w:tcPr>
            <w:tcW w:w="1772" w:type="dxa"/>
          </w:tcPr>
          <w:p w14:paraId="0C890BA6" w14:textId="77777777" w:rsidR="005E3024" w:rsidRDefault="005E3024"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67.80 ± 0.85</w:t>
            </w:r>
          </w:p>
        </w:tc>
        <w:tc>
          <w:tcPr>
            <w:tcW w:w="1772" w:type="dxa"/>
          </w:tcPr>
          <w:p w14:paraId="009092EF" w14:textId="77777777" w:rsidR="005E3024" w:rsidRDefault="005E3024"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74.20 ± 2.05</w:t>
            </w:r>
          </w:p>
        </w:tc>
        <w:tc>
          <w:tcPr>
            <w:tcW w:w="1772" w:type="dxa"/>
          </w:tcPr>
          <w:p w14:paraId="45619412" w14:textId="77777777" w:rsidR="005E3024" w:rsidRDefault="005E3024"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82.50 ± 3.05</w:t>
            </w:r>
          </w:p>
        </w:tc>
      </w:tr>
      <w:tr w:rsidR="005E3024" w14:paraId="7A2F9C7C" w14:textId="77777777" w:rsidTr="005E3024">
        <w:trPr>
          <w:trHeight w:val="335"/>
        </w:trPr>
        <w:tc>
          <w:tcPr>
            <w:cnfStyle w:val="001000000000" w:firstRow="0" w:lastRow="0" w:firstColumn="1" w:lastColumn="0" w:oddVBand="0" w:evenVBand="0" w:oddHBand="0" w:evenHBand="0" w:firstRowFirstColumn="0" w:firstRowLastColumn="0" w:lastRowFirstColumn="0" w:lastRowLastColumn="0"/>
            <w:tcW w:w="1790" w:type="dxa"/>
          </w:tcPr>
          <w:p w14:paraId="2D1D0561" w14:textId="77777777" w:rsidR="005E3024" w:rsidRDefault="005E3024" w:rsidP="00B34C17">
            <w:pPr>
              <w:jc w:val="both"/>
              <w:rPr>
                <w:sz w:val="22"/>
                <w:szCs w:val="22"/>
              </w:rPr>
            </w:pPr>
            <w:r>
              <w:rPr>
                <w:sz w:val="22"/>
                <w:szCs w:val="22"/>
              </w:rPr>
              <w:t>320</w:t>
            </w:r>
          </w:p>
        </w:tc>
        <w:tc>
          <w:tcPr>
            <w:tcW w:w="1642" w:type="dxa"/>
          </w:tcPr>
          <w:p w14:paraId="4D6416EE" w14:textId="77777777" w:rsidR="005E3024" w:rsidRDefault="005E3024"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68.50 ± 3.10</w:t>
            </w:r>
          </w:p>
        </w:tc>
        <w:tc>
          <w:tcPr>
            <w:tcW w:w="1772" w:type="dxa"/>
          </w:tcPr>
          <w:p w14:paraId="13D08740" w14:textId="77777777" w:rsidR="005E3024" w:rsidRDefault="005E3024"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79.60 ± 0.90</w:t>
            </w:r>
          </w:p>
        </w:tc>
        <w:tc>
          <w:tcPr>
            <w:tcW w:w="1772" w:type="dxa"/>
          </w:tcPr>
          <w:p w14:paraId="41E14D1C" w14:textId="77777777" w:rsidR="005E3024" w:rsidRDefault="005E3024"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79.10 ± 3.40</w:t>
            </w:r>
          </w:p>
        </w:tc>
        <w:tc>
          <w:tcPr>
            <w:tcW w:w="1772" w:type="dxa"/>
          </w:tcPr>
          <w:p w14:paraId="7B58011D" w14:textId="77777777" w:rsidR="005E3024" w:rsidRDefault="005E3024"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86.90 ± 2.60</w:t>
            </w:r>
          </w:p>
        </w:tc>
      </w:tr>
    </w:tbl>
    <w:p w14:paraId="0F933111" w14:textId="77777777" w:rsidR="00463559" w:rsidRDefault="00463559" w:rsidP="00B34C17">
      <w:pPr>
        <w:pBdr>
          <w:top w:val="nil"/>
          <w:left w:val="nil"/>
          <w:bottom w:val="nil"/>
          <w:right w:val="nil"/>
          <w:between w:val="nil"/>
        </w:pBdr>
        <w:spacing w:line="240" w:lineRule="auto"/>
        <w:jc w:val="both"/>
        <w:rPr>
          <w:color w:val="000000"/>
          <w:sz w:val="22"/>
          <w:szCs w:val="22"/>
        </w:rPr>
      </w:pPr>
    </w:p>
    <w:p w14:paraId="1CCE21EF" w14:textId="77777777" w:rsidR="00463559" w:rsidRPr="00263D28" w:rsidRDefault="005E3024" w:rsidP="00B34C17">
      <w:pPr>
        <w:jc w:val="both"/>
        <w:rPr>
          <w:b/>
          <w:iCs/>
          <w:sz w:val="22"/>
          <w:szCs w:val="22"/>
        </w:rPr>
      </w:pPr>
      <w:r w:rsidRPr="00263D28">
        <w:rPr>
          <w:b/>
          <w:iCs/>
          <w:sz w:val="22"/>
          <w:szCs w:val="22"/>
        </w:rPr>
        <w:t>Table 2</w:t>
      </w:r>
      <w:r w:rsidR="0003691C" w:rsidRPr="00263D28">
        <w:rPr>
          <w:b/>
          <w:iCs/>
          <w:sz w:val="22"/>
          <w:szCs w:val="22"/>
        </w:rPr>
        <w:t>: IC₅₀ of N. laevis Scavenging Activity &amp; Control (Ascorbic Acid)</w:t>
      </w:r>
    </w:p>
    <w:tbl>
      <w:tblPr>
        <w:tblStyle w:val="a1"/>
        <w:tblW w:w="6245" w:type="dxa"/>
        <w:tblInd w:w="-108" w:type="dxa"/>
        <w:tblBorders>
          <w:top w:val="single" w:sz="4" w:space="0" w:color="000000"/>
          <w:left w:val="nil"/>
          <w:bottom w:val="single" w:sz="4" w:space="0" w:color="000000"/>
          <w:right w:val="nil"/>
          <w:insideH w:val="nil"/>
          <w:insideV w:val="nil"/>
        </w:tblBorders>
        <w:tblLayout w:type="fixed"/>
        <w:tblLook w:val="04A0" w:firstRow="1" w:lastRow="0" w:firstColumn="1" w:lastColumn="0" w:noHBand="0" w:noVBand="1"/>
      </w:tblPr>
      <w:tblGrid>
        <w:gridCol w:w="2264"/>
        <w:gridCol w:w="2020"/>
        <w:gridCol w:w="1961"/>
      </w:tblGrid>
      <w:tr w:rsidR="00463559" w14:paraId="7672C0D4" w14:textId="77777777" w:rsidTr="00463559">
        <w:trPr>
          <w:cnfStyle w:val="100000000000" w:firstRow="1" w:lastRow="0" w:firstColumn="0" w:lastColumn="0" w:oddVBand="0" w:evenVBand="0" w:oddHBand="0"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2264" w:type="dxa"/>
            <w:tcBorders>
              <w:top w:val="single" w:sz="4" w:space="0" w:color="000000"/>
              <w:bottom w:val="single" w:sz="4" w:space="0" w:color="000000"/>
            </w:tcBorders>
          </w:tcPr>
          <w:p w14:paraId="2AF88F9D" w14:textId="77777777" w:rsidR="00463559" w:rsidRDefault="0003691C" w:rsidP="00B34C17">
            <w:pPr>
              <w:jc w:val="both"/>
              <w:rPr>
                <w:sz w:val="22"/>
                <w:szCs w:val="22"/>
              </w:rPr>
            </w:pPr>
            <w:r>
              <w:rPr>
                <w:sz w:val="22"/>
                <w:szCs w:val="22"/>
              </w:rPr>
              <w:t>Assay</w:t>
            </w:r>
          </w:p>
        </w:tc>
        <w:tc>
          <w:tcPr>
            <w:tcW w:w="2020" w:type="dxa"/>
            <w:tcBorders>
              <w:top w:val="single" w:sz="4" w:space="0" w:color="000000"/>
              <w:bottom w:val="single" w:sz="4" w:space="0" w:color="000000"/>
            </w:tcBorders>
          </w:tcPr>
          <w:p w14:paraId="1CAA3FF2" w14:textId="77777777" w:rsidR="00463559" w:rsidRDefault="0003691C" w:rsidP="00B34C17">
            <w:pPr>
              <w:jc w:val="both"/>
              <w:cnfStyle w:val="100000000000" w:firstRow="1" w:lastRow="0" w:firstColumn="0" w:lastColumn="0" w:oddVBand="0" w:evenVBand="0" w:oddHBand="0" w:evenHBand="0" w:firstRowFirstColumn="0" w:firstRowLastColumn="0" w:lastRowFirstColumn="0" w:lastRowLastColumn="0"/>
              <w:rPr>
                <w:sz w:val="22"/>
                <w:szCs w:val="22"/>
              </w:rPr>
            </w:pPr>
            <w:r>
              <w:rPr>
                <w:i/>
                <w:iCs/>
                <w:sz w:val="22"/>
                <w:szCs w:val="22"/>
              </w:rPr>
              <w:t>N. laevis</w:t>
            </w:r>
            <w:r>
              <w:rPr>
                <w:sz w:val="22"/>
                <w:szCs w:val="22"/>
              </w:rPr>
              <w:t xml:space="preserve"> (µg/mL)</w:t>
            </w:r>
          </w:p>
        </w:tc>
        <w:tc>
          <w:tcPr>
            <w:tcW w:w="1961" w:type="dxa"/>
            <w:tcBorders>
              <w:top w:val="single" w:sz="4" w:space="0" w:color="000000"/>
              <w:bottom w:val="single" w:sz="4" w:space="0" w:color="000000"/>
            </w:tcBorders>
          </w:tcPr>
          <w:p w14:paraId="4A63EC72" w14:textId="77777777" w:rsidR="00463559" w:rsidRDefault="0003691C" w:rsidP="00B34C17">
            <w:pPr>
              <w:jc w:val="both"/>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Control (µg/mL)</w:t>
            </w:r>
          </w:p>
        </w:tc>
      </w:tr>
      <w:tr w:rsidR="00463559" w14:paraId="68F863D0" w14:textId="77777777" w:rsidTr="00463559">
        <w:trPr>
          <w:trHeight w:val="452"/>
        </w:trPr>
        <w:tc>
          <w:tcPr>
            <w:cnfStyle w:val="001000000000" w:firstRow="0" w:lastRow="0" w:firstColumn="1" w:lastColumn="0" w:oddVBand="0" w:evenVBand="0" w:oddHBand="0" w:evenHBand="0" w:firstRowFirstColumn="0" w:firstRowLastColumn="0" w:lastRowFirstColumn="0" w:lastRowLastColumn="0"/>
            <w:tcW w:w="2264" w:type="dxa"/>
            <w:tcBorders>
              <w:top w:val="single" w:sz="4" w:space="0" w:color="000000"/>
            </w:tcBorders>
          </w:tcPr>
          <w:p w14:paraId="2B5C890A" w14:textId="77777777" w:rsidR="00463559" w:rsidRDefault="0003691C" w:rsidP="00B34C17">
            <w:pPr>
              <w:jc w:val="both"/>
              <w:rPr>
                <w:sz w:val="22"/>
                <w:szCs w:val="22"/>
              </w:rPr>
            </w:pPr>
            <w:r>
              <w:rPr>
                <w:b w:val="0"/>
                <w:bCs w:val="0"/>
                <w:sz w:val="22"/>
                <w:szCs w:val="22"/>
              </w:rPr>
              <w:t>Hydroxyl Radical</w:t>
            </w:r>
          </w:p>
        </w:tc>
        <w:tc>
          <w:tcPr>
            <w:tcW w:w="2020" w:type="dxa"/>
            <w:tcBorders>
              <w:top w:val="single" w:sz="4" w:space="0" w:color="000000"/>
            </w:tcBorders>
          </w:tcPr>
          <w:p w14:paraId="18022093" w14:textId="77777777" w:rsidR="00463559" w:rsidRDefault="0003691C"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382.90 ± 4.20</w:t>
            </w:r>
          </w:p>
        </w:tc>
        <w:tc>
          <w:tcPr>
            <w:tcW w:w="1961" w:type="dxa"/>
            <w:tcBorders>
              <w:top w:val="single" w:sz="4" w:space="0" w:color="000000"/>
            </w:tcBorders>
          </w:tcPr>
          <w:p w14:paraId="24A85602" w14:textId="77777777" w:rsidR="00463559" w:rsidRDefault="0003691C"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124.20 ± 2.05</w:t>
            </w:r>
          </w:p>
        </w:tc>
      </w:tr>
      <w:tr w:rsidR="00463559" w14:paraId="73EC5662" w14:textId="77777777" w:rsidTr="00463559">
        <w:trPr>
          <w:trHeight w:val="429"/>
        </w:trPr>
        <w:tc>
          <w:tcPr>
            <w:cnfStyle w:val="001000000000" w:firstRow="0" w:lastRow="0" w:firstColumn="1" w:lastColumn="0" w:oddVBand="0" w:evenVBand="0" w:oddHBand="0" w:evenHBand="0" w:firstRowFirstColumn="0" w:firstRowLastColumn="0" w:lastRowFirstColumn="0" w:lastRowLastColumn="0"/>
            <w:tcW w:w="2264" w:type="dxa"/>
          </w:tcPr>
          <w:p w14:paraId="1C1A21A5" w14:textId="77777777" w:rsidR="00463559" w:rsidRDefault="0003691C" w:rsidP="00B34C17">
            <w:pPr>
              <w:jc w:val="both"/>
              <w:rPr>
                <w:sz w:val="22"/>
                <w:szCs w:val="22"/>
              </w:rPr>
            </w:pPr>
            <w:r>
              <w:rPr>
                <w:b w:val="0"/>
                <w:bCs w:val="0"/>
                <w:sz w:val="22"/>
                <w:szCs w:val="22"/>
              </w:rPr>
              <w:t>Nitric Oxide Radical</w:t>
            </w:r>
          </w:p>
        </w:tc>
        <w:tc>
          <w:tcPr>
            <w:tcW w:w="2020" w:type="dxa"/>
          </w:tcPr>
          <w:p w14:paraId="31896CD1" w14:textId="77777777" w:rsidR="00463559" w:rsidRDefault="0003691C"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102.50 ± 3.10</w:t>
            </w:r>
          </w:p>
        </w:tc>
        <w:tc>
          <w:tcPr>
            <w:tcW w:w="1961" w:type="dxa"/>
          </w:tcPr>
          <w:p w14:paraId="00205869" w14:textId="77777777" w:rsidR="00463559" w:rsidRDefault="0003691C"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86.10 ± 1.80</w:t>
            </w:r>
          </w:p>
        </w:tc>
      </w:tr>
      <w:tr w:rsidR="00463559" w14:paraId="4DB3CCA5" w14:textId="77777777" w:rsidTr="00463559">
        <w:trPr>
          <w:trHeight w:val="452"/>
        </w:trPr>
        <w:tc>
          <w:tcPr>
            <w:cnfStyle w:val="001000000000" w:firstRow="0" w:lastRow="0" w:firstColumn="1" w:lastColumn="0" w:oddVBand="0" w:evenVBand="0" w:oddHBand="0" w:evenHBand="0" w:firstRowFirstColumn="0" w:firstRowLastColumn="0" w:lastRowFirstColumn="0" w:lastRowLastColumn="0"/>
            <w:tcW w:w="2264" w:type="dxa"/>
          </w:tcPr>
          <w:p w14:paraId="4CBAEE2E" w14:textId="77777777" w:rsidR="00463559" w:rsidRDefault="0003691C" w:rsidP="00B34C17">
            <w:pPr>
              <w:jc w:val="both"/>
              <w:rPr>
                <w:sz w:val="22"/>
                <w:szCs w:val="22"/>
              </w:rPr>
            </w:pPr>
            <w:r>
              <w:rPr>
                <w:b w:val="0"/>
                <w:bCs w:val="0"/>
                <w:sz w:val="22"/>
                <w:szCs w:val="22"/>
              </w:rPr>
              <w:t>DPPH</w:t>
            </w:r>
          </w:p>
        </w:tc>
        <w:tc>
          <w:tcPr>
            <w:tcW w:w="2020" w:type="dxa"/>
          </w:tcPr>
          <w:p w14:paraId="3A503740" w14:textId="77777777" w:rsidR="00463559" w:rsidRDefault="0003691C"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92.70 ± 1.50</w:t>
            </w:r>
          </w:p>
        </w:tc>
        <w:tc>
          <w:tcPr>
            <w:tcW w:w="1961" w:type="dxa"/>
          </w:tcPr>
          <w:p w14:paraId="3264523D" w14:textId="77777777" w:rsidR="00463559" w:rsidRDefault="0003691C"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63.40 ± 2.80</w:t>
            </w:r>
          </w:p>
        </w:tc>
      </w:tr>
      <w:tr w:rsidR="00463559" w14:paraId="0086BFBB" w14:textId="77777777" w:rsidTr="00463559">
        <w:trPr>
          <w:trHeight w:val="429"/>
        </w:trPr>
        <w:tc>
          <w:tcPr>
            <w:cnfStyle w:val="001000000000" w:firstRow="0" w:lastRow="0" w:firstColumn="1" w:lastColumn="0" w:oddVBand="0" w:evenVBand="0" w:oddHBand="0" w:evenHBand="0" w:firstRowFirstColumn="0" w:firstRowLastColumn="0" w:lastRowFirstColumn="0" w:lastRowLastColumn="0"/>
            <w:tcW w:w="2264" w:type="dxa"/>
          </w:tcPr>
          <w:p w14:paraId="05BEB1A8" w14:textId="77777777" w:rsidR="00463559" w:rsidRDefault="0003691C" w:rsidP="00B34C17">
            <w:pPr>
              <w:jc w:val="both"/>
              <w:rPr>
                <w:sz w:val="22"/>
                <w:szCs w:val="22"/>
              </w:rPr>
            </w:pPr>
            <w:r>
              <w:rPr>
                <w:b w:val="0"/>
                <w:bCs w:val="0"/>
                <w:sz w:val="22"/>
                <w:szCs w:val="22"/>
              </w:rPr>
              <w:t>Lipid Peroxidation</w:t>
            </w:r>
          </w:p>
        </w:tc>
        <w:tc>
          <w:tcPr>
            <w:tcW w:w="2020" w:type="dxa"/>
          </w:tcPr>
          <w:p w14:paraId="7FB23A17" w14:textId="77777777" w:rsidR="00463559" w:rsidRDefault="0003691C"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196.10 ± 4.10</w:t>
            </w:r>
          </w:p>
        </w:tc>
        <w:tc>
          <w:tcPr>
            <w:tcW w:w="1961" w:type="dxa"/>
          </w:tcPr>
          <w:p w14:paraId="736B902B" w14:textId="77777777" w:rsidR="00463559" w:rsidRDefault="0003691C"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112.60 ± 1.90</w:t>
            </w:r>
          </w:p>
        </w:tc>
      </w:tr>
    </w:tbl>
    <w:p w14:paraId="4C761105" w14:textId="77777777" w:rsidR="00463559" w:rsidRDefault="00463559" w:rsidP="00B34C17">
      <w:pPr>
        <w:jc w:val="both"/>
        <w:rPr>
          <w:sz w:val="22"/>
          <w:szCs w:val="22"/>
        </w:rPr>
      </w:pPr>
    </w:p>
    <w:p w14:paraId="6877CD79" w14:textId="77777777" w:rsidR="00463559" w:rsidRPr="00263D28" w:rsidRDefault="0003691C" w:rsidP="00B34C17">
      <w:pPr>
        <w:jc w:val="both"/>
        <w:rPr>
          <w:b/>
          <w:iCs/>
          <w:sz w:val="22"/>
          <w:szCs w:val="22"/>
        </w:rPr>
      </w:pPr>
      <w:r w:rsidRPr="00263D28">
        <w:rPr>
          <w:b/>
          <w:iCs/>
          <w:sz w:val="22"/>
          <w:szCs w:val="22"/>
        </w:rPr>
        <w:t>Antimicrobial Susceptibility Test</w:t>
      </w:r>
    </w:p>
    <w:p w14:paraId="57128C66" w14:textId="77777777" w:rsidR="00463559" w:rsidRDefault="0003691C" w:rsidP="00B34C17">
      <w:pPr>
        <w:spacing w:line="360" w:lineRule="auto"/>
        <w:jc w:val="both"/>
        <w:rPr>
          <w:sz w:val="22"/>
          <w:szCs w:val="22"/>
        </w:rPr>
      </w:pPr>
      <w:r>
        <w:rPr>
          <w:sz w:val="22"/>
          <w:szCs w:val="22"/>
        </w:rPr>
        <w:t xml:space="preserve">The alkaloid fraction showed dose-dependent antibacterial activity. </w:t>
      </w:r>
      <w:r>
        <w:rPr>
          <w:i/>
          <w:iCs/>
          <w:sz w:val="22"/>
          <w:szCs w:val="22"/>
        </w:rPr>
        <w:t>S. aureus</w:t>
      </w:r>
      <w:r>
        <w:rPr>
          <w:sz w:val="22"/>
          <w:szCs w:val="22"/>
        </w:rPr>
        <w:t xml:space="preserve"> was most susceptible, with a maximum zone of 14.90 mm at</w:t>
      </w:r>
      <w:r w:rsidR="003767CD">
        <w:rPr>
          <w:sz w:val="22"/>
          <w:szCs w:val="22"/>
        </w:rPr>
        <w:t xml:space="preserve"> 400 mg/mL (displayed in table 3</w:t>
      </w:r>
      <w:r>
        <w:rPr>
          <w:sz w:val="22"/>
          <w:szCs w:val="22"/>
        </w:rPr>
        <w:t>). Gram-negative bacteria exhibited lower sensitivity, reflecting the general resistance of Gram-negative organisms to plant alkaloids due to their outer membrane barrier and standard antibiotics displayed larger zones.</w:t>
      </w:r>
    </w:p>
    <w:p w14:paraId="7DA0FF0A" w14:textId="77777777" w:rsidR="00463559" w:rsidRPr="00263D28" w:rsidRDefault="003767CD" w:rsidP="00B34C17">
      <w:pPr>
        <w:jc w:val="both"/>
        <w:rPr>
          <w:b/>
          <w:iCs/>
          <w:sz w:val="22"/>
          <w:szCs w:val="22"/>
        </w:rPr>
      </w:pPr>
      <w:r w:rsidRPr="00263D28">
        <w:rPr>
          <w:b/>
          <w:iCs/>
          <w:sz w:val="22"/>
          <w:szCs w:val="22"/>
        </w:rPr>
        <w:t>Table 3</w:t>
      </w:r>
      <w:r w:rsidR="0003691C" w:rsidRPr="00263D28">
        <w:rPr>
          <w:b/>
          <w:iCs/>
          <w:sz w:val="22"/>
          <w:szCs w:val="22"/>
        </w:rPr>
        <w:t>: Zone of Inhibition (mm)</w:t>
      </w:r>
      <w:r w:rsidR="00263D28">
        <w:rPr>
          <w:b/>
          <w:iCs/>
          <w:sz w:val="22"/>
          <w:szCs w:val="22"/>
        </w:rPr>
        <w:t xml:space="preserve"> against selected bacterial isolates </w:t>
      </w:r>
    </w:p>
    <w:tbl>
      <w:tblPr>
        <w:tblStyle w:val="a2"/>
        <w:tblW w:w="8680" w:type="dxa"/>
        <w:tblInd w:w="-108" w:type="dxa"/>
        <w:tblBorders>
          <w:top w:val="single" w:sz="4" w:space="0" w:color="000000"/>
          <w:left w:val="nil"/>
          <w:bottom w:val="single" w:sz="4" w:space="0" w:color="000000"/>
          <w:right w:val="nil"/>
          <w:insideH w:val="nil"/>
          <w:insideV w:val="nil"/>
        </w:tblBorders>
        <w:tblLayout w:type="fixed"/>
        <w:tblLook w:val="04A0" w:firstRow="1" w:lastRow="0" w:firstColumn="1" w:lastColumn="0" w:noHBand="0" w:noVBand="1"/>
      </w:tblPr>
      <w:tblGrid>
        <w:gridCol w:w="2642"/>
        <w:gridCol w:w="1476"/>
        <w:gridCol w:w="1476"/>
        <w:gridCol w:w="1610"/>
        <w:gridCol w:w="1476"/>
      </w:tblGrid>
      <w:tr w:rsidR="00463559" w14:paraId="1ECB5CCA" w14:textId="77777777" w:rsidTr="00463559">
        <w:trPr>
          <w:cnfStyle w:val="100000000000" w:firstRow="1" w:lastRow="0" w:firstColumn="0" w:lastColumn="0" w:oddVBand="0" w:evenVBand="0" w:oddHBand="0"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2642" w:type="dxa"/>
            <w:tcBorders>
              <w:top w:val="single" w:sz="4" w:space="0" w:color="000000"/>
              <w:bottom w:val="single" w:sz="4" w:space="0" w:color="000000"/>
            </w:tcBorders>
          </w:tcPr>
          <w:p w14:paraId="2465289B" w14:textId="77777777" w:rsidR="00463559" w:rsidRDefault="0003691C" w:rsidP="00B34C17">
            <w:pPr>
              <w:jc w:val="both"/>
              <w:rPr>
                <w:i/>
                <w:iCs/>
                <w:sz w:val="22"/>
                <w:szCs w:val="22"/>
              </w:rPr>
            </w:pPr>
            <w:r>
              <w:rPr>
                <w:i/>
                <w:iCs/>
                <w:sz w:val="22"/>
                <w:szCs w:val="22"/>
              </w:rPr>
              <w:t>Concentration (mg/mL)</w:t>
            </w:r>
          </w:p>
        </w:tc>
        <w:tc>
          <w:tcPr>
            <w:tcW w:w="1476" w:type="dxa"/>
            <w:tcBorders>
              <w:top w:val="single" w:sz="4" w:space="0" w:color="000000"/>
              <w:bottom w:val="single" w:sz="4" w:space="0" w:color="000000"/>
            </w:tcBorders>
          </w:tcPr>
          <w:p w14:paraId="57D39374" w14:textId="77777777" w:rsidR="00463559" w:rsidRDefault="0003691C" w:rsidP="00B34C17">
            <w:pPr>
              <w:jc w:val="both"/>
              <w:cnfStyle w:val="100000000000" w:firstRow="1" w:lastRow="0" w:firstColumn="0" w:lastColumn="0" w:oddVBand="0" w:evenVBand="0" w:oddHBand="0" w:evenHBand="0" w:firstRowFirstColumn="0" w:firstRowLastColumn="0" w:lastRowFirstColumn="0" w:lastRowLastColumn="0"/>
              <w:rPr>
                <w:i/>
                <w:iCs/>
                <w:sz w:val="22"/>
                <w:szCs w:val="22"/>
              </w:rPr>
            </w:pPr>
            <w:r>
              <w:rPr>
                <w:i/>
                <w:iCs/>
                <w:sz w:val="22"/>
                <w:szCs w:val="22"/>
              </w:rPr>
              <w:t>S. aureus</w:t>
            </w:r>
          </w:p>
        </w:tc>
        <w:tc>
          <w:tcPr>
            <w:tcW w:w="1476" w:type="dxa"/>
            <w:tcBorders>
              <w:top w:val="single" w:sz="4" w:space="0" w:color="000000"/>
              <w:bottom w:val="single" w:sz="4" w:space="0" w:color="000000"/>
            </w:tcBorders>
          </w:tcPr>
          <w:p w14:paraId="6ACCBE7A" w14:textId="77777777" w:rsidR="00463559" w:rsidRDefault="0003691C" w:rsidP="00B34C17">
            <w:pPr>
              <w:jc w:val="both"/>
              <w:cnfStyle w:val="100000000000" w:firstRow="1" w:lastRow="0" w:firstColumn="0" w:lastColumn="0" w:oddVBand="0" w:evenVBand="0" w:oddHBand="0" w:evenHBand="0" w:firstRowFirstColumn="0" w:firstRowLastColumn="0" w:lastRowFirstColumn="0" w:lastRowLastColumn="0"/>
              <w:rPr>
                <w:i/>
                <w:iCs/>
                <w:sz w:val="22"/>
                <w:szCs w:val="22"/>
              </w:rPr>
            </w:pPr>
            <w:r>
              <w:rPr>
                <w:i/>
                <w:iCs/>
                <w:sz w:val="22"/>
                <w:szCs w:val="22"/>
              </w:rPr>
              <w:t>S. typhi</w:t>
            </w:r>
          </w:p>
        </w:tc>
        <w:tc>
          <w:tcPr>
            <w:tcW w:w="1610" w:type="dxa"/>
            <w:tcBorders>
              <w:top w:val="single" w:sz="4" w:space="0" w:color="000000"/>
              <w:bottom w:val="single" w:sz="4" w:space="0" w:color="000000"/>
            </w:tcBorders>
          </w:tcPr>
          <w:p w14:paraId="4BB43964" w14:textId="77777777" w:rsidR="00463559" w:rsidRDefault="0003691C" w:rsidP="00B34C17">
            <w:pPr>
              <w:jc w:val="both"/>
              <w:cnfStyle w:val="100000000000" w:firstRow="1" w:lastRow="0" w:firstColumn="0" w:lastColumn="0" w:oddVBand="0" w:evenVBand="0" w:oddHBand="0" w:evenHBand="0" w:firstRowFirstColumn="0" w:firstRowLastColumn="0" w:lastRowFirstColumn="0" w:lastRowLastColumn="0"/>
              <w:rPr>
                <w:i/>
                <w:iCs/>
                <w:sz w:val="22"/>
                <w:szCs w:val="22"/>
              </w:rPr>
            </w:pPr>
            <w:r>
              <w:rPr>
                <w:i/>
                <w:iCs/>
                <w:sz w:val="22"/>
                <w:szCs w:val="22"/>
              </w:rPr>
              <w:t>P. aeruginosa</w:t>
            </w:r>
          </w:p>
        </w:tc>
        <w:tc>
          <w:tcPr>
            <w:tcW w:w="1476" w:type="dxa"/>
            <w:tcBorders>
              <w:top w:val="single" w:sz="4" w:space="0" w:color="000000"/>
              <w:bottom w:val="single" w:sz="4" w:space="0" w:color="000000"/>
            </w:tcBorders>
          </w:tcPr>
          <w:p w14:paraId="5C0AA0E5" w14:textId="77777777" w:rsidR="00463559" w:rsidRDefault="0003691C" w:rsidP="00B34C17">
            <w:pPr>
              <w:jc w:val="both"/>
              <w:cnfStyle w:val="100000000000" w:firstRow="1" w:lastRow="0" w:firstColumn="0" w:lastColumn="0" w:oddVBand="0" w:evenVBand="0" w:oddHBand="0" w:evenHBand="0" w:firstRowFirstColumn="0" w:firstRowLastColumn="0" w:lastRowFirstColumn="0" w:lastRowLastColumn="0"/>
              <w:rPr>
                <w:i/>
                <w:iCs/>
                <w:sz w:val="22"/>
                <w:szCs w:val="22"/>
              </w:rPr>
            </w:pPr>
            <w:r>
              <w:rPr>
                <w:i/>
                <w:iCs/>
                <w:sz w:val="22"/>
                <w:szCs w:val="22"/>
              </w:rPr>
              <w:t>E. coli</w:t>
            </w:r>
          </w:p>
        </w:tc>
      </w:tr>
      <w:tr w:rsidR="00463559" w14:paraId="2E9A610A" w14:textId="77777777" w:rsidTr="00463559">
        <w:trPr>
          <w:trHeight w:val="361"/>
        </w:trPr>
        <w:tc>
          <w:tcPr>
            <w:cnfStyle w:val="001000000000" w:firstRow="0" w:lastRow="0" w:firstColumn="1" w:lastColumn="0" w:oddVBand="0" w:evenVBand="0" w:oddHBand="0" w:evenHBand="0" w:firstRowFirstColumn="0" w:firstRowLastColumn="0" w:lastRowFirstColumn="0" w:lastRowLastColumn="0"/>
            <w:tcW w:w="2642" w:type="dxa"/>
            <w:tcBorders>
              <w:top w:val="single" w:sz="4" w:space="0" w:color="000000"/>
            </w:tcBorders>
          </w:tcPr>
          <w:p w14:paraId="7AB384ED" w14:textId="77777777" w:rsidR="00463559" w:rsidRDefault="0003691C" w:rsidP="00B34C17">
            <w:pPr>
              <w:jc w:val="both"/>
              <w:rPr>
                <w:sz w:val="22"/>
                <w:szCs w:val="22"/>
              </w:rPr>
            </w:pPr>
            <w:r>
              <w:rPr>
                <w:b w:val="0"/>
                <w:bCs w:val="0"/>
                <w:sz w:val="22"/>
                <w:szCs w:val="22"/>
              </w:rPr>
              <w:t>50</w:t>
            </w:r>
          </w:p>
        </w:tc>
        <w:tc>
          <w:tcPr>
            <w:tcW w:w="1476" w:type="dxa"/>
            <w:tcBorders>
              <w:top w:val="single" w:sz="4" w:space="0" w:color="000000"/>
            </w:tcBorders>
          </w:tcPr>
          <w:p w14:paraId="53FF663E" w14:textId="77777777" w:rsidR="00463559" w:rsidRDefault="0003691C"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11.20 ± 0.60</w:t>
            </w:r>
          </w:p>
        </w:tc>
        <w:tc>
          <w:tcPr>
            <w:tcW w:w="1476" w:type="dxa"/>
            <w:tcBorders>
              <w:top w:val="single" w:sz="4" w:space="0" w:color="000000"/>
            </w:tcBorders>
          </w:tcPr>
          <w:p w14:paraId="080232F7" w14:textId="77777777" w:rsidR="00463559" w:rsidRDefault="0003691C"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7.40 ± 0.30</w:t>
            </w:r>
          </w:p>
        </w:tc>
        <w:tc>
          <w:tcPr>
            <w:tcW w:w="1610" w:type="dxa"/>
            <w:tcBorders>
              <w:top w:val="single" w:sz="4" w:space="0" w:color="000000"/>
            </w:tcBorders>
          </w:tcPr>
          <w:p w14:paraId="5769EA6C" w14:textId="77777777" w:rsidR="00463559" w:rsidRDefault="0003691C"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6.30 ± 0.52</w:t>
            </w:r>
          </w:p>
        </w:tc>
        <w:tc>
          <w:tcPr>
            <w:tcW w:w="1476" w:type="dxa"/>
            <w:tcBorders>
              <w:top w:val="single" w:sz="4" w:space="0" w:color="000000"/>
            </w:tcBorders>
          </w:tcPr>
          <w:p w14:paraId="15531006" w14:textId="77777777" w:rsidR="00463559" w:rsidRDefault="0003691C"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6.50 ± 0.40</w:t>
            </w:r>
          </w:p>
        </w:tc>
      </w:tr>
      <w:tr w:rsidR="00463559" w14:paraId="1D949230" w14:textId="77777777" w:rsidTr="00463559">
        <w:trPr>
          <w:trHeight w:val="381"/>
        </w:trPr>
        <w:tc>
          <w:tcPr>
            <w:cnfStyle w:val="001000000000" w:firstRow="0" w:lastRow="0" w:firstColumn="1" w:lastColumn="0" w:oddVBand="0" w:evenVBand="0" w:oddHBand="0" w:evenHBand="0" w:firstRowFirstColumn="0" w:firstRowLastColumn="0" w:lastRowFirstColumn="0" w:lastRowLastColumn="0"/>
            <w:tcW w:w="2642" w:type="dxa"/>
          </w:tcPr>
          <w:p w14:paraId="73899293" w14:textId="77777777" w:rsidR="00463559" w:rsidRDefault="0003691C" w:rsidP="00B34C17">
            <w:pPr>
              <w:jc w:val="both"/>
              <w:rPr>
                <w:sz w:val="22"/>
                <w:szCs w:val="22"/>
              </w:rPr>
            </w:pPr>
            <w:r>
              <w:rPr>
                <w:b w:val="0"/>
                <w:bCs w:val="0"/>
                <w:sz w:val="22"/>
                <w:szCs w:val="22"/>
              </w:rPr>
              <w:t>100</w:t>
            </w:r>
          </w:p>
        </w:tc>
        <w:tc>
          <w:tcPr>
            <w:tcW w:w="1476" w:type="dxa"/>
          </w:tcPr>
          <w:p w14:paraId="7FC8F85A" w14:textId="77777777" w:rsidR="00463559" w:rsidRDefault="0003691C"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12.80 ± 0.70</w:t>
            </w:r>
          </w:p>
        </w:tc>
        <w:tc>
          <w:tcPr>
            <w:tcW w:w="1476" w:type="dxa"/>
          </w:tcPr>
          <w:p w14:paraId="5BEC84B6" w14:textId="77777777" w:rsidR="00463559" w:rsidRDefault="0003691C"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9.11 ± 0.58</w:t>
            </w:r>
          </w:p>
        </w:tc>
        <w:tc>
          <w:tcPr>
            <w:tcW w:w="1610" w:type="dxa"/>
          </w:tcPr>
          <w:p w14:paraId="1BAC293D" w14:textId="77777777" w:rsidR="00463559" w:rsidRDefault="0003691C"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7.14 ± 0.28</w:t>
            </w:r>
          </w:p>
        </w:tc>
        <w:tc>
          <w:tcPr>
            <w:tcW w:w="1476" w:type="dxa"/>
          </w:tcPr>
          <w:p w14:paraId="36B6CAF3" w14:textId="77777777" w:rsidR="00463559" w:rsidRDefault="0003691C"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7.20 ± 0.50</w:t>
            </w:r>
          </w:p>
        </w:tc>
      </w:tr>
      <w:tr w:rsidR="00463559" w14:paraId="2858D7F6" w14:textId="77777777" w:rsidTr="00463559">
        <w:trPr>
          <w:trHeight w:val="361"/>
        </w:trPr>
        <w:tc>
          <w:tcPr>
            <w:cnfStyle w:val="001000000000" w:firstRow="0" w:lastRow="0" w:firstColumn="1" w:lastColumn="0" w:oddVBand="0" w:evenVBand="0" w:oddHBand="0" w:evenHBand="0" w:firstRowFirstColumn="0" w:firstRowLastColumn="0" w:lastRowFirstColumn="0" w:lastRowLastColumn="0"/>
            <w:tcW w:w="2642" w:type="dxa"/>
          </w:tcPr>
          <w:p w14:paraId="67B900F8" w14:textId="77777777" w:rsidR="00463559" w:rsidRDefault="0003691C" w:rsidP="00B34C17">
            <w:pPr>
              <w:jc w:val="both"/>
              <w:rPr>
                <w:sz w:val="22"/>
                <w:szCs w:val="22"/>
              </w:rPr>
            </w:pPr>
            <w:r>
              <w:rPr>
                <w:b w:val="0"/>
                <w:bCs w:val="0"/>
                <w:sz w:val="22"/>
                <w:szCs w:val="22"/>
              </w:rPr>
              <w:t>200</w:t>
            </w:r>
          </w:p>
        </w:tc>
        <w:tc>
          <w:tcPr>
            <w:tcW w:w="1476" w:type="dxa"/>
          </w:tcPr>
          <w:p w14:paraId="3F671983" w14:textId="77777777" w:rsidR="00463559" w:rsidRDefault="0003691C"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13.70 ± 0.50</w:t>
            </w:r>
          </w:p>
        </w:tc>
        <w:tc>
          <w:tcPr>
            <w:tcW w:w="1476" w:type="dxa"/>
          </w:tcPr>
          <w:p w14:paraId="714A943F" w14:textId="77777777" w:rsidR="00463559" w:rsidRDefault="0003691C"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10.00 ± 0.15</w:t>
            </w:r>
          </w:p>
        </w:tc>
        <w:tc>
          <w:tcPr>
            <w:tcW w:w="1610" w:type="dxa"/>
          </w:tcPr>
          <w:p w14:paraId="55263709" w14:textId="77777777" w:rsidR="00463559" w:rsidRDefault="0003691C"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9.18 ± 0.35</w:t>
            </w:r>
          </w:p>
        </w:tc>
        <w:tc>
          <w:tcPr>
            <w:tcW w:w="1476" w:type="dxa"/>
          </w:tcPr>
          <w:p w14:paraId="361A41BE" w14:textId="77777777" w:rsidR="00463559" w:rsidRDefault="0003691C"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8.40 ± 0.10</w:t>
            </w:r>
          </w:p>
        </w:tc>
      </w:tr>
      <w:tr w:rsidR="00463559" w14:paraId="40F433F6" w14:textId="77777777" w:rsidTr="00463559">
        <w:trPr>
          <w:trHeight w:val="361"/>
        </w:trPr>
        <w:tc>
          <w:tcPr>
            <w:cnfStyle w:val="001000000000" w:firstRow="0" w:lastRow="0" w:firstColumn="1" w:lastColumn="0" w:oddVBand="0" w:evenVBand="0" w:oddHBand="0" w:evenHBand="0" w:firstRowFirstColumn="0" w:firstRowLastColumn="0" w:lastRowFirstColumn="0" w:lastRowLastColumn="0"/>
            <w:tcW w:w="2642" w:type="dxa"/>
          </w:tcPr>
          <w:p w14:paraId="7361CC36" w14:textId="77777777" w:rsidR="00463559" w:rsidRDefault="0003691C" w:rsidP="00B34C17">
            <w:pPr>
              <w:jc w:val="both"/>
              <w:rPr>
                <w:sz w:val="22"/>
                <w:szCs w:val="22"/>
              </w:rPr>
            </w:pPr>
            <w:r>
              <w:rPr>
                <w:b w:val="0"/>
                <w:bCs w:val="0"/>
                <w:sz w:val="22"/>
                <w:szCs w:val="22"/>
              </w:rPr>
              <w:t>400</w:t>
            </w:r>
          </w:p>
        </w:tc>
        <w:tc>
          <w:tcPr>
            <w:tcW w:w="1476" w:type="dxa"/>
          </w:tcPr>
          <w:p w14:paraId="09E41747" w14:textId="77777777" w:rsidR="00463559" w:rsidRDefault="0003691C"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14.90 ± 1.05</w:t>
            </w:r>
          </w:p>
        </w:tc>
        <w:tc>
          <w:tcPr>
            <w:tcW w:w="1476" w:type="dxa"/>
          </w:tcPr>
          <w:p w14:paraId="0E5DA263" w14:textId="77777777" w:rsidR="00463559" w:rsidRDefault="0003691C"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11.80 ± 0.62</w:t>
            </w:r>
          </w:p>
        </w:tc>
        <w:tc>
          <w:tcPr>
            <w:tcW w:w="1610" w:type="dxa"/>
          </w:tcPr>
          <w:p w14:paraId="392B6E28" w14:textId="77777777" w:rsidR="00463559" w:rsidRDefault="0003691C"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10.50 ± 0.60</w:t>
            </w:r>
          </w:p>
        </w:tc>
        <w:tc>
          <w:tcPr>
            <w:tcW w:w="1476" w:type="dxa"/>
          </w:tcPr>
          <w:p w14:paraId="522DC53A" w14:textId="77777777" w:rsidR="00463559" w:rsidRDefault="0003691C"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10.70 ± 0.40</w:t>
            </w:r>
          </w:p>
        </w:tc>
      </w:tr>
      <w:tr w:rsidR="00463559" w14:paraId="6201A40F" w14:textId="77777777" w:rsidTr="00463559">
        <w:trPr>
          <w:trHeight w:val="381"/>
        </w:trPr>
        <w:tc>
          <w:tcPr>
            <w:cnfStyle w:val="001000000000" w:firstRow="0" w:lastRow="0" w:firstColumn="1" w:lastColumn="0" w:oddVBand="0" w:evenVBand="0" w:oddHBand="0" w:evenHBand="0" w:firstRowFirstColumn="0" w:firstRowLastColumn="0" w:lastRowFirstColumn="0" w:lastRowLastColumn="0"/>
            <w:tcW w:w="2642" w:type="dxa"/>
          </w:tcPr>
          <w:p w14:paraId="737A41CD" w14:textId="77777777" w:rsidR="00463559" w:rsidRDefault="0003691C" w:rsidP="00B34C17">
            <w:pPr>
              <w:jc w:val="both"/>
              <w:rPr>
                <w:sz w:val="22"/>
                <w:szCs w:val="22"/>
              </w:rPr>
            </w:pPr>
            <w:r>
              <w:rPr>
                <w:b w:val="0"/>
                <w:bCs w:val="0"/>
                <w:sz w:val="22"/>
                <w:szCs w:val="22"/>
              </w:rPr>
              <w:t>Cipro (250 µg/mL)</w:t>
            </w:r>
          </w:p>
        </w:tc>
        <w:tc>
          <w:tcPr>
            <w:tcW w:w="1476" w:type="dxa"/>
          </w:tcPr>
          <w:p w14:paraId="343B42B8" w14:textId="77777777" w:rsidR="00463559" w:rsidRDefault="0003691C"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24.20 ± 1.50</w:t>
            </w:r>
          </w:p>
        </w:tc>
        <w:tc>
          <w:tcPr>
            <w:tcW w:w="1476" w:type="dxa"/>
          </w:tcPr>
          <w:p w14:paraId="607B6063" w14:textId="77777777" w:rsidR="00463559" w:rsidRDefault="0003691C"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18.50 ± 0.78</w:t>
            </w:r>
          </w:p>
        </w:tc>
        <w:tc>
          <w:tcPr>
            <w:tcW w:w="1610" w:type="dxa"/>
          </w:tcPr>
          <w:p w14:paraId="782DA41B" w14:textId="77777777" w:rsidR="00463559" w:rsidRDefault="0003691C"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16.40 ± 2.10</w:t>
            </w:r>
          </w:p>
        </w:tc>
        <w:tc>
          <w:tcPr>
            <w:tcW w:w="1476" w:type="dxa"/>
          </w:tcPr>
          <w:p w14:paraId="09FDA077" w14:textId="77777777" w:rsidR="00463559" w:rsidRDefault="0003691C"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19.80 ± 1.20</w:t>
            </w:r>
          </w:p>
        </w:tc>
      </w:tr>
      <w:tr w:rsidR="00463559" w14:paraId="2D5E588D" w14:textId="77777777" w:rsidTr="00463559">
        <w:trPr>
          <w:trHeight w:val="361"/>
        </w:trPr>
        <w:tc>
          <w:tcPr>
            <w:cnfStyle w:val="001000000000" w:firstRow="0" w:lastRow="0" w:firstColumn="1" w:lastColumn="0" w:oddVBand="0" w:evenVBand="0" w:oddHBand="0" w:evenHBand="0" w:firstRowFirstColumn="0" w:firstRowLastColumn="0" w:lastRowFirstColumn="0" w:lastRowLastColumn="0"/>
            <w:tcW w:w="2642" w:type="dxa"/>
          </w:tcPr>
          <w:p w14:paraId="73FFC171" w14:textId="77777777" w:rsidR="00463559" w:rsidRDefault="0003691C" w:rsidP="00B34C17">
            <w:pPr>
              <w:jc w:val="both"/>
              <w:rPr>
                <w:sz w:val="22"/>
                <w:szCs w:val="22"/>
              </w:rPr>
            </w:pPr>
            <w:proofErr w:type="spellStart"/>
            <w:r>
              <w:rPr>
                <w:b w:val="0"/>
                <w:bCs w:val="0"/>
                <w:sz w:val="22"/>
                <w:szCs w:val="22"/>
              </w:rPr>
              <w:t>Ampx</w:t>
            </w:r>
            <w:proofErr w:type="spellEnd"/>
            <w:r>
              <w:rPr>
                <w:b w:val="0"/>
                <w:bCs w:val="0"/>
                <w:sz w:val="22"/>
                <w:szCs w:val="22"/>
              </w:rPr>
              <w:t xml:space="preserve"> (30 µg/mL)</w:t>
            </w:r>
          </w:p>
        </w:tc>
        <w:tc>
          <w:tcPr>
            <w:tcW w:w="1476" w:type="dxa"/>
          </w:tcPr>
          <w:p w14:paraId="35ACFEC4" w14:textId="77777777" w:rsidR="00463559" w:rsidRDefault="0003691C"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22.60 ± 2.40</w:t>
            </w:r>
          </w:p>
        </w:tc>
        <w:tc>
          <w:tcPr>
            <w:tcW w:w="1476" w:type="dxa"/>
          </w:tcPr>
          <w:p w14:paraId="48B682A3" w14:textId="77777777" w:rsidR="00463559" w:rsidRDefault="0003691C"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21.40 ± 1.05</w:t>
            </w:r>
          </w:p>
        </w:tc>
        <w:tc>
          <w:tcPr>
            <w:tcW w:w="1610" w:type="dxa"/>
          </w:tcPr>
          <w:p w14:paraId="1CBE9476" w14:textId="77777777" w:rsidR="00463559" w:rsidRDefault="0003691C"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17.10 ± 3.08</w:t>
            </w:r>
          </w:p>
        </w:tc>
        <w:tc>
          <w:tcPr>
            <w:tcW w:w="1476" w:type="dxa"/>
          </w:tcPr>
          <w:p w14:paraId="56524643" w14:textId="77777777" w:rsidR="00463559" w:rsidRDefault="0003691C" w:rsidP="00B34C17">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18.70 ± 2.10</w:t>
            </w:r>
          </w:p>
        </w:tc>
      </w:tr>
    </w:tbl>
    <w:p w14:paraId="1777D565" w14:textId="77777777" w:rsidR="00463559" w:rsidRDefault="00463559" w:rsidP="00B34C17">
      <w:pPr>
        <w:jc w:val="both"/>
        <w:rPr>
          <w:i/>
          <w:iCs/>
          <w:sz w:val="22"/>
          <w:szCs w:val="22"/>
        </w:rPr>
      </w:pPr>
    </w:p>
    <w:p w14:paraId="6B4231B2" w14:textId="77777777" w:rsidR="00463559" w:rsidRDefault="0003691C" w:rsidP="00B34C17">
      <w:pPr>
        <w:jc w:val="both"/>
        <w:rPr>
          <w:i/>
          <w:iCs/>
          <w:sz w:val="22"/>
          <w:szCs w:val="22"/>
        </w:rPr>
      </w:pPr>
      <w:r>
        <w:rPr>
          <w:i/>
          <w:iCs/>
          <w:sz w:val="22"/>
          <w:szCs w:val="22"/>
        </w:rPr>
        <w:t>3.2.1. Minimum Inhibitory Concentration and Minimum bactericidal concentration Test</w:t>
      </w:r>
    </w:p>
    <w:p w14:paraId="657967BB" w14:textId="77777777" w:rsidR="00263D28" w:rsidRPr="00633025" w:rsidRDefault="0003691C" w:rsidP="00633025">
      <w:pPr>
        <w:spacing w:line="276" w:lineRule="auto"/>
        <w:jc w:val="both"/>
        <w:rPr>
          <w:sz w:val="22"/>
          <w:szCs w:val="22"/>
        </w:rPr>
      </w:pPr>
      <w:r>
        <w:rPr>
          <w:sz w:val="22"/>
          <w:szCs w:val="22"/>
        </w:rPr>
        <w:t xml:space="preserve">The MIC results indicate that the alkaloid fraction effectively inhibited the growth of </w:t>
      </w:r>
      <w:r>
        <w:rPr>
          <w:i/>
          <w:iCs/>
          <w:sz w:val="22"/>
          <w:szCs w:val="22"/>
        </w:rPr>
        <w:t>S. aureus</w:t>
      </w:r>
      <w:r>
        <w:rPr>
          <w:sz w:val="22"/>
          <w:szCs w:val="22"/>
        </w:rPr>
        <w:t xml:space="preserve">, </w:t>
      </w:r>
      <w:r>
        <w:rPr>
          <w:i/>
          <w:iCs/>
          <w:sz w:val="22"/>
          <w:szCs w:val="22"/>
        </w:rPr>
        <w:t>P. aeruginosa</w:t>
      </w:r>
      <w:r>
        <w:rPr>
          <w:sz w:val="22"/>
          <w:szCs w:val="22"/>
        </w:rPr>
        <w:t xml:space="preserve">, and </w:t>
      </w:r>
      <w:r>
        <w:rPr>
          <w:i/>
          <w:iCs/>
          <w:sz w:val="22"/>
          <w:szCs w:val="22"/>
        </w:rPr>
        <w:t>E. coli</w:t>
      </w:r>
      <w:r>
        <w:rPr>
          <w:sz w:val="22"/>
          <w:szCs w:val="22"/>
        </w:rPr>
        <w:t xml:space="preserve"> at concentrations ≥50 mg/mL, while </w:t>
      </w:r>
      <w:r>
        <w:rPr>
          <w:i/>
          <w:iCs/>
          <w:sz w:val="22"/>
          <w:szCs w:val="22"/>
        </w:rPr>
        <w:t>S. typhi</w:t>
      </w:r>
      <w:r>
        <w:rPr>
          <w:sz w:val="22"/>
          <w:szCs w:val="22"/>
        </w:rPr>
        <w:t xml:space="preserve"> showed inhibition at ≥100 mg/mL, suggesting slightly lower susceptibility. Growth observed at lower concentrations (≤25 </w:t>
      </w:r>
      <w:r>
        <w:rPr>
          <w:sz w:val="22"/>
          <w:szCs w:val="22"/>
        </w:rPr>
        <w:lastRenderedPageBreak/>
        <w:t xml:space="preserve">mg/mL) confirms reduced efficacy at </w:t>
      </w:r>
      <w:r w:rsidR="005626E5">
        <w:rPr>
          <w:sz w:val="22"/>
          <w:szCs w:val="22"/>
        </w:rPr>
        <w:t>these levels as shown in table 4</w:t>
      </w:r>
      <w:r>
        <w:rPr>
          <w:sz w:val="22"/>
          <w:szCs w:val="22"/>
        </w:rPr>
        <w:t>. The MBC data show that complete bactericidal activity occurred at 50 mg/mL for all tested organisms (see table 5). This indicates that the extract exhibits bacteriostatic effects at lower concentrations and bactericidal effects at higher concentrations, with relatively consistent killing activity across both Gram-positive and Gram-negative bacteria.</w:t>
      </w:r>
    </w:p>
    <w:p w14:paraId="7D8D6AB0" w14:textId="77777777" w:rsidR="00C80B24" w:rsidRDefault="00C80B24" w:rsidP="00B34C17">
      <w:pPr>
        <w:jc w:val="both"/>
        <w:rPr>
          <w:i/>
          <w:iCs/>
          <w:sz w:val="22"/>
          <w:szCs w:val="22"/>
        </w:rPr>
      </w:pPr>
    </w:p>
    <w:p w14:paraId="3542E882" w14:textId="77777777" w:rsidR="00463559" w:rsidRPr="00263D28" w:rsidRDefault="003767CD" w:rsidP="00B34C17">
      <w:pPr>
        <w:jc w:val="both"/>
        <w:rPr>
          <w:b/>
          <w:i/>
          <w:iCs/>
          <w:sz w:val="22"/>
          <w:szCs w:val="22"/>
        </w:rPr>
      </w:pPr>
      <w:r w:rsidRPr="00263D28">
        <w:rPr>
          <w:b/>
          <w:iCs/>
          <w:sz w:val="22"/>
          <w:szCs w:val="22"/>
        </w:rPr>
        <w:t>Table 4</w:t>
      </w:r>
      <w:r w:rsidR="00263D28">
        <w:rPr>
          <w:b/>
          <w:iCs/>
          <w:sz w:val="22"/>
          <w:szCs w:val="22"/>
        </w:rPr>
        <w:t xml:space="preserve">: MIC &amp; MBC alkaloids fraction of </w:t>
      </w:r>
      <w:r w:rsidR="00263D28" w:rsidRPr="00263D28">
        <w:rPr>
          <w:b/>
          <w:i/>
          <w:iCs/>
          <w:sz w:val="22"/>
          <w:szCs w:val="22"/>
        </w:rPr>
        <w:t>N laevis</w:t>
      </w:r>
    </w:p>
    <w:tbl>
      <w:tblPr>
        <w:tblStyle w:val="ListTable6Colorful"/>
        <w:tblW w:w="9918" w:type="dxa"/>
        <w:tblLayout w:type="fixed"/>
        <w:tblLook w:val="0400" w:firstRow="0" w:lastRow="0" w:firstColumn="0" w:lastColumn="0" w:noHBand="0" w:noVBand="1"/>
      </w:tblPr>
      <w:tblGrid>
        <w:gridCol w:w="1037"/>
        <w:gridCol w:w="2023"/>
        <w:gridCol w:w="802"/>
        <w:gridCol w:w="802"/>
        <w:gridCol w:w="802"/>
        <w:gridCol w:w="640"/>
        <w:gridCol w:w="640"/>
        <w:gridCol w:w="883"/>
        <w:gridCol w:w="883"/>
        <w:gridCol w:w="1406"/>
      </w:tblGrid>
      <w:tr w:rsidR="005E3024" w14:paraId="2DCB716E" w14:textId="77777777" w:rsidTr="00A2713B">
        <w:trPr>
          <w:cnfStyle w:val="000000100000" w:firstRow="0" w:lastRow="0" w:firstColumn="0" w:lastColumn="0" w:oddVBand="0" w:evenVBand="0" w:oddHBand="1" w:evenHBand="0" w:firstRowFirstColumn="0" w:firstRowLastColumn="0" w:lastRowFirstColumn="0" w:lastRowLastColumn="0"/>
          <w:trHeight w:val="389"/>
        </w:trPr>
        <w:tc>
          <w:tcPr>
            <w:tcW w:w="1037" w:type="dxa"/>
            <w:shd w:val="clear" w:color="auto" w:fill="auto"/>
          </w:tcPr>
          <w:p w14:paraId="62DEA5C1" w14:textId="77777777" w:rsidR="005E3024" w:rsidRDefault="005E3024" w:rsidP="00B34C17">
            <w:pPr>
              <w:jc w:val="both"/>
              <w:rPr>
                <w:b/>
                <w:bCs/>
                <w:sz w:val="22"/>
                <w:szCs w:val="22"/>
              </w:rPr>
            </w:pPr>
            <w:r>
              <w:rPr>
                <w:b/>
                <w:bCs/>
                <w:sz w:val="22"/>
                <w:szCs w:val="22"/>
              </w:rPr>
              <w:t>Test</w:t>
            </w:r>
          </w:p>
        </w:tc>
        <w:tc>
          <w:tcPr>
            <w:tcW w:w="2023" w:type="dxa"/>
            <w:shd w:val="clear" w:color="auto" w:fill="auto"/>
          </w:tcPr>
          <w:p w14:paraId="1289D7D9" w14:textId="77777777" w:rsidR="005E3024" w:rsidRDefault="005E3024" w:rsidP="00B34C17">
            <w:pPr>
              <w:jc w:val="both"/>
              <w:rPr>
                <w:b/>
                <w:bCs/>
                <w:sz w:val="22"/>
                <w:szCs w:val="22"/>
              </w:rPr>
            </w:pPr>
            <w:r>
              <w:rPr>
                <w:b/>
                <w:bCs/>
                <w:sz w:val="22"/>
                <w:szCs w:val="22"/>
              </w:rPr>
              <w:t>Organism</w:t>
            </w:r>
          </w:p>
        </w:tc>
        <w:tc>
          <w:tcPr>
            <w:tcW w:w="802" w:type="dxa"/>
            <w:shd w:val="clear" w:color="auto" w:fill="auto"/>
          </w:tcPr>
          <w:p w14:paraId="4D2A678A" w14:textId="77777777" w:rsidR="005E3024" w:rsidRDefault="005E3024" w:rsidP="00B34C17">
            <w:pPr>
              <w:jc w:val="both"/>
              <w:rPr>
                <w:b/>
                <w:bCs/>
                <w:sz w:val="22"/>
                <w:szCs w:val="22"/>
              </w:rPr>
            </w:pPr>
            <w:r>
              <w:rPr>
                <w:b/>
                <w:bCs/>
                <w:sz w:val="22"/>
                <w:szCs w:val="22"/>
              </w:rPr>
              <w:t>400</w:t>
            </w:r>
          </w:p>
        </w:tc>
        <w:tc>
          <w:tcPr>
            <w:tcW w:w="802" w:type="dxa"/>
            <w:shd w:val="clear" w:color="auto" w:fill="auto"/>
          </w:tcPr>
          <w:p w14:paraId="6ED2EC73" w14:textId="77777777" w:rsidR="005E3024" w:rsidRDefault="005E3024" w:rsidP="00B34C17">
            <w:pPr>
              <w:jc w:val="both"/>
              <w:rPr>
                <w:b/>
                <w:bCs/>
                <w:sz w:val="22"/>
                <w:szCs w:val="22"/>
              </w:rPr>
            </w:pPr>
            <w:r>
              <w:rPr>
                <w:b/>
                <w:bCs/>
                <w:sz w:val="22"/>
                <w:szCs w:val="22"/>
              </w:rPr>
              <w:t>200</w:t>
            </w:r>
          </w:p>
        </w:tc>
        <w:tc>
          <w:tcPr>
            <w:tcW w:w="802" w:type="dxa"/>
            <w:shd w:val="clear" w:color="auto" w:fill="auto"/>
          </w:tcPr>
          <w:p w14:paraId="2CC5F762" w14:textId="77777777" w:rsidR="005E3024" w:rsidRDefault="005E3024" w:rsidP="00B34C17">
            <w:pPr>
              <w:jc w:val="both"/>
              <w:rPr>
                <w:b/>
                <w:bCs/>
                <w:sz w:val="22"/>
                <w:szCs w:val="22"/>
              </w:rPr>
            </w:pPr>
            <w:r>
              <w:rPr>
                <w:b/>
                <w:bCs/>
                <w:sz w:val="22"/>
                <w:szCs w:val="22"/>
              </w:rPr>
              <w:t>100</w:t>
            </w:r>
          </w:p>
        </w:tc>
        <w:tc>
          <w:tcPr>
            <w:tcW w:w="640" w:type="dxa"/>
            <w:shd w:val="clear" w:color="auto" w:fill="auto"/>
          </w:tcPr>
          <w:p w14:paraId="41B02AF7" w14:textId="77777777" w:rsidR="005E3024" w:rsidRDefault="005E3024" w:rsidP="00B34C17">
            <w:pPr>
              <w:jc w:val="both"/>
              <w:rPr>
                <w:b/>
                <w:bCs/>
                <w:sz w:val="22"/>
                <w:szCs w:val="22"/>
              </w:rPr>
            </w:pPr>
            <w:r>
              <w:rPr>
                <w:b/>
                <w:bCs/>
                <w:sz w:val="22"/>
                <w:szCs w:val="22"/>
              </w:rPr>
              <w:t>50</w:t>
            </w:r>
          </w:p>
        </w:tc>
        <w:tc>
          <w:tcPr>
            <w:tcW w:w="640" w:type="dxa"/>
            <w:shd w:val="clear" w:color="auto" w:fill="auto"/>
          </w:tcPr>
          <w:p w14:paraId="1E6D20B2" w14:textId="77777777" w:rsidR="005E3024" w:rsidRDefault="005E3024" w:rsidP="00B34C17">
            <w:pPr>
              <w:jc w:val="both"/>
              <w:rPr>
                <w:b/>
                <w:bCs/>
                <w:sz w:val="22"/>
                <w:szCs w:val="22"/>
              </w:rPr>
            </w:pPr>
            <w:r>
              <w:rPr>
                <w:b/>
                <w:bCs/>
                <w:sz w:val="22"/>
                <w:szCs w:val="22"/>
              </w:rPr>
              <w:t>25</w:t>
            </w:r>
          </w:p>
        </w:tc>
        <w:tc>
          <w:tcPr>
            <w:tcW w:w="883" w:type="dxa"/>
            <w:shd w:val="clear" w:color="auto" w:fill="auto"/>
          </w:tcPr>
          <w:p w14:paraId="5B8C13C5" w14:textId="77777777" w:rsidR="005E3024" w:rsidRDefault="005E3024" w:rsidP="00B34C17">
            <w:pPr>
              <w:jc w:val="both"/>
              <w:rPr>
                <w:b/>
                <w:bCs/>
                <w:sz w:val="22"/>
                <w:szCs w:val="22"/>
              </w:rPr>
            </w:pPr>
            <w:r>
              <w:rPr>
                <w:b/>
                <w:bCs/>
                <w:sz w:val="22"/>
                <w:szCs w:val="22"/>
              </w:rPr>
              <w:t>12.5</w:t>
            </w:r>
          </w:p>
        </w:tc>
        <w:tc>
          <w:tcPr>
            <w:tcW w:w="883" w:type="dxa"/>
            <w:shd w:val="clear" w:color="auto" w:fill="auto"/>
          </w:tcPr>
          <w:p w14:paraId="27DF54DE" w14:textId="77777777" w:rsidR="005E3024" w:rsidRDefault="005E3024" w:rsidP="00B34C17">
            <w:pPr>
              <w:jc w:val="both"/>
              <w:rPr>
                <w:b/>
                <w:bCs/>
                <w:sz w:val="22"/>
                <w:szCs w:val="22"/>
              </w:rPr>
            </w:pPr>
            <w:r>
              <w:rPr>
                <w:b/>
                <w:bCs/>
                <w:sz w:val="22"/>
                <w:szCs w:val="22"/>
              </w:rPr>
              <w:t>6.25</w:t>
            </w:r>
          </w:p>
        </w:tc>
        <w:tc>
          <w:tcPr>
            <w:tcW w:w="1406" w:type="dxa"/>
            <w:shd w:val="clear" w:color="auto" w:fill="auto"/>
          </w:tcPr>
          <w:p w14:paraId="3DC79C7E" w14:textId="77777777" w:rsidR="005E3024" w:rsidRDefault="005E3024" w:rsidP="00B34C17">
            <w:pPr>
              <w:jc w:val="both"/>
              <w:rPr>
                <w:b/>
                <w:bCs/>
                <w:sz w:val="22"/>
                <w:szCs w:val="22"/>
              </w:rPr>
            </w:pPr>
            <w:r>
              <w:rPr>
                <w:b/>
                <w:bCs/>
                <w:sz w:val="22"/>
                <w:szCs w:val="22"/>
              </w:rPr>
              <w:t>MIC value (</w:t>
            </w:r>
            <w:r>
              <w:rPr>
                <w:sz w:val="22"/>
                <w:szCs w:val="22"/>
              </w:rPr>
              <w:t>mg/mL)</w:t>
            </w:r>
          </w:p>
        </w:tc>
      </w:tr>
      <w:tr w:rsidR="005E3024" w14:paraId="1EA3009B" w14:textId="77777777" w:rsidTr="00A2713B">
        <w:trPr>
          <w:trHeight w:val="376"/>
        </w:trPr>
        <w:tc>
          <w:tcPr>
            <w:tcW w:w="1037" w:type="dxa"/>
          </w:tcPr>
          <w:p w14:paraId="70CB52C3" w14:textId="77777777" w:rsidR="005E3024" w:rsidRDefault="005E3024" w:rsidP="00B34C17">
            <w:pPr>
              <w:jc w:val="both"/>
              <w:rPr>
                <w:sz w:val="22"/>
                <w:szCs w:val="22"/>
              </w:rPr>
            </w:pPr>
            <w:r>
              <w:rPr>
                <w:sz w:val="22"/>
                <w:szCs w:val="22"/>
              </w:rPr>
              <w:t>MIC</w:t>
            </w:r>
          </w:p>
        </w:tc>
        <w:tc>
          <w:tcPr>
            <w:tcW w:w="2023" w:type="dxa"/>
          </w:tcPr>
          <w:p w14:paraId="4332FFD2" w14:textId="77777777" w:rsidR="005E3024" w:rsidRDefault="005E3024" w:rsidP="00B34C17">
            <w:pPr>
              <w:jc w:val="both"/>
              <w:rPr>
                <w:sz w:val="22"/>
                <w:szCs w:val="22"/>
              </w:rPr>
            </w:pPr>
            <w:r>
              <w:rPr>
                <w:sz w:val="22"/>
                <w:szCs w:val="22"/>
              </w:rPr>
              <w:t>S. aureus</w:t>
            </w:r>
          </w:p>
        </w:tc>
        <w:tc>
          <w:tcPr>
            <w:tcW w:w="802" w:type="dxa"/>
          </w:tcPr>
          <w:p w14:paraId="168CF43B" w14:textId="77777777" w:rsidR="005E3024" w:rsidRDefault="005E3024" w:rsidP="00B34C17">
            <w:pPr>
              <w:jc w:val="both"/>
              <w:rPr>
                <w:sz w:val="22"/>
                <w:szCs w:val="22"/>
              </w:rPr>
            </w:pPr>
            <w:r>
              <w:rPr>
                <w:sz w:val="22"/>
                <w:szCs w:val="22"/>
              </w:rPr>
              <w:t>–</w:t>
            </w:r>
          </w:p>
        </w:tc>
        <w:tc>
          <w:tcPr>
            <w:tcW w:w="802" w:type="dxa"/>
          </w:tcPr>
          <w:p w14:paraId="38824636" w14:textId="77777777" w:rsidR="005E3024" w:rsidRDefault="005E3024" w:rsidP="00B34C17">
            <w:pPr>
              <w:jc w:val="both"/>
              <w:rPr>
                <w:sz w:val="22"/>
                <w:szCs w:val="22"/>
              </w:rPr>
            </w:pPr>
            <w:r>
              <w:rPr>
                <w:sz w:val="22"/>
                <w:szCs w:val="22"/>
              </w:rPr>
              <w:t>–</w:t>
            </w:r>
          </w:p>
        </w:tc>
        <w:tc>
          <w:tcPr>
            <w:tcW w:w="802" w:type="dxa"/>
          </w:tcPr>
          <w:p w14:paraId="78CC6A18" w14:textId="77777777" w:rsidR="005E3024" w:rsidRDefault="005E3024" w:rsidP="00B34C17">
            <w:pPr>
              <w:jc w:val="both"/>
              <w:rPr>
                <w:sz w:val="22"/>
                <w:szCs w:val="22"/>
              </w:rPr>
            </w:pPr>
            <w:r>
              <w:rPr>
                <w:sz w:val="22"/>
                <w:szCs w:val="22"/>
              </w:rPr>
              <w:t>–</w:t>
            </w:r>
          </w:p>
        </w:tc>
        <w:tc>
          <w:tcPr>
            <w:tcW w:w="640" w:type="dxa"/>
          </w:tcPr>
          <w:p w14:paraId="550F0ACF" w14:textId="77777777" w:rsidR="005E3024" w:rsidRDefault="005E3024" w:rsidP="00B34C17">
            <w:pPr>
              <w:jc w:val="both"/>
              <w:rPr>
                <w:sz w:val="22"/>
                <w:szCs w:val="22"/>
              </w:rPr>
            </w:pPr>
            <w:r>
              <w:rPr>
                <w:sz w:val="22"/>
                <w:szCs w:val="22"/>
              </w:rPr>
              <w:t>–</w:t>
            </w:r>
          </w:p>
        </w:tc>
        <w:tc>
          <w:tcPr>
            <w:tcW w:w="640" w:type="dxa"/>
          </w:tcPr>
          <w:p w14:paraId="3D1E9D36" w14:textId="77777777" w:rsidR="005E3024" w:rsidRDefault="005E3024" w:rsidP="00B34C17">
            <w:pPr>
              <w:jc w:val="both"/>
              <w:rPr>
                <w:sz w:val="22"/>
                <w:szCs w:val="22"/>
              </w:rPr>
            </w:pPr>
            <w:r>
              <w:rPr>
                <w:sz w:val="22"/>
                <w:szCs w:val="22"/>
              </w:rPr>
              <w:t>–</w:t>
            </w:r>
          </w:p>
        </w:tc>
        <w:tc>
          <w:tcPr>
            <w:tcW w:w="883" w:type="dxa"/>
          </w:tcPr>
          <w:p w14:paraId="5A81FDAD" w14:textId="77777777" w:rsidR="005E3024" w:rsidRDefault="005E3024" w:rsidP="00B34C17">
            <w:pPr>
              <w:jc w:val="both"/>
              <w:rPr>
                <w:sz w:val="22"/>
                <w:szCs w:val="22"/>
              </w:rPr>
            </w:pPr>
            <w:r>
              <w:rPr>
                <w:sz w:val="22"/>
                <w:szCs w:val="22"/>
              </w:rPr>
              <w:t>+</w:t>
            </w:r>
          </w:p>
        </w:tc>
        <w:tc>
          <w:tcPr>
            <w:tcW w:w="883" w:type="dxa"/>
          </w:tcPr>
          <w:p w14:paraId="47EDC69D" w14:textId="77777777" w:rsidR="005E3024" w:rsidRDefault="005E3024" w:rsidP="00B34C17">
            <w:pPr>
              <w:jc w:val="both"/>
              <w:rPr>
                <w:sz w:val="22"/>
                <w:szCs w:val="22"/>
              </w:rPr>
            </w:pPr>
            <w:r>
              <w:rPr>
                <w:sz w:val="22"/>
                <w:szCs w:val="22"/>
              </w:rPr>
              <w:t>+</w:t>
            </w:r>
          </w:p>
        </w:tc>
        <w:tc>
          <w:tcPr>
            <w:tcW w:w="1406" w:type="dxa"/>
          </w:tcPr>
          <w:p w14:paraId="07E95D0A" w14:textId="77777777" w:rsidR="005E3024" w:rsidRDefault="005E3024" w:rsidP="00B34C17">
            <w:pPr>
              <w:jc w:val="both"/>
              <w:rPr>
                <w:sz w:val="22"/>
                <w:szCs w:val="22"/>
              </w:rPr>
            </w:pPr>
            <w:r>
              <w:rPr>
                <w:sz w:val="22"/>
                <w:szCs w:val="22"/>
              </w:rPr>
              <w:t>25</w:t>
            </w:r>
          </w:p>
        </w:tc>
      </w:tr>
      <w:tr w:rsidR="005E3024" w14:paraId="6E26CF36" w14:textId="77777777" w:rsidTr="00A2713B">
        <w:trPr>
          <w:cnfStyle w:val="000000100000" w:firstRow="0" w:lastRow="0" w:firstColumn="0" w:lastColumn="0" w:oddVBand="0" w:evenVBand="0" w:oddHBand="1" w:evenHBand="0" w:firstRowFirstColumn="0" w:firstRowLastColumn="0" w:lastRowFirstColumn="0" w:lastRowLastColumn="0"/>
          <w:trHeight w:val="389"/>
        </w:trPr>
        <w:tc>
          <w:tcPr>
            <w:tcW w:w="1037" w:type="dxa"/>
            <w:shd w:val="clear" w:color="auto" w:fill="auto"/>
          </w:tcPr>
          <w:p w14:paraId="6E5B0815" w14:textId="77777777" w:rsidR="005E3024" w:rsidRDefault="005E3024" w:rsidP="00B34C17">
            <w:pPr>
              <w:jc w:val="both"/>
              <w:rPr>
                <w:sz w:val="22"/>
                <w:szCs w:val="22"/>
              </w:rPr>
            </w:pPr>
          </w:p>
        </w:tc>
        <w:tc>
          <w:tcPr>
            <w:tcW w:w="2023" w:type="dxa"/>
            <w:shd w:val="clear" w:color="auto" w:fill="auto"/>
          </w:tcPr>
          <w:p w14:paraId="3551FC4D" w14:textId="77777777" w:rsidR="005E3024" w:rsidRDefault="005E3024" w:rsidP="00B34C17">
            <w:pPr>
              <w:jc w:val="both"/>
              <w:rPr>
                <w:sz w:val="22"/>
                <w:szCs w:val="22"/>
              </w:rPr>
            </w:pPr>
            <w:r>
              <w:rPr>
                <w:sz w:val="22"/>
                <w:szCs w:val="22"/>
              </w:rPr>
              <w:t>S. typhi</w:t>
            </w:r>
          </w:p>
        </w:tc>
        <w:tc>
          <w:tcPr>
            <w:tcW w:w="802" w:type="dxa"/>
            <w:shd w:val="clear" w:color="auto" w:fill="auto"/>
          </w:tcPr>
          <w:p w14:paraId="2548D464" w14:textId="77777777" w:rsidR="005E3024" w:rsidRDefault="005E3024" w:rsidP="00B34C17">
            <w:pPr>
              <w:jc w:val="both"/>
              <w:rPr>
                <w:sz w:val="22"/>
                <w:szCs w:val="22"/>
              </w:rPr>
            </w:pPr>
            <w:r>
              <w:rPr>
                <w:sz w:val="22"/>
                <w:szCs w:val="22"/>
              </w:rPr>
              <w:t>–</w:t>
            </w:r>
          </w:p>
        </w:tc>
        <w:tc>
          <w:tcPr>
            <w:tcW w:w="802" w:type="dxa"/>
            <w:shd w:val="clear" w:color="auto" w:fill="auto"/>
          </w:tcPr>
          <w:p w14:paraId="7608BF91" w14:textId="77777777" w:rsidR="005E3024" w:rsidRDefault="005E3024" w:rsidP="00B34C17">
            <w:pPr>
              <w:jc w:val="both"/>
              <w:rPr>
                <w:sz w:val="22"/>
                <w:szCs w:val="22"/>
              </w:rPr>
            </w:pPr>
            <w:r>
              <w:rPr>
                <w:sz w:val="22"/>
                <w:szCs w:val="22"/>
              </w:rPr>
              <w:t>–</w:t>
            </w:r>
          </w:p>
        </w:tc>
        <w:tc>
          <w:tcPr>
            <w:tcW w:w="802" w:type="dxa"/>
            <w:shd w:val="clear" w:color="auto" w:fill="auto"/>
          </w:tcPr>
          <w:p w14:paraId="48AA0334" w14:textId="77777777" w:rsidR="005E3024" w:rsidRDefault="005E3024" w:rsidP="00B34C17">
            <w:pPr>
              <w:jc w:val="both"/>
              <w:rPr>
                <w:sz w:val="22"/>
                <w:szCs w:val="22"/>
              </w:rPr>
            </w:pPr>
            <w:r>
              <w:rPr>
                <w:sz w:val="22"/>
                <w:szCs w:val="22"/>
              </w:rPr>
              <w:t>–</w:t>
            </w:r>
          </w:p>
        </w:tc>
        <w:tc>
          <w:tcPr>
            <w:tcW w:w="640" w:type="dxa"/>
            <w:shd w:val="clear" w:color="auto" w:fill="auto"/>
          </w:tcPr>
          <w:p w14:paraId="3D49C087" w14:textId="77777777" w:rsidR="005E3024" w:rsidRDefault="005E3024" w:rsidP="00B34C17">
            <w:pPr>
              <w:jc w:val="both"/>
              <w:rPr>
                <w:sz w:val="22"/>
                <w:szCs w:val="22"/>
              </w:rPr>
            </w:pPr>
            <w:r>
              <w:rPr>
                <w:sz w:val="22"/>
                <w:szCs w:val="22"/>
              </w:rPr>
              <w:t>–</w:t>
            </w:r>
          </w:p>
        </w:tc>
        <w:tc>
          <w:tcPr>
            <w:tcW w:w="640" w:type="dxa"/>
            <w:shd w:val="clear" w:color="auto" w:fill="auto"/>
          </w:tcPr>
          <w:p w14:paraId="516BBE54" w14:textId="77777777" w:rsidR="005E3024" w:rsidRDefault="005E3024" w:rsidP="00B34C17">
            <w:pPr>
              <w:jc w:val="both"/>
              <w:rPr>
                <w:sz w:val="22"/>
                <w:szCs w:val="22"/>
              </w:rPr>
            </w:pPr>
            <w:r>
              <w:rPr>
                <w:sz w:val="22"/>
                <w:szCs w:val="22"/>
              </w:rPr>
              <w:t>+</w:t>
            </w:r>
          </w:p>
        </w:tc>
        <w:tc>
          <w:tcPr>
            <w:tcW w:w="883" w:type="dxa"/>
            <w:shd w:val="clear" w:color="auto" w:fill="auto"/>
          </w:tcPr>
          <w:p w14:paraId="2D717AB4" w14:textId="77777777" w:rsidR="005E3024" w:rsidRDefault="005E3024" w:rsidP="00B34C17">
            <w:pPr>
              <w:jc w:val="both"/>
              <w:rPr>
                <w:sz w:val="22"/>
                <w:szCs w:val="22"/>
              </w:rPr>
            </w:pPr>
            <w:r>
              <w:rPr>
                <w:sz w:val="22"/>
                <w:szCs w:val="22"/>
              </w:rPr>
              <w:t>+</w:t>
            </w:r>
          </w:p>
        </w:tc>
        <w:tc>
          <w:tcPr>
            <w:tcW w:w="883" w:type="dxa"/>
            <w:shd w:val="clear" w:color="auto" w:fill="auto"/>
          </w:tcPr>
          <w:p w14:paraId="757D0B3A" w14:textId="77777777" w:rsidR="005E3024" w:rsidRDefault="005E3024" w:rsidP="00B34C17">
            <w:pPr>
              <w:jc w:val="both"/>
              <w:rPr>
                <w:sz w:val="22"/>
                <w:szCs w:val="22"/>
              </w:rPr>
            </w:pPr>
            <w:r>
              <w:rPr>
                <w:sz w:val="22"/>
                <w:szCs w:val="22"/>
              </w:rPr>
              <w:t>+</w:t>
            </w:r>
          </w:p>
        </w:tc>
        <w:tc>
          <w:tcPr>
            <w:tcW w:w="1406" w:type="dxa"/>
            <w:shd w:val="clear" w:color="auto" w:fill="auto"/>
          </w:tcPr>
          <w:p w14:paraId="5924A6FB" w14:textId="77777777" w:rsidR="005E3024" w:rsidRDefault="005E3024" w:rsidP="00B34C17">
            <w:pPr>
              <w:jc w:val="both"/>
              <w:rPr>
                <w:sz w:val="22"/>
                <w:szCs w:val="22"/>
              </w:rPr>
            </w:pPr>
            <w:r>
              <w:rPr>
                <w:sz w:val="22"/>
                <w:szCs w:val="22"/>
              </w:rPr>
              <w:t>50</w:t>
            </w:r>
          </w:p>
        </w:tc>
      </w:tr>
      <w:tr w:rsidR="005E3024" w14:paraId="1D6E27C1" w14:textId="77777777" w:rsidTr="00A2713B">
        <w:trPr>
          <w:trHeight w:val="376"/>
        </w:trPr>
        <w:tc>
          <w:tcPr>
            <w:tcW w:w="1037" w:type="dxa"/>
          </w:tcPr>
          <w:p w14:paraId="61E83743" w14:textId="77777777" w:rsidR="005E3024" w:rsidRDefault="005E3024" w:rsidP="00B34C17">
            <w:pPr>
              <w:jc w:val="both"/>
              <w:rPr>
                <w:sz w:val="22"/>
                <w:szCs w:val="22"/>
              </w:rPr>
            </w:pPr>
          </w:p>
        </w:tc>
        <w:tc>
          <w:tcPr>
            <w:tcW w:w="2023" w:type="dxa"/>
          </w:tcPr>
          <w:p w14:paraId="249CEDDE" w14:textId="77777777" w:rsidR="005E3024" w:rsidRDefault="005E3024" w:rsidP="00B34C17">
            <w:pPr>
              <w:jc w:val="both"/>
              <w:rPr>
                <w:sz w:val="22"/>
                <w:szCs w:val="22"/>
              </w:rPr>
            </w:pPr>
            <w:r>
              <w:rPr>
                <w:sz w:val="22"/>
                <w:szCs w:val="22"/>
              </w:rPr>
              <w:t>P. aeruginosa</w:t>
            </w:r>
          </w:p>
        </w:tc>
        <w:tc>
          <w:tcPr>
            <w:tcW w:w="802" w:type="dxa"/>
          </w:tcPr>
          <w:p w14:paraId="335E2009" w14:textId="77777777" w:rsidR="005E3024" w:rsidRDefault="005E3024" w:rsidP="00B34C17">
            <w:pPr>
              <w:jc w:val="both"/>
              <w:rPr>
                <w:sz w:val="22"/>
                <w:szCs w:val="22"/>
              </w:rPr>
            </w:pPr>
            <w:r>
              <w:rPr>
                <w:sz w:val="22"/>
                <w:szCs w:val="22"/>
              </w:rPr>
              <w:t>–</w:t>
            </w:r>
          </w:p>
        </w:tc>
        <w:tc>
          <w:tcPr>
            <w:tcW w:w="802" w:type="dxa"/>
          </w:tcPr>
          <w:p w14:paraId="3CFFD090" w14:textId="77777777" w:rsidR="005E3024" w:rsidRDefault="005E3024" w:rsidP="00B34C17">
            <w:pPr>
              <w:jc w:val="both"/>
              <w:rPr>
                <w:sz w:val="22"/>
                <w:szCs w:val="22"/>
              </w:rPr>
            </w:pPr>
            <w:r>
              <w:rPr>
                <w:sz w:val="22"/>
                <w:szCs w:val="22"/>
              </w:rPr>
              <w:t>–</w:t>
            </w:r>
          </w:p>
        </w:tc>
        <w:tc>
          <w:tcPr>
            <w:tcW w:w="802" w:type="dxa"/>
          </w:tcPr>
          <w:p w14:paraId="3CF0EF3E" w14:textId="77777777" w:rsidR="005E3024" w:rsidRDefault="005E3024" w:rsidP="00B34C17">
            <w:pPr>
              <w:jc w:val="both"/>
              <w:rPr>
                <w:sz w:val="22"/>
                <w:szCs w:val="22"/>
              </w:rPr>
            </w:pPr>
            <w:r>
              <w:rPr>
                <w:sz w:val="22"/>
                <w:szCs w:val="22"/>
              </w:rPr>
              <w:t>–</w:t>
            </w:r>
          </w:p>
        </w:tc>
        <w:tc>
          <w:tcPr>
            <w:tcW w:w="640" w:type="dxa"/>
          </w:tcPr>
          <w:p w14:paraId="0216E994" w14:textId="77777777" w:rsidR="005E3024" w:rsidRDefault="005E3024" w:rsidP="00B34C17">
            <w:pPr>
              <w:jc w:val="both"/>
              <w:rPr>
                <w:sz w:val="22"/>
                <w:szCs w:val="22"/>
              </w:rPr>
            </w:pPr>
            <w:r>
              <w:rPr>
                <w:sz w:val="22"/>
                <w:szCs w:val="22"/>
              </w:rPr>
              <w:t>–</w:t>
            </w:r>
          </w:p>
        </w:tc>
        <w:tc>
          <w:tcPr>
            <w:tcW w:w="640" w:type="dxa"/>
          </w:tcPr>
          <w:p w14:paraId="440B9441" w14:textId="77777777" w:rsidR="005E3024" w:rsidRDefault="005E3024" w:rsidP="00B34C17">
            <w:pPr>
              <w:jc w:val="both"/>
              <w:rPr>
                <w:sz w:val="22"/>
                <w:szCs w:val="22"/>
              </w:rPr>
            </w:pPr>
            <w:r>
              <w:rPr>
                <w:sz w:val="22"/>
                <w:szCs w:val="22"/>
              </w:rPr>
              <w:t>–</w:t>
            </w:r>
          </w:p>
        </w:tc>
        <w:tc>
          <w:tcPr>
            <w:tcW w:w="883" w:type="dxa"/>
          </w:tcPr>
          <w:p w14:paraId="0B435204" w14:textId="77777777" w:rsidR="005E3024" w:rsidRDefault="005E3024" w:rsidP="00B34C17">
            <w:pPr>
              <w:jc w:val="both"/>
              <w:rPr>
                <w:sz w:val="22"/>
                <w:szCs w:val="22"/>
              </w:rPr>
            </w:pPr>
            <w:r>
              <w:rPr>
                <w:sz w:val="22"/>
                <w:szCs w:val="22"/>
              </w:rPr>
              <w:t>+</w:t>
            </w:r>
          </w:p>
        </w:tc>
        <w:tc>
          <w:tcPr>
            <w:tcW w:w="883" w:type="dxa"/>
          </w:tcPr>
          <w:p w14:paraId="30AE2A1D" w14:textId="77777777" w:rsidR="005E3024" w:rsidRDefault="005E3024" w:rsidP="00B34C17">
            <w:pPr>
              <w:jc w:val="both"/>
              <w:rPr>
                <w:sz w:val="22"/>
                <w:szCs w:val="22"/>
              </w:rPr>
            </w:pPr>
            <w:r>
              <w:rPr>
                <w:sz w:val="22"/>
                <w:szCs w:val="22"/>
              </w:rPr>
              <w:t>+</w:t>
            </w:r>
          </w:p>
        </w:tc>
        <w:tc>
          <w:tcPr>
            <w:tcW w:w="1406" w:type="dxa"/>
          </w:tcPr>
          <w:p w14:paraId="24925907" w14:textId="77777777" w:rsidR="005E3024" w:rsidRDefault="005E3024" w:rsidP="00B34C17">
            <w:pPr>
              <w:jc w:val="both"/>
              <w:rPr>
                <w:sz w:val="22"/>
                <w:szCs w:val="22"/>
              </w:rPr>
            </w:pPr>
            <w:r>
              <w:rPr>
                <w:sz w:val="22"/>
                <w:szCs w:val="22"/>
              </w:rPr>
              <w:t>25</w:t>
            </w:r>
          </w:p>
        </w:tc>
      </w:tr>
      <w:tr w:rsidR="005E3024" w14:paraId="567CD564" w14:textId="77777777" w:rsidTr="00A2713B">
        <w:trPr>
          <w:cnfStyle w:val="000000100000" w:firstRow="0" w:lastRow="0" w:firstColumn="0" w:lastColumn="0" w:oddVBand="0" w:evenVBand="0" w:oddHBand="1" w:evenHBand="0" w:firstRowFirstColumn="0" w:firstRowLastColumn="0" w:lastRowFirstColumn="0" w:lastRowLastColumn="0"/>
          <w:trHeight w:val="389"/>
        </w:trPr>
        <w:tc>
          <w:tcPr>
            <w:tcW w:w="1037" w:type="dxa"/>
            <w:shd w:val="clear" w:color="auto" w:fill="auto"/>
          </w:tcPr>
          <w:p w14:paraId="25F7D229" w14:textId="77777777" w:rsidR="005E3024" w:rsidRDefault="005E3024" w:rsidP="00B34C17">
            <w:pPr>
              <w:jc w:val="both"/>
              <w:rPr>
                <w:sz w:val="22"/>
                <w:szCs w:val="22"/>
              </w:rPr>
            </w:pPr>
          </w:p>
        </w:tc>
        <w:tc>
          <w:tcPr>
            <w:tcW w:w="2023" w:type="dxa"/>
            <w:shd w:val="clear" w:color="auto" w:fill="auto"/>
          </w:tcPr>
          <w:p w14:paraId="2F462777" w14:textId="77777777" w:rsidR="005E3024" w:rsidRDefault="005E3024" w:rsidP="00B34C17">
            <w:pPr>
              <w:jc w:val="both"/>
              <w:rPr>
                <w:sz w:val="22"/>
                <w:szCs w:val="22"/>
              </w:rPr>
            </w:pPr>
            <w:r>
              <w:rPr>
                <w:sz w:val="22"/>
                <w:szCs w:val="22"/>
              </w:rPr>
              <w:t>E. coli</w:t>
            </w:r>
          </w:p>
        </w:tc>
        <w:tc>
          <w:tcPr>
            <w:tcW w:w="802" w:type="dxa"/>
            <w:shd w:val="clear" w:color="auto" w:fill="auto"/>
          </w:tcPr>
          <w:p w14:paraId="3164DF64" w14:textId="77777777" w:rsidR="005E3024" w:rsidRDefault="005E3024" w:rsidP="00B34C17">
            <w:pPr>
              <w:jc w:val="both"/>
              <w:rPr>
                <w:sz w:val="22"/>
                <w:szCs w:val="22"/>
              </w:rPr>
            </w:pPr>
            <w:r>
              <w:rPr>
                <w:sz w:val="22"/>
                <w:szCs w:val="22"/>
              </w:rPr>
              <w:t>–</w:t>
            </w:r>
          </w:p>
        </w:tc>
        <w:tc>
          <w:tcPr>
            <w:tcW w:w="802" w:type="dxa"/>
            <w:shd w:val="clear" w:color="auto" w:fill="auto"/>
          </w:tcPr>
          <w:p w14:paraId="05DACD08" w14:textId="77777777" w:rsidR="005E3024" w:rsidRDefault="005E3024" w:rsidP="00B34C17">
            <w:pPr>
              <w:jc w:val="both"/>
              <w:rPr>
                <w:sz w:val="22"/>
                <w:szCs w:val="22"/>
              </w:rPr>
            </w:pPr>
            <w:r>
              <w:rPr>
                <w:sz w:val="22"/>
                <w:szCs w:val="22"/>
              </w:rPr>
              <w:t>–</w:t>
            </w:r>
          </w:p>
        </w:tc>
        <w:tc>
          <w:tcPr>
            <w:tcW w:w="802" w:type="dxa"/>
            <w:shd w:val="clear" w:color="auto" w:fill="auto"/>
          </w:tcPr>
          <w:p w14:paraId="35F86D3F" w14:textId="77777777" w:rsidR="005E3024" w:rsidRDefault="005E3024" w:rsidP="00B34C17">
            <w:pPr>
              <w:jc w:val="both"/>
              <w:rPr>
                <w:sz w:val="22"/>
                <w:szCs w:val="22"/>
              </w:rPr>
            </w:pPr>
            <w:r>
              <w:rPr>
                <w:sz w:val="22"/>
                <w:szCs w:val="22"/>
              </w:rPr>
              <w:t>–</w:t>
            </w:r>
          </w:p>
        </w:tc>
        <w:tc>
          <w:tcPr>
            <w:tcW w:w="640" w:type="dxa"/>
            <w:shd w:val="clear" w:color="auto" w:fill="auto"/>
          </w:tcPr>
          <w:p w14:paraId="1683CC5A" w14:textId="77777777" w:rsidR="005E3024" w:rsidRDefault="005E3024" w:rsidP="00B34C17">
            <w:pPr>
              <w:jc w:val="both"/>
              <w:rPr>
                <w:sz w:val="22"/>
                <w:szCs w:val="22"/>
              </w:rPr>
            </w:pPr>
            <w:r>
              <w:rPr>
                <w:sz w:val="22"/>
                <w:szCs w:val="22"/>
              </w:rPr>
              <w:t>–</w:t>
            </w:r>
          </w:p>
        </w:tc>
        <w:tc>
          <w:tcPr>
            <w:tcW w:w="640" w:type="dxa"/>
            <w:shd w:val="clear" w:color="auto" w:fill="auto"/>
          </w:tcPr>
          <w:p w14:paraId="59435097" w14:textId="77777777" w:rsidR="005E3024" w:rsidRDefault="005E3024" w:rsidP="00B34C17">
            <w:pPr>
              <w:jc w:val="both"/>
              <w:rPr>
                <w:sz w:val="22"/>
                <w:szCs w:val="22"/>
              </w:rPr>
            </w:pPr>
            <w:r>
              <w:rPr>
                <w:sz w:val="22"/>
                <w:szCs w:val="22"/>
              </w:rPr>
              <w:t>–</w:t>
            </w:r>
          </w:p>
        </w:tc>
        <w:tc>
          <w:tcPr>
            <w:tcW w:w="883" w:type="dxa"/>
            <w:shd w:val="clear" w:color="auto" w:fill="auto"/>
          </w:tcPr>
          <w:p w14:paraId="06779E08" w14:textId="77777777" w:rsidR="005E3024" w:rsidRDefault="005E3024" w:rsidP="00B34C17">
            <w:pPr>
              <w:jc w:val="both"/>
              <w:rPr>
                <w:sz w:val="22"/>
                <w:szCs w:val="22"/>
              </w:rPr>
            </w:pPr>
            <w:r>
              <w:rPr>
                <w:sz w:val="22"/>
                <w:szCs w:val="22"/>
              </w:rPr>
              <w:t>+</w:t>
            </w:r>
          </w:p>
        </w:tc>
        <w:tc>
          <w:tcPr>
            <w:tcW w:w="883" w:type="dxa"/>
            <w:shd w:val="clear" w:color="auto" w:fill="auto"/>
          </w:tcPr>
          <w:p w14:paraId="35F63EF9" w14:textId="77777777" w:rsidR="005E3024" w:rsidRDefault="005E3024" w:rsidP="00B34C17">
            <w:pPr>
              <w:jc w:val="both"/>
              <w:rPr>
                <w:sz w:val="22"/>
                <w:szCs w:val="22"/>
              </w:rPr>
            </w:pPr>
            <w:r>
              <w:rPr>
                <w:sz w:val="22"/>
                <w:szCs w:val="22"/>
              </w:rPr>
              <w:t>+</w:t>
            </w:r>
          </w:p>
        </w:tc>
        <w:tc>
          <w:tcPr>
            <w:tcW w:w="1406" w:type="dxa"/>
            <w:shd w:val="clear" w:color="auto" w:fill="auto"/>
          </w:tcPr>
          <w:p w14:paraId="42DA946C" w14:textId="77777777" w:rsidR="005E3024" w:rsidRDefault="005E3024" w:rsidP="00B34C17">
            <w:pPr>
              <w:jc w:val="both"/>
              <w:rPr>
                <w:sz w:val="22"/>
                <w:szCs w:val="22"/>
              </w:rPr>
            </w:pPr>
            <w:r>
              <w:rPr>
                <w:sz w:val="22"/>
                <w:szCs w:val="22"/>
              </w:rPr>
              <w:t>25</w:t>
            </w:r>
          </w:p>
        </w:tc>
      </w:tr>
      <w:tr w:rsidR="005E3024" w14:paraId="6333B250" w14:textId="77777777" w:rsidTr="00A2713B">
        <w:trPr>
          <w:trHeight w:val="376"/>
        </w:trPr>
        <w:tc>
          <w:tcPr>
            <w:tcW w:w="1037" w:type="dxa"/>
          </w:tcPr>
          <w:p w14:paraId="0E133539" w14:textId="77777777" w:rsidR="005E3024" w:rsidRDefault="005E3024" w:rsidP="00B34C17">
            <w:pPr>
              <w:jc w:val="both"/>
              <w:rPr>
                <w:sz w:val="22"/>
                <w:szCs w:val="22"/>
              </w:rPr>
            </w:pPr>
          </w:p>
        </w:tc>
        <w:tc>
          <w:tcPr>
            <w:tcW w:w="2023" w:type="dxa"/>
          </w:tcPr>
          <w:p w14:paraId="11ED81A9" w14:textId="77777777" w:rsidR="005E3024" w:rsidRDefault="005E3024" w:rsidP="00B34C17">
            <w:pPr>
              <w:jc w:val="both"/>
              <w:rPr>
                <w:sz w:val="22"/>
                <w:szCs w:val="22"/>
              </w:rPr>
            </w:pPr>
          </w:p>
        </w:tc>
        <w:tc>
          <w:tcPr>
            <w:tcW w:w="802" w:type="dxa"/>
          </w:tcPr>
          <w:p w14:paraId="5F93DB7A" w14:textId="77777777" w:rsidR="005E3024" w:rsidRDefault="005E3024" w:rsidP="00B34C17">
            <w:pPr>
              <w:jc w:val="both"/>
              <w:rPr>
                <w:sz w:val="22"/>
                <w:szCs w:val="22"/>
              </w:rPr>
            </w:pPr>
          </w:p>
        </w:tc>
        <w:tc>
          <w:tcPr>
            <w:tcW w:w="802" w:type="dxa"/>
          </w:tcPr>
          <w:p w14:paraId="4657C22B" w14:textId="77777777" w:rsidR="005E3024" w:rsidRDefault="005E3024" w:rsidP="00B34C17">
            <w:pPr>
              <w:jc w:val="both"/>
              <w:rPr>
                <w:sz w:val="22"/>
                <w:szCs w:val="22"/>
              </w:rPr>
            </w:pPr>
          </w:p>
        </w:tc>
        <w:tc>
          <w:tcPr>
            <w:tcW w:w="802" w:type="dxa"/>
          </w:tcPr>
          <w:p w14:paraId="2FC0C636" w14:textId="77777777" w:rsidR="005E3024" w:rsidRDefault="005E3024" w:rsidP="00B34C17">
            <w:pPr>
              <w:jc w:val="both"/>
              <w:rPr>
                <w:sz w:val="22"/>
                <w:szCs w:val="22"/>
              </w:rPr>
            </w:pPr>
          </w:p>
        </w:tc>
        <w:tc>
          <w:tcPr>
            <w:tcW w:w="640" w:type="dxa"/>
          </w:tcPr>
          <w:p w14:paraId="1180D040" w14:textId="77777777" w:rsidR="005E3024" w:rsidRDefault="005E3024" w:rsidP="00B34C17">
            <w:pPr>
              <w:jc w:val="both"/>
              <w:rPr>
                <w:sz w:val="22"/>
                <w:szCs w:val="22"/>
              </w:rPr>
            </w:pPr>
          </w:p>
        </w:tc>
        <w:tc>
          <w:tcPr>
            <w:tcW w:w="640" w:type="dxa"/>
          </w:tcPr>
          <w:p w14:paraId="15C1D76F" w14:textId="77777777" w:rsidR="005E3024" w:rsidRDefault="005E3024" w:rsidP="00B34C17">
            <w:pPr>
              <w:jc w:val="both"/>
              <w:rPr>
                <w:sz w:val="22"/>
                <w:szCs w:val="22"/>
              </w:rPr>
            </w:pPr>
          </w:p>
        </w:tc>
        <w:tc>
          <w:tcPr>
            <w:tcW w:w="883" w:type="dxa"/>
          </w:tcPr>
          <w:p w14:paraId="487268EF" w14:textId="77777777" w:rsidR="005E3024" w:rsidRDefault="005E3024" w:rsidP="00B34C17">
            <w:pPr>
              <w:jc w:val="both"/>
              <w:rPr>
                <w:sz w:val="22"/>
                <w:szCs w:val="22"/>
              </w:rPr>
            </w:pPr>
          </w:p>
        </w:tc>
        <w:tc>
          <w:tcPr>
            <w:tcW w:w="883" w:type="dxa"/>
          </w:tcPr>
          <w:p w14:paraId="683067B9" w14:textId="77777777" w:rsidR="005E3024" w:rsidRDefault="005E3024" w:rsidP="00B34C17">
            <w:pPr>
              <w:jc w:val="both"/>
              <w:rPr>
                <w:sz w:val="22"/>
                <w:szCs w:val="22"/>
              </w:rPr>
            </w:pPr>
          </w:p>
        </w:tc>
        <w:tc>
          <w:tcPr>
            <w:tcW w:w="1406" w:type="dxa"/>
          </w:tcPr>
          <w:p w14:paraId="24080850" w14:textId="77777777" w:rsidR="005E3024" w:rsidRDefault="005E3024" w:rsidP="00B34C17">
            <w:pPr>
              <w:jc w:val="both"/>
              <w:rPr>
                <w:sz w:val="22"/>
                <w:szCs w:val="22"/>
              </w:rPr>
            </w:pPr>
            <w:r>
              <w:rPr>
                <w:sz w:val="22"/>
                <w:szCs w:val="22"/>
              </w:rPr>
              <w:t>MBC value (mg/mL)</w:t>
            </w:r>
          </w:p>
        </w:tc>
      </w:tr>
      <w:tr w:rsidR="005E3024" w14:paraId="55CF9A11" w14:textId="77777777" w:rsidTr="00A2713B">
        <w:trPr>
          <w:cnfStyle w:val="000000100000" w:firstRow="0" w:lastRow="0" w:firstColumn="0" w:lastColumn="0" w:oddVBand="0" w:evenVBand="0" w:oddHBand="1" w:evenHBand="0" w:firstRowFirstColumn="0" w:firstRowLastColumn="0" w:lastRowFirstColumn="0" w:lastRowLastColumn="0"/>
          <w:trHeight w:val="376"/>
        </w:trPr>
        <w:tc>
          <w:tcPr>
            <w:tcW w:w="1037" w:type="dxa"/>
            <w:shd w:val="clear" w:color="auto" w:fill="auto"/>
          </w:tcPr>
          <w:p w14:paraId="514C8B51" w14:textId="77777777" w:rsidR="005E3024" w:rsidRDefault="005E3024" w:rsidP="00B34C17">
            <w:pPr>
              <w:jc w:val="both"/>
              <w:rPr>
                <w:sz w:val="22"/>
                <w:szCs w:val="22"/>
              </w:rPr>
            </w:pPr>
            <w:r>
              <w:rPr>
                <w:sz w:val="22"/>
                <w:szCs w:val="22"/>
              </w:rPr>
              <w:t>MBC</w:t>
            </w:r>
          </w:p>
        </w:tc>
        <w:tc>
          <w:tcPr>
            <w:tcW w:w="2023" w:type="dxa"/>
            <w:shd w:val="clear" w:color="auto" w:fill="auto"/>
          </w:tcPr>
          <w:p w14:paraId="00897D9E" w14:textId="77777777" w:rsidR="005E3024" w:rsidRDefault="005E3024" w:rsidP="00B34C17">
            <w:pPr>
              <w:jc w:val="both"/>
              <w:rPr>
                <w:sz w:val="22"/>
                <w:szCs w:val="22"/>
              </w:rPr>
            </w:pPr>
            <w:r>
              <w:rPr>
                <w:sz w:val="22"/>
                <w:szCs w:val="22"/>
              </w:rPr>
              <w:t>S. aureus</w:t>
            </w:r>
          </w:p>
        </w:tc>
        <w:tc>
          <w:tcPr>
            <w:tcW w:w="802" w:type="dxa"/>
            <w:shd w:val="clear" w:color="auto" w:fill="auto"/>
          </w:tcPr>
          <w:p w14:paraId="35A4CC0C" w14:textId="77777777" w:rsidR="005E3024" w:rsidRDefault="005E3024" w:rsidP="00B34C17">
            <w:pPr>
              <w:jc w:val="both"/>
              <w:rPr>
                <w:sz w:val="22"/>
                <w:szCs w:val="22"/>
              </w:rPr>
            </w:pPr>
            <w:r>
              <w:rPr>
                <w:sz w:val="22"/>
                <w:szCs w:val="22"/>
              </w:rPr>
              <w:t>–</w:t>
            </w:r>
          </w:p>
        </w:tc>
        <w:tc>
          <w:tcPr>
            <w:tcW w:w="802" w:type="dxa"/>
            <w:shd w:val="clear" w:color="auto" w:fill="auto"/>
          </w:tcPr>
          <w:p w14:paraId="0E34C44D" w14:textId="77777777" w:rsidR="005E3024" w:rsidRDefault="005E3024" w:rsidP="00B34C17">
            <w:pPr>
              <w:jc w:val="both"/>
              <w:rPr>
                <w:sz w:val="22"/>
                <w:szCs w:val="22"/>
              </w:rPr>
            </w:pPr>
            <w:r>
              <w:rPr>
                <w:sz w:val="22"/>
                <w:szCs w:val="22"/>
              </w:rPr>
              <w:t>–</w:t>
            </w:r>
          </w:p>
        </w:tc>
        <w:tc>
          <w:tcPr>
            <w:tcW w:w="802" w:type="dxa"/>
            <w:shd w:val="clear" w:color="auto" w:fill="auto"/>
          </w:tcPr>
          <w:p w14:paraId="195B780B" w14:textId="77777777" w:rsidR="005E3024" w:rsidRDefault="005E3024" w:rsidP="00B34C17">
            <w:pPr>
              <w:jc w:val="both"/>
              <w:rPr>
                <w:sz w:val="22"/>
                <w:szCs w:val="22"/>
              </w:rPr>
            </w:pPr>
            <w:r>
              <w:rPr>
                <w:sz w:val="22"/>
                <w:szCs w:val="22"/>
              </w:rPr>
              <w:t>–</w:t>
            </w:r>
          </w:p>
        </w:tc>
        <w:tc>
          <w:tcPr>
            <w:tcW w:w="640" w:type="dxa"/>
            <w:shd w:val="clear" w:color="auto" w:fill="auto"/>
          </w:tcPr>
          <w:p w14:paraId="65190F11" w14:textId="77777777" w:rsidR="005E3024" w:rsidRDefault="005E3024" w:rsidP="00B34C17">
            <w:pPr>
              <w:jc w:val="both"/>
              <w:rPr>
                <w:sz w:val="22"/>
                <w:szCs w:val="22"/>
              </w:rPr>
            </w:pPr>
            <w:r>
              <w:rPr>
                <w:sz w:val="22"/>
                <w:szCs w:val="22"/>
              </w:rPr>
              <w:t>–</w:t>
            </w:r>
          </w:p>
        </w:tc>
        <w:tc>
          <w:tcPr>
            <w:tcW w:w="640" w:type="dxa"/>
            <w:shd w:val="clear" w:color="auto" w:fill="auto"/>
          </w:tcPr>
          <w:p w14:paraId="0D63ED8C" w14:textId="77777777" w:rsidR="005E3024" w:rsidRDefault="005E3024" w:rsidP="00B34C17">
            <w:pPr>
              <w:jc w:val="both"/>
              <w:rPr>
                <w:sz w:val="22"/>
                <w:szCs w:val="22"/>
              </w:rPr>
            </w:pPr>
            <w:r>
              <w:rPr>
                <w:sz w:val="22"/>
                <w:szCs w:val="22"/>
              </w:rPr>
              <w:t>+</w:t>
            </w:r>
          </w:p>
        </w:tc>
        <w:tc>
          <w:tcPr>
            <w:tcW w:w="883" w:type="dxa"/>
            <w:shd w:val="clear" w:color="auto" w:fill="auto"/>
          </w:tcPr>
          <w:p w14:paraId="4D9CDCB0" w14:textId="77777777" w:rsidR="005E3024" w:rsidRDefault="005E3024" w:rsidP="00B34C17">
            <w:pPr>
              <w:jc w:val="both"/>
              <w:rPr>
                <w:sz w:val="22"/>
                <w:szCs w:val="22"/>
              </w:rPr>
            </w:pPr>
            <w:r>
              <w:rPr>
                <w:sz w:val="22"/>
                <w:szCs w:val="22"/>
              </w:rPr>
              <w:t>+</w:t>
            </w:r>
          </w:p>
        </w:tc>
        <w:tc>
          <w:tcPr>
            <w:tcW w:w="883" w:type="dxa"/>
            <w:shd w:val="clear" w:color="auto" w:fill="auto"/>
          </w:tcPr>
          <w:p w14:paraId="15CB3B0F" w14:textId="77777777" w:rsidR="005E3024" w:rsidRDefault="005E3024" w:rsidP="00B34C17">
            <w:pPr>
              <w:jc w:val="both"/>
              <w:rPr>
                <w:sz w:val="22"/>
                <w:szCs w:val="22"/>
              </w:rPr>
            </w:pPr>
            <w:r>
              <w:rPr>
                <w:sz w:val="22"/>
                <w:szCs w:val="22"/>
              </w:rPr>
              <w:t>+</w:t>
            </w:r>
          </w:p>
        </w:tc>
        <w:tc>
          <w:tcPr>
            <w:tcW w:w="1406" w:type="dxa"/>
            <w:shd w:val="clear" w:color="auto" w:fill="auto"/>
          </w:tcPr>
          <w:p w14:paraId="30A5703D" w14:textId="77777777" w:rsidR="005E3024" w:rsidRDefault="005E3024" w:rsidP="00B34C17">
            <w:pPr>
              <w:jc w:val="both"/>
              <w:rPr>
                <w:sz w:val="22"/>
                <w:szCs w:val="22"/>
              </w:rPr>
            </w:pPr>
            <w:r>
              <w:rPr>
                <w:sz w:val="22"/>
                <w:szCs w:val="22"/>
              </w:rPr>
              <w:t>50</w:t>
            </w:r>
          </w:p>
        </w:tc>
      </w:tr>
      <w:tr w:rsidR="005E3024" w14:paraId="419664D9" w14:textId="77777777" w:rsidTr="00A2713B">
        <w:trPr>
          <w:trHeight w:val="389"/>
        </w:trPr>
        <w:tc>
          <w:tcPr>
            <w:tcW w:w="1037" w:type="dxa"/>
          </w:tcPr>
          <w:p w14:paraId="18566A13" w14:textId="77777777" w:rsidR="005E3024" w:rsidRDefault="005E3024" w:rsidP="00B34C17">
            <w:pPr>
              <w:jc w:val="both"/>
              <w:rPr>
                <w:sz w:val="22"/>
                <w:szCs w:val="22"/>
              </w:rPr>
            </w:pPr>
          </w:p>
        </w:tc>
        <w:tc>
          <w:tcPr>
            <w:tcW w:w="2023" w:type="dxa"/>
          </w:tcPr>
          <w:p w14:paraId="463023F5" w14:textId="77777777" w:rsidR="005E3024" w:rsidRDefault="005E3024" w:rsidP="00B34C17">
            <w:pPr>
              <w:jc w:val="both"/>
              <w:rPr>
                <w:sz w:val="22"/>
                <w:szCs w:val="22"/>
              </w:rPr>
            </w:pPr>
            <w:r>
              <w:rPr>
                <w:sz w:val="22"/>
                <w:szCs w:val="22"/>
              </w:rPr>
              <w:t>S. typhi</w:t>
            </w:r>
          </w:p>
        </w:tc>
        <w:tc>
          <w:tcPr>
            <w:tcW w:w="802" w:type="dxa"/>
          </w:tcPr>
          <w:p w14:paraId="3FE04BAA" w14:textId="77777777" w:rsidR="005E3024" w:rsidRDefault="005E3024" w:rsidP="00B34C17">
            <w:pPr>
              <w:jc w:val="both"/>
              <w:rPr>
                <w:sz w:val="22"/>
                <w:szCs w:val="22"/>
              </w:rPr>
            </w:pPr>
            <w:r>
              <w:rPr>
                <w:sz w:val="22"/>
                <w:szCs w:val="22"/>
              </w:rPr>
              <w:t>–</w:t>
            </w:r>
          </w:p>
        </w:tc>
        <w:tc>
          <w:tcPr>
            <w:tcW w:w="802" w:type="dxa"/>
          </w:tcPr>
          <w:p w14:paraId="1AC3948C" w14:textId="77777777" w:rsidR="005E3024" w:rsidRDefault="005E3024" w:rsidP="00B34C17">
            <w:pPr>
              <w:jc w:val="both"/>
              <w:rPr>
                <w:sz w:val="22"/>
                <w:szCs w:val="22"/>
              </w:rPr>
            </w:pPr>
            <w:r>
              <w:rPr>
                <w:sz w:val="22"/>
                <w:szCs w:val="22"/>
              </w:rPr>
              <w:t>–</w:t>
            </w:r>
          </w:p>
        </w:tc>
        <w:tc>
          <w:tcPr>
            <w:tcW w:w="802" w:type="dxa"/>
          </w:tcPr>
          <w:p w14:paraId="5C2685E4" w14:textId="77777777" w:rsidR="005E3024" w:rsidRDefault="005E3024" w:rsidP="00B34C17">
            <w:pPr>
              <w:jc w:val="both"/>
              <w:rPr>
                <w:sz w:val="22"/>
                <w:szCs w:val="22"/>
              </w:rPr>
            </w:pPr>
            <w:r>
              <w:rPr>
                <w:sz w:val="22"/>
                <w:szCs w:val="22"/>
              </w:rPr>
              <w:t>–</w:t>
            </w:r>
          </w:p>
        </w:tc>
        <w:tc>
          <w:tcPr>
            <w:tcW w:w="640" w:type="dxa"/>
          </w:tcPr>
          <w:p w14:paraId="4CEB5D29" w14:textId="77777777" w:rsidR="005E3024" w:rsidRDefault="005E3024" w:rsidP="00B34C17">
            <w:pPr>
              <w:jc w:val="both"/>
              <w:rPr>
                <w:sz w:val="22"/>
                <w:szCs w:val="22"/>
              </w:rPr>
            </w:pPr>
            <w:r>
              <w:rPr>
                <w:sz w:val="22"/>
                <w:szCs w:val="22"/>
              </w:rPr>
              <w:t>–</w:t>
            </w:r>
          </w:p>
        </w:tc>
        <w:tc>
          <w:tcPr>
            <w:tcW w:w="640" w:type="dxa"/>
          </w:tcPr>
          <w:p w14:paraId="7C61C5DB" w14:textId="77777777" w:rsidR="005E3024" w:rsidRDefault="005E3024" w:rsidP="00B34C17">
            <w:pPr>
              <w:jc w:val="both"/>
              <w:rPr>
                <w:sz w:val="22"/>
                <w:szCs w:val="22"/>
              </w:rPr>
            </w:pPr>
            <w:r>
              <w:rPr>
                <w:sz w:val="22"/>
                <w:szCs w:val="22"/>
              </w:rPr>
              <w:t>+</w:t>
            </w:r>
          </w:p>
        </w:tc>
        <w:tc>
          <w:tcPr>
            <w:tcW w:w="883" w:type="dxa"/>
          </w:tcPr>
          <w:p w14:paraId="4DF06C34" w14:textId="77777777" w:rsidR="005E3024" w:rsidRDefault="005E3024" w:rsidP="00B34C17">
            <w:pPr>
              <w:jc w:val="both"/>
              <w:rPr>
                <w:sz w:val="22"/>
                <w:szCs w:val="22"/>
              </w:rPr>
            </w:pPr>
            <w:r>
              <w:rPr>
                <w:sz w:val="22"/>
                <w:szCs w:val="22"/>
              </w:rPr>
              <w:t>+</w:t>
            </w:r>
          </w:p>
        </w:tc>
        <w:tc>
          <w:tcPr>
            <w:tcW w:w="883" w:type="dxa"/>
          </w:tcPr>
          <w:p w14:paraId="1B73D44B" w14:textId="77777777" w:rsidR="005E3024" w:rsidRDefault="005E3024" w:rsidP="00B34C17">
            <w:pPr>
              <w:jc w:val="both"/>
              <w:rPr>
                <w:sz w:val="22"/>
                <w:szCs w:val="22"/>
              </w:rPr>
            </w:pPr>
            <w:r>
              <w:rPr>
                <w:sz w:val="22"/>
                <w:szCs w:val="22"/>
              </w:rPr>
              <w:t>+</w:t>
            </w:r>
          </w:p>
        </w:tc>
        <w:tc>
          <w:tcPr>
            <w:tcW w:w="1406" w:type="dxa"/>
          </w:tcPr>
          <w:p w14:paraId="45A40D13" w14:textId="77777777" w:rsidR="005E3024" w:rsidRDefault="005E3024" w:rsidP="00B34C17">
            <w:pPr>
              <w:jc w:val="both"/>
              <w:rPr>
                <w:sz w:val="22"/>
                <w:szCs w:val="22"/>
              </w:rPr>
            </w:pPr>
            <w:r>
              <w:rPr>
                <w:sz w:val="22"/>
                <w:szCs w:val="22"/>
              </w:rPr>
              <w:t>50</w:t>
            </w:r>
          </w:p>
        </w:tc>
      </w:tr>
      <w:tr w:rsidR="005E3024" w14:paraId="76F2958D" w14:textId="77777777" w:rsidTr="00A2713B">
        <w:trPr>
          <w:cnfStyle w:val="000000100000" w:firstRow="0" w:lastRow="0" w:firstColumn="0" w:lastColumn="0" w:oddVBand="0" w:evenVBand="0" w:oddHBand="1" w:evenHBand="0" w:firstRowFirstColumn="0" w:firstRowLastColumn="0" w:lastRowFirstColumn="0" w:lastRowLastColumn="0"/>
          <w:trHeight w:val="376"/>
        </w:trPr>
        <w:tc>
          <w:tcPr>
            <w:tcW w:w="1037" w:type="dxa"/>
            <w:shd w:val="clear" w:color="auto" w:fill="auto"/>
          </w:tcPr>
          <w:p w14:paraId="41A7B598" w14:textId="77777777" w:rsidR="005E3024" w:rsidRDefault="005E3024" w:rsidP="00B34C17">
            <w:pPr>
              <w:jc w:val="both"/>
              <w:rPr>
                <w:sz w:val="22"/>
                <w:szCs w:val="22"/>
              </w:rPr>
            </w:pPr>
          </w:p>
        </w:tc>
        <w:tc>
          <w:tcPr>
            <w:tcW w:w="2023" w:type="dxa"/>
            <w:shd w:val="clear" w:color="auto" w:fill="auto"/>
          </w:tcPr>
          <w:p w14:paraId="59EE5D1C" w14:textId="77777777" w:rsidR="005E3024" w:rsidRDefault="005E3024" w:rsidP="00B34C17">
            <w:pPr>
              <w:jc w:val="both"/>
              <w:rPr>
                <w:sz w:val="22"/>
                <w:szCs w:val="22"/>
              </w:rPr>
            </w:pPr>
            <w:r>
              <w:rPr>
                <w:sz w:val="22"/>
                <w:szCs w:val="22"/>
              </w:rPr>
              <w:t>P. aeruginosa</w:t>
            </w:r>
          </w:p>
        </w:tc>
        <w:tc>
          <w:tcPr>
            <w:tcW w:w="802" w:type="dxa"/>
            <w:shd w:val="clear" w:color="auto" w:fill="auto"/>
          </w:tcPr>
          <w:p w14:paraId="2876F3A9" w14:textId="77777777" w:rsidR="005E3024" w:rsidRDefault="005E3024" w:rsidP="00B34C17">
            <w:pPr>
              <w:jc w:val="both"/>
              <w:rPr>
                <w:sz w:val="22"/>
                <w:szCs w:val="22"/>
              </w:rPr>
            </w:pPr>
            <w:r>
              <w:rPr>
                <w:sz w:val="22"/>
                <w:szCs w:val="22"/>
              </w:rPr>
              <w:t>–</w:t>
            </w:r>
          </w:p>
        </w:tc>
        <w:tc>
          <w:tcPr>
            <w:tcW w:w="802" w:type="dxa"/>
            <w:shd w:val="clear" w:color="auto" w:fill="auto"/>
          </w:tcPr>
          <w:p w14:paraId="766E50DD" w14:textId="77777777" w:rsidR="005E3024" w:rsidRDefault="005E3024" w:rsidP="00B34C17">
            <w:pPr>
              <w:jc w:val="both"/>
              <w:rPr>
                <w:sz w:val="22"/>
                <w:szCs w:val="22"/>
              </w:rPr>
            </w:pPr>
            <w:r>
              <w:rPr>
                <w:sz w:val="22"/>
                <w:szCs w:val="22"/>
              </w:rPr>
              <w:t>–</w:t>
            </w:r>
          </w:p>
        </w:tc>
        <w:tc>
          <w:tcPr>
            <w:tcW w:w="802" w:type="dxa"/>
            <w:shd w:val="clear" w:color="auto" w:fill="auto"/>
          </w:tcPr>
          <w:p w14:paraId="01213084" w14:textId="77777777" w:rsidR="005E3024" w:rsidRDefault="005E3024" w:rsidP="00B34C17">
            <w:pPr>
              <w:jc w:val="both"/>
              <w:rPr>
                <w:sz w:val="22"/>
                <w:szCs w:val="22"/>
              </w:rPr>
            </w:pPr>
            <w:r>
              <w:rPr>
                <w:sz w:val="22"/>
                <w:szCs w:val="22"/>
              </w:rPr>
              <w:t>–</w:t>
            </w:r>
          </w:p>
        </w:tc>
        <w:tc>
          <w:tcPr>
            <w:tcW w:w="640" w:type="dxa"/>
            <w:shd w:val="clear" w:color="auto" w:fill="auto"/>
          </w:tcPr>
          <w:p w14:paraId="714EDFBD" w14:textId="77777777" w:rsidR="005E3024" w:rsidRDefault="005E3024" w:rsidP="00B34C17">
            <w:pPr>
              <w:jc w:val="both"/>
              <w:rPr>
                <w:sz w:val="22"/>
                <w:szCs w:val="22"/>
              </w:rPr>
            </w:pPr>
            <w:r>
              <w:rPr>
                <w:sz w:val="22"/>
                <w:szCs w:val="22"/>
              </w:rPr>
              <w:t>–</w:t>
            </w:r>
          </w:p>
        </w:tc>
        <w:tc>
          <w:tcPr>
            <w:tcW w:w="640" w:type="dxa"/>
            <w:shd w:val="clear" w:color="auto" w:fill="auto"/>
          </w:tcPr>
          <w:p w14:paraId="79EA40CE" w14:textId="77777777" w:rsidR="005E3024" w:rsidRDefault="005E3024" w:rsidP="00B34C17">
            <w:pPr>
              <w:jc w:val="both"/>
              <w:rPr>
                <w:sz w:val="22"/>
                <w:szCs w:val="22"/>
              </w:rPr>
            </w:pPr>
            <w:r>
              <w:rPr>
                <w:sz w:val="22"/>
                <w:szCs w:val="22"/>
              </w:rPr>
              <w:t>+</w:t>
            </w:r>
          </w:p>
        </w:tc>
        <w:tc>
          <w:tcPr>
            <w:tcW w:w="883" w:type="dxa"/>
            <w:shd w:val="clear" w:color="auto" w:fill="auto"/>
          </w:tcPr>
          <w:p w14:paraId="2AC520D7" w14:textId="77777777" w:rsidR="005E3024" w:rsidRDefault="005E3024" w:rsidP="00B34C17">
            <w:pPr>
              <w:jc w:val="both"/>
              <w:rPr>
                <w:sz w:val="22"/>
                <w:szCs w:val="22"/>
              </w:rPr>
            </w:pPr>
            <w:r>
              <w:rPr>
                <w:sz w:val="22"/>
                <w:szCs w:val="22"/>
              </w:rPr>
              <w:t>+</w:t>
            </w:r>
          </w:p>
        </w:tc>
        <w:tc>
          <w:tcPr>
            <w:tcW w:w="883" w:type="dxa"/>
            <w:shd w:val="clear" w:color="auto" w:fill="auto"/>
          </w:tcPr>
          <w:p w14:paraId="67899146" w14:textId="77777777" w:rsidR="005E3024" w:rsidRDefault="005E3024" w:rsidP="00B34C17">
            <w:pPr>
              <w:jc w:val="both"/>
              <w:rPr>
                <w:sz w:val="22"/>
                <w:szCs w:val="22"/>
              </w:rPr>
            </w:pPr>
            <w:r>
              <w:rPr>
                <w:sz w:val="22"/>
                <w:szCs w:val="22"/>
              </w:rPr>
              <w:t>+</w:t>
            </w:r>
          </w:p>
        </w:tc>
        <w:tc>
          <w:tcPr>
            <w:tcW w:w="1406" w:type="dxa"/>
            <w:shd w:val="clear" w:color="auto" w:fill="auto"/>
          </w:tcPr>
          <w:p w14:paraId="23971AF9" w14:textId="77777777" w:rsidR="005E3024" w:rsidRDefault="005E3024" w:rsidP="00B34C17">
            <w:pPr>
              <w:jc w:val="both"/>
              <w:rPr>
                <w:sz w:val="22"/>
                <w:szCs w:val="22"/>
              </w:rPr>
            </w:pPr>
            <w:r>
              <w:rPr>
                <w:sz w:val="22"/>
                <w:szCs w:val="22"/>
              </w:rPr>
              <w:t>50</w:t>
            </w:r>
          </w:p>
        </w:tc>
      </w:tr>
      <w:tr w:rsidR="005E3024" w14:paraId="526AD7CE" w14:textId="77777777" w:rsidTr="00A2713B">
        <w:trPr>
          <w:trHeight w:val="389"/>
        </w:trPr>
        <w:tc>
          <w:tcPr>
            <w:tcW w:w="1037" w:type="dxa"/>
          </w:tcPr>
          <w:p w14:paraId="53602CEB" w14:textId="77777777" w:rsidR="005E3024" w:rsidRDefault="005E3024" w:rsidP="00B34C17">
            <w:pPr>
              <w:jc w:val="both"/>
              <w:rPr>
                <w:sz w:val="22"/>
                <w:szCs w:val="22"/>
              </w:rPr>
            </w:pPr>
          </w:p>
        </w:tc>
        <w:tc>
          <w:tcPr>
            <w:tcW w:w="2023" w:type="dxa"/>
          </w:tcPr>
          <w:p w14:paraId="2BA82663" w14:textId="77777777" w:rsidR="005E3024" w:rsidRDefault="005E3024" w:rsidP="00B34C17">
            <w:pPr>
              <w:jc w:val="both"/>
              <w:rPr>
                <w:sz w:val="22"/>
                <w:szCs w:val="22"/>
              </w:rPr>
            </w:pPr>
            <w:r>
              <w:rPr>
                <w:sz w:val="22"/>
                <w:szCs w:val="22"/>
              </w:rPr>
              <w:t>E. coli</w:t>
            </w:r>
          </w:p>
        </w:tc>
        <w:tc>
          <w:tcPr>
            <w:tcW w:w="802" w:type="dxa"/>
          </w:tcPr>
          <w:p w14:paraId="6CD576D5" w14:textId="77777777" w:rsidR="005E3024" w:rsidRDefault="005E3024" w:rsidP="00B34C17">
            <w:pPr>
              <w:jc w:val="both"/>
              <w:rPr>
                <w:sz w:val="22"/>
                <w:szCs w:val="22"/>
              </w:rPr>
            </w:pPr>
            <w:r>
              <w:rPr>
                <w:sz w:val="22"/>
                <w:szCs w:val="22"/>
              </w:rPr>
              <w:t>–</w:t>
            </w:r>
          </w:p>
        </w:tc>
        <w:tc>
          <w:tcPr>
            <w:tcW w:w="802" w:type="dxa"/>
          </w:tcPr>
          <w:p w14:paraId="543CC589" w14:textId="77777777" w:rsidR="005E3024" w:rsidRDefault="005E3024" w:rsidP="00B34C17">
            <w:pPr>
              <w:jc w:val="both"/>
              <w:rPr>
                <w:sz w:val="22"/>
                <w:szCs w:val="22"/>
              </w:rPr>
            </w:pPr>
            <w:r>
              <w:rPr>
                <w:sz w:val="22"/>
                <w:szCs w:val="22"/>
              </w:rPr>
              <w:t>–</w:t>
            </w:r>
          </w:p>
        </w:tc>
        <w:tc>
          <w:tcPr>
            <w:tcW w:w="802" w:type="dxa"/>
          </w:tcPr>
          <w:p w14:paraId="3A72F1DC" w14:textId="77777777" w:rsidR="005E3024" w:rsidRDefault="005E3024" w:rsidP="00B34C17">
            <w:pPr>
              <w:jc w:val="both"/>
              <w:rPr>
                <w:sz w:val="22"/>
                <w:szCs w:val="22"/>
              </w:rPr>
            </w:pPr>
            <w:r>
              <w:rPr>
                <w:sz w:val="22"/>
                <w:szCs w:val="22"/>
              </w:rPr>
              <w:t>–</w:t>
            </w:r>
          </w:p>
        </w:tc>
        <w:tc>
          <w:tcPr>
            <w:tcW w:w="640" w:type="dxa"/>
          </w:tcPr>
          <w:p w14:paraId="66B55DA3" w14:textId="77777777" w:rsidR="005E3024" w:rsidRDefault="005E3024" w:rsidP="00B34C17">
            <w:pPr>
              <w:jc w:val="both"/>
              <w:rPr>
                <w:sz w:val="22"/>
                <w:szCs w:val="22"/>
              </w:rPr>
            </w:pPr>
            <w:r>
              <w:rPr>
                <w:sz w:val="22"/>
                <w:szCs w:val="22"/>
              </w:rPr>
              <w:t>–</w:t>
            </w:r>
          </w:p>
        </w:tc>
        <w:tc>
          <w:tcPr>
            <w:tcW w:w="640" w:type="dxa"/>
          </w:tcPr>
          <w:p w14:paraId="56D61273" w14:textId="77777777" w:rsidR="005E3024" w:rsidRDefault="005E3024" w:rsidP="00B34C17">
            <w:pPr>
              <w:jc w:val="both"/>
              <w:rPr>
                <w:sz w:val="22"/>
                <w:szCs w:val="22"/>
              </w:rPr>
            </w:pPr>
            <w:r>
              <w:rPr>
                <w:sz w:val="22"/>
                <w:szCs w:val="22"/>
              </w:rPr>
              <w:t>+</w:t>
            </w:r>
          </w:p>
        </w:tc>
        <w:tc>
          <w:tcPr>
            <w:tcW w:w="883" w:type="dxa"/>
          </w:tcPr>
          <w:p w14:paraId="6D8EB69E" w14:textId="77777777" w:rsidR="005E3024" w:rsidRDefault="005E3024" w:rsidP="00B34C17">
            <w:pPr>
              <w:jc w:val="both"/>
              <w:rPr>
                <w:sz w:val="22"/>
                <w:szCs w:val="22"/>
              </w:rPr>
            </w:pPr>
            <w:r>
              <w:rPr>
                <w:sz w:val="22"/>
                <w:szCs w:val="22"/>
              </w:rPr>
              <w:t>+</w:t>
            </w:r>
          </w:p>
        </w:tc>
        <w:tc>
          <w:tcPr>
            <w:tcW w:w="883" w:type="dxa"/>
          </w:tcPr>
          <w:p w14:paraId="1700BA5F" w14:textId="77777777" w:rsidR="005E3024" w:rsidRDefault="005E3024" w:rsidP="00B34C17">
            <w:pPr>
              <w:jc w:val="both"/>
              <w:rPr>
                <w:sz w:val="22"/>
                <w:szCs w:val="22"/>
              </w:rPr>
            </w:pPr>
            <w:r>
              <w:rPr>
                <w:sz w:val="22"/>
                <w:szCs w:val="22"/>
              </w:rPr>
              <w:t>+</w:t>
            </w:r>
          </w:p>
        </w:tc>
        <w:tc>
          <w:tcPr>
            <w:tcW w:w="1406" w:type="dxa"/>
          </w:tcPr>
          <w:p w14:paraId="11FA8271" w14:textId="77777777" w:rsidR="005E3024" w:rsidRDefault="005E3024" w:rsidP="00B34C17">
            <w:pPr>
              <w:jc w:val="both"/>
              <w:rPr>
                <w:sz w:val="22"/>
                <w:szCs w:val="22"/>
              </w:rPr>
            </w:pPr>
            <w:r>
              <w:rPr>
                <w:sz w:val="22"/>
                <w:szCs w:val="22"/>
              </w:rPr>
              <w:t>50</w:t>
            </w:r>
          </w:p>
        </w:tc>
      </w:tr>
    </w:tbl>
    <w:p w14:paraId="67E5E0DC" w14:textId="77777777" w:rsidR="00463559" w:rsidRPr="00355CF9" w:rsidRDefault="0003691C" w:rsidP="002F0937">
      <w:pPr>
        <w:spacing w:line="360" w:lineRule="auto"/>
        <w:jc w:val="both"/>
        <w:rPr>
          <w:b/>
          <w:iCs/>
        </w:rPr>
      </w:pPr>
      <w:r w:rsidRPr="00355CF9">
        <w:rPr>
          <w:b/>
          <w:iCs/>
        </w:rPr>
        <w:t>Discussion</w:t>
      </w:r>
    </w:p>
    <w:p w14:paraId="78F04EC1" w14:textId="77777777" w:rsidR="00AD0898" w:rsidRDefault="00AD0898" w:rsidP="002F0937">
      <w:pPr>
        <w:pStyle w:val="NormalWeb"/>
        <w:spacing w:line="360" w:lineRule="auto"/>
        <w:jc w:val="both"/>
      </w:pPr>
      <w:r>
        <w:t xml:space="preserve">Natural products remain a major source of bioactive compounds, and many modern pharmaceuticals have evolved from traditional herbal medicine (Marrelli, 2021). In this study, the alkaloid fraction of </w:t>
      </w:r>
      <w:proofErr w:type="spellStart"/>
      <w:r>
        <w:t>Newbouldia</w:t>
      </w:r>
      <w:proofErr w:type="spellEnd"/>
      <w:r>
        <w:t xml:space="preserve"> laevis leaves showed notable antioxidant and antibacterial activities, supporting its longstanding use in ethnomedicine. Antioxidant evaluation showed a clear concentration-dependent radical scavenging effect across hydroxyl, nitric oxide, DPPH, and lipid peroxidation assays. At the highest tested concentration (320 µg/mL), the fraction inhibited DPPH radicals and lipid peroxidation by 79.10% and 86.90%, respectively, indicating strong free-radical neutralizing capacity. These findings are consistent with previous reports that ethanolic leaf extracts of N. laevis exhibit potent dose-dependent scavenging activity, revealing the contribution of plant secondary metabolites to redox balance (Habu and Ibeh, 2015; </w:t>
      </w:r>
      <w:proofErr w:type="spellStart"/>
      <w:r>
        <w:t>Tsado</w:t>
      </w:r>
      <w:proofErr w:type="spellEnd"/>
      <w:r>
        <w:t xml:space="preserve"> et al., 2016)</w:t>
      </w:r>
    </w:p>
    <w:p w14:paraId="360A4577" w14:textId="77777777" w:rsidR="00AD0898" w:rsidRDefault="00AD0898" w:rsidP="002F0937">
      <w:pPr>
        <w:pStyle w:val="NormalWeb"/>
        <w:spacing w:line="360" w:lineRule="auto"/>
        <w:jc w:val="both"/>
      </w:pPr>
      <w:r>
        <w:t xml:space="preserve">The IC₅₀ values further confirmed the antioxidant potential of the fraction, with inhibitory concentrations of 92.70 µg/mL for DPPH and 102.50 µg/mL for nitric oxide radicals, while </w:t>
      </w:r>
      <w:r>
        <w:lastRenderedPageBreak/>
        <w:t>lipid peroxidation was inhibited at 196.10 µg/</w:t>
      </w:r>
      <w:proofErr w:type="spellStart"/>
      <w:r>
        <w:t>mL.</w:t>
      </w:r>
      <w:proofErr w:type="spellEnd"/>
      <w:r>
        <w:t xml:space="preserve"> Although these values were higher than those of the reference antioxidant ascorbic acid, they still indicate substantial activity. The ability to inhibit lipid peroxidation is particularly important because it suggests protection against oxidative damage to cellular membranes, a key factor in the prevention and management of chronic diseases associated with oxidative stress (</w:t>
      </w:r>
      <w:r w:rsidR="005626E5">
        <w:rPr>
          <w:color w:val="000000"/>
          <w:sz w:val="22"/>
          <w:szCs w:val="22"/>
          <w:highlight w:val="white"/>
        </w:rPr>
        <w:t>Bursal and Köksal</w:t>
      </w:r>
      <w:r w:rsidR="005626E5">
        <w:t xml:space="preserve">, 2011’ </w:t>
      </w:r>
      <w:r>
        <w:t xml:space="preserve">James et al., 2017; </w:t>
      </w:r>
      <w:proofErr w:type="spellStart"/>
      <w:r>
        <w:t>Leyane</w:t>
      </w:r>
      <w:proofErr w:type="spellEnd"/>
      <w:r>
        <w:t xml:space="preserve"> et al., 2022). This activity is likely linked to the presence of alkaloids alongside other phytochemicals such as phenolics and flavonoids, which may act synergistically to neutralize reactive oxygen and nitrogen species.</w:t>
      </w:r>
    </w:p>
    <w:p w14:paraId="4317A9BE" w14:textId="77777777" w:rsidR="00AD0898" w:rsidRDefault="00AD0898" w:rsidP="002F0937">
      <w:pPr>
        <w:pStyle w:val="NormalWeb"/>
        <w:spacing w:line="360" w:lineRule="auto"/>
        <w:jc w:val="both"/>
      </w:pPr>
      <w:r>
        <w:t>The antimicrobial findings further demonstrated that the alkaloid fraction possesses broad-spectrum activity against both Gram-positive and Gram-negative bacteria. Staphylococcus aureus was the most susceptible organism, exhibiting a zone of inhibition of 14.90 mm at 400 mg/</w:t>
      </w:r>
      <w:proofErr w:type="spellStart"/>
      <w:r>
        <w:t>mL.</w:t>
      </w:r>
      <w:proofErr w:type="spellEnd"/>
      <w:r>
        <w:t xml:space="preserve"> This observation aligns with earlier reports that </w:t>
      </w:r>
      <w:r w:rsidRPr="005626E5">
        <w:rPr>
          <w:i/>
        </w:rPr>
        <w:t>N. laevis</w:t>
      </w:r>
      <w:r>
        <w:t xml:space="preserve"> extracts tend to be more effective against Gram-positive bacteria</w:t>
      </w:r>
      <w:r w:rsidR="005626E5">
        <w:t xml:space="preserve"> (</w:t>
      </w:r>
      <w:r w:rsidR="005626E5">
        <w:rPr>
          <w:color w:val="000000"/>
          <w:sz w:val="22"/>
          <w:szCs w:val="22"/>
        </w:rPr>
        <w:t>Akande et al., 2020)</w:t>
      </w:r>
      <w:r>
        <w:t>. Minimum inhibitory concentration (MIC) and minimum bactericidal concentration (MBC) results showed inhibition of S. aureus at 12.5 mg/mL, while other tested pathogens required 25 mg/mL, with bactericidal activity observed at 50 mg/</w:t>
      </w:r>
      <w:proofErr w:type="spellStart"/>
      <w:r>
        <w:t>mL.</w:t>
      </w:r>
      <w:proofErr w:type="spellEnd"/>
      <w:r>
        <w:t xml:space="preserve"> These findings are consistent with earlier studies reporting MIC values within a similar range for clinical isolates treated with </w:t>
      </w:r>
      <w:r w:rsidRPr="0020466C">
        <w:rPr>
          <w:i/>
        </w:rPr>
        <w:t>N. laevis</w:t>
      </w:r>
      <w:r>
        <w:t xml:space="preserve"> leaf extracts</w:t>
      </w:r>
      <w:r w:rsidR="0020466C">
        <w:t xml:space="preserve"> (</w:t>
      </w:r>
      <w:r w:rsidR="0020466C">
        <w:rPr>
          <w:color w:val="000000"/>
          <w:sz w:val="22"/>
          <w:szCs w:val="22"/>
        </w:rPr>
        <w:t>Suleiman et al., 2023; Mba and Udeozo, 2025)</w:t>
      </w:r>
      <w:r>
        <w:t>.</w:t>
      </w:r>
    </w:p>
    <w:p w14:paraId="7DD7AABF" w14:textId="77777777" w:rsidR="00AD0898" w:rsidRDefault="00AD0898" w:rsidP="002F0937">
      <w:pPr>
        <w:pStyle w:val="NormalWeb"/>
        <w:spacing w:line="360" w:lineRule="auto"/>
        <w:jc w:val="both"/>
      </w:pPr>
      <w:r>
        <w:t>The antimicrobial mechanism of the alkaloid fraction is likely multifactorial. Alkaloids are known to disrupt bacterial cell membranes, bind to cellular proteins, and interfere with nucleic acid synthesis, thereby reducing microbial viability. In addition, the extraction solvent and method strongly influence the yield and diversity of bioactive compounds. Alkaloid-rich fractions obtained using ethanol or methanol often retain other secondary metabolites such as tannins, flavonoids, and saponins, which may act synergistically to enhance both antioxidant and antibacterial effects.</w:t>
      </w:r>
    </w:p>
    <w:p w14:paraId="55BE6197" w14:textId="77777777" w:rsidR="00AD0898" w:rsidRDefault="00AD0898" w:rsidP="002F0937">
      <w:pPr>
        <w:pStyle w:val="NormalWeb"/>
        <w:spacing w:line="360" w:lineRule="auto"/>
        <w:jc w:val="both"/>
      </w:pPr>
      <w:r>
        <w:t xml:space="preserve">The results from this study support the dual pharmacological role of N. laevis in traditional medicine as both a free-radical scavenger and an antimicrobial agent. The antioxidant potency of the alkaloid fraction suggests potential therapeutic relevance in oxidative stress-related disorders, while its broad-spectrum antibacterial activity highlights its usefulness against </w:t>
      </w:r>
      <w:r>
        <w:lastRenderedPageBreak/>
        <w:t>pathogenic microorganisms. The significant bioactivity of the alkaloid fraction highlights its promise as a candidate for the development of plant-based therapeutics.</w:t>
      </w:r>
    </w:p>
    <w:p w14:paraId="03B2AF9B" w14:textId="77777777" w:rsidR="00463559" w:rsidRPr="00AD0898" w:rsidRDefault="007D4EC6" w:rsidP="002F0937">
      <w:pPr>
        <w:pBdr>
          <w:top w:val="nil"/>
          <w:left w:val="nil"/>
          <w:bottom w:val="nil"/>
          <w:right w:val="nil"/>
          <w:between w:val="nil"/>
        </w:pBdr>
        <w:spacing w:line="360" w:lineRule="auto"/>
        <w:jc w:val="both"/>
        <w:rPr>
          <w:b/>
          <w:bCs/>
          <w:color w:val="000000"/>
        </w:rPr>
      </w:pPr>
      <w:r w:rsidRPr="00AD0898">
        <w:rPr>
          <w:b/>
          <w:bCs/>
          <w:color w:val="000000"/>
        </w:rPr>
        <w:t>Conclusion</w:t>
      </w:r>
    </w:p>
    <w:p w14:paraId="7907874D" w14:textId="77777777" w:rsidR="008145F7" w:rsidRDefault="002F0937" w:rsidP="002F0937">
      <w:pPr>
        <w:spacing w:line="360" w:lineRule="auto"/>
        <w:jc w:val="both"/>
        <w:rPr>
          <w:b/>
        </w:rPr>
      </w:pPr>
      <w:r w:rsidRPr="002F0937">
        <w:rPr>
          <w:color w:val="000000"/>
        </w:rPr>
        <w:t xml:space="preserve">In conclusion, the alkaloid fraction of </w:t>
      </w:r>
      <w:proofErr w:type="spellStart"/>
      <w:r w:rsidRPr="002F0937">
        <w:rPr>
          <w:color w:val="000000"/>
        </w:rPr>
        <w:t>Newbouldia</w:t>
      </w:r>
      <w:proofErr w:type="spellEnd"/>
      <w:r w:rsidRPr="002F0937">
        <w:rPr>
          <w:color w:val="000000"/>
        </w:rPr>
        <w:t xml:space="preserve"> laevis revealed substantial antioxidant and antibacterial potential, reinforcing its traditional medicinal applications. The concentration-dependent radical scavenging and microbial inhibition, together with MIC and MBC data, indicate a clear pharmacological effect. </w:t>
      </w:r>
    </w:p>
    <w:p w14:paraId="30DE8571" w14:textId="77777777" w:rsidR="0043334F" w:rsidRPr="00481B19" w:rsidRDefault="0043334F" w:rsidP="0043334F">
      <w:pPr>
        <w:jc w:val="both"/>
      </w:pPr>
    </w:p>
    <w:p w14:paraId="63B20C40" w14:textId="77777777" w:rsidR="008145F7" w:rsidRPr="00481B19" w:rsidRDefault="008145F7" w:rsidP="008145F7">
      <w:pPr>
        <w:spacing w:line="240" w:lineRule="auto"/>
        <w:jc w:val="both"/>
        <w:rPr>
          <w:b/>
        </w:rPr>
      </w:pPr>
      <w:r w:rsidRPr="00481B19">
        <w:rPr>
          <w:b/>
        </w:rPr>
        <w:t>Competing interests</w:t>
      </w:r>
    </w:p>
    <w:p w14:paraId="408CE90A" w14:textId="77777777" w:rsidR="008145F7" w:rsidRPr="00481B19" w:rsidRDefault="008145F7" w:rsidP="008145F7">
      <w:pPr>
        <w:spacing w:line="240" w:lineRule="auto"/>
        <w:jc w:val="both"/>
      </w:pPr>
      <w:r w:rsidRPr="00481B19">
        <w:t>The authors declare that they have no competing interests</w:t>
      </w:r>
    </w:p>
    <w:p w14:paraId="78D4ECC9" w14:textId="77777777" w:rsidR="008145F7" w:rsidRDefault="008145F7" w:rsidP="008145F7">
      <w:pPr>
        <w:spacing w:line="240" w:lineRule="auto"/>
        <w:jc w:val="both"/>
        <w:rPr>
          <w:b/>
          <w:bCs/>
        </w:rPr>
      </w:pPr>
      <w:r w:rsidRPr="00FA1EDD">
        <w:rPr>
          <w:b/>
          <w:bCs/>
        </w:rPr>
        <w:t xml:space="preserve">Funding </w:t>
      </w:r>
    </w:p>
    <w:p w14:paraId="1B8CD827" w14:textId="77777777" w:rsidR="008145F7" w:rsidRDefault="008145F7" w:rsidP="008145F7">
      <w:pPr>
        <w:spacing w:line="240" w:lineRule="auto"/>
        <w:jc w:val="both"/>
        <w:rPr>
          <w:bCs/>
        </w:rPr>
      </w:pPr>
      <w:r w:rsidRPr="00FA1EDD">
        <w:rPr>
          <w:bCs/>
        </w:rPr>
        <w:t>The research was funded by Tertiary Education Trust Fund (</w:t>
      </w:r>
      <w:proofErr w:type="spellStart"/>
      <w:r w:rsidRPr="00FA1EDD">
        <w:rPr>
          <w:bCs/>
        </w:rPr>
        <w:t>TETFund</w:t>
      </w:r>
      <w:proofErr w:type="spellEnd"/>
      <w:r w:rsidRPr="00FA1EDD">
        <w:rPr>
          <w:bCs/>
        </w:rPr>
        <w:t>) Nigeria through the Institution Base R</w:t>
      </w:r>
      <w:r>
        <w:rPr>
          <w:bCs/>
        </w:rPr>
        <w:t>esearch (IBR) Project Grant.</w:t>
      </w:r>
    </w:p>
    <w:p w14:paraId="054D10D6" w14:textId="77777777" w:rsidR="00BE6480" w:rsidRDefault="00BE6480" w:rsidP="00BE6480">
      <w:pPr>
        <w:spacing w:line="480" w:lineRule="auto"/>
        <w:jc w:val="both"/>
        <w:rPr>
          <w:b/>
        </w:rPr>
      </w:pPr>
      <w:r w:rsidRPr="00481B19">
        <w:rPr>
          <w:b/>
        </w:rPr>
        <w:t>Authors' contributions</w:t>
      </w:r>
    </w:p>
    <w:p w14:paraId="788B8BD9" w14:textId="77777777" w:rsidR="00BE6480" w:rsidRPr="0048245E" w:rsidRDefault="00BE6480" w:rsidP="00BE6480">
      <w:pPr>
        <w:spacing w:line="360" w:lineRule="auto"/>
        <w:jc w:val="both"/>
        <w:rPr>
          <w:b/>
        </w:rPr>
      </w:pPr>
      <w:r>
        <w:rPr>
          <w:color w:val="1F1F1F"/>
        </w:rPr>
        <w:t>Conceptualization: AO</w:t>
      </w:r>
      <w:r w:rsidRPr="0048245E">
        <w:rPr>
          <w:color w:val="1F1F1F"/>
        </w:rPr>
        <w:t xml:space="preserve">. Data curation: AO, </w:t>
      </w:r>
      <w:r>
        <w:rPr>
          <w:color w:val="1F1F1F"/>
        </w:rPr>
        <w:t>NO, IEN</w:t>
      </w:r>
      <w:r w:rsidRPr="0048245E">
        <w:rPr>
          <w:color w:val="1F1F1F"/>
        </w:rPr>
        <w:t xml:space="preserve">. Investigation: AO, </w:t>
      </w:r>
      <w:r>
        <w:rPr>
          <w:color w:val="1F1F1F"/>
        </w:rPr>
        <w:t xml:space="preserve">NO, IEN, CCU </w:t>
      </w:r>
      <w:r w:rsidRPr="0048245E">
        <w:rPr>
          <w:color w:val="1F1F1F"/>
        </w:rPr>
        <w:t>Methodolo</w:t>
      </w:r>
      <w:r>
        <w:rPr>
          <w:color w:val="1F1F1F"/>
        </w:rPr>
        <w:t>gy: AO, NO, IEN, CCU, RCJ.</w:t>
      </w:r>
      <w:r w:rsidRPr="0048245E">
        <w:rPr>
          <w:color w:val="1F1F1F"/>
        </w:rPr>
        <w:t xml:space="preserve"> Validation: AO, </w:t>
      </w:r>
      <w:r>
        <w:rPr>
          <w:color w:val="1F1F1F"/>
        </w:rPr>
        <w:t>NO, UE</w:t>
      </w:r>
      <w:r w:rsidRPr="0048245E">
        <w:rPr>
          <w:color w:val="1F1F1F"/>
        </w:rPr>
        <w:t>. Visualization: AO. Writing – original draft: AO</w:t>
      </w:r>
      <w:r w:rsidR="00FD5D50">
        <w:rPr>
          <w:color w:val="1F1F1F"/>
        </w:rPr>
        <w:t>, RCJ</w:t>
      </w:r>
      <w:r w:rsidRPr="0048245E">
        <w:rPr>
          <w:color w:val="1F1F1F"/>
        </w:rPr>
        <w:t xml:space="preserve">. Writing – review and editing: AO, </w:t>
      </w:r>
      <w:r w:rsidR="00FD5D50">
        <w:rPr>
          <w:color w:val="1F1F1F"/>
        </w:rPr>
        <w:t>UE, CCU, IEN</w:t>
      </w:r>
      <w:r w:rsidRPr="0048245E">
        <w:rPr>
          <w:color w:val="1F1F1F"/>
        </w:rPr>
        <w:t xml:space="preserve">. </w:t>
      </w:r>
      <w:r w:rsidRPr="0048245E">
        <w:t>All authors read and approved the final manuscript.</w:t>
      </w:r>
    </w:p>
    <w:p w14:paraId="1C81072F" w14:textId="77777777" w:rsidR="008145F7" w:rsidRDefault="008145F7" w:rsidP="008145F7">
      <w:pPr>
        <w:spacing w:line="240" w:lineRule="auto"/>
        <w:jc w:val="both"/>
        <w:rPr>
          <w:b/>
          <w:bCs/>
        </w:rPr>
      </w:pPr>
      <w:r w:rsidRPr="00FA1EDD">
        <w:rPr>
          <w:b/>
          <w:bCs/>
        </w:rPr>
        <w:t>Acknowledgement</w:t>
      </w:r>
      <w:r>
        <w:rPr>
          <w:b/>
          <w:bCs/>
        </w:rPr>
        <w:t>s</w:t>
      </w:r>
      <w:r w:rsidRPr="00FA1EDD">
        <w:rPr>
          <w:b/>
          <w:bCs/>
        </w:rPr>
        <w:t xml:space="preserve"> </w:t>
      </w:r>
    </w:p>
    <w:p w14:paraId="1CFD5996" w14:textId="77777777" w:rsidR="008145F7" w:rsidRDefault="008145F7" w:rsidP="008145F7">
      <w:pPr>
        <w:spacing w:line="240" w:lineRule="auto"/>
        <w:jc w:val="both"/>
        <w:rPr>
          <w:bCs/>
        </w:rPr>
      </w:pPr>
      <w:r w:rsidRPr="00FA1EDD">
        <w:rPr>
          <w:bCs/>
        </w:rPr>
        <w:t>The authors sincerely acknowledge Tertiary Education Trust Fund (</w:t>
      </w:r>
      <w:proofErr w:type="spellStart"/>
      <w:r w:rsidRPr="00FA1EDD">
        <w:rPr>
          <w:bCs/>
        </w:rPr>
        <w:t>TETFund</w:t>
      </w:r>
      <w:proofErr w:type="spellEnd"/>
      <w:r w:rsidRPr="00FA1EDD">
        <w:rPr>
          <w:bCs/>
        </w:rPr>
        <w:t xml:space="preserve">) Nigeria for the financial support. We also acknowledge the Management of Federal Polytechnic </w:t>
      </w:r>
      <w:proofErr w:type="spellStart"/>
      <w:r w:rsidRPr="00FA1EDD">
        <w:rPr>
          <w:bCs/>
        </w:rPr>
        <w:t>Nekede</w:t>
      </w:r>
      <w:proofErr w:type="spellEnd"/>
      <w:r w:rsidRPr="00FA1EDD">
        <w:rPr>
          <w:bCs/>
        </w:rPr>
        <w:t xml:space="preserve"> Owerri for creating en</w:t>
      </w:r>
      <w:r>
        <w:rPr>
          <w:bCs/>
        </w:rPr>
        <w:t>abling environment for research.</w:t>
      </w:r>
    </w:p>
    <w:p w14:paraId="3E629C38" w14:textId="77777777" w:rsidR="008145F7" w:rsidRPr="008145F7" w:rsidRDefault="008145F7" w:rsidP="008145F7">
      <w:pPr>
        <w:spacing w:line="240" w:lineRule="auto"/>
        <w:jc w:val="both"/>
        <w:rPr>
          <w:bCs/>
        </w:rPr>
      </w:pPr>
    </w:p>
    <w:p w14:paraId="680FEA2E" w14:textId="77777777" w:rsidR="004A2EE4" w:rsidRPr="008145F7" w:rsidRDefault="00EE2681" w:rsidP="008145F7">
      <w:pPr>
        <w:jc w:val="both"/>
        <w:rPr>
          <w:b/>
          <w:bCs/>
          <w:sz w:val="22"/>
          <w:szCs w:val="22"/>
        </w:rPr>
      </w:pPr>
      <w:r>
        <w:rPr>
          <w:b/>
          <w:bCs/>
          <w:sz w:val="22"/>
          <w:szCs w:val="22"/>
        </w:rPr>
        <w:t>References</w:t>
      </w:r>
    </w:p>
    <w:p w14:paraId="4597DEBF" w14:textId="77777777" w:rsidR="004A2EE4" w:rsidRDefault="004A2EE4" w:rsidP="00B34C17">
      <w:pPr>
        <w:ind w:left="720" w:hanging="720"/>
        <w:jc w:val="both"/>
        <w:rPr>
          <w:color w:val="000000"/>
          <w:sz w:val="22"/>
          <w:szCs w:val="22"/>
          <w:highlight w:val="white"/>
        </w:rPr>
      </w:pPr>
      <w:r>
        <w:rPr>
          <w:color w:val="000000"/>
          <w:sz w:val="22"/>
          <w:szCs w:val="22"/>
          <w:highlight w:val="white"/>
        </w:rPr>
        <w:t>Abdallah, E. M., Alhatlani, B. Y., de Paula Menezes, R., &amp; Martins, C. H. G. (2023). Back to Nature: Medicinal plants as promising sources for antibacterial drugs in the post-antibiotic era. </w:t>
      </w:r>
      <w:r>
        <w:rPr>
          <w:i/>
          <w:iCs/>
          <w:color w:val="000000"/>
          <w:sz w:val="22"/>
          <w:szCs w:val="22"/>
          <w:highlight w:val="white"/>
        </w:rPr>
        <w:t>Plants</w:t>
      </w:r>
      <w:r>
        <w:rPr>
          <w:color w:val="000000"/>
          <w:sz w:val="22"/>
          <w:szCs w:val="22"/>
          <w:highlight w:val="white"/>
        </w:rPr>
        <w:t>, </w:t>
      </w:r>
      <w:r>
        <w:rPr>
          <w:i/>
          <w:iCs/>
          <w:color w:val="000000"/>
          <w:sz w:val="22"/>
          <w:szCs w:val="22"/>
          <w:highlight w:val="white"/>
        </w:rPr>
        <w:t>12</w:t>
      </w:r>
      <w:r>
        <w:rPr>
          <w:color w:val="000000"/>
          <w:sz w:val="22"/>
          <w:szCs w:val="22"/>
          <w:highlight w:val="white"/>
        </w:rPr>
        <w:t>(17), 3077.</w:t>
      </w:r>
    </w:p>
    <w:p w14:paraId="6E491EC6" w14:textId="77777777" w:rsidR="004A2EE4" w:rsidRDefault="004A2EE4" w:rsidP="00B34C17">
      <w:pPr>
        <w:ind w:left="720" w:hanging="720"/>
        <w:jc w:val="both"/>
        <w:rPr>
          <w:color w:val="000000"/>
          <w:sz w:val="22"/>
          <w:szCs w:val="22"/>
          <w:highlight w:val="white"/>
        </w:rPr>
      </w:pPr>
      <w:proofErr w:type="spellStart"/>
      <w:r>
        <w:rPr>
          <w:color w:val="000000"/>
          <w:sz w:val="22"/>
          <w:szCs w:val="22"/>
          <w:highlight w:val="white"/>
        </w:rPr>
        <w:t>Abookleesh</w:t>
      </w:r>
      <w:proofErr w:type="spellEnd"/>
      <w:r>
        <w:rPr>
          <w:color w:val="000000"/>
          <w:sz w:val="22"/>
          <w:szCs w:val="22"/>
          <w:highlight w:val="white"/>
        </w:rPr>
        <w:t>, F. L., Al-Anzi, B. S., &amp; Ullah, A. (2022). Potential antiviral action of alkaloids. </w:t>
      </w:r>
      <w:r>
        <w:rPr>
          <w:i/>
          <w:iCs/>
          <w:color w:val="000000"/>
          <w:sz w:val="22"/>
          <w:szCs w:val="22"/>
          <w:highlight w:val="white"/>
        </w:rPr>
        <w:t>Molecules</w:t>
      </w:r>
      <w:r>
        <w:rPr>
          <w:color w:val="000000"/>
          <w:sz w:val="22"/>
          <w:szCs w:val="22"/>
          <w:highlight w:val="white"/>
        </w:rPr>
        <w:t>, </w:t>
      </w:r>
      <w:r>
        <w:rPr>
          <w:i/>
          <w:iCs/>
          <w:color w:val="000000"/>
          <w:sz w:val="22"/>
          <w:szCs w:val="22"/>
          <w:highlight w:val="white"/>
        </w:rPr>
        <w:t>27</w:t>
      </w:r>
      <w:r>
        <w:rPr>
          <w:color w:val="000000"/>
          <w:sz w:val="22"/>
          <w:szCs w:val="22"/>
          <w:highlight w:val="white"/>
        </w:rPr>
        <w:t>(3), 903.</w:t>
      </w:r>
    </w:p>
    <w:p w14:paraId="062E8686" w14:textId="77777777" w:rsidR="004A2EE4" w:rsidRDefault="004A2EE4" w:rsidP="00B34C17">
      <w:pPr>
        <w:pBdr>
          <w:top w:val="nil"/>
          <w:left w:val="nil"/>
          <w:bottom w:val="nil"/>
          <w:right w:val="nil"/>
          <w:between w:val="nil"/>
        </w:pBdr>
        <w:spacing w:line="240" w:lineRule="auto"/>
        <w:ind w:left="720" w:hanging="720"/>
        <w:jc w:val="both"/>
        <w:rPr>
          <w:color w:val="000000"/>
          <w:sz w:val="22"/>
          <w:szCs w:val="22"/>
        </w:rPr>
      </w:pPr>
      <w:r>
        <w:rPr>
          <w:color w:val="000000"/>
          <w:sz w:val="22"/>
          <w:szCs w:val="22"/>
        </w:rPr>
        <w:lastRenderedPageBreak/>
        <w:t xml:space="preserve">Akande, E. B., Oladejo, B. O., </w:t>
      </w:r>
      <w:proofErr w:type="spellStart"/>
      <w:r>
        <w:rPr>
          <w:color w:val="000000"/>
          <w:sz w:val="22"/>
          <w:szCs w:val="22"/>
        </w:rPr>
        <w:t>Oladunmoye</w:t>
      </w:r>
      <w:proofErr w:type="spellEnd"/>
      <w:r>
        <w:rPr>
          <w:color w:val="000000"/>
          <w:sz w:val="22"/>
          <w:szCs w:val="22"/>
        </w:rPr>
        <w:t xml:space="preserve">, M. K., &amp; Abodunrin, T. F. (2020). Antibacterial effects of </w:t>
      </w:r>
      <w:proofErr w:type="spellStart"/>
      <w:r>
        <w:rPr>
          <w:i/>
          <w:iCs/>
          <w:color w:val="000000"/>
          <w:sz w:val="22"/>
          <w:szCs w:val="22"/>
        </w:rPr>
        <w:t>Newbouldia</w:t>
      </w:r>
      <w:proofErr w:type="spellEnd"/>
      <w:r>
        <w:rPr>
          <w:i/>
          <w:iCs/>
          <w:color w:val="000000"/>
          <w:sz w:val="22"/>
          <w:szCs w:val="22"/>
        </w:rPr>
        <w:t xml:space="preserve"> laevis</w:t>
      </w:r>
      <w:r>
        <w:rPr>
          <w:color w:val="000000"/>
          <w:sz w:val="22"/>
          <w:szCs w:val="22"/>
        </w:rPr>
        <w:t xml:space="preserve"> {P. BEAUV} on the bacteria isolated from the blood of Hepatitis C virus positive individuals. </w:t>
      </w:r>
      <w:r>
        <w:rPr>
          <w:i/>
          <w:iCs/>
          <w:color w:val="000000"/>
          <w:sz w:val="22"/>
          <w:szCs w:val="22"/>
        </w:rPr>
        <w:t>Asian Plant Research Journal, 4</w:t>
      </w:r>
      <w:r>
        <w:rPr>
          <w:color w:val="000000"/>
          <w:sz w:val="22"/>
          <w:szCs w:val="22"/>
        </w:rPr>
        <w:t>(1), 26–34.</w:t>
      </w:r>
    </w:p>
    <w:p w14:paraId="41EB6812" w14:textId="77777777" w:rsidR="004A2EE4" w:rsidRDefault="004A2EE4" w:rsidP="00B34C17">
      <w:pPr>
        <w:ind w:left="720" w:hanging="720"/>
        <w:jc w:val="both"/>
        <w:rPr>
          <w:color w:val="000000"/>
          <w:sz w:val="22"/>
          <w:szCs w:val="22"/>
          <w:highlight w:val="white"/>
        </w:rPr>
      </w:pPr>
      <w:r>
        <w:rPr>
          <w:color w:val="000000"/>
          <w:sz w:val="22"/>
          <w:szCs w:val="22"/>
          <w:highlight w:val="white"/>
        </w:rPr>
        <w:t xml:space="preserve">Akerele, J. O., Ayinde, B. A., &amp; </w:t>
      </w:r>
      <w:proofErr w:type="spellStart"/>
      <w:r>
        <w:rPr>
          <w:color w:val="000000"/>
          <w:sz w:val="22"/>
          <w:szCs w:val="22"/>
          <w:highlight w:val="white"/>
        </w:rPr>
        <w:t>Ngiagah</w:t>
      </w:r>
      <w:proofErr w:type="spellEnd"/>
      <w:r>
        <w:rPr>
          <w:color w:val="000000"/>
          <w:sz w:val="22"/>
          <w:szCs w:val="22"/>
          <w:highlight w:val="white"/>
        </w:rPr>
        <w:t xml:space="preserve">, J. (2011). Phytochemical and antibacterial evaluations of the stem bark of </w:t>
      </w:r>
      <w:proofErr w:type="spellStart"/>
      <w:r>
        <w:rPr>
          <w:color w:val="000000"/>
          <w:sz w:val="22"/>
          <w:szCs w:val="22"/>
          <w:highlight w:val="white"/>
        </w:rPr>
        <w:t>Newbouldia</w:t>
      </w:r>
      <w:proofErr w:type="spellEnd"/>
      <w:r>
        <w:rPr>
          <w:color w:val="000000"/>
          <w:sz w:val="22"/>
          <w:szCs w:val="22"/>
          <w:highlight w:val="white"/>
        </w:rPr>
        <w:t xml:space="preserve"> laevis against isolates from infected wounds and eyes. </w:t>
      </w:r>
      <w:r>
        <w:rPr>
          <w:i/>
          <w:iCs/>
          <w:color w:val="000000"/>
          <w:sz w:val="22"/>
          <w:szCs w:val="22"/>
          <w:highlight w:val="white"/>
        </w:rPr>
        <w:t>Tropical Journal of Pharmaceutical Research</w:t>
      </w:r>
      <w:r>
        <w:rPr>
          <w:color w:val="000000"/>
          <w:sz w:val="22"/>
          <w:szCs w:val="22"/>
          <w:highlight w:val="white"/>
        </w:rPr>
        <w:t>, </w:t>
      </w:r>
      <w:r>
        <w:rPr>
          <w:i/>
          <w:iCs/>
          <w:color w:val="000000"/>
          <w:sz w:val="22"/>
          <w:szCs w:val="22"/>
          <w:highlight w:val="white"/>
        </w:rPr>
        <w:t>10</w:t>
      </w:r>
      <w:r>
        <w:rPr>
          <w:color w:val="000000"/>
          <w:sz w:val="22"/>
          <w:szCs w:val="22"/>
          <w:highlight w:val="white"/>
        </w:rPr>
        <w:t>(2).</w:t>
      </w:r>
    </w:p>
    <w:p w14:paraId="7F044683" w14:textId="77777777" w:rsidR="004A2EE4" w:rsidRDefault="004A2EE4" w:rsidP="00B34C17">
      <w:pPr>
        <w:ind w:left="720" w:hanging="720"/>
        <w:jc w:val="both"/>
        <w:rPr>
          <w:color w:val="000000"/>
          <w:sz w:val="22"/>
          <w:szCs w:val="22"/>
          <w:highlight w:val="white"/>
        </w:rPr>
      </w:pPr>
      <w:r>
        <w:rPr>
          <w:color w:val="000000"/>
          <w:sz w:val="22"/>
          <w:szCs w:val="22"/>
          <w:highlight w:val="white"/>
        </w:rPr>
        <w:t xml:space="preserve">Alisi, C. S., &amp; </w:t>
      </w:r>
      <w:proofErr w:type="spellStart"/>
      <w:r>
        <w:rPr>
          <w:color w:val="000000"/>
          <w:sz w:val="22"/>
          <w:szCs w:val="22"/>
          <w:highlight w:val="white"/>
        </w:rPr>
        <w:t>Onyeze</w:t>
      </w:r>
      <w:proofErr w:type="spellEnd"/>
      <w:r>
        <w:rPr>
          <w:color w:val="000000"/>
          <w:sz w:val="22"/>
          <w:szCs w:val="22"/>
          <w:highlight w:val="white"/>
        </w:rPr>
        <w:t xml:space="preserve">, G. O. C. (2008). Nitric oxide scavenging ability of ethyl acetate fraction of methanolic leaf extracts of </w:t>
      </w:r>
      <w:proofErr w:type="spellStart"/>
      <w:r>
        <w:rPr>
          <w:color w:val="000000"/>
          <w:sz w:val="22"/>
          <w:szCs w:val="22"/>
          <w:highlight w:val="white"/>
        </w:rPr>
        <w:t>Chromolaena</w:t>
      </w:r>
      <w:proofErr w:type="spellEnd"/>
      <w:r>
        <w:rPr>
          <w:color w:val="000000"/>
          <w:sz w:val="22"/>
          <w:szCs w:val="22"/>
          <w:highlight w:val="white"/>
        </w:rPr>
        <w:t xml:space="preserve"> odorata (Linn.). </w:t>
      </w:r>
      <w:r>
        <w:rPr>
          <w:i/>
          <w:iCs/>
          <w:color w:val="000000"/>
          <w:sz w:val="22"/>
          <w:szCs w:val="22"/>
          <w:highlight w:val="white"/>
        </w:rPr>
        <w:t>African Journal of Biochemistry Research</w:t>
      </w:r>
      <w:r>
        <w:rPr>
          <w:color w:val="000000"/>
          <w:sz w:val="22"/>
          <w:szCs w:val="22"/>
          <w:highlight w:val="white"/>
        </w:rPr>
        <w:t>, </w:t>
      </w:r>
      <w:r>
        <w:rPr>
          <w:i/>
          <w:iCs/>
          <w:color w:val="000000"/>
          <w:sz w:val="22"/>
          <w:szCs w:val="22"/>
          <w:highlight w:val="white"/>
        </w:rPr>
        <w:t>2</w:t>
      </w:r>
      <w:r>
        <w:rPr>
          <w:color w:val="000000"/>
          <w:sz w:val="22"/>
          <w:szCs w:val="22"/>
          <w:highlight w:val="white"/>
        </w:rPr>
        <w:t>(7), 145-150.</w:t>
      </w:r>
    </w:p>
    <w:p w14:paraId="621216D5" w14:textId="77777777" w:rsidR="004A2EE4" w:rsidRDefault="004A2EE4" w:rsidP="00B34C17">
      <w:pPr>
        <w:ind w:left="720" w:hanging="720"/>
        <w:jc w:val="both"/>
        <w:rPr>
          <w:color w:val="000000"/>
          <w:sz w:val="22"/>
          <w:szCs w:val="22"/>
          <w:highlight w:val="white"/>
        </w:rPr>
      </w:pPr>
      <w:proofErr w:type="spellStart"/>
      <w:r>
        <w:rPr>
          <w:color w:val="000000"/>
          <w:sz w:val="22"/>
          <w:szCs w:val="22"/>
          <w:highlight w:val="white"/>
        </w:rPr>
        <w:t>Arip</w:t>
      </w:r>
      <w:proofErr w:type="spellEnd"/>
      <w:r>
        <w:rPr>
          <w:color w:val="000000"/>
          <w:sz w:val="22"/>
          <w:szCs w:val="22"/>
          <w:highlight w:val="white"/>
        </w:rPr>
        <w:t>, M., Selvaraja, M., Tan, L. F., Leong, M. Y., Tan, P. L., Yap, V. L., ... &amp; Jubair, N. (2022). Review on plant-based management in combating antimicrobial resistance-mechanistic perspective. </w:t>
      </w:r>
      <w:r>
        <w:rPr>
          <w:i/>
          <w:iCs/>
          <w:color w:val="000000"/>
          <w:sz w:val="22"/>
          <w:szCs w:val="22"/>
          <w:highlight w:val="white"/>
        </w:rPr>
        <w:t>Frontiers in Pharmacology</w:t>
      </w:r>
      <w:r>
        <w:rPr>
          <w:color w:val="000000"/>
          <w:sz w:val="22"/>
          <w:szCs w:val="22"/>
          <w:highlight w:val="white"/>
        </w:rPr>
        <w:t>, </w:t>
      </w:r>
      <w:r>
        <w:rPr>
          <w:i/>
          <w:iCs/>
          <w:color w:val="000000"/>
          <w:sz w:val="22"/>
          <w:szCs w:val="22"/>
          <w:highlight w:val="white"/>
        </w:rPr>
        <w:t>13</w:t>
      </w:r>
      <w:r>
        <w:rPr>
          <w:color w:val="000000"/>
          <w:sz w:val="22"/>
          <w:szCs w:val="22"/>
          <w:highlight w:val="white"/>
        </w:rPr>
        <w:t>, 879495.</w:t>
      </w:r>
    </w:p>
    <w:p w14:paraId="6B02E455" w14:textId="77777777" w:rsidR="004A2EE4" w:rsidRPr="00987C2A" w:rsidRDefault="004A2EE4" w:rsidP="004A2EE4">
      <w:pPr>
        <w:ind w:left="720" w:hanging="720"/>
        <w:jc w:val="both"/>
        <w:rPr>
          <w:rFonts w:eastAsia="Calibri"/>
          <w:color w:val="222222"/>
          <w:shd w:val="clear" w:color="auto" w:fill="FFFFFF"/>
        </w:rPr>
      </w:pPr>
      <w:r w:rsidRPr="00987C2A">
        <w:rPr>
          <w:rFonts w:eastAsia="Calibri"/>
          <w:color w:val="222222"/>
          <w:shd w:val="clear" w:color="auto" w:fill="FFFFFF"/>
        </w:rPr>
        <w:t xml:space="preserve">Brand-Williams, W., Cuvelier, M. E., &amp; Berset, C. L. W. T. (1995). Use of a free radical method to evaluate antioxidant activity. </w:t>
      </w:r>
      <w:r w:rsidRPr="00987C2A">
        <w:rPr>
          <w:rFonts w:eastAsia="Calibri"/>
          <w:i/>
          <w:iCs/>
          <w:color w:val="222222"/>
          <w:shd w:val="clear" w:color="auto" w:fill="FFFFFF"/>
        </w:rPr>
        <w:t>LWT-Food science and Technology</w:t>
      </w:r>
      <w:r w:rsidRPr="00987C2A">
        <w:rPr>
          <w:rFonts w:eastAsia="Calibri"/>
          <w:color w:val="222222"/>
          <w:shd w:val="clear" w:color="auto" w:fill="FFFFFF"/>
        </w:rPr>
        <w:t xml:space="preserve">, </w:t>
      </w:r>
      <w:r w:rsidRPr="00987C2A">
        <w:rPr>
          <w:rFonts w:eastAsia="Calibri"/>
          <w:i/>
          <w:iCs/>
          <w:color w:val="222222"/>
          <w:shd w:val="clear" w:color="auto" w:fill="FFFFFF"/>
        </w:rPr>
        <w:t>28</w:t>
      </w:r>
      <w:r w:rsidRPr="00987C2A">
        <w:rPr>
          <w:rFonts w:eastAsia="Calibri"/>
          <w:color w:val="222222"/>
          <w:shd w:val="clear" w:color="auto" w:fill="FFFFFF"/>
        </w:rPr>
        <w:t>(1), 25-30.</w:t>
      </w:r>
    </w:p>
    <w:p w14:paraId="68FE93DA" w14:textId="77777777" w:rsidR="004A2EE4" w:rsidRDefault="004A2EE4" w:rsidP="00B34C17">
      <w:pPr>
        <w:ind w:left="720" w:hanging="720"/>
        <w:jc w:val="both"/>
        <w:rPr>
          <w:color w:val="000000"/>
          <w:sz w:val="22"/>
          <w:szCs w:val="22"/>
          <w:highlight w:val="white"/>
        </w:rPr>
      </w:pPr>
      <w:r>
        <w:rPr>
          <w:color w:val="000000"/>
          <w:sz w:val="22"/>
          <w:szCs w:val="22"/>
          <w:highlight w:val="white"/>
        </w:rPr>
        <w:t xml:space="preserve">Bursal, E., &amp; Köksal, E. (2011). Evaluation of reducing power and radical scavenging activities of water and ethanol extracts from sumac (Rhus </w:t>
      </w:r>
      <w:proofErr w:type="spellStart"/>
      <w:r>
        <w:rPr>
          <w:color w:val="000000"/>
          <w:sz w:val="22"/>
          <w:szCs w:val="22"/>
          <w:highlight w:val="white"/>
        </w:rPr>
        <w:t>coriaria</w:t>
      </w:r>
      <w:proofErr w:type="spellEnd"/>
      <w:r>
        <w:rPr>
          <w:color w:val="000000"/>
          <w:sz w:val="22"/>
          <w:szCs w:val="22"/>
          <w:highlight w:val="white"/>
        </w:rPr>
        <w:t xml:space="preserve"> L.). </w:t>
      </w:r>
      <w:r>
        <w:rPr>
          <w:i/>
          <w:iCs/>
          <w:color w:val="000000"/>
          <w:sz w:val="22"/>
          <w:szCs w:val="22"/>
          <w:highlight w:val="white"/>
        </w:rPr>
        <w:t>Food Research International</w:t>
      </w:r>
      <w:r>
        <w:rPr>
          <w:color w:val="000000"/>
          <w:sz w:val="22"/>
          <w:szCs w:val="22"/>
          <w:highlight w:val="white"/>
        </w:rPr>
        <w:t>, </w:t>
      </w:r>
      <w:r>
        <w:rPr>
          <w:i/>
          <w:iCs/>
          <w:color w:val="000000"/>
          <w:sz w:val="22"/>
          <w:szCs w:val="22"/>
          <w:highlight w:val="white"/>
        </w:rPr>
        <w:t>44</w:t>
      </w:r>
      <w:r>
        <w:rPr>
          <w:color w:val="000000"/>
          <w:sz w:val="22"/>
          <w:szCs w:val="22"/>
          <w:highlight w:val="white"/>
        </w:rPr>
        <w:t>(7), 2217-2221.</w:t>
      </w:r>
    </w:p>
    <w:p w14:paraId="097AFF85" w14:textId="77777777" w:rsidR="004A2EE4" w:rsidRDefault="004A2EE4" w:rsidP="00B34C17">
      <w:pPr>
        <w:pBdr>
          <w:top w:val="nil"/>
          <w:left w:val="nil"/>
          <w:bottom w:val="nil"/>
          <w:right w:val="nil"/>
          <w:between w:val="nil"/>
        </w:pBdr>
        <w:spacing w:line="240" w:lineRule="auto"/>
        <w:ind w:left="720" w:hanging="720"/>
        <w:jc w:val="both"/>
        <w:rPr>
          <w:color w:val="000000"/>
          <w:sz w:val="22"/>
          <w:szCs w:val="22"/>
        </w:rPr>
      </w:pPr>
      <w:r>
        <w:rPr>
          <w:color w:val="000000"/>
          <w:sz w:val="22"/>
          <w:szCs w:val="22"/>
        </w:rPr>
        <w:t xml:space="preserve">Chukwuma, G. E., &amp; Nwachukwu, N. C. (2016). Phytochemical and antimicrobial activities of </w:t>
      </w:r>
      <w:proofErr w:type="spellStart"/>
      <w:r>
        <w:rPr>
          <w:i/>
          <w:iCs/>
          <w:color w:val="000000"/>
          <w:sz w:val="22"/>
          <w:szCs w:val="22"/>
        </w:rPr>
        <w:t>Newbouldia</w:t>
      </w:r>
      <w:proofErr w:type="spellEnd"/>
      <w:r>
        <w:rPr>
          <w:i/>
          <w:iCs/>
          <w:color w:val="000000"/>
          <w:sz w:val="22"/>
          <w:szCs w:val="22"/>
        </w:rPr>
        <w:t xml:space="preserve"> laevis</w:t>
      </w:r>
      <w:r>
        <w:rPr>
          <w:color w:val="000000"/>
          <w:sz w:val="22"/>
          <w:szCs w:val="22"/>
        </w:rPr>
        <w:t xml:space="preserve">’ leaves on isolates from wound infections. </w:t>
      </w:r>
      <w:r>
        <w:rPr>
          <w:i/>
          <w:iCs/>
          <w:color w:val="000000"/>
          <w:sz w:val="22"/>
          <w:szCs w:val="22"/>
        </w:rPr>
        <w:t>Scientia Africana, 15</w:t>
      </w:r>
      <w:r>
        <w:rPr>
          <w:color w:val="000000"/>
          <w:sz w:val="22"/>
          <w:szCs w:val="22"/>
        </w:rPr>
        <w:t>(1), 78–86.</w:t>
      </w:r>
    </w:p>
    <w:p w14:paraId="4EA94551" w14:textId="77777777" w:rsidR="004A2EE4" w:rsidRPr="00987C2A" w:rsidRDefault="004A2EE4" w:rsidP="004A2EE4">
      <w:pPr>
        <w:ind w:left="720" w:hanging="720"/>
        <w:jc w:val="both"/>
        <w:rPr>
          <w:color w:val="222222"/>
          <w:shd w:val="clear" w:color="auto" w:fill="FFFFFF"/>
        </w:rPr>
      </w:pPr>
      <w:r w:rsidRPr="00987C2A">
        <w:rPr>
          <w:color w:val="222222"/>
          <w:shd w:val="clear" w:color="auto" w:fill="FFFFFF"/>
        </w:rPr>
        <w:t>Dantas, R. F., Evangelista, T. C. S., Neves, B. J., Senger, M. R., Andrade, C. H., Ferreira, S. B., &amp; Silva-Junior, F. P. (2019). Dealing with frequent hitters in drug discovery: a multidisciplinary view on the issue of filtering compounds on biological screenings. </w:t>
      </w:r>
      <w:r w:rsidRPr="00987C2A">
        <w:rPr>
          <w:i/>
          <w:iCs/>
          <w:color w:val="222222"/>
          <w:shd w:val="clear" w:color="auto" w:fill="FFFFFF"/>
        </w:rPr>
        <w:t>Expert Opinion on Drug Discovery</w:t>
      </w:r>
      <w:r w:rsidRPr="00987C2A">
        <w:rPr>
          <w:color w:val="222222"/>
          <w:shd w:val="clear" w:color="auto" w:fill="FFFFFF"/>
        </w:rPr>
        <w:t>, </w:t>
      </w:r>
      <w:r w:rsidRPr="00987C2A">
        <w:rPr>
          <w:i/>
          <w:iCs/>
          <w:color w:val="222222"/>
          <w:shd w:val="clear" w:color="auto" w:fill="FFFFFF"/>
        </w:rPr>
        <w:t>14</w:t>
      </w:r>
      <w:r w:rsidRPr="00987C2A">
        <w:rPr>
          <w:color w:val="222222"/>
          <w:shd w:val="clear" w:color="auto" w:fill="FFFFFF"/>
        </w:rPr>
        <w:t>(12), 1269-1282.</w:t>
      </w:r>
    </w:p>
    <w:p w14:paraId="4ED51083" w14:textId="77777777" w:rsidR="004A2EE4" w:rsidRDefault="004A2EE4" w:rsidP="00B34C17">
      <w:pPr>
        <w:ind w:left="720" w:hanging="720"/>
        <w:jc w:val="both"/>
        <w:rPr>
          <w:color w:val="000000"/>
          <w:sz w:val="22"/>
          <w:szCs w:val="22"/>
          <w:highlight w:val="white"/>
        </w:rPr>
      </w:pPr>
      <w:r>
        <w:rPr>
          <w:color w:val="000000"/>
          <w:sz w:val="22"/>
          <w:szCs w:val="22"/>
          <w:highlight w:val="white"/>
        </w:rPr>
        <w:t>Flieger, J., Flieger, W., Baj, J., &amp; Maciejewski, R. (2021). Antioxidants: Classification, natural sources, activity/capacity measurements, and usefulness for the synthesis of nanoparticles. </w:t>
      </w:r>
      <w:r>
        <w:rPr>
          <w:i/>
          <w:iCs/>
          <w:color w:val="000000"/>
          <w:sz w:val="22"/>
          <w:szCs w:val="22"/>
          <w:highlight w:val="white"/>
        </w:rPr>
        <w:t>Materials</w:t>
      </w:r>
      <w:r>
        <w:rPr>
          <w:color w:val="000000"/>
          <w:sz w:val="22"/>
          <w:szCs w:val="22"/>
          <w:highlight w:val="white"/>
        </w:rPr>
        <w:t>, </w:t>
      </w:r>
      <w:r>
        <w:rPr>
          <w:i/>
          <w:iCs/>
          <w:color w:val="000000"/>
          <w:sz w:val="22"/>
          <w:szCs w:val="22"/>
          <w:highlight w:val="white"/>
        </w:rPr>
        <w:t>14</w:t>
      </w:r>
      <w:r>
        <w:rPr>
          <w:color w:val="000000"/>
          <w:sz w:val="22"/>
          <w:szCs w:val="22"/>
          <w:highlight w:val="white"/>
        </w:rPr>
        <w:t>(15), 4135.</w:t>
      </w:r>
    </w:p>
    <w:p w14:paraId="5EE7547E" w14:textId="77777777" w:rsidR="004A2EE4" w:rsidRDefault="004A2EE4" w:rsidP="00B34C17">
      <w:pPr>
        <w:pBdr>
          <w:top w:val="nil"/>
          <w:left w:val="nil"/>
          <w:bottom w:val="nil"/>
          <w:right w:val="nil"/>
          <w:between w:val="nil"/>
        </w:pBdr>
        <w:spacing w:line="240" w:lineRule="auto"/>
        <w:ind w:left="720" w:hanging="720"/>
        <w:jc w:val="both"/>
        <w:rPr>
          <w:color w:val="000000"/>
          <w:sz w:val="22"/>
          <w:szCs w:val="22"/>
        </w:rPr>
      </w:pPr>
      <w:r>
        <w:rPr>
          <w:color w:val="000000"/>
          <w:sz w:val="22"/>
          <w:szCs w:val="22"/>
        </w:rPr>
        <w:t xml:space="preserve">Habu, J. B., &amp; Ibeh, B. O. (2015). In vitro antioxidant capacity and free radical scavenging evaluation of active metabolite constituents of </w:t>
      </w:r>
      <w:proofErr w:type="spellStart"/>
      <w:r>
        <w:rPr>
          <w:i/>
          <w:iCs/>
          <w:color w:val="000000"/>
          <w:sz w:val="22"/>
          <w:szCs w:val="22"/>
        </w:rPr>
        <w:t>Newbouldia</w:t>
      </w:r>
      <w:proofErr w:type="spellEnd"/>
      <w:r>
        <w:rPr>
          <w:i/>
          <w:iCs/>
          <w:color w:val="000000"/>
          <w:sz w:val="22"/>
          <w:szCs w:val="22"/>
        </w:rPr>
        <w:t xml:space="preserve"> laevis</w:t>
      </w:r>
      <w:r>
        <w:rPr>
          <w:color w:val="000000"/>
          <w:sz w:val="22"/>
          <w:szCs w:val="22"/>
        </w:rPr>
        <w:t xml:space="preserve"> ethanolic leaf extract. </w:t>
      </w:r>
      <w:r>
        <w:rPr>
          <w:i/>
          <w:iCs/>
          <w:color w:val="000000"/>
          <w:sz w:val="22"/>
          <w:szCs w:val="22"/>
        </w:rPr>
        <w:t>Biological Research, 48</w:t>
      </w:r>
      <w:r>
        <w:rPr>
          <w:color w:val="000000"/>
          <w:sz w:val="22"/>
          <w:szCs w:val="22"/>
        </w:rPr>
        <w:t>, 16.</w:t>
      </w:r>
    </w:p>
    <w:p w14:paraId="6BA15CFB" w14:textId="77777777" w:rsidR="004A2EE4" w:rsidRDefault="004A2EE4" w:rsidP="00B34C17">
      <w:pPr>
        <w:pBdr>
          <w:top w:val="nil"/>
          <w:left w:val="nil"/>
          <w:bottom w:val="nil"/>
          <w:right w:val="nil"/>
          <w:between w:val="nil"/>
        </w:pBdr>
        <w:spacing w:line="240" w:lineRule="auto"/>
        <w:ind w:left="720" w:hanging="720"/>
        <w:jc w:val="both"/>
        <w:rPr>
          <w:color w:val="000000"/>
          <w:sz w:val="22"/>
          <w:szCs w:val="22"/>
        </w:rPr>
      </w:pPr>
      <w:r>
        <w:rPr>
          <w:color w:val="000000"/>
          <w:sz w:val="22"/>
          <w:szCs w:val="22"/>
          <w:highlight w:val="white"/>
        </w:rPr>
        <w:t xml:space="preserve">James, S. A., Sunday, A., Jonah, A., Ojonugwa, A. P., &amp; Victoria, A. O. (2017). Phytochemical screening, mineral content analysis and assessment of antibacterial activity of methanol extract of </w:t>
      </w:r>
      <w:proofErr w:type="spellStart"/>
      <w:r>
        <w:rPr>
          <w:color w:val="000000"/>
          <w:sz w:val="22"/>
          <w:szCs w:val="22"/>
          <w:highlight w:val="white"/>
        </w:rPr>
        <w:t>Newbouldia</w:t>
      </w:r>
      <w:proofErr w:type="spellEnd"/>
      <w:r>
        <w:rPr>
          <w:color w:val="000000"/>
          <w:sz w:val="22"/>
          <w:szCs w:val="22"/>
          <w:highlight w:val="white"/>
        </w:rPr>
        <w:t xml:space="preserve"> laevis leaf. </w:t>
      </w:r>
      <w:r>
        <w:rPr>
          <w:i/>
          <w:iCs/>
          <w:color w:val="000000"/>
          <w:sz w:val="22"/>
          <w:szCs w:val="22"/>
          <w:highlight w:val="white"/>
        </w:rPr>
        <w:t xml:space="preserve">Saudi J </w:t>
      </w:r>
      <w:proofErr w:type="spellStart"/>
      <w:r>
        <w:rPr>
          <w:i/>
          <w:iCs/>
          <w:color w:val="000000"/>
          <w:sz w:val="22"/>
          <w:szCs w:val="22"/>
          <w:highlight w:val="white"/>
        </w:rPr>
        <w:t>Pathol</w:t>
      </w:r>
      <w:proofErr w:type="spellEnd"/>
      <w:r>
        <w:rPr>
          <w:i/>
          <w:iCs/>
          <w:color w:val="000000"/>
          <w:sz w:val="22"/>
          <w:szCs w:val="22"/>
          <w:highlight w:val="white"/>
        </w:rPr>
        <w:t xml:space="preserve"> Microbiol</w:t>
      </w:r>
      <w:r>
        <w:rPr>
          <w:color w:val="000000"/>
          <w:sz w:val="22"/>
          <w:szCs w:val="22"/>
          <w:highlight w:val="white"/>
        </w:rPr>
        <w:t>, </w:t>
      </w:r>
      <w:r>
        <w:rPr>
          <w:i/>
          <w:iCs/>
          <w:color w:val="000000"/>
          <w:sz w:val="22"/>
          <w:szCs w:val="22"/>
          <w:highlight w:val="white"/>
        </w:rPr>
        <w:t>2</w:t>
      </w:r>
      <w:r>
        <w:rPr>
          <w:color w:val="000000"/>
          <w:sz w:val="22"/>
          <w:szCs w:val="22"/>
          <w:highlight w:val="white"/>
        </w:rPr>
        <w:t>(6), 192-6.</w:t>
      </w:r>
    </w:p>
    <w:p w14:paraId="28790903" w14:textId="77777777" w:rsidR="004A2EE4" w:rsidRDefault="004A2EE4" w:rsidP="00B34C17">
      <w:pPr>
        <w:ind w:left="720" w:hanging="720"/>
        <w:jc w:val="both"/>
        <w:rPr>
          <w:color w:val="000000"/>
          <w:sz w:val="22"/>
          <w:szCs w:val="22"/>
          <w:highlight w:val="white"/>
        </w:rPr>
      </w:pPr>
      <w:r>
        <w:rPr>
          <w:color w:val="000000"/>
          <w:sz w:val="22"/>
          <w:szCs w:val="22"/>
          <w:highlight w:val="white"/>
        </w:rPr>
        <w:t xml:space="preserve">Kanu, A. M., Kalu, J. E., &amp; Kalu, T. (2018). In vitro evaluation of ethanolic and aqueous crude extracts of </w:t>
      </w:r>
      <w:proofErr w:type="spellStart"/>
      <w:r>
        <w:rPr>
          <w:color w:val="000000"/>
          <w:sz w:val="22"/>
          <w:szCs w:val="22"/>
          <w:highlight w:val="white"/>
        </w:rPr>
        <w:t>Newbouldia</w:t>
      </w:r>
      <w:proofErr w:type="spellEnd"/>
      <w:r>
        <w:rPr>
          <w:color w:val="000000"/>
          <w:sz w:val="22"/>
          <w:szCs w:val="22"/>
          <w:highlight w:val="white"/>
        </w:rPr>
        <w:t xml:space="preserve"> laevis leaves on bacterial isolates from ear infections. </w:t>
      </w:r>
      <w:r>
        <w:rPr>
          <w:i/>
          <w:iCs/>
          <w:color w:val="000000"/>
          <w:sz w:val="22"/>
          <w:szCs w:val="22"/>
          <w:highlight w:val="white"/>
        </w:rPr>
        <w:t xml:space="preserve">Int J </w:t>
      </w:r>
      <w:proofErr w:type="spellStart"/>
      <w:r>
        <w:rPr>
          <w:i/>
          <w:iCs/>
          <w:color w:val="000000"/>
          <w:sz w:val="22"/>
          <w:szCs w:val="22"/>
          <w:highlight w:val="white"/>
        </w:rPr>
        <w:t>Pharmacol</w:t>
      </w:r>
      <w:proofErr w:type="spellEnd"/>
      <w:r>
        <w:rPr>
          <w:i/>
          <w:iCs/>
          <w:color w:val="000000"/>
          <w:sz w:val="22"/>
          <w:szCs w:val="22"/>
          <w:highlight w:val="white"/>
        </w:rPr>
        <w:t xml:space="preserve"> </w:t>
      </w:r>
      <w:proofErr w:type="spellStart"/>
      <w:r>
        <w:rPr>
          <w:i/>
          <w:iCs/>
          <w:color w:val="000000"/>
          <w:sz w:val="22"/>
          <w:szCs w:val="22"/>
          <w:highlight w:val="white"/>
        </w:rPr>
        <w:t>Phytochem</w:t>
      </w:r>
      <w:proofErr w:type="spellEnd"/>
      <w:r>
        <w:rPr>
          <w:i/>
          <w:iCs/>
          <w:color w:val="000000"/>
          <w:sz w:val="22"/>
          <w:szCs w:val="22"/>
          <w:highlight w:val="white"/>
        </w:rPr>
        <w:t xml:space="preserve"> </w:t>
      </w:r>
      <w:proofErr w:type="spellStart"/>
      <w:r>
        <w:rPr>
          <w:i/>
          <w:iCs/>
          <w:color w:val="000000"/>
          <w:sz w:val="22"/>
          <w:szCs w:val="22"/>
          <w:highlight w:val="white"/>
        </w:rPr>
        <w:t>Ethnomed</w:t>
      </w:r>
      <w:proofErr w:type="spellEnd"/>
      <w:r>
        <w:rPr>
          <w:color w:val="000000"/>
          <w:sz w:val="22"/>
          <w:szCs w:val="22"/>
          <w:highlight w:val="white"/>
        </w:rPr>
        <w:t>, </w:t>
      </w:r>
      <w:r>
        <w:rPr>
          <w:i/>
          <w:iCs/>
          <w:color w:val="000000"/>
          <w:sz w:val="22"/>
          <w:szCs w:val="22"/>
          <w:highlight w:val="white"/>
        </w:rPr>
        <w:t>9</w:t>
      </w:r>
      <w:r>
        <w:rPr>
          <w:color w:val="000000"/>
          <w:sz w:val="22"/>
          <w:szCs w:val="22"/>
          <w:highlight w:val="white"/>
        </w:rPr>
        <w:t>, 18-23.</w:t>
      </w:r>
    </w:p>
    <w:p w14:paraId="465B8D6F" w14:textId="77777777" w:rsidR="004A2EE4" w:rsidRDefault="004A2EE4" w:rsidP="00B34C17">
      <w:pPr>
        <w:ind w:left="720" w:hanging="720"/>
        <w:jc w:val="both"/>
        <w:rPr>
          <w:color w:val="000000"/>
          <w:sz w:val="22"/>
          <w:szCs w:val="22"/>
          <w:highlight w:val="white"/>
        </w:rPr>
      </w:pPr>
      <w:r>
        <w:rPr>
          <w:color w:val="000000"/>
          <w:sz w:val="22"/>
          <w:szCs w:val="22"/>
          <w:highlight w:val="white"/>
        </w:rPr>
        <w:t xml:space="preserve">Kuete, V., Eyong, K. O., </w:t>
      </w:r>
      <w:proofErr w:type="spellStart"/>
      <w:r>
        <w:rPr>
          <w:color w:val="000000"/>
          <w:sz w:val="22"/>
          <w:szCs w:val="22"/>
          <w:highlight w:val="white"/>
        </w:rPr>
        <w:t>Folefoc</w:t>
      </w:r>
      <w:proofErr w:type="spellEnd"/>
      <w:r>
        <w:rPr>
          <w:color w:val="000000"/>
          <w:sz w:val="22"/>
          <w:szCs w:val="22"/>
          <w:highlight w:val="white"/>
        </w:rPr>
        <w:t xml:space="preserve">, G. N., Beng, V. P., Hussain, H., Krohn, K., &amp; </w:t>
      </w:r>
      <w:proofErr w:type="spellStart"/>
      <w:r>
        <w:rPr>
          <w:color w:val="000000"/>
          <w:sz w:val="22"/>
          <w:szCs w:val="22"/>
          <w:highlight w:val="white"/>
        </w:rPr>
        <w:t>Nkengfack</w:t>
      </w:r>
      <w:proofErr w:type="spellEnd"/>
      <w:r>
        <w:rPr>
          <w:color w:val="000000"/>
          <w:sz w:val="22"/>
          <w:szCs w:val="22"/>
          <w:highlight w:val="white"/>
        </w:rPr>
        <w:t xml:space="preserve">, A. E. (2007). Antimicrobial activity of the methanolic extract and of the chemical constituents </w:t>
      </w:r>
      <w:r>
        <w:rPr>
          <w:color w:val="000000"/>
          <w:sz w:val="22"/>
          <w:szCs w:val="22"/>
          <w:highlight w:val="white"/>
        </w:rPr>
        <w:lastRenderedPageBreak/>
        <w:t xml:space="preserve">isolated from </w:t>
      </w:r>
      <w:proofErr w:type="spellStart"/>
      <w:r>
        <w:rPr>
          <w:color w:val="000000"/>
          <w:sz w:val="22"/>
          <w:szCs w:val="22"/>
          <w:highlight w:val="white"/>
        </w:rPr>
        <w:t>Newbouldia</w:t>
      </w:r>
      <w:proofErr w:type="spellEnd"/>
      <w:r>
        <w:rPr>
          <w:color w:val="000000"/>
          <w:sz w:val="22"/>
          <w:szCs w:val="22"/>
          <w:highlight w:val="white"/>
        </w:rPr>
        <w:t xml:space="preserve"> laevis. </w:t>
      </w:r>
      <w:r>
        <w:rPr>
          <w:i/>
          <w:iCs/>
          <w:color w:val="000000"/>
          <w:sz w:val="22"/>
          <w:szCs w:val="22"/>
          <w:highlight w:val="white"/>
        </w:rPr>
        <w:t xml:space="preserve">Die </w:t>
      </w:r>
      <w:proofErr w:type="spellStart"/>
      <w:r>
        <w:rPr>
          <w:i/>
          <w:iCs/>
          <w:color w:val="000000"/>
          <w:sz w:val="22"/>
          <w:szCs w:val="22"/>
          <w:highlight w:val="white"/>
        </w:rPr>
        <w:t>Pharmazie</w:t>
      </w:r>
      <w:proofErr w:type="spellEnd"/>
      <w:r>
        <w:rPr>
          <w:i/>
          <w:iCs/>
          <w:color w:val="000000"/>
          <w:sz w:val="22"/>
          <w:szCs w:val="22"/>
          <w:highlight w:val="white"/>
        </w:rPr>
        <w:t>-An International Journal of Pharmaceutical Sciences</w:t>
      </w:r>
      <w:r>
        <w:rPr>
          <w:color w:val="000000"/>
          <w:sz w:val="22"/>
          <w:szCs w:val="22"/>
          <w:highlight w:val="white"/>
        </w:rPr>
        <w:t>, </w:t>
      </w:r>
      <w:r>
        <w:rPr>
          <w:i/>
          <w:iCs/>
          <w:color w:val="000000"/>
          <w:sz w:val="22"/>
          <w:szCs w:val="22"/>
          <w:highlight w:val="white"/>
        </w:rPr>
        <w:t>62</w:t>
      </w:r>
      <w:r>
        <w:rPr>
          <w:color w:val="000000"/>
          <w:sz w:val="22"/>
          <w:szCs w:val="22"/>
          <w:highlight w:val="white"/>
        </w:rPr>
        <w:t>(7), 552-556.</w:t>
      </w:r>
    </w:p>
    <w:p w14:paraId="414DB0E4" w14:textId="77777777" w:rsidR="004A2EE4" w:rsidRDefault="004A2EE4" w:rsidP="00B34C17">
      <w:pPr>
        <w:ind w:left="720" w:hanging="720"/>
        <w:jc w:val="both"/>
        <w:rPr>
          <w:color w:val="000000"/>
          <w:sz w:val="22"/>
          <w:szCs w:val="22"/>
          <w:highlight w:val="white"/>
        </w:rPr>
      </w:pPr>
      <w:proofErr w:type="spellStart"/>
      <w:r>
        <w:rPr>
          <w:color w:val="000000"/>
          <w:sz w:val="22"/>
          <w:szCs w:val="22"/>
          <w:highlight w:val="white"/>
        </w:rPr>
        <w:t>Leyane</w:t>
      </w:r>
      <w:proofErr w:type="spellEnd"/>
      <w:r>
        <w:rPr>
          <w:color w:val="000000"/>
          <w:sz w:val="22"/>
          <w:szCs w:val="22"/>
          <w:highlight w:val="white"/>
        </w:rPr>
        <w:t>, T. S., Jere, S. W., &amp; Houreld, N. N. (2022). Oxidative stress in ageing and chronic degenerative pathologies: molecular mechanisms involved in counteracting oxidative stress and chronic inflammation. </w:t>
      </w:r>
      <w:r>
        <w:rPr>
          <w:i/>
          <w:iCs/>
          <w:color w:val="000000"/>
          <w:sz w:val="22"/>
          <w:szCs w:val="22"/>
          <w:highlight w:val="white"/>
        </w:rPr>
        <w:t>International journal of molecular sciences</w:t>
      </w:r>
      <w:r>
        <w:rPr>
          <w:color w:val="000000"/>
          <w:sz w:val="22"/>
          <w:szCs w:val="22"/>
          <w:highlight w:val="white"/>
        </w:rPr>
        <w:t>, </w:t>
      </w:r>
      <w:r>
        <w:rPr>
          <w:i/>
          <w:iCs/>
          <w:color w:val="000000"/>
          <w:sz w:val="22"/>
          <w:szCs w:val="22"/>
          <w:highlight w:val="white"/>
        </w:rPr>
        <w:t>23</w:t>
      </w:r>
      <w:r>
        <w:rPr>
          <w:color w:val="000000"/>
          <w:sz w:val="22"/>
          <w:szCs w:val="22"/>
          <w:highlight w:val="white"/>
        </w:rPr>
        <w:t>(13), 7273.</w:t>
      </w:r>
    </w:p>
    <w:p w14:paraId="5C88054D" w14:textId="77777777" w:rsidR="004A2EE4" w:rsidRDefault="004A2EE4" w:rsidP="00B34C17">
      <w:pPr>
        <w:ind w:left="720" w:hanging="720"/>
        <w:jc w:val="both"/>
        <w:rPr>
          <w:b/>
          <w:bCs/>
          <w:color w:val="000000"/>
          <w:sz w:val="22"/>
          <w:szCs w:val="22"/>
        </w:rPr>
      </w:pPr>
      <w:r>
        <w:rPr>
          <w:color w:val="000000"/>
          <w:sz w:val="22"/>
          <w:szCs w:val="22"/>
          <w:highlight w:val="white"/>
        </w:rPr>
        <w:t>Marrelli, M. (2021). Medicinal plants. </w:t>
      </w:r>
      <w:r>
        <w:rPr>
          <w:i/>
          <w:iCs/>
          <w:color w:val="000000"/>
          <w:sz w:val="22"/>
          <w:szCs w:val="22"/>
          <w:highlight w:val="white"/>
        </w:rPr>
        <w:t>Plants</w:t>
      </w:r>
      <w:r>
        <w:rPr>
          <w:color w:val="000000"/>
          <w:sz w:val="22"/>
          <w:szCs w:val="22"/>
          <w:highlight w:val="white"/>
        </w:rPr>
        <w:t>, </w:t>
      </w:r>
      <w:r>
        <w:rPr>
          <w:i/>
          <w:iCs/>
          <w:color w:val="000000"/>
          <w:sz w:val="22"/>
          <w:szCs w:val="22"/>
          <w:highlight w:val="white"/>
        </w:rPr>
        <w:t>10</w:t>
      </w:r>
      <w:r>
        <w:rPr>
          <w:color w:val="000000"/>
          <w:sz w:val="22"/>
          <w:szCs w:val="22"/>
          <w:highlight w:val="white"/>
        </w:rPr>
        <w:t>(7), 1355.</w:t>
      </w:r>
    </w:p>
    <w:p w14:paraId="69403915" w14:textId="77777777" w:rsidR="004A2EE4" w:rsidRDefault="004A2EE4" w:rsidP="00B34C17">
      <w:pPr>
        <w:pBdr>
          <w:top w:val="nil"/>
          <w:left w:val="nil"/>
          <w:bottom w:val="nil"/>
          <w:right w:val="nil"/>
          <w:between w:val="nil"/>
        </w:pBdr>
        <w:spacing w:line="240" w:lineRule="auto"/>
        <w:ind w:left="720" w:hanging="720"/>
        <w:jc w:val="both"/>
        <w:rPr>
          <w:color w:val="000000"/>
          <w:sz w:val="22"/>
          <w:szCs w:val="22"/>
        </w:rPr>
      </w:pPr>
      <w:r w:rsidRPr="00950E51">
        <w:rPr>
          <w:color w:val="000000"/>
          <w:sz w:val="22"/>
          <w:szCs w:val="22"/>
          <w:lang w:val="it-IT"/>
        </w:rPr>
        <w:t xml:space="preserve">Mba, A. N., &amp; Udeozo, I. P. (2025). </w:t>
      </w:r>
      <w:r>
        <w:rPr>
          <w:color w:val="000000"/>
          <w:sz w:val="22"/>
          <w:szCs w:val="22"/>
        </w:rPr>
        <w:t xml:space="preserve">Comparative study of antimicrobial susceptibility and phytoconstituent analysis of </w:t>
      </w:r>
      <w:proofErr w:type="spellStart"/>
      <w:r>
        <w:rPr>
          <w:i/>
          <w:iCs/>
          <w:color w:val="000000"/>
          <w:sz w:val="22"/>
          <w:szCs w:val="22"/>
        </w:rPr>
        <w:t>Newbouldia</w:t>
      </w:r>
      <w:proofErr w:type="spellEnd"/>
      <w:r>
        <w:rPr>
          <w:i/>
          <w:iCs/>
          <w:color w:val="000000"/>
          <w:sz w:val="22"/>
          <w:szCs w:val="22"/>
        </w:rPr>
        <w:t xml:space="preserve"> laevis</w:t>
      </w:r>
      <w:r>
        <w:rPr>
          <w:color w:val="000000"/>
          <w:sz w:val="22"/>
          <w:szCs w:val="22"/>
        </w:rPr>
        <w:t xml:space="preserve"> root and stem barks. </w:t>
      </w:r>
      <w:proofErr w:type="spellStart"/>
      <w:r>
        <w:rPr>
          <w:i/>
          <w:iCs/>
          <w:color w:val="000000"/>
          <w:sz w:val="22"/>
          <w:szCs w:val="22"/>
        </w:rPr>
        <w:t>Anachem</w:t>
      </w:r>
      <w:proofErr w:type="spellEnd"/>
      <w:r>
        <w:rPr>
          <w:i/>
          <w:iCs/>
          <w:color w:val="000000"/>
          <w:sz w:val="22"/>
          <w:szCs w:val="22"/>
        </w:rPr>
        <w:t xml:space="preserve"> Journal, 16</w:t>
      </w:r>
      <w:r>
        <w:rPr>
          <w:color w:val="000000"/>
          <w:sz w:val="22"/>
          <w:szCs w:val="22"/>
        </w:rPr>
        <w:t>(1), 69–78.</w:t>
      </w:r>
    </w:p>
    <w:p w14:paraId="5FDAB9DC" w14:textId="77777777" w:rsidR="004A2EE4" w:rsidRPr="00950E51" w:rsidRDefault="004A2EE4" w:rsidP="00B34C17">
      <w:pPr>
        <w:ind w:left="720" w:hanging="720"/>
        <w:jc w:val="both"/>
        <w:rPr>
          <w:color w:val="000000"/>
          <w:sz w:val="22"/>
          <w:szCs w:val="22"/>
          <w:highlight w:val="white"/>
          <w:lang w:val="it-IT"/>
        </w:rPr>
      </w:pPr>
      <w:r>
        <w:rPr>
          <w:color w:val="000000"/>
          <w:sz w:val="22"/>
          <w:szCs w:val="22"/>
          <w:highlight w:val="white"/>
        </w:rPr>
        <w:t xml:space="preserve">Oke, O. O., Adeoye, A. S., &amp; </w:t>
      </w:r>
      <w:proofErr w:type="spellStart"/>
      <w:r>
        <w:rPr>
          <w:color w:val="000000"/>
          <w:sz w:val="22"/>
          <w:szCs w:val="22"/>
          <w:highlight w:val="white"/>
        </w:rPr>
        <w:t>Aderounmu</w:t>
      </w:r>
      <w:proofErr w:type="spellEnd"/>
      <w:r>
        <w:rPr>
          <w:color w:val="000000"/>
          <w:sz w:val="22"/>
          <w:szCs w:val="22"/>
          <w:highlight w:val="white"/>
        </w:rPr>
        <w:t xml:space="preserve">, A. F. (2020). Phytochemical analyses of selected forest genetic resources for ethno-medicinal treatment of malaria/fever in </w:t>
      </w:r>
      <w:proofErr w:type="spellStart"/>
      <w:r>
        <w:rPr>
          <w:color w:val="000000"/>
          <w:sz w:val="22"/>
          <w:szCs w:val="22"/>
          <w:highlight w:val="white"/>
        </w:rPr>
        <w:t>Iseyin</w:t>
      </w:r>
      <w:proofErr w:type="spellEnd"/>
      <w:r>
        <w:rPr>
          <w:color w:val="000000"/>
          <w:sz w:val="22"/>
          <w:szCs w:val="22"/>
          <w:highlight w:val="white"/>
        </w:rPr>
        <w:t xml:space="preserve"> local government area of Oyo state Nigeria. </w:t>
      </w:r>
      <w:r w:rsidRPr="00950E51">
        <w:rPr>
          <w:i/>
          <w:iCs/>
          <w:color w:val="000000"/>
          <w:sz w:val="22"/>
          <w:szCs w:val="22"/>
          <w:highlight w:val="white"/>
          <w:lang w:val="it-IT"/>
        </w:rPr>
        <w:t>KIU J Soc Sci</w:t>
      </w:r>
      <w:r w:rsidRPr="00950E51">
        <w:rPr>
          <w:color w:val="000000"/>
          <w:sz w:val="22"/>
          <w:szCs w:val="22"/>
          <w:highlight w:val="white"/>
          <w:lang w:val="it-IT"/>
        </w:rPr>
        <w:t>, </w:t>
      </w:r>
      <w:r w:rsidRPr="00950E51">
        <w:rPr>
          <w:i/>
          <w:iCs/>
          <w:color w:val="000000"/>
          <w:sz w:val="22"/>
          <w:szCs w:val="22"/>
          <w:highlight w:val="white"/>
          <w:lang w:val="it-IT"/>
        </w:rPr>
        <w:t>6</w:t>
      </w:r>
      <w:r w:rsidRPr="00950E51">
        <w:rPr>
          <w:color w:val="000000"/>
          <w:sz w:val="22"/>
          <w:szCs w:val="22"/>
          <w:highlight w:val="white"/>
          <w:lang w:val="it-IT"/>
        </w:rPr>
        <w:t>, 233-240.</w:t>
      </w:r>
    </w:p>
    <w:p w14:paraId="651927F4" w14:textId="77777777" w:rsidR="004A2EE4" w:rsidRDefault="004A2EE4" w:rsidP="00B34C17">
      <w:pPr>
        <w:ind w:left="720" w:hanging="720"/>
        <w:jc w:val="both"/>
        <w:rPr>
          <w:color w:val="000000"/>
          <w:sz w:val="22"/>
          <w:szCs w:val="22"/>
          <w:highlight w:val="white"/>
        </w:rPr>
      </w:pPr>
      <w:r w:rsidRPr="00950E51">
        <w:rPr>
          <w:color w:val="000000"/>
          <w:sz w:val="22"/>
          <w:szCs w:val="22"/>
          <w:highlight w:val="white"/>
          <w:lang w:val="it-IT"/>
        </w:rPr>
        <w:t xml:space="preserve">Peter, O., Ekene, O., Chiaguguom, I., Grace, F., Daniel, N., Ngozi, A., &amp; Israel, O. (2022). </w:t>
      </w:r>
      <w:r>
        <w:rPr>
          <w:color w:val="000000"/>
          <w:sz w:val="22"/>
          <w:szCs w:val="22"/>
          <w:highlight w:val="white"/>
        </w:rPr>
        <w:t xml:space="preserve">Phytochemical screening, acute toxicity and analgesic activity of extracts from </w:t>
      </w:r>
      <w:proofErr w:type="spellStart"/>
      <w:r>
        <w:rPr>
          <w:color w:val="000000"/>
          <w:sz w:val="22"/>
          <w:szCs w:val="22"/>
          <w:highlight w:val="white"/>
        </w:rPr>
        <w:t>Newbouldia</w:t>
      </w:r>
      <w:proofErr w:type="spellEnd"/>
      <w:r>
        <w:rPr>
          <w:color w:val="000000"/>
          <w:sz w:val="22"/>
          <w:szCs w:val="22"/>
          <w:highlight w:val="white"/>
        </w:rPr>
        <w:t xml:space="preserve"> laevis in laboratory animals. </w:t>
      </w:r>
      <w:r>
        <w:rPr>
          <w:i/>
          <w:iCs/>
          <w:color w:val="000000"/>
          <w:sz w:val="22"/>
          <w:szCs w:val="22"/>
          <w:highlight w:val="white"/>
        </w:rPr>
        <w:t>Path of Science</w:t>
      </w:r>
      <w:r>
        <w:rPr>
          <w:color w:val="000000"/>
          <w:sz w:val="22"/>
          <w:szCs w:val="22"/>
          <w:highlight w:val="white"/>
        </w:rPr>
        <w:t>, </w:t>
      </w:r>
      <w:r>
        <w:rPr>
          <w:i/>
          <w:iCs/>
          <w:color w:val="000000"/>
          <w:sz w:val="22"/>
          <w:szCs w:val="22"/>
          <w:highlight w:val="white"/>
        </w:rPr>
        <w:t>8</w:t>
      </w:r>
      <w:r>
        <w:rPr>
          <w:color w:val="000000"/>
          <w:sz w:val="22"/>
          <w:szCs w:val="22"/>
          <w:highlight w:val="white"/>
        </w:rPr>
        <w:t>(7), 3001-3010.</w:t>
      </w:r>
    </w:p>
    <w:p w14:paraId="111E9F39" w14:textId="77777777" w:rsidR="004A2EE4" w:rsidRDefault="004A2EE4" w:rsidP="00B34C17">
      <w:pPr>
        <w:ind w:left="720" w:hanging="720"/>
        <w:jc w:val="both"/>
        <w:rPr>
          <w:color w:val="000000"/>
          <w:sz w:val="22"/>
          <w:szCs w:val="22"/>
          <w:highlight w:val="white"/>
        </w:rPr>
      </w:pPr>
      <w:r>
        <w:rPr>
          <w:color w:val="000000"/>
          <w:sz w:val="22"/>
          <w:szCs w:val="22"/>
          <w:highlight w:val="white"/>
        </w:rPr>
        <w:t>Porras, G., Chassagne, F., Lyles, J. T., Marquez, L., Dettweiler, M., Salam, A. M., ... &amp; Quave, C. L. (2020). Ethnobotany and the role of plant natural products in antibiotic drug discovery. </w:t>
      </w:r>
      <w:r>
        <w:rPr>
          <w:i/>
          <w:iCs/>
          <w:color w:val="000000"/>
          <w:sz w:val="22"/>
          <w:szCs w:val="22"/>
          <w:highlight w:val="white"/>
        </w:rPr>
        <w:t>Chemical reviews</w:t>
      </w:r>
      <w:r>
        <w:rPr>
          <w:color w:val="000000"/>
          <w:sz w:val="22"/>
          <w:szCs w:val="22"/>
          <w:highlight w:val="white"/>
        </w:rPr>
        <w:t>, </w:t>
      </w:r>
      <w:r>
        <w:rPr>
          <w:i/>
          <w:iCs/>
          <w:color w:val="000000"/>
          <w:sz w:val="22"/>
          <w:szCs w:val="22"/>
          <w:highlight w:val="white"/>
        </w:rPr>
        <w:t>121</w:t>
      </w:r>
      <w:r>
        <w:rPr>
          <w:color w:val="000000"/>
          <w:sz w:val="22"/>
          <w:szCs w:val="22"/>
          <w:highlight w:val="white"/>
        </w:rPr>
        <w:t>(6), 3495-3560.</w:t>
      </w:r>
    </w:p>
    <w:p w14:paraId="5ECF108B" w14:textId="77777777" w:rsidR="004A2EE4" w:rsidRDefault="004A2EE4" w:rsidP="00B34C17">
      <w:pPr>
        <w:ind w:left="720" w:hanging="720"/>
        <w:jc w:val="both"/>
        <w:rPr>
          <w:color w:val="000000"/>
          <w:sz w:val="22"/>
          <w:szCs w:val="22"/>
          <w:highlight w:val="white"/>
        </w:rPr>
      </w:pPr>
      <w:proofErr w:type="spellStart"/>
      <w:r>
        <w:rPr>
          <w:color w:val="000000"/>
          <w:sz w:val="22"/>
          <w:szCs w:val="22"/>
          <w:highlight w:val="white"/>
        </w:rPr>
        <w:t>Prabuseenivasan</w:t>
      </w:r>
      <w:proofErr w:type="spellEnd"/>
      <w:r>
        <w:rPr>
          <w:color w:val="000000"/>
          <w:sz w:val="22"/>
          <w:szCs w:val="22"/>
          <w:highlight w:val="white"/>
        </w:rPr>
        <w:t xml:space="preserve">, S., Jayakumar, M., &amp; </w:t>
      </w:r>
      <w:proofErr w:type="spellStart"/>
      <w:r>
        <w:rPr>
          <w:color w:val="000000"/>
          <w:sz w:val="22"/>
          <w:szCs w:val="22"/>
          <w:highlight w:val="white"/>
        </w:rPr>
        <w:t>Ignacimuthu</w:t>
      </w:r>
      <w:proofErr w:type="spellEnd"/>
      <w:r>
        <w:rPr>
          <w:color w:val="000000"/>
          <w:sz w:val="22"/>
          <w:szCs w:val="22"/>
          <w:highlight w:val="white"/>
        </w:rPr>
        <w:t>, S. (2006). In vitro antibacterial activity of some plant essential oils. </w:t>
      </w:r>
      <w:r>
        <w:rPr>
          <w:i/>
          <w:iCs/>
          <w:color w:val="000000"/>
          <w:sz w:val="22"/>
          <w:szCs w:val="22"/>
          <w:highlight w:val="white"/>
        </w:rPr>
        <w:t>BMC complementary and alternative medicine</w:t>
      </w:r>
      <w:r>
        <w:rPr>
          <w:color w:val="000000"/>
          <w:sz w:val="22"/>
          <w:szCs w:val="22"/>
          <w:highlight w:val="white"/>
        </w:rPr>
        <w:t>, </w:t>
      </w:r>
      <w:r>
        <w:rPr>
          <w:i/>
          <w:iCs/>
          <w:color w:val="000000"/>
          <w:sz w:val="22"/>
          <w:szCs w:val="22"/>
          <w:highlight w:val="white"/>
        </w:rPr>
        <w:t>6</w:t>
      </w:r>
      <w:r>
        <w:rPr>
          <w:color w:val="000000"/>
          <w:sz w:val="22"/>
          <w:szCs w:val="22"/>
          <w:highlight w:val="white"/>
        </w:rPr>
        <w:t>, 1-8.</w:t>
      </w:r>
    </w:p>
    <w:p w14:paraId="48BA7F3C" w14:textId="77777777" w:rsidR="004A2EE4" w:rsidRDefault="004A2EE4" w:rsidP="00B34C17">
      <w:pPr>
        <w:ind w:left="720" w:hanging="720"/>
        <w:jc w:val="both"/>
        <w:rPr>
          <w:color w:val="000000"/>
          <w:sz w:val="22"/>
          <w:szCs w:val="22"/>
          <w:highlight w:val="white"/>
        </w:rPr>
      </w:pPr>
      <w:proofErr w:type="spellStart"/>
      <w:r>
        <w:rPr>
          <w:color w:val="000000"/>
          <w:sz w:val="22"/>
          <w:szCs w:val="22"/>
          <w:highlight w:val="white"/>
        </w:rPr>
        <w:t>Ramabulana</w:t>
      </w:r>
      <w:proofErr w:type="spellEnd"/>
      <w:r>
        <w:rPr>
          <w:color w:val="000000"/>
          <w:sz w:val="22"/>
          <w:szCs w:val="22"/>
          <w:highlight w:val="white"/>
        </w:rPr>
        <w:t>, T. (2016). </w:t>
      </w:r>
      <w:r>
        <w:rPr>
          <w:i/>
          <w:iCs/>
          <w:color w:val="000000"/>
          <w:sz w:val="22"/>
          <w:szCs w:val="22"/>
          <w:highlight w:val="white"/>
        </w:rPr>
        <w:t>UPLC-MS based metabolomics investigation on the effects of gamma radiation on nutraceutical plants</w:t>
      </w:r>
      <w:r>
        <w:rPr>
          <w:color w:val="000000"/>
          <w:sz w:val="22"/>
          <w:szCs w:val="22"/>
          <w:highlight w:val="white"/>
        </w:rPr>
        <w:t>. University of Johannesburg (South Africa).</w:t>
      </w:r>
    </w:p>
    <w:p w14:paraId="35AFF95D" w14:textId="77777777" w:rsidR="004A2EE4" w:rsidRDefault="004A2EE4" w:rsidP="00B34C17">
      <w:pPr>
        <w:ind w:left="720" w:hanging="720"/>
        <w:jc w:val="both"/>
        <w:rPr>
          <w:color w:val="000000"/>
          <w:sz w:val="22"/>
          <w:szCs w:val="22"/>
          <w:highlight w:val="white"/>
        </w:rPr>
      </w:pPr>
      <w:r>
        <w:rPr>
          <w:color w:val="000000"/>
          <w:sz w:val="22"/>
          <w:szCs w:val="22"/>
          <w:highlight w:val="white"/>
        </w:rPr>
        <w:t xml:space="preserve">Sharma, S., Pathak, S. C., &amp; Kumar, B. (2020). Phytochemical profile of seeds of </w:t>
      </w:r>
      <w:proofErr w:type="spellStart"/>
      <w:r>
        <w:rPr>
          <w:color w:val="000000"/>
          <w:sz w:val="22"/>
          <w:szCs w:val="22"/>
          <w:highlight w:val="white"/>
        </w:rPr>
        <w:t>Guizotia</w:t>
      </w:r>
      <w:proofErr w:type="spellEnd"/>
      <w:r>
        <w:rPr>
          <w:color w:val="000000"/>
          <w:sz w:val="22"/>
          <w:szCs w:val="22"/>
          <w:highlight w:val="white"/>
        </w:rPr>
        <w:t xml:space="preserve"> </w:t>
      </w:r>
      <w:proofErr w:type="spellStart"/>
      <w:r>
        <w:rPr>
          <w:color w:val="000000"/>
          <w:sz w:val="22"/>
          <w:szCs w:val="22"/>
          <w:highlight w:val="white"/>
        </w:rPr>
        <w:t>abyssinica</w:t>
      </w:r>
      <w:proofErr w:type="spellEnd"/>
      <w:r>
        <w:rPr>
          <w:color w:val="000000"/>
          <w:sz w:val="22"/>
          <w:szCs w:val="22"/>
          <w:highlight w:val="white"/>
        </w:rPr>
        <w:t xml:space="preserve"> (L. f.) Cass (Niger or </w:t>
      </w:r>
      <w:proofErr w:type="spellStart"/>
      <w:r>
        <w:rPr>
          <w:color w:val="000000"/>
          <w:sz w:val="22"/>
          <w:szCs w:val="22"/>
          <w:highlight w:val="white"/>
        </w:rPr>
        <w:t>Ramtil</w:t>
      </w:r>
      <w:proofErr w:type="spellEnd"/>
      <w:r>
        <w:rPr>
          <w:color w:val="000000"/>
          <w:sz w:val="22"/>
          <w:szCs w:val="22"/>
          <w:highlight w:val="white"/>
        </w:rPr>
        <w:t>). </w:t>
      </w:r>
      <w:r>
        <w:rPr>
          <w:i/>
          <w:iCs/>
          <w:color w:val="000000"/>
          <w:sz w:val="22"/>
          <w:szCs w:val="22"/>
          <w:highlight w:val="white"/>
        </w:rPr>
        <w:t>IOSR J. Pharm. Biol. Sci.</w:t>
      </w:r>
      <w:r>
        <w:rPr>
          <w:color w:val="000000"/>
          <w:sz w:val="22"/>
          <w:szCs w:val="22"/>
          <w:highlight w:val="white"/>
        </w:rPr>
        <w:t>, </w:t>
      </w:r>
      <w:r>
        <w:rPr>
          <w:i/>
          <w:iCs/>
          <w:color w:val="000000"/>
          <w:sz w:val="22"/>
          <w:szCs w:val="22"/>
          <w:highlight w:val="white"/>
        </w:rPr>
        <w:t>15</w:t>
      </w:r>
      <w:r>
        <w:rPr>
          <w:color w:val="000000"/>
          <w:sz w:val="22"/>
          <w:szCs w:val="22"/>
          <w:highlight w:val="white"/>
        </w:rPr>
        <w:t>(5), 14-22.</w:t>
      </w:r>
    </w:p>
    <w:p w14:paraId="3AFE3316" w14:textId="77777777" w:rsidR="004A2EE4" w:rsidRDefault="004A2EE4" w:rsidP="00B34C17">
      <w:pPr>
        <w:ind w:left="720" w:hanging="720"/>
        <w:jc w:val="both"/>
        <w:rPr>
          <w:color w:val="000000"/>
          <w:sz w:val="22"/>
          <w:szCs w:val="22"/>
          <w:highlight w:val="white"/>
        </w:rPr>
      </w:pPr>
      <w:r w:rsidRPr="00950E51">
        <w:rPr>
          <w:color w:val="000000"/>
          <w:sz w:val="22"/>
          <w:szCs w:val="22"/>
          <w:highlight w:val="white"/>
          <w:lang w:val="it-IT"/>
        </w:rPr>
        <w:t xml:space="preserve">Sibri, J. F., Akakpo-Akue, J., Vanié, S. C., Kple, T. K. M., Soro, M. B., &amp; Okou, O. C. (2023). </w:t>
      </w:r>
      <w:r>
        <w:rPr>
          <w:color w:val="000000"/>
          <w:sz w:val="22"/>
          <w:szCs w:val="22"/>
          <w:highlight w:val="white"/>
        </w:rPr>
        <w:t xml:space="preserve">Phytochemical Evaluation and Determination of the Content of Some Natural Antioxidants (Polyphenols and Flavonoids) from Ficus Capensis, </w:t>
      </w:r>
      <w:proofErr w:type="spellStart"/>
      <w:r>
        <w:rPr>
          <w:color w:val="000000"/>
          <w:sz w:val="22"/>
          <w:szCs w:val="22"/>
          <w:highlight w:val="white"/>
        </w:rPr>
        <w:t>Newbouldia</w:t>
      </w:r>
      <w:proofErr w:type="spellEnd"/>
      <w:r>
        <w:rPr>
          <w:color w:val="000000"/>
          <w:sz w:val="22"/>
          <w:szCs w:val="22"/>
          <w:highlight w:val="white"/>
        </w:rPr>
        <w:t xml:space="preserve"> laevis and </w:t>
      </w:r>
      <w:proofErr w:type="spellStart"/>
      <w:r>
        <w:rPr>
          <w:color w:val="000000"/>
          <w:sz w:val="22"/>
          <w:szCs w:val="22"/>
          <w:highlight w:val="white"/>
        </w:rPr>
        <w:t>Carpolobia</w:t>
      </w:r>
      <w:proofErr w:type="spellEnd"/>
      <w:r>
        <w:rPr>
          <w:color w:val="000000"/>
          <w:sz w:val="22"/>
          <w:szCs w:val="22"/>
          <w:highlight w:val="white"/>
        </w:rPr>
        <w:t xml:space="preserve"> lutea. </w:t>
      </w:r>
      <w:r>
        <w:rPr>
          <w:i/>
          <w:iCs/>
          <w:color w:val="000000"/>
          <w:sz w:val="22"/>
          <w:szCs w:val="22"/>
          <w:highlight w:val="white"/>
        </w:rPr>
        <w:t>Asian Journal of Biology</w:t>
      </w:r>
      <w:r>
        <w:rPr>
          <w:color w:val="000000"/>
          <w:sz w:val="22"/>
          <w:szCs w:val="22"/>
          <w:highlight w:val="white"/>
        </w:rPr>
        <w:t>, </w:t>
      </w:r>
      <w:r>
        <w:rPr>
          <w:i/>
          <w:iCs/>
          <w:color w:val="000000"/>
          <w:sz w:val="22"/>
          <w:szCs w:val="22"/>
          <w:highlight w:val="white"/>
        </w:rPr>
        <w:t>19</w:t>
      </w:r>
      <w:r>
        <w:rPr>
          <w:color w:val="000000"/>
          <w:sz w:val="22"/>
          <w:szCs w:val="22"/>
          <w:highlight w:val="white"/>
        </w:rPr>
        <w:t>(4), 29-37.</w:t>
      </w:r>
    </w:p>
    <w:p w14:paraId="44FAA5B7" w14:textId="77777777" w:rsidR="004A2EE4" w:rsidRDefault="004A2EE4" w:rsidP="00B34C17">
      <w:pPr>
        <w:ind w:left="720" w:hanging="720"/>
        <w:jc w:val="both"/>
        <w:rPr>
          <w:color w:val="000000"/>
          <w:sz w:val="22"/>
          <w:szCs w:val="22"/>
        </w:rPr>
      </w:pPr>
      <w:r>
        <w:rPr>
          <w:color w:val="000000"/>
          <w:sz w:val="22"/>
          <w:szCs w:val="22"/>
          <w:highlight w:val="white"/>
        </w:rPr>
        <w:t xml:space="preserve">Sies, H., &amp; Jones, D. P. (2020). Reactive oxygen species (ROS) as pleiotropic physiological </w:t>
      </w:r>
      <w:proofErr w:type="spellStart"/>
      <w:r>
        <w:rPr>
          <w:color w:val="000000"/>
          <w:sz w:val="22"/>
          <w:szCs w:val="22"/>
          <w:highlight w:val="white"/>
        </w:rPr>
        <w:t>signalling</w:t>
      </w:r>
      <w:proofErr w:type="spellEnd"/>
      <w:r>
        <w:rPr>
          <w:color w:val="000000"/>
          <w:sz w:val="22"/>
          <w:szCs w:val="22"/>
          <w:highlight w:val="white"/>
        </w:rPr>
        <w:t xml:space="preserve"> agents. </w:t>
      </w:r>
      <w:r>
        <w:rPr>
          <w:i/>
          <w:iCs/>
          <w:color w:val="000000"/>
          <w:sz w:val="22"/>
          <w:szCs w:val="22"/>
          <w:highlight w:val="white"/>
        </w:rPr>
        <w:t>Nature reviews Molecular cell biology</w:t>
      </w:r>
      <w:r>
        <w:rPr>
          <w:color w:val="000000"/>
          <w:sz w:val="22"/>
          <w:szCs w:val="22"/>
          <w:highlight w:val="white"/>
        </w:rPr>
        <w:t>, </w:t>
      </w:r>
      <w:r>
        <w:rPr>
          <w:i/>
          <w:iCs/>
          <w:color w:val="000000"/>
          <w:sz w:val="22"/>
          <w:szCs w:val="22"/>
          <w:highlight w:val="white"/>
        </w:rPr>
        <w:t>21</w:t>
      </w:r>
      <w:r>
        <w:rPr>
          <w:color w:val="000000"/>
          <w:sz w:val="22"/>
          <w:szCs w:val="22"/>
          <w:highlight w:val="white"/>
        </w:rPr>
        <w:t>(7), 363-383.</w:t>
      </w:r>
    </w:p>
    <w:p w14:paraId="5EB42556" w14:textId="77777777" w:rsidR="004A2EE4" w:rsidRDefault="004A2EE4" w:rsidP="00B34C17">
      <w:pPr>
        <w:ind w:left="720" w:hanging="720"/>
        <w:jc w:val="both"/>
        <w:rPr>
          <w:color w:val="000000"/>
          <w:sz w:val="22"/>
          <w:szCs w:val="22"/>
          <w:highlight w:val="white"/>
        </w:rPr>
      </w:pPr>
      <w:r>
        <w:rPr>
          <w:color w:val="000000"/>
          <w:sz w:val="22"/>
          <w:szCs w:val="22"/>
          <w:highlight w:val="white"/>
        </w:rPr>
        <w:t>Sies, H., Belousov, V. V., Chandel, N. S., Davies, M. J., Jones, D. P., Mann, G. E., ... &amp; Winterbourn, C. (2022). Defining roles of specific reactive oxygen species (ROS) in cell biology and physiology. </w:t>
      </w:r>
      <w:r>
        <w:rPr>
          <w:i/>
          <w:iCs/>
          <w:color w:val="000000"/>
          <w:sz w:val="22"/>
          <w:szCs w:val="22"/>
          <w:highlight w:val="white"/>
        </w:rPr>
        <w:t>Nature reviews Molecular cell biology</w:t>
      </w:r>
      <w:r>
        <w:rPr>
          <w:color w:val="000000"/>
          <w:sz w:val="22"/>
          <w:szCs w:val="22"/>
          <w:highlight w:val="white"/>
        </w:rPr>
        <w:t>, </w:t>
      </w:r>
      <w:r>
        <w:rPr>
          <w:i/>
          <w:iCs/>
          <w:color w:val="000000"/>
          <w:sz w:val="22"/>
          <w:szCs w:val="22"/>
          <w:highlight w:val="white"/>
        </w:rPr>
        <w:t>23</w:t>
      </w:r>
      <w:r>
        <w:rPr>
          <w:color w:val="000000"/>
          <w:sz w:val="22"/>
          <w:szCs w:val="22"/>
          <w:highlight w:val="white"/>
        </w:rPr>
        <w:t>(7), 499-515.</w:t>
      </w:r>
    </w:p>
    <w:p w14:paraId="40093580" w14:textId="77777777" w:rsidR="004A2EE4" w:rsidRPr="00950E51" w:rsidRDefault="004A2EE4" w:rsidP="00B34C17">
      <w:pPr>
        <w:ind w:left="720" w:hanging="720"/>
        <w:jc w:val="both"/>
        <w:rPr>
          <w:color w:val="000000"/>
          <w:sz w:val="22"/>
          <w:szCs w:val="22"/>
          <w:highlight w:val="white"/>
          <w:lang w:val="it-IT"/>
        </w:rPr>
      </w:pPr>
      <w:r>
        <w:rPr>
          <w:color w:val="000000"/>
          <w:sz w:val="22"/>
          <w:szCs w:val="22"/>
          <w:highlight w:val="white"/>
        </w:rPr>
        <w:t>Srinivasan, R., Mathivanan, K., Govindarajan, R. K., Uthaya Chandirika, J., &amp; Govindasamy, C. (2022). Extracellular synthesis of silver nanoparticles by bioluminescent bacteria: characterization and evaluation of its antibacterial and antioxidant properties. </w:t>
      </w:r>
      <w:r w:rsidRPr="00950E51">
        <w:rPr>
          <w:i/>
          <w:iCs/>
          <w:color w:val="000000"/>
          <w:sz w:val="22"/>
          <w:szCs w:val="22"/>
          <w:highlight w:val="white"/>
          <w:lang w:val="it-IT"/>
        </w:rPr>
        <w:t>International Nano Letters</w:t>
      </w:r>
      <w:r w:rsidRPr="00950E51">
        <w:rPr>
          <w:color w:val="000000"/>
          <w:sz w:val="22"/>
          <w:szCs w:val="22"/>
          <w:highlight w:val="white"/>
          <w:lang w:val="it-IT"/>
        </w:rPr>
        <w:t>, 1-9.</w:t>
      </w:r>
    </w:p>
    <w:p w14:paraId="3C56407F" w14:textId="77777777" w:rsidR="004A2EE4" w:rsidRDefault="004A2EE4" w:rsidP="00B34C17">
      <w:pPr>
        <w:pBdr>
          <w:top w:val="nil"/>
          <w:left w:val="nil"/>
          <w:bottom w:val="nil"/>
          <w:right w:val="nil"/>
          <w:between w:val="nil"/>
        </w:pBdr>
        <w:spacing w:line="240" w:lineRule="auto"/>
        <w:ind w:left="720" w:hanging="720"/>
        <w:jc w:val="both"/>
        <w:rPr>
          <w:color w:val="000000"/>
          <w:sz w:val="22"/>
          <w:szCs w:val="22"/>
        </w:rPr>
      </w:pPr>
      <w:r w:rsidRPr="00950E51">
        <w:rPr>
          <w:color w:val="000000"/>
          <w:sz w:val="22"/>
          <w:szCs w:val="22"/>
          <w:lang w:val="it-IT"/>
        </w:rPr>
        <w:lastRenderedPageBreak/>
        <w:t xml:space="preserve">Suleiman, A., Bello, A. B., &amp; Idris, A. D. (2023). </w:t>
      </w:r>
      <w:r>
        <w:rPr>
          <w:color w:val="000000"/>
          <w:sz w:val="22"/>
          <w:szCs w:val="22"/>
        </w:rPr>
        <w:t xml:space="preserve">Phytochemistry and antibacterial assessment of ethyl acetate leaf extract of </w:t>
      </w:r>
      <w:proofErr w:type="spellStart"/>
      <w:r>
        <w:rPr>
          <w:i/>
          <w:iCs/>
          <w:color w:val="000000"/>
          <w:sz w:val="22"/>
          <w:szCs w:val="22"/>
        </w:rPr>
        <w:t>Newbouldia</w:t>
      </w:r>
      <w:proofErr w:type="spellEnd"/>
      <w:r>
        <w:rPr>
          <w:i/>
          <w:iCs/>
          <w:color w:val="000000"/>
          <w:sz w:val="22"/>
          <w:szCs w:val="22"/>
        </w:rPr>
        <w:t xml:space="preserve"> laevis</w:t>
      </w:r>
      <w:r>
        <w:rPr>
          <w:color w:val="000000"/>
          <w:sz w:val="22"/>
          <w:szCs w:val="22"/>
        </w:rPr>
        <w:t xml:space="preserve">. </w:t>
      </w:r>
      <w:r>
        <w:rPr>
          <w:i/>
          <w:iCs/>
          <w:color w:val="000000"/>
          <w:sz w:val="22"/>
          <w:szCs w:val="22"/>
        </w:rPr>
        <w:t>UMYU Journal of Microbiology Research (UJMR), 8</w:t>
      </w:r>
      <w:r>
        <w:rPr>
          <w:color w:val="000000"/>
          <w:sz w:val="22"/>
          <w:szCs w:val="22"/>
        </w:rPr>
        <w:t>(1), 39–45.</w:t>
      </w:r>
    </w:p>
    <w:p w14:paraId="53F52F89" w14:textId="77777777" w:rsidR="004A2EE4" w:rsidRDefault="004A2EE4" w:rsidP="00B34C17">
      <w:pPr>
        <w:ind w:left="720" w:hanging="720"/>
        <w:jc w:val="both"/>
        <w:rPr>
          <w:color w:val="000000"/>
          <w:sz w:val="22"/>
          <w:szCs w:val="22"/>
          <w:highlight w:val="white"/>
        </w:rPr>
      </w:pPr>
      <w:r>
        <w:rPr>
          <w:color w:val="000000"/>
          <w:sz w:val="22"/>
          <w:szCs w:val="22"/>
          <w:highlight w:val="white"/>
        </w:rPr>
        <w:t>Tan, C., Xue, J., Abbas, S., Feng, B., Zhang, X., &amp; Xia, S. (2014). Liposome as a delivery system for carotenoids: Comparative antioxidant activity of carotenoids as measured by ferric reducing antioxidant power, DPPH assay and lipid peroxidation. </w:t>
      </w:r>
      <w:r>
        <w:rPr>
          <w:i/>
          <w:iCs/>
          <w:color w:val="000000"/>
          <w:sz w:val="22"/>
          <w:szCs w:val="22"/>
          <w:highlight w:val="white"/>
        </w:rPr>
        <w:t>Journal of agricultural and food chemistry</w:t>
      </w:r>
      <w:r>
        <w:rPr>
          <w:color w:val="000000"/>
          <w:sz w:val="22"/>
          <w:szCs w:val="22"/>
          <w:highlight w:val="white"/>
        </w:rPr>
        <w:t>, </w:t>
      </w:r>
      <w:r>
        <w:rPr>
          <w:i/>
          <w:iCs/>
          <w:color w:val="000000"/>
          <w:sz w:val="22"/>
          <w:szCs w:val="22"/>
          <w:highlight w:val="white"/>
        </w:rPr>
        <w:t>62</w:t>
      </w:r>
      <w:r>
        <w:rPr>
          <w:color w:val="000000"/>
          <w:sz w:val="22"/>
          <w:szCs w:val="22"/>
          <w:highlight w:val="white"/>
        </w:rPr>
        <w:t>(28), 6726-6735.</w:t>
      </w:r>
    </w:p>
    <w:p w14:paraId="002D8E17" w14:textId="77777777" w:rsidR="004A2EE4" w:rsidRDefault="004A2EE4" w:rsidP="00B34C17">
      <w:pPr>
        <w:ind w:left="720" w:hanging="720"/>
        <w:jc w:val="both"/>
        <w:rPr>
          <w:color w:val="000000"/>
          <w:sz w:val="22"/>
          <w:szCs w:val="22"/>
          <w:highlight w:val="white"/>
        </w:rPr>
      </w:pPr>
      <w:r>
        <w:rPr>
          <w:color w:val="000000"/>
          <w:sz w:val="22"/>
          <w:szCs w:val="22"/>
          <w:highlight w:val="white"/>
        </w:rPr>
        <w:t xml:space="preserve">Usman, H., &amp; Osuji, J. C. (2007). Phytochemical and in vitro antimicrobial assay of the leaf extract of </w:t>
      </w:r>
      <w:proofErr w:type="spellStart"/>
      <w:r>
        <w:rPr>
          <w:color w:val="000000"/>
          <w:sz w:val="22"/>
          <w:szCs w:val="22"/>
          <w:highlight w:val="white"/>
        </w:rPr>
        <w:t>Newbouldia</w:t>
      </w:r>
      <w:proofErr w:type="spellEnd"/>
      <w:r>
        <w:rPr>
          <w:color w:val="000000"/>
          <w:sz w:val="22"/>
          <w:szCs w:val="22"/>
          <w:highlight w:val="white"/>
        </w:rPr>
        <w:t xml:space="preserve"> laevis. </w:t>
      </w:r>
      <w:r>
        <w:rPr>
          <w:i/>
          <w:iCs/>
          <w:color w:val="000000"/>
          <w:sz w:val="22"/>
          <w:szCs w:val="22"/>
          <w:highlight w:val="white"/>
        </w:rPr>
        <w:t>African Journal of Traditional, Complementary and Alternative Medicines</w:t>
      </w:r>
      <w:r>
        <w:rPr>
          <w:color w:val="000000"/>
          <w:sz w:val="22"/>
          <w:szCs w:val="22"/>
          <w:highlight w:val="white"/>
        </w:rPr>
        <w:t>, </w:t>
      </w:r>
      <w:r>
        <w:rPr>
          <w:i/>
          <w:iCs/>
          <w:color w:val="000000"/>
          <w:sz w:val="22"/>
          <w:szCs w:val="22"/>
          <w:highlight w:val="white"/>
        </w:rPr>
        <w:t>4</w:t>
      </w:r>
      <w:r>
        <w:rPr>
          <w:color w:val="000000"/>
          <w:sz w:val="22"/>
          <w:szCs w:val="22"/>
          <w:highlight w:val="white"/>
        </w:rPr>
        <w:t>(4), 476-480.</w:t>
      </w:r>
    </w:p>
    <w:p w14:paraId="6EB0AA5F" w14:textId="77777777" w:rsidR="004A2EE4" w:rsidRDefault="004A2EE4" w:rsidP="00B34C17">
      <w:pPr>
        <w:pBdr>
          <w:top w:val="nil"/>
          <w:left w:val="nil"/>
          <w:bottom w:val="nil"/>
          <w:right w:val="nil"/>
          <w:between w:val="nil"/>
        </w:pBdr>
        <w:spacing w:line="240" w:lineRule="auto"/>
        <w:ind w:left="720" w:hanging="720"/>
        <w:jc w:val="both"/>
        <w:rPr>
          <w:color w:val="000000"/>
          <w:sz w:val="22"/>
          <w:szCs w:val="22"/>
        </w:rPr>
      </w:pPr>
      <w:r>
        <w:rPr>
          <w:color w:val="000000"/>
          <w:sz w:val="22"/>
          <w:szCs w:val="22"/>
          <w:highlight w:val="white"/>
        </w:rPr>
        <w:t xml:space="preserve">Yan, Y., Li, X., Zhang, C., </w:t>
      </w:r>
      <w:proofErr w:type="spellStart"/>
      <w:r>
        <w:rPr>
          <w:color w:val="000000"/>
          <w:sz w:val="22"/>
          <w:szCs w:val="22"/>
          <w:highlight w:val="white"/>
        </w:rPr>
        <w:t>Lv</w:t>
      </w:r>
      <w:proofErr w:type="spellEnd"/>
      <w:r>
        <w:rPr>
          <w:color w:val="000000"/>
          <w:sz w:val="22"/>
          <w:szCs w:val="22"/>
          <w:highlight w:val="white"/>
        </w:rPr>
        <w:t>, L., Gao, B., &amp; Li, M. (2021). Research progress on antibacterial activities and mechanisms of natural alkaloids: A review. </w:t>
      </w:r>
      <w:r>
        <w:rPr>
          <w:i/>
          <w:iCs/>
          <w:color w:val="000000"/>
          <w:sz w:val="22"/>
          <w:szCs w:val="22"/>
          <w:highlight w:val="white"/>
        </w:rPr>
        <w:t>Antibiotics</w:t>
      </w:r>
      <w:r>
        <w:rPr>
          <w:color w:val="000000"/>
          <w:sz w:val="22"/>
          <w:szCs w:val="22"/>
          <w:highlight w:val="white"/>
        </w:rPr>
        <w:t>, </w:t>
      </w:r>
      <w:r>
        <w:rPr>
          <w:i/>
          <w:iCs/>
          <w:color w:val="000000"/>
          <w:sz w:val="22"/>
          <w:szCs w:val="22"/>
          <w:highlight w:val="white"/>
        </w:rPr>
        <w:t>10</w:t>
      </w:r>
      <w:r>
        <w:rPr>
          <w:color w:val="000000"/>
          <w:sz w:val="22"/>
          <w:szCs w:val="22"/>
          <w:highlight w:val="white"/>
        </w:rPr>
        <w:t>(3), 318.</w:t>
      </w:r>
    </w:p>
    <w:p w14:paraId="0A84EA30" w14:textId="77777777" w:rsidR="004A2EE4" w:rsidRDefault="004A2EE4" w:rsidP="00B34C17">
      <w:pPr>
        <w:pBdr>
          <w:top w:val="nil"/>
          <w:left w:val="nil"/>
          <w:bottom w:val="nil"/>
          <w:right w:val="nil"/>
          <w:between w:val="nil"/>
        </w:pBdr>
        <w:spacing w:line="240" w:lineRule="auto"/>
        <w:ind w:left="720" w:hanging="720"/>
        <w:jc w:val="both"/>
        <w:rPr>
          <w:color w:val="000000"/>
          <w:sz w:val="22"/>
          <w:szCs w:val="22"/>
        </w:rPr>
      </w:pPr>
    </w:p>
    <w:sectPr w:rsidR="004A2EE4" w:rsidSect="00C80B24">
      <w:pgSz w:w="12240" w:h="15840"/>
      <w:pgMar w:top="1440" w:right="1530" w:bottom="1440"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7B0FB84-CFBB-47BE-8025-7036278FA6B7}"/>
    <w:embedItalic r:id="rId2" w:fontKey="{0E208EE4-DDDE-4DEE-8F69-02EE09C5A455}"/>
  </w:font>
  <w:font w:name="Cambria">
    <w:panose1 w:val="02040503050406030204"/>
    <w:charset w:val="00"/>
    <w:family w:val="roman"/>
    <w:pitch w:val="variable"/>
    <w:sig w:usb0="E00006FF" w:usb1="420024FF" w:usb2="02000000" w:usb3="00000000" w:csb0="0000019F" w:csb1="00000000"/>
    <w:embedRegular r:id="rId3" w:fontKey="{63BE75F8-9D27-4B31-A669-FE780FF645B2}"/>
  </w:font>
  <w:font w:name="Cambria Math">
    <w:panose1 w:val="02040503050406030204"/>
    <w:charset w:val="00"/>
    <w:family w:val="roman"/>
    <w:pitch w:val="variable"/>
    <w:sig w:usb0="E00006FF" w:usb1="420024FF" w:usb2="02000000" w:usb3="00000000" w:csb0="0000019F" w:csb1="00000000"/>
    <w:embedRegular r:id="rId4" w:fontKey="{C4C92FCE-EF05-44F7-BCDC-737F9A06CD23}"/>
    <w:embedItalic r:id="rId5" w:fontKey="{1BB056F8-1FF3-4958-A9D5-E4319DB44BE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F9039F"/>
    <w:multiLevelType w:val="multilevel"/>
    <w:tmpl w:val="1676FE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C566C27"/>
    <w:multiLevelType w:val="hybridMultilevel"/>
    <w:tmpl w:val="3B7A3016"/>
    <w:lvl w:ilvl="0" w:tplc="87D2171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11738997">
    <w:abstractNumId w:val="0"/>
  </w:num>
  <w:num w:numId="2" w16cid:durableId="2742948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3559"/>
    <w:rsid w:val="000002C7"/>
    <w:rsid w:val="000063AB"/>
    <w:rsid w:val="00017F9E"/>
    <w:rsid w:val="00025201"/>
    <w:rsid w:val="0003691C"/>
    <w:rsid w:val="000F601E"/>
    <w:rsid w:val="001371D4"/>
    <w:rsid w:val="00174385"/>
    <w:rsid w:val="0020466C"/>
    <w:rsid w:val="00263D28"/>
    <w:rsid w:val="002F0937"/>
    <w:rsid w:val="00352A87"/>
    <w:rsid w:val="00355CF9"/>
    <w:rsid w:val="0036447B"/>
    <w:rsid w:val="003767CD"/>
    <w:rsid w:val="003B3D52"/>
    <w:rsid w:val="003D2808"/>
    <w:rsid w:val="003E4200"/>
    <w:rsid w:val="0043334F"/>
    <w:rsid w:val="00451903"/>
    <w:rsid w:val="00463559"/>
    <w:rsid w:val="004A2EE4"/>
    <w:rsid w:val="004B0BDE"/>
    <w:rsid w:val="004E55CF"/>
    <w:rsid w:val="004F50F5"/>
    <w:rsid w:val="0051013D"/>
    <w:rsid w:val="00514561"/>
    <w:rsid w:val="0055261E"/>
    <w:rsid w:val="005626E5"/>
    <w:rsid w:val="00593029"/>
    <w:rsid w:val="005B7DE0"/>
    <w:rsid w:val="005E29AA"/>
    <w:rsid w:val="005E3024"/>
    <w:rsid w:val="00633025"/>
    <w:rsid w:val="006351D5"/>
    <w:rsid w:val="00655699"/>
    <w:rsid w:val="0066046D"/>
    <w:rsid w:val="006A2401"/>
    <w:rsid w:val="007120E4"/>
    <w:rsid w:val="0072198F"/>
    <w:rsid w:val="00771050"/>
    <w:rsid w:val="007D4EC6"/>
    <w:rsid w:val="007E6E9B"/>
    <w:rsid w:val="00800912"/>
    <w:rsid w:val="008145F7"/>
    <w:rsid w:val="0087391A"/>
    <w:rsid w:val="008767C9"/>
    <w:rsid w:val="00893600"/>
    <w:rsid w:val="008B7E48"/>
    <w:rsid w:val="008E3F16"/>
    <w:rsid w:val="00942B09"/>
    <w:rsid w:val="00942EF6"/>
    <w:rsid w:val="00950E51"/>
    <w:rsid w:val="00981163"/>
    <w:rsid w:val="00A2713B"/>
    <w:rsid w:val="00A85373"/>
    <w:rsid w:val="00AC1283"/>
    <w:rsid w:val="00AD0898"/>
    <w:rsid w:val="00B10F3C"/>
    <w:rsid w:val="00B23FE5"/>
    <w:rsid w:val="00B34C17"/>
    <w:rsid w:val="00B5670F"/>
    <w:rsid w:val="00BA5923"/>
    <w:rsid w:val="00BA595C"/>
    <w:rsid w:val="00BE6480"/>
    <w:rsid w:val="00C17FFD"/>
    <w:rsid w:val="00C22B04"/>
    <w:rsid w:val="00C80B24"/>
    <w:rsid w:val="00CA01C4"/>
    <w:rsid w:val="00D91EE6"/>
    <w:rsid w:val="00E31F33"/>
    <w:rsid w:val="00E51C6C"/>
    <w:rsid w:val="00E64802"/>
    <w:rsid w:val="00EE2681"/>
    <w:rsid w:val="00F04346"/>
    <w:rsid w:val="00F63B03"/>
    <w:rsid w:val="00F90486"/>
    <w:rsid w:val="00F93609"/>
    <w:rsid w:val="00F94DDC"/>
    <w:rsid w:val="00FD1B70"/>
    <w:rsid w:val="00FD5D50"/>
    <w:rsid w:val="00FF511E"/>
    <w:rsid w:val="00FF5C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5D720"/>
  <w15:docId w15:val="{C88A1650-C035-4554-A137-8DD9C64FA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360" w:after="80"/>
      <w:outlineLvl w:val="0"/>
    </w:pPr>
    <w:rPr>
      <w:rFonts w:ascii="Calibri" w:eastAsia="Calibri" w:hAnsi="Calibri" w:cs="Calibri"/>
      <w:color w:val="2F5496"/>
      <w:sz w:val="40"/>
      <w:szCs w:val="40"/>
    </w:rPr>
  </w:style>
  <w:style w:type="paragraph" w:styleId="Heading2">
    <w:name w:val="heading 2"/>
    <w:basedOn w:val="Normal"/>
    <w:next w:val="Normal"/>
    <w:pPr>
      <w:keepNext/>
      <w:keepLines/>
      <w:spacing w:before="160" w:after="80"/>
      <w:outlineLvl w:val="1"/>
    </w:pPr>
    <w:rPr>
      <w:rFonts w:ascii="Calibri" w:eastAsia="Calibri" w:hAnsi="Calibri" w:cs="Calibri"/>
      <w:color w:val="2F5496"/>
      <w:sz w:val="32"/>
      <w:szCs w:val="32"/>
    </w:rPr>
  </w:style>
  <w:style w:type="paragraph" w:styleId="Heading3">
    <w:name w:val="heading 3"/>
    <w:basedOn w:val="Normal"/>
    <w:next w:val="Normal"/>
    <w:pPr>
      <w:keepNext/>
      <w:keepLines/>
      <w:spacing w:before="160" w:after="80"/>
      <w:outlineLvl w:val="2"/>
    </w:pPr>
    <w:rPr>
      <w:color w:val="2F5496"/>
      <w:sz w:val="28"/>
      <w:szCs w:val="28"/>
    </w:rPr>
  </w:style>
  <w:style w:type="paragraph" w:styleId="Heading4">
    <w:name w:val="heading 4"/>
    <w:basedOn w:val="Normal"/>
    <w:next w:val="Normal"/>
    <w:pPr>
      <w:keepNext/>
      <w:keepLines/>
      <w:spacing w:before="80" w:after="40"/>
      <w:outlineLvl w:val="3"/>
    </w:pPr>
    <w:rPr>
      <w:i/>
      <w:iCs/>
      <w:color w:val="2F5496"/>
    </w:rPr>
  </w:style>
  <w:style w:type="paragraph" w:styleId="Heading5">
    <w:name w:val="heading 5"/>
    <w:basedOn w:val="Normal"/>
    <w:next w:val="Normal"/>
    <w:pPr>
      <w:keepNext/>
      <w:keepLines/>
      <w:spacing w:before="80" w:after="40"/>
      <w:outlineLvl w:val="4"/>
    </w:pPr>
    <w:rPr>
      <w:color w:val="2F5496"/>
    </w:rPr>
  </w:style>
  <w:style w:type="paragraph" w:styleId="Heading6">
    <w:name w:val="heading 6"/>
    <w:basedOn w:val="Normal"/>
    <w:next w:val="Normal"/>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spacing w:after="80" w:line="240" w:lineRule="auto"/>
    </w:pPr>
    <w:rPr>
      <w:rFonts w:ascii="Calibri" w:eastAsia="Calibri" w:hAnsi="Calibri" w:cs="Calibri"/>
      <w:sz w:val="56"/>
      <w:szCs w:val="56"/>
    </w:rPr>
  </w:style>
  <w:style w:type="paragraph" w:styleId="Subtitle">
    <w:name w:val="Subtitle"/>
    <w:basedOn w:val="Normal"/>
    <w:next w:val="Normal"/>
    <w:rPr>
      <w:color w:val="595959"/>
      <w:sz w:val="28"/>
      <w:szCs w:val="2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table" w:styleId="TableGrid">
    <w:name w:val="Table Grid"/>
    <w:basedOn w:val="TableNormal"/>
    <w:uiPriority w:val="39"/>
    <w:rsid w:val="005E30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6Colorful">
    <w:name w:val="List Table 6 Colorful"/>
    <w:basedOn w:val="TableNormal"/>
    <w:uiPriority w:val="51"/>
    <w:rsid w:val="00A2713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BA5923"/>
    <w:pPr>
      <w:spacing w:before="100" w:beforeAutospacing="1" w:after="100" w:afterAutospacing="1" w:line="240" w:lineRule="auto"/>
    </w:pPr>
    <w:rPr>
      <w:lang w:val="en-US"/>
    </w:rPr>
  </w:style>
  <w:style w:type="character" w:styleId="Strong">
    <w:name w:val="Strong"/>
    <w:basedOn w:val="DefaultParagraphFont"/>
    <w:uiPriority w:val="22"/>
    <w:qFormat/>
    <w:rsid w:val="001371D4"/>
    <w:rPr>
      <w:b/>
      <w:bCs/>
    </w:rPr>
  </w:style>
  <w:style w:type="character" w:customStyle="1" w:styleId="katex-mathml">
    <w:name w:val="katex-mathml"/>
    <w:basedOn w:val="DefaultParagraphFont"/>
    <w:rsid w:val="001371D4"/>
  </w:style>
  <w:style w:type="character" w:customStyle="1" w:styleId="mord">
    <w:name w:val="mord"/>
    <w:basedOn w:val="DefaultParagraphFont"/>
    <w:rsid w:val="001371D4"/>
  </w:style>
  <w:style w:type="character" w:customStyle="1" w:styleId="mrel">
    <w:name w:val="mrel"/>
    <w:basedOn w:val="DefaultParagraphFont"/>
    <w:rsid w:val="001371D4"/>
  </w:style>
  <w:style w:type="character" w:customStyle="1" w:styleId="vlist-s">
    <w:name w:val="vlist-s"/>
    <w:basedOn w:val="DefaultParagraphFont"/>
    <w:rsid w:val="001371D4"/>
  </w:style>
  <w:style w:type="character" w:customStyle="1" w:styleId="mbin">
    <w:name w:val="mbin"/>
    <w:basedOn w:val="DefaultParagraphFont"/>
    <w:rsid w:val="001371D4"/>
  </w:style>
  <w:style w:type="character" w:styleId="Emphasis">
    <w:name w:val="Emphasis"/>
    <w:basedOn w:val="DefaultParagraphFont"/>
    <w:uiPriority w:val="20"/>
    <w:qFormat/>
    <w:rsid w:val="005E29AA"/>
    <w:rPr>
      <w:i/>
      <w:iCs/>
    </w:rPr>
  </w:style>
  <w:style w:type="character" w:customStyle="1" w:styleId="highlight">
    <w:name w:val="highlight"/>
    <w:basedOn w:val="DefaultParagraphFont"/>
    <w:rsid w:val="005E29AA"/>
  </w:style>
  <w:style w:type="character" w:styleId="Hyperlink">
    <w:name w:val="Hyperlink"/>
    <w:basedOn w:val="DefaultParagraphFont"/>
    <w:uiPriority w:val="99"/>
    <w:unhideWhenUsed/>
    <w:qFormat/>
    <w:rsid w:val="00893600"/>
    <w:rPr>
      <w:color w:val="0000FF"/>
      <w:u w:val="single"/>
    </w:rPr>
  </w:style>
  <w:style w:type="character" w:customStyle="1" w:styleId="15">
    <w:name w:val="15"/>
    <w:basedOn w:val="DefaultParagraphFont"/>
    <w:rsid w:val="004A2EE4"/>
    <w:rPr>
      <w:rFonts w:ascii="Times New Roman" w:hAnsi="Times New Roman" w:cs="Times New Roman" w:hint="default"/>
      <w:color w:val="0000FF"/>
      <w:u w:val="single"/>
    </w:rPr>
  </w:style>
  <w:style w:type="paragraph" w:styleId="ListParagraph">
    <w:name w:val="List Paragraph"/>
    <w:basedOn w:val="Normal"/>
    <w:uiPriority w:val="34"/>
    <w:qFormat/>
    <w:rsid w:val="000063AB"/>
    <w:pPr>
      <w:ind w:left="720"/>
      <w:contextualSpacing/>
    </w:pPr>
    <w:rPr>
      <w:rFonts w:asciiTheme="minorHAnsi" w:eastAsiaTheme="minorHAnsi" w:hAnsiTheme="minorHAnsi" w:cstheme="minorBid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92991">
      <w:bodyDiv w:val="1"/>
      <w:marLeft w:val="0"/>
      <w:marRight w:val="0"/>
      <w:marTop w:val="0"/>
      <w:marBottom w:val="0"/>
      <w:divBdr>
        <w:top w:val="none" w:sz="0" w:space="0" w:color="auto"/>
        <w:left w:val="none" w:sz="0" w:space="0" w:color="auto"/>
        <w:bottom w:val="none" w:sz="0" w:space="0" w:color="auto"/>
        <w:right w:val="none" w:sz="0" w:space="0" w:color="auto"/>
      </w:divBdr>
    </w:div>
    <w:div w:id="46609446">
      <w:bodyDiv w:val="1"/>
      <w:marLeft w:val="0"/>
      <w:marRight w:val="0"/>
      <w:marTop w:val="0"/>
      <w:marBottom w:val="0"/>
      <w:divBdr>
        <w:top w:val="none" w:sz="0" w:space="0" w:color="auto"/>
        <w:left w:val="none" w:sz="0" w:space="0" w:color="auto"/>
        <w:bottom w:val="none" w:sz="0" w:space="0" w:color="auto"/>
        <w:right w:val="none" w:sz="0" w:space="0" w:color="auto"/>
      </w:divBdr>
    </w:div>
    <w:div w:id="118568913">
      <w:bodyDiv w:val="1"/>
      <w:marLeft w:val="0"/>
      <w:marRight w:val="0"/>
      <w:marTop w:val="0"/>
      <w:marBottom w:val="0"/>
      <w:divBdr>
        <w:top w:val="none" w:sz="0" w:space="0" w:color="auto"/>
        <w:left w:val="none" w:sz="0" w:space="0" w:color="auto"/>
        <w:bottom w:val="none" w:sz="0" w:space="0" w:color="auto"/>
        <w:right w:val="none" w:sz="0" w:space="0" w:color="auto"/>
      </w:divBdr>
    </w:div>
    <w:div w:id="146365505">
      <w:bodyDiv w:val="1"/>
      <w:marLeft w:val="0"/>
      <w:marRight w:val="0"/>
      <w:marTop w:val="0"/>
      <w:marBottom w:val="0"/>
      <w:divBdr>
        <w:top w:val="none" w:sz="0" w:space="0" w:color="auto"/>
        <w:left w:val="none" w:sz="0" w:space="0" w:color="auto"/>
        <w:bottom w:val="none" w:sz="0" w:space="0" w:color="auto"/>
        <w:right w:val="none" w:sz="0" w:space="0" w:color="auto"/>
      </w:divBdr>
    </w:div>
    <w:div w:id="163591322">
      <w:bodyDiv w:val="1"/>
      <w:marLeft w:val="0"/>
      <w:marRight w:val="0"/>
      <w:marTop w:val="0"/>
      <w:marBottom w:val="0"/>
      <w:divBdr>
        <w:top w:val="none" w:sz="0" w:space="0" w:color="auto"/>
        <w:left w:val="none" w:sz="0" w:space="0" w:color="auto"/>
        <w:bottom w:val="none" w:sz="0" w:space="0" w:color="auto"/>
        <w:right w:val="none" w:sz="0" w:space="0" w:color="auto"/>
      </w:divBdr>
    </w:div>
    <w:div w:id="280459718">
      <w:bodyDiv w:val="1"/>
      <w:marLeft w:val="0"/>
      <w:marRight w:val="0"/>
      <w:marTop w:val="0"/>
      <w:marBottom w:val="0"/>
      <w:divBdr>
        <w:top w:val="none" w:sz="0" w:space="0" w:color="auto"/>
        <w:left w:val="none" w:sz="0" w:space="0" w:color="auto"/>
        <w:bottom w:val="none" w:sz="0" w:space="0" w:color="auto"/>
        <w:right w:val="none" w:sz="0" w:space="0" w:color="auto"/>
      </w:divBdr>
    </w:div>
    <w:div w:id="307244970">
      <w:bodyDiv w:val="1"/>
      <w:marLeft w:val="0"/>
      <w:marRight w:val="0"/>
      <w:marTop w:val="0"/>
      <w:marBottom w:val="0"/>
      <w:divBdr>
        <w:top w:val="none" w:sz="0" w:space="0" w:color="auto"/>
        <w:left w:val="none" w:sz="0" w:space="0" w:color="auto"/>
        <w:bottom w:val="none" w:sz="0" w:space="0" w:color="auto"/>
        <w:right w:val="none" w:sz="0" w:space="0" w:color="auto"/>
      </w:divBdr>
    </w:div>
    <w:div w:id="376321775">
      <w:bodyDiv w:val="1"/>
      <w:marLeft w:val="0"/>
      <w:marRight w:val="0"/>
      <w:marTop w:val="0"/>
      <w:marBottom w:val="0"/>
      <w:divBdr>
        <w:top w:val="none" w:sz="0" w:space="0" w:color="auto"/>
        <w:left w:val="none" w:sz="0" w:space="0" w:color="auto"/>
        <w:bottom w:val="none" w:sz="0" w:space="0" w:color="auto"/>
        <w:right w:val="none" w:sz="0" w:space="0" w:color="auto"/>
      </w:divBdr>
    </w:div>
    <w:div w:id="409812605">
      <w:bodyDiv w:val="1"/>
      <w:marLeft w:val="0"/>
      <w:marRight w:val="0"/>
      <w:marTop w:val="0"/>
      <w:marBottom w:val="0"/>
      <w:divBdr>
        <w:top w:val="none" w:sz="0" w:space="0" w:color="auto"/>
        <w:left w:val="none" w:sz="0" w:space="0" w:color="auto"/>
        <w:bottom w:val="none" w:sz="0" w:space="0" w:color="auto"/>
        <w:right w:val="none" w:sz="0" w:space="0" w:color="auto"/>
      </w:divBdr>
    </w:div>
    <w:div w:id="607390848">
      <w:bodyDiv w:val="1"/>
      <w:marLeft w:val="0"/>
      <w:marRight w:val="0"/>
      <w:marTop w:val="0"/>
      <w:marBottom w:val="0"/>
      <w:divBdr>
        <w:top w:val="none" w:sz="0" w:space="0" w:color="auto"/>
        <w:left w:val="none" w:sz="0" w:space="0" w:color="auto"/>
        <w:bottom w:val="none" w:sz="0" w:space="0" w:color="auto"/>
        <w:right w:val="none" w:sz="0" w:space="0" w:color="auto"/>
      </w:divBdr>
    </w:div>
    <w:div w:id="788085177">
      <w:bodyDiv w:val="1"/>
      <w:marLeft w:val="0"/>
      <w:marRight w:val="0"/>
      <w:marTop w:val="0"/>
      <w:marBottom w:val="0"/>
      <w:divBdr>
        <w:top w:val="none" w:sz="0" w:space="0" w:color="auto"/>
        <w:left w:val="none" w:sz="0" w:space="0" w:color="auto"/>
        <w:bottom w:val="none" w:sz="0" w:space="0" w:color="auto"/>
        <w:right w:val="none" w:sz="0" w:space="0" w:color="auto"/>
      </w:divBdr>
    </w:div>
    <w:div w:id="815562162">
      <w:bodyDiv w:val="1"/>
      <w:marLeft w:val="0"/>
      <w:marRight w:val="0"/>
      <w:marTop w:val="0"/>
      <w:marBottom w:val="0"/>
      <w:divBdr>
        <w:top w:val="none" w:sz="0" w:space="0" w:color="auto"/>
        <w:left w:val="none" w:sz="0" w:space="0" w:color="auto"/>
        <w:bottom w:val="none" w:sz="0" w:space="0" w:color="auto"/>
        <w:right w:val="none" w:sz="0" w:space="0" w:color="auto"/>
      </w:divBdr>
    </w:div>
    <w:div w:id="834422925">
      <w:bodyDiv w:val="1"/>
      <w:marLeft w:val="0"/>
      <w:marRight w:val="0"/>
      <w:marTop w:val="0"/>
      <w:marBottom w:val="0"/>
      <w:divBdr>
        <w:top w:val="none" w:sz="0" w:space="0" w:color="auto"/>
        <w:left w:val="none" w:sz="0" w:space="0" w:color="auto"/>
        <w:bottom w:val="none" w:sz="0" w:space="0" w:color="auto"/>
        <w:right w:val="none" w:sz="0" w:space="0" w:color="auto"/>
      </w:divBdr>
    </w:div>
    <w:div w:id="837118069">
      <w:bodyDiv w:val="1"/>
      <w:marLeft w:val="0"/>
      <w:marRight w:val="0"/>
      <w:marTop w:val="0"/>
      <w:marBottom w:val="0"/>
      <w:divBdr>
        <w:top w:val="none" w:sz="0" w:space="0" w:color="auto"/>
        <w:left w:val="none" w:sz="0" w:space="0" w:color="auto"/>
        <w:bottom w:val="none" w:sz="0" w:space="0" w:color="auto"/>
        <w:right w:val="none" w:sz="0" w:space="0" w:color="auto"/>
      </w:divBdr>
    </w:div>
    <w:div w:id="840511888">
      <w:bodyDiv w:val="1"/>
      <w:marLeft w:val="0"/>
      <w:marRight w:val="0"/>
      <w:marTop w:val="0"/>
      <w:marBottom w:val="0"/>
      <w:divBdr>
        <w:top w:val="none" w:sz="0" w:space="0" w:color="auto"/>
        <w:left w:val="none" w:sz="0" w:space="0" w:color="auto"/>
        <w:bottom w:val="none" w:sz="0" w:space="0" w:color="auto"/>
        <w:right w:val="none" w:sz="0" w:space="0" w:color="auto"/>
      </w:divBdr>
    </w:div>
    <w:div w:id="850992496">
      <w:bodyDiv w:val="1"/>
      <w:marLeft w:val="0"/>
      <w:marRight w:val="0"/>
      <w:marTop w:val="0"/>
      <w:marBottom w:val="0"/>
      <w:divBdr>
        <w:top w:val="none" w:sz="0" w:space="0" w:color="auto"/>
        <w:left w:val="none" w:sz="0" w:space="0" w:color="auto"/>
        <w:bottom w:val="none" w:sz="0" w:space="0" w:color="auto"/>
        <w:right w:val="none" w:sz="0" w:space="0" w:color="auto"/>
      </w:divBdr>
    </w:div>
    <w:div w:id="942809767">
      <w:bodyDiv w:val="1"/>
      <w:marLeft w:val="0"/>
      <w:marRight w:val="0"/>
      <w:marTop w:val="0"/>
      <w:marBottom w:val="0"/>
      <w:divBdr>
        <w:top w:val="none" w:sz="0" w:space="0" w:color="auto"/>
        <w:left w:val="none" w:sz="0" w:space="0" w:color="auto"/>
        <w:bottom w:val="none" w:sz="0" w:space="0" w:color="auto"/>
        <w:right w:val="none" w:sz="0" w:space="0" w:color="auto"/>
      </w:divBdr>
    </w:div>
    <w:div w:id="975837800">
      <w:bodyDiv w:val="1"/>
      <w:marLeft w:val="0"/>
      <w:marRight w:val="0"/>
      <w:marTop w:val="0"/>
      <w:marBottom w:val="0"/>
      <w:divBdr>
        <w:top w:val="none" w:sz="0" w:space="0" w:color="auto"/>
        <w:left w:val="none" w:sz="0" w:space="0" w:color="auto"/>
        <w:bottom w:val="none" w:sz="0" w:space="0" w:color="auto"/>
        <w:right w:val="none" w:sz="0" w:space="0" w:color="auto"/>
      </w:divBdr>
    </w:div>
    <w:div w:id="1230119456">
      <w:bodyDiv w:val="1"/>
      <w:marLeft w:val="0"/>
      <w:marRight w:val="0"/>
      <w:marTop w:val="0"/>
      <w:marBottom w:val="0"/>
      <w:divBdr>
        <w:top w:val="none" w:sz="0" w:space="0" w:color="auto"/>
        <w:left w:val="none" w:sz="0" w:space="0" w:color="auto"/>
        <w:bottom w:val="none" w:sz="0" w:space="0" w:color="auto"/>
        <w:right w:val="none" w:sz="0" w:space="0" w:color="auto"/>
      </w:divBdr>
    </w:div>
    <w:div w:id="1262181609">
      <w:bodyDiv w:val="1"/>
      <w:marLeft w:val="0"/>
      <w:marRight w:val="0"/>
      <w:marTop w:val="0"/>
      <w:marBottom w:val="0"/>
      <w:divBdr>
        <w:top w:val="none" w:sz="0" w:space="0" w:color="auto"/>
        <w:left w:val="none" w:sz="0" w:space="0" w:color="auto"/>
        <w:bottom w:val="none" w:sz="0" w:space="0" w:color="auto"/>
        <w:right w:val="none" w:sz="0" w:space="0" w:color="auto"/>
      </w:divBdr>
    </w:div>
    <w:div w:id="1300575623">
      <w:bodyDiv w:val="1"/>
      <w:marLeft w:val="0"/>
      <w:marRight w:val="0"/>
      <w:marTop w:val="0"/>
      <w:marBottom w:val="0"/>
      <w:divBdr>
        <w:top w:val="none" w:sz="0" w:space="0" w:color="auto"/>
        <w:left w:val="none" w:sz="0" w:space="0" w:color="auto"/>
        <w:bottom w:val="none" w:sz="0" w:space="0" w:color="auto"/>
        <w:right w:val="none" w:sz="0" w:space="0" w:color="auto"/>
      </w:divBdr>
    </w:div>
    <w:div w:id="1361013640">
      <w:bodyDiv w:val="1"/>
      <w:marLeft w:val="0"/>
      <w:marRight w:val="0"/>
      <w:marTop w:val="0"/>
      <w:marBottom w:val="0"/>
      <w:divBdr>
        <w:top w:val="none" w:sz="0" w:space="0" w:color="auto"/>
        <w:left w:val="none" w:sz="0" w:space="0" w:color="auto"/>
        <w:bottom w:val="none" w:sz="0" w:space="0" w:color="auto"/>
        <w:right w:val="none" w:sz="0" w:space="0" w:color="auto"/>
      </w:divBdr>
    </w:div>
    <w:div w:id="1381007041">
      <w:bodyDiv w:val="1"/>
      <w:marLeft w:val="0"/>
      <w:marRight w:val="0"/>
      <w:marTop w:val="0"/>
      <w:marBottom w:val="0"/>
      <w:divBdr>
        <w:top w:val="none" w:sz="0" w:space="0" w:color="auto"/>
        <w:left w:val="none" w:sz="0" w:space="0" w:color="auto"/>
        <w:bottom w:val="none" w:sz="0" w:space="0" w:color="auto"/>
        <w:right w:val="none" w:sz="0" w:space="0" w:color="auto"/>
      </w:divBdr>
    </w:div>
    <w:div w:id="1515341983">
      <w:bodyDiv w:val="1"/>
      <w:marLeft w:val="0"/>
      <w:marRight w:val="0"/>
      <w:marTop w:val="0"/>
      <w:marBottom w:val="0"/>
      <w:divBdr>
        <w:top w:val="none" w:sz="0" w:space="0" w:color="auto"/>
        <w:left w:val="none" w:sz="0" w:space="0" w:color="auto"/>
        <w:bottom w:val="none" w:sz="0" w:space="0" w:color="auto"/>
        <w:right w:val="none" w:sz="0" w:space="0" w:color="auto"/>
      </w:divBdr>
    </w:div>
    <w:div w:id="1537155083">
      <w:bodyDiv w:val="1"/>
      <w:marLeft w:val="0"/>
      <w:marRight w:val="0"/>
      <w:marTop w:val="0"/>
      <w:marBottom w:val="0"/>
      <w:divBdr>
        <w:top w:val="none" w:sz="0" w:space="0" w:color="auto"/>
        <w:left w:val="none" w:sz="0" w:space="0" w:color="auto"/>
        <w:bottom w:val="none" w:sz="0" w:space="0" w:color="auto"/>
        <w:right w:val="none" w:sz="0" w:space="0" w:color="auto"/>
      </w:divBdr>
    </w:div>
    <w:div w:id="1576739005">
      <w:bodyDiv w:val="1"/>
      <w:marLeft w:val="0"/>
      <w:marRight w:val="0"/>
      <w:marTop w:val="0"/>
      <w:marBottom w:val="0"/>
      <w:divBdr>
        <w:top w:val="none" w:sz="0" w:space="0" w:color="auto"/>
        <w:left w:val="none" w:sz="0" w:space="0" w:color="auto"/>
        <w:bottom w:val="none" w:sz="0" w:space="0" w:color="auto"/>
        <w:right w:val="none" w:sz="0" w:space="0" w:color="auto"/>
      </w:divBdr>
    </w:div>
    <w:div w:id="1623879963">
      <w:bodyDiv w:val="1"/>
      <w:marLeft w:val="0"/>
      <w:marRight w:val="0"/>
      <w:marTop w:val="0"/>
      <w:marBottom w:val="0"/>
      <w:divBdr>
        <w:top w:val="none" w:sz="0" w:space="0" w:color="auto"/>
        <w:left w:val="none" w:sz="0" w:space="0" w:color="auto"/>
        <w:bottom w:val="none" w:sz="0" w:space="0" w:color="auto"/>
        <w:right w:val="none" w:sz="0" w:space="0" w:color="auto"/>
      </w:divBdr>
      <w:divsChild>
        <w:div w:id="218133518">
          <w:marLeft w:val="0"/>
          <w:marRight w:val="0"/>
          <w:marTop w:val="0"/>
          <w:marBottom w:val="0"/>
          <w:divBdr>
            <w:top w:val="none" w:sz="0" w:space="0" w:color="auto"/>
            <w:left w:val="none" w:sz="0" w:space="0" w:color="auto"/>
            <w:bottom w:val="none" w:sz="0" w:space="0" w:color="auto"/>
            <w:right w:val="none" w:sz="0" w:space="0" w:color="auto"/>
          </w:divBdr>
          <w:divsChild>
            <w:div w:id="1853183589">
              <w:marLeft w:val="0"/>
              <w:marRight w:val="0"/>
              <w:marTop w:val="0"/>
              <w:marBottom w:val="0"/>
              <w:divBdr>
                <w:top w:val="none" w:sz="0" w:space="0" w:color="auto"/>
                <w:left w:val="none" w:sz="0" w:space="0" w:color="auto"/>
                <w:bottom w:val="none" w:sz="0" w:space="0" w:color="auto"/>
                <w:right w:val="none" w:sz="0" w:space="0" w:color="auto"/>
              </w:divBdr>
              <w:divsChild>
                <w:div w:id="1551262289">
                  <w:marLeft w:val="0"/>
                  <w:marRight w:val="0"/>
                  <w:marTop w:val="0"/>
                  <w:marBottom w:val="0"/>
                  <w:divBdr>
                    <w:top w:val="none" w:sz="0" w:space="0" w:color="auto"/>
                    <w:left w:val="none" w:sz="0" w:space="0" w:color="auto"/>
                    <w:bottom w:val="none" w:sz="0" w:space="0" w:color="auto"/>
                    <w:right w:val="none" w:sz="0" w:space="0" w:color="auto"/>
                  </w:divBdr>
                  <w:divsChild>
                    <w:div w:id="203177791">
                      <w:marLeft w:val="0"/>
                      <w:marRight w:val="0"/>
                      <w:marTop w:val="0"/>
                      <w:marBottom w:val="0"/>
                      <w:divBdr>
                        <w:top w:val="none" w:sz="0" w:space="0" w:color="auto"/>
                        <w:left w:val="none" w:sz="0" w:space="0" w:color="auto"/>
                        <w:bottom w:val="none" w:sz="0" w:space="0" w:color="auto"/>
                        <w:right w:val="none" w:sz="0" w:space="0" w:color="auto"/>
                      </w:divBdr>
                      <w:divsChild>
                        <w:div w:id="676734912">
                          <w:marLeft w:val="0"/>
                          <w:marRight w:val="0"/>
                          <w:marTop w:val="0"/>
                          <w:marBottom w:val="0"/>
                          <w:divBdr>
                            <w:top w:val="none" w:sz="0" w:space="0" w:color="auto"/>
                            <w:left w:val="none" w:sz="0" w:space="0" w:color="auto"/>
                            <w:bottom w:val="none" w:sz="0" w:space="0" w:color="auto"/>
                            <w:right w:val="none" w:sz="0" w:space="0" w:color="auto"/>
                          </w:divBdr>
                          <w:divsChild>
                            <w:div w:id="1853566750">
                              <w:marLeft w:val="0"/>
                              <w:marRight w:val="0"/>
                              <w:marTop w:val="0"/>
                              <w:marBottom w:val="0"/>
                              <w:divBdr>
                                <w:top w:val="none" w:sz="0" w:space="0" w:color="auto"/>
                                <w:left w:val="none" w:sz="0" w:space="0" w:color="auto"/>
                                <w:bottom w:val="none" w:sz="0" w:space="0" w:color="auto"/>
                                <w:right w:val="none" w:sz="0" w:space="0" w:color="auto"/>
                              </w:divBdr>
                              <w:divsChild>
                                <w:div w:id="72129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9412205">
      <w:bodyDiv w:val="1"/>
      <w:marLeft w:val="0"/>
      <w:marRight w:val="0"/>
      <w:marTop w:val="0"/>
      <w:marBottom w:val="0"/>
      <w:divBdr>
        <w:top w:val="none" w:sz="0" w:space="0" w:color="auto"/>
        <w:left w:val="none" w:sz="0" w:space="0" w:color="auto"/>
        <w:bottom w:val="none" w:sz="0" w:space="0" w:color="auto"/>
        <w:right w:val="none" w:sz="0" w:space="0" w:color="auto"/>
      </w:divBdr>
    </w:div>
    <w:div w:id="1682274683">
      <w:bodyDiv w:val="1"/>
      <w:marLeft w:val="0"/>
      <w:marRight w:val="0"/>
      <w:marTop w:val="0"/>
      <w:marBottom w:val="0"/>
      <w:divBdr>
        <w:top w:val="none" w:sz="0" w:space="0" w:color="auto"/>
        <w:left w:val="none" w:sz="0" w:space="0" w:color="auto"/>
        <w:bottom w:val="none" w:sz="0" w:space="0" w:color="auto"/>
        <w:right w:val="none" w:sz="0" w:space="0" w:color="auto"/>
      </w:divBdr>
    </w:div>
    <w:div w:id="1689678470">
      <w:bodyDiv w:val="1"/>
      <w:marLeft w:val="0"/>
      <w:marRight w:val="0"/>
      <w:marTop w:val="0"/>
      <w:marBottom w:val="0"/>
      <w:divBdr>
        <w:top w:val="none" w:sz="0" w:space="0" w:color="auto"/>
        <w:left w:val="none" w:sz="0" w:space="0" w:color="auto"/>
        <w:bottom w:val="none" w:sz="0" w:space="0" w:color="auto"/>
        <w:right w:val="none" w:sz="0" w:space="0" w:color="auto"/>
      </w:divBdr>
    </w:div>
    <w:div w:id="1734502696">
      <w:bodyDiv w:val="1"/>
      <w:marLeft w:val="0"/>
      <w:marRight w:val="0"/>
      <w:marTop w:val="0"/>
      <w:marBottom w:val="0"/>
      <w:divBdr>
        <w:top w:val="none" w:sz="0" w:space="0" w:color="auto"/>
        <w:left w:val="none" w:sz="0" w:space="0" w:color="auto"/>
        <w:bottom w:val="none" w:sz="0" w:space="0" w:color="auto"/>
        <w:right w:val="none" w:sz="0" w:space="0" w:color="auto"/>
      </w:divBdr>
    </w:div>
    <w:div w:id="1746225733">
      <w:bodyDiv w:val="1"/>
      <w:marLeft w:val="0"/>
      <w:marRight w:val="0"/>
      <w:marTop w:val="0"/>
      <w:marBottom w:val="0"/>
      <w:divBdr>
        <w:top w:val="none" w:sz="0" w:space="0" w:color="auto"/>
        <w:left w:val="none" w:sz="0" w:space="0" w:color="auto"/>
        <w:bottom w:val="none" w:sz="0" w:space="0" w:color="auto"/>
        <w:right w:val="none" w:sz="0" w:space="0" w:color="auto"/>
      </w:divBdr>
    </w:div>
    <w:div w:id="1771123446">
      <w:bodyDiv w:val="1"/>
      <w:marLeft w:val="0"/>
      <w:marRight w:val="0"/>
      <w:marTop w:val="0"/>
      <w:marBottom w:val="0"/>
      <w:divBdr>
        <w:top w:val="none" w:sz="0" w:space="0" w:color="auto"/>
        <w:left w:val="none" w:sz="0" w:space="0" w:color="auto"/>
        <w:bottom w:val="none" w:sz="0" w:space="0" w:color="auto"/>
        <w:right w:val="none" w:sz="0" w:space="0" w:color="auto"/>
      </w:divBdr>
      <w:divsChild>
        <w:div w:id="1166822278">
          <w:marLeft w:val="0"/>
          <w:marRight w:val="0"/>
          <w:marTop w:val="0"/>
          <w:marBottom w:val="0"/>
          <w:divBdr>
            <w:top w:val="none" w:sz="0" w:space="0" w:color="auto"/>
            <w:left w:val="none" w:sz="0" w:space="0" w:color="auto"/>
            <w:bottom w:val="none" w:sz="0" w:space="0" w:color="auto"/>
            <w:right w:val="none" w:sz="0" w:space="0" w:color="auto"/>
          </w:divBdr>
          <w:divsChild>
            <w:div w:id="458302061">
              <w:marLeft w:val="0"/>
              <w:marRight w:val="0"/>
              <w:marTop w:val="0"/>
              <w:marBottom w:val="0"/>
              <w:divBdr>
                <w:top w:val="none" w:sz="0" w:space="0" w:color="auto"/>
                <w:left w:val="none" w:sz="0" w:space="0" w:color="auto"/>
                <w:bottom w:val="none" w:sz="0" w:space="0" w:color="auto"/>
                <w:right w:val="none" w:sz="0" w:space="0" w:color="auto"/>
              </w:divBdr>
              <w:divsChild>
                <w:div w:id="873274424">
                  <w:marLeft w:val="0"/>
                  <w:marRight w:val="0"/>
                  <w:marTop w:val="0"/>
                  <w:marBottom w:val="0"/>
                  <w:divBdr>
                    <w:top w:val="none" w:sz="0" w:space="0" w:color="auto"/>
                    <w:left w:val="none" w:sz="0" w:space="0" w:color="auto"/>
                    <w:bottom w:val="none" w:sz="0" w:space="0" w:color="auto"/>
                    <w:right w:val="none" w:sz="0" w:space="0" w:color="auto"/>
                  </w:divBdr>
                  <w:divsChild>
                    <w:div w:id="1708220704">
                      <w:marLeft w:val="0"/>
                      <w:marRight w:val="0"/>
                      <w:marTop w:val="0"/>
                      <w:marBottom w:val="0"/>
                      <w:divBdr>
                        <w:top w:val="none" w:sz="0" w:space="0" w:color="auto"/>
                        <w:left w:val="none" w:sz="0" w:space="0" w:color="auto"/>
                        <w:bottom w:val="none" w:sz="0" w:space="0" w:color="auto"/>
                        <w:right w:val="none" w:sz="0" w:space="0" w:color="auto"/>
                      </w:divBdr>
                      <w:divsChild>
                        <w:div w:id="389350042">
                          <w:marLeft w:val="0"/>
                          <w:marRight w:val="0"/>
                          <w:marTop w:val="0"/>
                          <w:marBottom w:val="0"/>
                          <w:divBdr>
                            <w:top w:val="none" w:sz="0" w:space="0" w:color="auto"/>
                            <w:left w:val="none" w:sz="0" w:space="0" w:color="auto"/>
                            <w:bottom w:val="none" w:sz="0" w:space="0" w:color="auto"/>
                            <w:right w:val="none" w:sz="0" w:space="0" w:color="auto"/>
                          </w:divBdr>
                          <w:divsChild>
                            <w:div w:id="1279414558">
                              <w:marLeft w:val="0"/>
                              <w:marRight w:val="0"/>
                              <w:marTop w:val="0"/>
                              <w:marBottom w:val="0"/>
                              <w:divBdr>
                                <w:top w:val="none" w:sz="0" w:space="0" w:color="auto"/>
                                <w:left w:val="none" w:sz="0" w:space="0" w:color="auto"/>
                                <w:bottom w:val="none" w:sz="0" w:space="0" w:color="auto"/>
                                <w:right w:val="none" w:sz="0" w:space="0" w:color="auto"/>
                              </w:divBdr>
                              <w:divsChild>
                                <w:div w:id="1816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5901916">
      <w:bodyDiv w:val="1"/>
      <w:marLeft w:val="0"/>
      <w:marRight w:val="0"/>
      <w:marTop w:val="0"/>
      <w:marBottom w:val="0"/>
      <w:divBdr>
        <w:top w:val="none" w:sz="0" w:space="0" w:color="auto"/>
        <w:left w:val="none" w:sz="0" w:space="0" w:color="auto"/>
        <w:bottom w:val="none" w:sz="0" w:space="0" w:color="auto"/>
        <w:right w:val="none" w:sz="0" w:space="0" w:color="auto"/>
      </w:divBdr>
    </w:div>
    <w:div w:id="2002197122">
      <w:bodyDiv w:val="1"/>
      <w:marLeft w:val="0"/>
      <w:marRight w:val="0"/>
      <w:marTop w:val="0"/>
      <w:marBottom w:val="0"/>
      <w:divBdr>
        <w:top w:val="none" w:sz="0" w:space="0" w:color="auto"/>
        <w:left w:val="none" w:sz="0" w:space="0" w:color="auto"/>
        <w:bottom w:val="none" w:sz="0" w:space="0" w:color="auto"/>
        <w:right w:val="none" w:sz="0" w:space="0" w:color="auto"/>
      </w:divBdr>
    </w:div>
    <w:div w:id="21389097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14</Pages>
  <Words>4671</Words>
  <Characters>26626</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Ajah Obinna</dc:creator>
  <cp:lastModifiedBy>theaisha1707@gmail.com</cp:lastModifiedBy>
  <cp:revision>3</cp:revision>
  <dcterms:created xsi:type="dcterms:W3CDTF">2026-04-10T22:38:00Z</dcterms:created>
  <dcterms:modified xsi:type="dcterms:W3CDTF">2026-04-11T10:47:00Z</dcterms:modified>
</cp:coreProperties>
</file>