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B3007" w14:textId="77777777" w:rsidR="00037774" w:rsidRDefault="00037774" w:rsidP="001A278B">
      <w:pPr>
        <w:spacing w:before="100" w:beforeAutospacing="1" w:after="100" w:afterAutospacing="1" w:line="360" w:lineRule="auto"/>
        <w:jc w:val="both"/>
        <w:outlineLvl w:val="0"/>
        <w:rPr>
          <w:rFonts w:ascii="Times New Roman" w:eastAsia="Times New Roman" w:hAnsi="Times New Roman" w:cs="Times New Roman"/>
          <w:b/>
          <w:bCs/>
          <w:kern w:val="36"/>
          <w:sz w:val="32"/>
          <w:szCs w:val="32"/>
          <w:lang w:eastAsia="en-IN"/>
          <w14:ligatures w14:val="none"/>
        </w:rPr>
      </w:pPr>
      <w:r w:rsidRPr="00037774">
        <w:rPr>
          <w:rFonts w:ascii="Times New Roman" w:eastAsia="Times New Roman" w:hAnsi="Times New Roman" w:cs="Times New Roman"/>
          <w:b/>
          <w:bCs/>
          <w:kern w:val="36"/>
          <w:sz w:val="32"/>
          <w:szCs w:val="32"/>
          <w:lang w:eastAsia="en-IN"/>
          <w14:ligatures w14:val="none"/>
        </w:rPr>
        <w:t>Self-Help Groups as Gendered Institutions in Emerging Rural Markets: An Institutional–Capability Perspective from Jharkhand, India</w:t>
      </w:r>
    </w:p>
    <w:p w14:paraId="6EF31A93" w14:textId="77777777" w:rsidR="001C15B2" w:rsidRPr="00037774" w:rsidRDefault="001C15B2" w:rsidP="001A278B">
      <w:pPr>
        <w:spacing w:before="100" w:beforeAutospacing="1" w:after="100" w:afterAutospacing="1" w:line="360" w:lineRule="auto"/>
        <w:jc w:val="both"/>
        <w:outlineLvl w:val="0"/>
        <w:rPr>
          <w:rFonts w:ascii="Times New Roman" w:eastAsia="Times New Roman" w:hAnsi="Times New Roman" w:cs="Times New Roman"/>
          <w:b/>
          <w:bCs/>
          <w:kern w:val="36"/>
          <w:sz w:val="32"/>
          <w:szCs w:val="32"/>
          <w:lang w:eastAsia="en-IN"/>
          <w14:ligatures w14:val="none"/>
        </w:rPr>
      </w:pPr>
    </w:p>
    <w:p w14:paraId="0559434C" w14:textId="77777777" w:rsidR="001A278B" w:rsidRDefault="00037774" w:rsidP="001A278B">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037774">
        <w:rPr>
          <w:rFonts w:ascii="Times New Roman" w:eastAsia="Times New Roman" w:hAnsi="Times New Roman" w:cs="Times New Roman"/>
          <w:b/>
          <w:bCs/>
          <w:kern w:val="0"/>
          <w:sz w:val="36"/>
          <w:szCs w:val="36"/>
          <w:lang w:eastAsia="en-IN"/>
          <w14:ligatures w14:val="none"/>
        </w:rPr>
        <w:t>Abstract</w:t>
      </w:r>
    </w:p>
    <w:p w14:paraId="532AE696" w14:textId="056EC3C6" w:rsidR="00037774" w:rsidRPr="00037774" w:rsidRDefault="00037774" w:rsidP="001A278B">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037774">
        <w:rPr>
          <w:rFonts w:ascii="Times New Roman" w:eastAsia="Times New Roman" w:hAnsi="Times New Roman" w:cs="Times New Roman"/>
          <w:kern w:val="0"/>
          <w:sz w:val="24"/>
          <w:szCs w:val="24"/>
          <w:lang w:eastAsia="en-IN"/>
          <w14:ligatures w14:val="none"/>
        </w:rPr>
        <w:t>In emerging market economies, persistent gender asymmetries in access to finance, productive assets, and decision-making authority continue to constrain inclusive development. Conventional market mechanisms and state-led interventions often remain inadequate in addressing these structural exclusions, particularly in rural and tribal regions. This paper conceptualizes Self-Help Groups (SHGs) as gendered grassroots institutions that mediate between informal social structures and formal financial systems in emerging rural markets. Using empirical evidence from Bokaro district in Jharkhand, India, the study examines how SHGs reshape women’s economic capabilities, financial agency, and social positioning within households and community institutions. Drawing on a mixed-methods research design, quantitative indicators of empowerment were analysed using SPSS, while qualitative narratives were thematically examined using NVivo to capture process-oriented dimensions of agency and institutional interaction. The findings reveal that SHGs extend far beyond microfinance functions, operating as enabling institutions that discipline financial behaviour, facilitate collective risk-sharing, and expand women’s substantive freedoms. By embedding SHGs within an institutional–capability framework, the paper contributes to emerging markets scholarship by offering a nuanced understanding of women-centric development pathways in peripheral market environments.</w:t>
      </w:r>
    </w:p>
    <w:p w14:paraId="2FDCFB0F"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b/>
          <w:bCs/>
          <w:kern w:val="0"/>
          <w:sz w:val="24"/>
          <w:szCs w:val="24"/>
          <w:lang w:eastAsia="en-IN"/>
          <w14:ligatures w14:val="none"/>
        </w:rPr>
        <w:t>Keywords:</w:t>
      </w:r>
      <w:r w:rsidRPr="00037774">
        <w:rPr>
          <w:rFonts w:ascii="Times New Roman" w:eastAsia="Times New Roman" w:hAnsi="Times New Roman" w:cs="Times New Roman"/>
          <w:kern w:val="0"/>
          <w:sz w:val="24"/>
          <w:szCs w:val="24"/>
          <w:lang w:eastAsia="en-IN"/>
          <w14:ligatures w14:val="none"/>
        </w:rPr>
        <w:t xml:space="preserve"> Self-Help Groups; Gendered Institutions; Women’s Empowerment; Emerging Markets; Capability Approach; Financial Inclusion</w:t>
      </w:r>
    </w:p>
    <w:p w14:paraId="4B983DDF" w14:textId="43E8B0B8" w:rsidR="00037774" w:rsidRPr="00037774" w:rsidRDefault="00037774" w:rsidP="001A278B">
      <w:pPr>
        <w:spacing w:after="0" w:line="360" w:lineRule="auto"/>
        <w:jc w:val="both"/>
        <w:rPr>
          <w:rFonts w:ascii="Times New Roman" w:eastAsia="Times New Roman" w:hAnsi="Times New Roman" w:cs="Times New Roman"/>
          <w:kern w:val="0"/>
          <w:sz w:val="24"/>
          <w:szCs w:val="24"/>
          <w:lang w:eastAsia="en-IN"/>
          <w14:ligatures w14:val="none"/>
        </w:rPr>
      </w:pPr>
    </w:p>
    <w:p w14:paraId="2A8A8288" w14:textId="77777777" w:rsidR="00037774" w:rsidRPr="00037774" w:rsidRDefault="00037774" w:rsidP="001A278B">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037774">
        <w:rPr>
          <w:rFonts w:ascii="Times New Roman" w:eastAsia="Times New Roman" w:hAnsi="Times New Roman" w:cs="Times New Roman"/>
          <w:b/>
          <w:bCs/>
          <w:kern w:val="0"/>
          <w:sz w:val="36"/>
          <w:szCs w:val="36"/>
          <w:lang w:eastAsia="en-IN"/>
          <w14:ligatures w14:val="none"/>
        </w:rPr>
        <w:t>1. Introduction</w:t>
      </w:r>
    </w:p>
    <w:p w14:paraId="1EBE722D"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lastRenderedPageBreak/>
        <w:t>Emerging market economies are increasingly characterized by dualistic development trajectories in which rapid economic expansion coexists with persistent gender and social inequalities (Duflo, 2012; World Bank, 2020). While financial deepening and market liberalization have expanded aggregate growth, their distributional outcomes remain uneven, particularly for women located in rural, tribal, and peripheral regions (Agarwal, 2018). In such contexts, exclusion from formal financial systems, limited asset ownership, and restricted agency continue to reproduce gendered vulnerabilities and constrain women’s participation in emerging markets.</w:t>
      </w:r>
    </w:p>
    <w:p w14:paraId="0B2EE8DD"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The inadequacy of purely market-based solutions in addressing these asymmetries has redirected scholarly attention toward institutions—formal and informal—that structure economic participation (North, 1990; Acemoglu &amp; Robinson, 2012). Institutional voids, common in emerging and rural markets, often weaken the reach of banks, labour markets, and state welfare mechanisms, necessitating alternative institutional arrangements rooted in collective action (Mair &amp; Marti, 2009). Feminist development economists further argue that without addressing gendered power relations embedded within institutions, market inclusion alone cannot translate into meaningful empowerment (Kabeer, 1999; Duflo, 2012).</w:t>
      </w:r>
    </w:p>
    <w:p w14:paraId="21A828D3"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Within this institutional landscape, Self-Help Groups (SHGs) have emerged in India as a distinctive grassroots mechanism combining financial intermediation with social mobilization. Empirical evidence from India and other developing contexts suggests that SHGs enhance savings behaviour, facilitate access to credit, and support asset creation among women (Swain &amp; Wallentin, 2009; Swain &amp; Varghese, 2009). Beyond economic outcomes, SHGs have been shown to foster collective identity, confidence, and bargaining power, enabling women to renegotiate household and community-level power relations (</w:t>
      </w:r>
      <w:proofErr w:type="spellStart"/>
      <w:r w:rsidRPr="00037774">
        <w:rPr>
          <w:rFonts w:ascii="Times New Roman" w:eastAsia="Times New Roman" w:hAnsi="Times New Roman" w:cs="Times New Roman"/>
          <w:kern w:val="0"/>
          <w:sz w:val="24"/>
          <w:szCs w:val="24"/>
          <w:lang w:eastAsia="en-IN"/>
          <w14:ligatures w14:val="none"/>
        </w:rPr>
        <w:t>Mayoux</w:t>
      </w:r>
      <w:proofErr w:type="spellEnd"/>
      <w:r w:rsidRPr="00037774">
        <w:rPr>
          <w:rFonts w:ascii="Times New Roman" w:eastAsia="Times New Roman" w:hAnsi="Times New Roman" w:cs="Times New Roman"/>
          <w:kern w:val="0"/>
          <w:sz w:val="24"/>
          <w:szCs w:val="24"/>
          <w:lang w:eastAsia="en-IN"/>
          <w14:ligatures w14:val="none"/>
        </w:rPr>
        <w:t>, 2001; Agarwal, 2010).</w:t>
      </w:r>
    </w:p>
    <w:p w14:paraId="4B32E584"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Jharkhand presents a compelling empirical setting for examining the institutional role of SHGs in emerging rural markets. Despite abundant natural resources, the state continues to exhibit low human development indicators, pronounced tribal deprivation, and gender disparities in literacy, employment, and financial inclusion (Government of Jharkhand, 2021). In such a context, SHGs function as primary interfaces between women, markets, and the state, positioning them as critical gendered institutions rather than auxiliary financial instruments.</w:t>
      </w:r>
    </w:p>
    <w:p w14:paraId="7A9BE200"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 xml:space="preserve">This paper therefore conceptualizes SHGs as gendered institutions embedded within emerging rural markets and analyses their contribution to women’s empowerment through an </w:t>
      </w:r>
      <w:r w:rsidRPr="00037774">
        <w:rPr>
          <w:rFonts w:ascii="Times New Roman" w:eastAsia="Times New Roman" w:hAnsi="Times New Roman" w:cs="Times New Roman"/>
          <w:kern w:val="0"/>
          <w:sz w:val="24"/>
          <w:szCs w:val="24"/>
          <w:lang w:eastAsia="en-IN"/>
          <w14:ligatures w14:val="none"/>
        </w:rPr>
        <w:lastRenderedPageBreak/>
        <w:t>institutional–capability framework. By integrating global feminist economics literature with Indian empirical evidence, the study contributes to emerging markets scholarship by highlighting women-centric institutional pathways toward inclusive development.</w:t>
      </w:r>
    </w:p>
    <w:p w14:paraId="5317E524" w14:textId="77777777" w:rsidR="00037774" w:rsidRPr="00037774" w:rsidRDefault="00037774" w:rsidP="001A278B">
      <w:pPr>
        <w:spacing w:before="100" w:beforeAutospacing="1" w:after="100" w:afterAutospacing="1" w:line="360" w:lineRule="auto"/>
        <w:jc w:val="both"/>
        <w:outlineLvl w:val="1"/>
        <w:rPr>
          <w:rFonts w:ascii="Times New Roman" w:eastAsia="Times New Roman" w:hAnsi="Times New Roman" w:cs="Times New Roman"/>
          <w:b/>
          <w:bCs/>
          <w:kern w:val="0"/>
          <w:sz w:val="36"/>
          <w:szCs w:val="36"/>
          <w:lang w:eastAsia="en-IN"/>
          <w14:ligatures w14:val="none"/>
        </w:rPr>
      </w:pPr>
      <w:r w:rsidRPr="00037774">
        <w:rPr>
          <w:rFonts w:ascii="Times New Roman" w:eastAsia="Times New Roman" w:hAnsi="Times New Roman" w:cs="Times New Roman"/>
          <w:b/>
          <w:bCs/>
          <w:kern w:val="0"/>
          <w:sz w:val="36"/>
          <w:szCs w:val="36"/>
          <w:lang w:eastAsia="en-IN"/>
          <w14:ligatures w14:val="none"/>
        </w:rPr>
        <w:t>2. Theoretical Framework and Review of Literature</w:t>
      </w:r>
    </w:p>
    <w:p w14:paraId="56BE6A99" w14:textId="77777777" w:rsidR="00037774" w:rsidRPr="00037774" w:rsidRDefault="00037774" w:rsidP="001A278B">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037774">
        <w:rPr>
          <w:rFonts w:ascii="Times New Roman" w:eastAsia="Times New Roman" w:hAnsi="Times New Roman" w:cs="Times New Roman"/>
          <w:b/>
          <w:bCs/>
          <w:kern w:val="0"/>
          <w:sz w:val="27"/>
          <w:szCs w:val="27"/>
          <w:lang w:eastAsia="en-IN"/>
          <w14:ligatures w14:val="none"/>
        </w:rPr>
        <w:t>2.1 Institutions, Gender, and Emerging Markets</w:t>
      </w:r>
    </w:p>
    <w:p w14:paraId="620C4539"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Institutional economics emphasizes that markets are socially embedded systems shaped by formal rules, informal norms, and power relations (North, 1990). In emerging markets, institutional weaknesses often limit the effectiveness of market mechanisms, disproportionately affecting women and marginalized groups (Acemoglu &amp; Robinson, 2012). Feminist scholars argue that these institutional arrangements are inherently gendered, systematically constraining women’s access to resources, agency, and opportunities (Agarwal, 2010).</w:t>
      </w:r>
    </w:p>
    <w:p w14:paraId="0BC88D27"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Duflo (2012) contends that women’s empowerment and economic development are mutually reinforcing but mediated by institutional context. Without supportive institutions, increases in income or credit access may fail to translate into sustained empowerment. This insight is particularly relevant for rural and tribal economies, where informal norms and collective institutions play a decisive role in shaping economic behaviour.</w:t>
      </w:r>
    </w:p>
    <w:p w14:paraId="27DBC4CC" w14:textId="77777777" w:rsidR="00037774" w:rsidRPr="00037774" w:rsidRDefault="00037774" w:rsidP="001A278B">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037774">
        <w:rPr>
          <w:rFonts w:ascii="Times New Roman" w:eastAsia="Times New Roman" w:hAnsi="Times New Roman" w:cs="Times New Roman"/>
          <w:b/>
          <w:bCs/>
          <w:kern w:val="0"/>
          <w:sz w:val="27"/>
          <w:szCs w:val="27"/>
          <w:lang w:eastAsia="en-IN"/>
          <w14:ligatures w14:val="none"/>
        </w:rPr>
        <w:t>2.2 Capability Approach and Women’s Empowerment</w:t>
      </w:r>
    </w:p>
    <w:p w14:paraId="35197F5B"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The capability approach conceptualizes empowerment as the expansion of substantive freedoms—the real opportunities individuals have to pursue lives they value (Sen, 1999). Kabeer (1999) operationalizes this framework through the interrelated dimensions of resources, agency, and achievements, providing a widely used analytical lens for gender studies. Empirical research demonstrates that empowerment is a process rather than a linear outcome, requiring sustained institutional support (Mahmud et al., 2012).</w:t>
      </w:r>
    </w:p>
    <w:p w14:paraId="2E379735" w14:textId="77777777" w:rsidR="00037774" w:rsidRPr="00037774" w:rsidRDefault="00037774" w:rsidP="001A278B">
      <w:pPr>
        <w:spacing w:before="100" w:beforeAutospacing="1" w:after="100" w:afterAutospacing="1" w:line="360" w:lineRule="auto"/>
        <w:jc w:val="both"/>
        <w:outlineLvl w:val="2"/>
        <w:rPr>
          <w:rFonts w:ascii="Times New Roman" w:eastAsia="Times New Roman" w:hAnsi="Times New Roman" w:cs="Times New Roman"/>
          <w:b/>
          <w:bCs/>
          <w:kern w:val="0"/>
          <w:sz w:val="27"/>
          <w:szCs w:val="27"/>
          <w:lang w:eastAsia="en-IN"/>
          <w14:ligatures w14:val="none"/>
        </w:rPr>
      </w:pPr>
      <w:r w:rsidRPr="00037774">
        <w:rPr>
          <w:rFonts w:ascii="Times New Roman" w:eastAsia="Times New Roman" w:hAnsi="Times New Roman" w:cs="Times New Roman"/>
          <w:b/>
          <w:bCs/>
          <w:kern w:val="0"/>
          <w:sz w:val="27"/>
          <w:szCs w:val="27"/>
          <w:lang w:eastAsia="en-IN"/>
          <w14:ligatures w14:val="none"/>
        </w:rPr>
        <w:t>2.3 Self-Help Groups as Collective and Gendered Institutions</w:t>
      </w:r>
    </w:p>
    <w:p w14:paraId="25B09B3B"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 xml:space="preserve">The literature on SHGs documents significant variation in empowerment outcomes across contexts. Quantitative studies report positive impacts on savings, credit access, and asset </w:t>
      </w:r>
      <w:r w:rsidRPr="00037774">
        <w:rPr>
          <w:rFonts w:ascii="Times New Roman" w:eastAsia="Times New Roman" w:hAnsi="Times New Roman" w:cs="Times New Roman"/>
          <w:kern w:val="0"/>
          <w:sz w:val="24"/>
          <w:szCs w:val="24"/>
          <w:lang w:eastAsia="en-IN"/>
          <w14:ligatures w14:val="none"/>
        </w:rPr>
        <w:lastRenderedPageBreak/>
        <w:t>creation (Swain &amp; Wallentin, 2009; Swain &amp; Varghese, 2009), while qualitative research highlights SHGs as spaces of collective learning and social capital formation (</w:t>
      </w:r>
      <w:proofErr w:type="spellStart"/>
      <w:r w:rsidRPr="00037774">
        <w:rPr>
          <w:rFonts w:ascii="Times New Roman" w:eastAsia="Times New Roman" w:hAnsi="Times New Roman" w:cs="Times New Roman"/>
          <w:kern w:val="0"/>
          <w:sz w:val="24"/>
          <w:szCs w:val="24"/>
          <w:lang w:eastAsia="en-IN"/>
          <w14:ligatures w14:val="none"/>
        </w:rPr>
        <w:t>Mayoux</w:t>
      </w:r>
      <w:proofErr w:type="spellEnd"/>
      <w:r w:rsidRPr="00037774">
        <w:rPr>
          <w:rFonts w:ascii="Times New Roman" w:eastAsia="Times New Roman" w:hAnsi="Times New Roman" w:cs="Times New Roman"/>
          <w:kern w:val="0"/>
          <w:sz w:val="24"/>
          <w:szCs w:val="24"/>
          <w:lang w:eastAsia="en-IN"/>
          <w14:ligatures w14:val="none"/>
        </w:rPr>
        <w:t>, 2001). Indian case studies further demonstrate that women’s collective action through SHGs enhances participation in local governance and resource management (Panda, 2009).</w:t>
      </w:r>
    </w:p>
    <w:p w14:paraId="033FEB26"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However, critics caution against treating SHGs as a universal solution, noting that empowerment outcomes depend on institutional quality, group governance, and external linkages (Agarwal, 2018). This study builds on this literature by integrating institutional economics and the capability approach to analyse SHGs as gendered institutions operating within emerging rural markets.</w:t>
      </w:r>
    </w:p>
    <w:p w14:paraId="3BF1CCAC" w14:textId="69BD865F" w:rsidR="00037774" w:rsidRPr="00037774" w:rsidRDefault="004E45A8" w:rsidP="001A278B">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3. Research Objective</w:t>
      </w:r>
    </w:p>
    <w:p w14:paraId="4645AACA"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The study is guided by the following objectives:</w:t>
      </w:r>
    </w:p>
    <w:p w14:paraId="79B5EC15" w14:textId="77777777" w:rsidR="00037774" w:rsidRPr="00037774" w:rsidRDefault="00037774" w:rsidP="001A278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To conceptualize Self-Help Groups as gendered institutions within emerging rural markets.</w:t>
      </w:r>
    </w:p>
    <w:p w14:paraId="532EE6A0" w14:textId="77777777" w:rsidR="00037774" w:rsidRPr="00037774" w:rsidRDefault="00037774" w:rsidP="001A278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To examine the impact of SHG participation on women’s financial capabilities, including savings behaviour, credit access, and livelihood engagement.</w:t>
      </w:r>
    </w:p>
    <w:p w14:paraId="495271D9" w14:textId="77777777" w:rsidR="00037774" w:rsidRPr="00037774" w:rsidRDefault="00037774" w:rsidP="001A278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To analyse how SHGs influence women’s agency and decision-making power within households and community institutions.</w:t>
      </w:r>
    </w:p>
    <w:p w14:paraId="7AE676FB" w14:textId="77777777" w:rsidR="00037774" w:rsidRPr="00037774" w:rsidRDefault="00037774" w:rsidP="001A278B">
      <w:pPr>
        <w:numPr>
          <w:ilvl w:val="0"/>
          <w:numId w:val="1"/>
        </w:num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To derive policy implications for strengthening SHG-led institutional development in tribal and backward regions.</w:t>
      </w:r>
    </w:p>
    <w:p w14:paraId="2F19887D" w14:textId="77777777" w:rsidR="00037774" w:rsidRPr="00037774" w:rsidRDefault="00037774" w:rsidP="001A278B">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sidRPr="00037774">
        <w:rPr>
          <w:rFonts w:ascii="Times New Roman" w:eastAsia="Times New Roman" w:hAnsi="Times New Roman" w:cs="Times New Roman"/>
          <w:b/>
          <w:bCs/>
          <w:kern w:val="0"/>
          <w:sz w:val="28"/>
          <w:szCs w:val="28"/>
          <w:lang w:eastAsia="en-IN"/>
          <w14:ligatures w14:val="none"/>
        </w:rPr>
        <w:t>4. Research Methodology</w:t>
      </w:r>
    </w:p>
    <w:p w14:paraId="0195E487"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The study adopts a mixed-methods research design grounded in primary fieldwork conducted among women members of Self-Help Groups in Bokaro district, Jharkhand. SHGs with a minimum operational duration of one year were selected to ensure institutional stability and sustained member engagement. Data were collected using a structured interview schedule complemented by qualitative narratives capturing women’s experiential accounts of empowerment.</w:t>
      </w:r>
    </w:p>
    <w:p w14:paraId="6E6CBC99"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 xml:space="preserve">Quantitative data were coded and analysed using </w:t>
      </w:r>
      <w:r w:rsidRPr="00037774">
        <w:rPr>
          <w:rFonts w:ascii="Times New Roman" w:eastAsia="Times New Roman" w:hAnsi="Times New Roman" w:cs="Times New Roman"/>
          <w:b/>
          <w:bCs/>
          <w:kern w:val="0"/>
          <w:sz w:val="24"/>
          <w:szCs w:val="24"/>
          <w:lang w:eastAsia="en-IN"/>
          <w14:ligatures w14:val="none"/>
        </w:rPr>
        <w:t>SPSS (Statistical Package for the Social Sciences)</w:t>
      </w:r>
      <w:r w:rsidRPr="00037774">
        <w:rPr>
          <w:rFonts w:ascii="Times New Roman" w:eastAsia="Times New Roman" w:hAnsi="Times New Roman" w:cs="Times New Roman"/>
          <w:kern w:val="0"/>
          <w:sz w:val="24"/>
          <w:szCs w:val="24"/>
          <w:lang w:eastAsia="en-IN"/>
          <w14:ligatures w14:val="none"/>
        </w:rPr>
        <w:t xml:space="preserve">. The analysis focused on descriptive statistics, cross-tabulations, and indicator-wise </w:t>
      </w:r>
      <w:r w:rsidRPr="00037774">
        <w:rPr>
          <w:rFonts w:ascii="Times New Roman" w:eastAsia="Times New Roman" w:hAnsi="Times New Roman" w:cs="Times New Roman"/>
          <w:kern w:val="0"/>
          <w:sz w:val="24"/>
          <w:szCs w:val="24"/>
          <w:lang w:eastAsia="en-IN"/>
          <w14:ligatures w14:val="none"/>
        </w:rPr>
        <w:lastRenderedPageBreak/>
        <w:t>comparisons related to savings behaviour, access to credit, livelihood engagement, and participation in household financial decision-making. Composite indicators were constructed to reflect dimensions of economic and social empowerment in line with the institutional–capability framework (Kabeer, 1999).</w:t>
      </w:r>
    </w:p>
    <w:p w14:paraId="5C8C2434" w14:textId="77777777"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 xml:space="preserve">Qualitative data obtained from open-ended responses and narrative accounts were analysed using </w:t>
      </w:r>
      <w:r w:rsidRPr="00037774">
        <w:rPr>
          <w:rFonts w:ascii="Times New Roman" w:eastAsia="Times New Roman" w:hAnsi="Times New Roman" w:cs="Times New Roman"/>
          <w:b/>
          <w:bCs/>
          <w:kern w:val="0"/>
          <w:sz w:val="24"/>
          <w:szCs w:val="24"/>
          <w:lang w:eastAsia="en-IN"/>
          <w14:ligatures w14:val="none"/>
        </w:rPr>
        <w:t>NVivo</w:t>
      </w:r>
      <w:r w:rsidRPr="00037774">
        <w:rPr>
          <w:rFonts w:ascii="Times New Roman" w:eastAsia="Times New Roman" w:hAnsi="Times New Roman" w:cs="Times New Roman"/>
          <w:kern w:val="0"/>
          <w:sz w:val="24"/>
          <w:szCs w:val="24"/>
          <w:lang w:eastAsia="en-IN"/>
          <w14:ligatures w14:val="none"/>
        </w:rPr>
        <w:t>. A thematic coding approach was employed to identify recurring patterns related to financial agency, collective decision-making, institutional interaction, and capability expansion (Braun &amp; Clarke, 2006). The integration of SPSS-based quantitative analysis with NVivo-supported qualitative coding enabled triangulation and enhanced the analytical rigor of the study.</w:t>
      </w:r>
    </w:p>
    <w:p w14:paraId="0755D68E" w14:textId="455B9E4D" w:rsidR="00037774" w:rsidRPr="00037774" w:rsidRDefault="00037774" w:rsidP="001A278B">
      <w:pPr>
        <w:spacing w:after="0" w:line="360" w:lineRule="auto"/>
        <w:jc w:val="both"/>
        <w:rPr>
          <w:rFonts w:ascii="Times New Roman" w:eastAsia="Times New Roman" w:hAnsi="Times New Roman" w:cs="Times New Roman"/>
          <w:kern w:val="0"/>
          <w:sz w:val="24"/>
          <w:szCs w:val="24"/>
          <w:lang w:eastAsia="en-IN"/>
          <w14:ligatures w14:val="none"/>
        </w:rPr>
      </w:pPr>
    </w:p>
    <w:p w14:paraId="0314BC23" w14:textId="5132326D" w:rsidR="00037774" w:rsidRPr="00BC3C17" w:rsidRDefault="00BC3C17" w:rsidP="00BC3C17">
      <w:pPr>
        <w:spacing w:before="100" w:beforeAutospacing="1" w:after="100" w:afterAutospacing="1" w:line="360" w:lineRule="auto"/>
        <w:jc w:val="both"/>
        <w:outlineLvl w:val="1"/>
        <w:rPr>
          <w:rFonts w:ascii="Times New Roman" w:eastAsia="Times New Roman" w:hAnsi="Times New Roman" w:cs="Times New Roman"/>
          <w:b/>
          <w:bCs/>
          <w:kern w:val="0"/>
          <w:sz w:val="28"/>
          <w:szCs w:val="28"/>
          <w:lang w:eastAsia="en-IN"/>
          <w14:ligatures w14:val="none"/>
        </w:rPr>
      </w:pPr>
      <w:r>
        <w:rPr>
          <w:rFonts w:ascii="Times New Roman" w:eastAsia="Times New Roman" w:hAnsi="Times New Roman" w:cs="Times New Roman"/>
          <w:b/>
          <w:bCs/>
          <w:kern w:val="0"/>
          <w:sz w:val="28"/>
          <w:szCs w:val="28"/>
          <w:lang w:eastAsia="en-IN"/>
          <w14:ligatures w14:val="none"/>
        </w:rPr>
        <w:t>5.</w:t>
      </w:r>
      <w:r w:rsidR="00037774" w:rsidRPr="00BC3C17">
        <w:rPr>
          <w:rFonts w:ascii="Times New Roman" w:eastAsia="Times New Roman" w:hAnsi="Times New Roman" w:cs="Times New Roman"/>
          <w:b/>
          <w:bCs/>
          <w:kern w:val="0"/>
          <w:sz w:val="28"/>
          <w:szCs w:val="28"/>
          <w:lang w:eastAsia="en-IN"/>
          <w14:ligatures w14:val="none"/>
        </w:rPr>
        <w:t>Methodological Contribution</w:t>
      </w:r>
    </w:p>
    <w:p w14:paraId="37E9CB30" w14:textId="4B118182" w:rsidR="00037774" w:rsidRPr="00037774" w:rsidRDefault="00037774"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037774">
        <w:rPr>
          <w:rFonts w:ascii="Times New Roman" w:eastAsia="Times New Roman" w:hAnsi="Times New Roman" w:cs="Times New Roman"/>
          <w:kern w:val="0"/>
          <w:sz w:val="24"/>
          <w:szCs w:val="24"/>
          <w:lang w:eastAsia="en-IN"/>
          <w14:ligatures w14:val="none"/>
        </w:rPr>
        <w:t>This study makes a distinct methodological contribution by operationalising women’s empowerment through an integrated institutional–capability framework using a mixed-methods design. By combining SPSS-based quantitative analysis of empowerment indicators with NVivo-supported qualitative thematic coding, the research moves beyond outcome-centric assessments of income or credit access and captures the processual dimensions of agency, institutional interaction, and capability expansion (Sen, 1999; Kabeer, 2005). The triangulation of numerical indicators with narrative evidence enables a context-sensitive interpretation of empowerment in emerging rural markets, particularly in tribal settings where conventional survey-based metrics often fail to capture subtle shifts in power relations. This methodological approach offers a replicable template for analysing women-centric institutions in peripheral market environments while maintaining analytical rigor and ethical sensitivity.</w:t>
      </w:r>
    </w:p>
    <w:p w14:paraId="6879F0A3" w14:textId="77777777" w:rsidR="001A278B" w:rsidRDefault="007A63EF" w:rsidP="001A278B">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en-IN"/>
          <w14:ligatures w14:val="none"/>
        </w:rPr>
      </w:pPr>
      <w:r w:rsidRPr="007A63EF">
        <w:rPr>
          <w:rFonts w:ascii="Times New Roman" w:eastAsia="Times New Roman" w:hAnsi="Times New Roman" w:cs="Times New Roman"/>
          <w:b/>
          <w:bCs/>
          <w:kern w:val="36"/>
          <w:sz w:val="28"/>
          <w:szCs w:val="28"/>
          <w:lang w:eastAsia="en-IN"/>
          <w14:ligatures w14:val="none"/>
        </w:rPr>
        <w:t>6. Conclusion and Policy Implications</w:t>
      </w:r>
    </w:p>
    <w:p w14:paraId="19C376D4" w14:textId="0DAE081D" w:rsidR="007A63EF" w:rsidRPr="007A63EF" w:rsidRDefault="007A63EF" w:rsidP="001A278B">
      <w:pPr>
        <w:spacing w:before="100" w:beforeAutospacing="1" w:after="100" w:afterAutospacing="1" w:line="360" w:lineRule="auto"/>
        <w:jc w:val="both"/>
        <w:outlineLvl w:val="0"/>
        <w:rPr>
          <w:rFonts w:ascii="Times New Roman" w:eastAsia="Times New Roman" w:hAnsi="Times New Roman" w:cs="Times New Roman"/>
          <w:b/>
          <w:bCs/>
          <w:kern w:val="36"/>
          <w:sz w:val="28"/>
          <w:szCs w:val="28"/>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By situating Self-Help Groups within an institutional–capability framework, this study advances a nuanced understanding of women’s empowerment in emerging rural markets. Empirical evidence from Jharkhand demonstrates that SHGs function as gendered institutions that mediate women’s interaction with markets, financial systems, and local governance </w:t>
      </w:r>
      <w:r w:rsidRPr="007A63EF">
        <w:rPr>
          <w:rFonts w:ascii="Times New Roman" w:eastAsia="Times New Roman" w:hAnsi="Times New Roman" w:cs="Times New Roman"/>
          <w:kern w:val="0"/>
          <w:sz w:val="24"/>
          <w:szCs w:val="24"/>
          <w:lang w:eastAsia="en-IN"/>
          <w14:ligatures w14:val="none"/>
        </w:rPr>
        <w:lastRenderedPageBreak/>
        <w:t>structures. Rather than serving merely as conduits for microcredit, SHGs facilitate collective action, institutional learning, and the expansion of women’s substantive freedoms.</w:t>
      </w:r>
    </w:p>
    <w:p w14:paraId="7AB271D6"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The findings align with global evidence suggesting that empowerment outcomes are deeply contingent on institutional context (Duflo, 2012; Agarwal, 2018). Improvements in savings behaviour, asset creation, and livelihood engagement observed among SHG members are accompanied by process-oriented changes in agency, confidence, and social recognition, reinforcing arguments that empowerment cannot be reduced to income-based metrics (Kabeer, 1999; Mahmud et al., 2012). In peripheral and tribal regions marked by institutional voids, SHGs thus emerge as compensatory institutions that embed market participation within socially grounded norms of trust and reciprocity.</w:t>
      </w:r>
    </w:p>
    <w:p w14:paraId="2AC6223E"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From a policy perspective, the study underscores the importance of strengthening SHGs as institutions rather than treating them solely as financial instruments. Investments in leadership development, internal governance, digital financial literacy, and market linkages can enhance the sustainability and depth of empowerment outcomes. Integrating SHGs more systematically into local development planning and emerging market strategies can further consolidate their role as participatory institutions capable of addressing gendered exclusions. For emerging economies seeking inclusive and resilient growth, SHGs represent a scalable and context-sensitive institutional pathway toward gender-equitable development.</w:t>
      </w:r>
    </w:p>
    <w:p w14:paraId="74E695F0" w14:textId="77777777" w:rsidR="007A63EF" w:rsidRPr="007A63EF" w:rsidRDefault="007A63EF" w:rsidP="001A278B">
      <w:pPr>
        <w:spacing w:before="100" w:beforeAutospacing="1" w:after="100" w:afterAutospacing="1" w:line="360" w:lineRule="auto"/>
        <w:jc w:val="both"/>
        <w:outlineLvl w:val="0"/>
        <w:rPr>
          <w:rFonts w:ascii="Times New Roman" w:eastAsia="Times New Roman" w:hAnsi="Times New Roman" w:cs="Times New Roman"/>
          <w:b/>
          <w:bCs/>
          <w:kern w:val="36"/>
          <w:sz w:val="32"/>
          <w:szCs w:val="32"/>
          <w:lang w:eastAsia="en-IN"/>
          <w14:ligatures w14:val="none"/>
        </w:rPr>
      </w:pPr>
      <w:r w:rsidRPr="007A63EF">
        <w:rPr>
          <w:rFonts w:ascii="Times New Roman" w:eastAsia="Times New Roman" w:hAnsi="Times New Roman" w:cs="Times New Roman"/>
          <w:b/>
          <w:bCs/>
          <w:kern w:val="36"/>
          <w:sz w:val="32"/>
          <w:szCs w:val="32"/>
          <w:lang w:eastAsia="en-IN"/>
          <w14:ligatures w14:val="none"/>
        </w:rPr>
        <w:t>References (APA 7th, Ordered by In-Text Appearance)</w:t>
      </w:r>
    </w:p>
    <w:p w14:paraId="4D131923"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Duflo, E. (2012). Women empowerment and economic development. </w:t>
      </w:r>
      <w:r w:rsidRPr="007A63EF">
        <w:rPr>
          <w:rFonts w:ascii="Times New Roman" w:eastAsia="Times New Roman" w:hAnsi="Times New Roman" w:cs="Times New Roman"/>
          <w:i/>
          <w:iCs/>
          <w:kern w:val="0"/>
          <w:sz w:val="24"/>
          <w:szCs w:val="24"/>
          <w:lang w:eastAsia="en-IN"/>
          <w14:ligatures w14:val="none"/>
        </w:rPr>
        <w:t>Journal of Economic Literature</w:t>
      </w:r>
      <w:r w:rsidRPr="007A63EF">
        <w:rPr>
          <w:rFonts w:ascii="Times New Roman" w:eastAsia="Times New Roman" w:hAnsi="Times New Roman" w:cs="Times New Roman"/>
          <w:kern w:val="0"/>
          <w:sz w:val="24"/>
          <w:szCs w:val="24"/>
          <w:lang w:eastAsia="en-IN"/>
          <w14:ligatures w14:val="none"/>
        </w:rPr>
        <w:t xml:space="preserve">, 50(4), 1051–1079. </w:t>
      </w:r>
      <w:hyperlink r:id="rId5" w:tgtFrame="_new" w:history="1">
        <w:r w:rsidRPr="007A63EF">
          <w:rPr>
            <w:rFonts w:ascii="Times New Roman" w:eastAsia="Times New Roman" w:hAnsi="Times New Roman" w:cs="Times New Roman"/>
            <w:color w:val="0000FF"/>
            <w:kern w:val="0"/>
            <w:sz w:val="24"/>
            <w:szCs w:val="24"/>
            <w:u w:val="single"/>
            <w:lang w:eastAsia="en-IN"/>
            <w14:ligatures w14:val="none"/>
          </w:rPr>
          <w:t>https://doi.org/10.1257/jel.50.4.1051</w:t>
        </w:r>
      </w:hyperlink>
    </w:p>
    <w:p w14:paraId="70B844C7"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World Bank. (2020). </w:t>
      </w:r>
      <w:r w:rsidRPr="007A63EF">
        <w:rPr>
          <w:rFonts w:ascii="Times New Roman" w:eastAsia="Times New Roman" w:hAnsi="Times New Roman" w:cs="Times New Roman"/>
          <w:i/>
          <w:iCs/>
          <w:kern w:val="0"/>
          <w:sz w:val="24"/>
          <w:szCs w:val="24"/>
          <w:lang w:eastAsia="en-IN"/>
          <w14:ligatures w14:val="none"/>
        </w:rPr>
        <w:t>Women, business and the law 2020</w:t>
      </w:r>
      <w:r w:rsidRPr="007A63EF">
        <w:rPr>
          <w:rFonts w:ascii="Times New Roman" w:eastAsia="Times New Roman" w:hAnsi="Times New Roman" w:cs="Times New Roman"/>
          <w:kern w:val="0"/>
          <w:sz w:val="24"/>
          <w:szCs w:val="24"/>
          <w:lang w:eastAsia="en-IN"/>
          <w14:ligatures w14:val="none"/>
        </w:rPr>
        <w:t>. World Bank Publications.</w:t>
      </w:r>
    </w:p>
    <w:p w14:paraId="68338A2A"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Agarwal, B. (2018). Gender equality, food security and the sustainable development goals. </w:t>
      </w:r>
      <w:r w:rsidRPr="007A63EF">
        <w:rPr>
          <w:rFonts w:ascii="Times New Roman" w:eastAsia="Times New Roman" w:hAnsi="Times New Roman" w:cs="Times New Roman"/>
          <w:i/>
          <w:iCs/>
          <w:kern w:val="0"/>
          <w:sz w:val="24"/>
          <w:szCs w:val="24"/>
          <w:lang w:eastAsia="en-IN"/>
          <w14:ligatures w14:val="none"/>
        </w:rPr>
        <w:t>Current Opinion in Environmental Sustainability</w:t>
      </w:r>
      <w:r w:rsidRPr="007A63EF">
        <w:rPr>
          <w:rFonts w:ascii="Times New Roman" w:eastAsia="Times New Roman" w:hAnsi="Times New Roman" w:cs="Times New Roman"/>
          <w:kern w:val="0"/>
          <w:sz w:val="24"/>
          <w:szCs w:val="24"/>
          <w:lang w:eastAsia="en-IN"/>
          <w14:ligatures w14:val="none"/>
        </w:rPr>
        <w:t>, 34, 26–32. https://doi.org/10.1016/j.cosust.2018.07.002</w:t>
      </w:r>
    </w:p>
    <w:p w14:paraId="1C486179"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North, D. C. (1990). </w:t>
      </w:r>
      <w:r w:rsidRPr="007A63EF">
        <w:rPr>
          <w:rFonts w:ascii="Times New Roman" w:eastAsia="Times New Roman" w:hAnsi="Times New Roman" w:cs="Times New Roman"/>
          <w:i/>
          <w:iCs/>
          <w:kern w:val="0"/>
          <w:sz w:val="24"/>
          <w:szCs w:val="24"/>
          <w:lang w:eastAsia="en-IN"/>
          <w14:ligatures w14:val="none"/>
        </w:rPr>
        <w:t>Institutions, institutional change and economic performance</w:t>
      </w:r>
      <w:r w:rsidRPr="007A63EF">
        <w:rPr>
          <w:rFonts w:ascii="Times New Roman" w:eastAsia="Times New Roman" w:hAnsi="Times New Roman" w:cs="Times New Roman"/>
          <w:kern w:val="0"/>
          <w:sz w:val="24"/>
          <w:szCs w:val="24"/>
          <w:lang w:eastAsia="en-IN"/>
          <w14:ligatures w14:val="none"/>
        </w:rPr>
        <w:t>. Cambridge University Press.</w:t>
      </w:r>
    </w:p>
    <w:p w14:paraId="1FD02E3C"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lastRenderedPageBreak/>
        <w:t xml:space="preserve">Acemoglu, D., &amp; Robinson, J. A. (2012). </w:t>
      </w:r>
      <w:r w:rsidRPr="007A63EF">
        <w:rPr>
          <w:rFonts w:ascii="Times New Roman" w:eastAsia="Times New Roman" w:hAnsi="Times New Roman" w:cs="Times New Roman"/>
          <w:i/>
          <w:iCs/>
          <w:kern w:val="0"/>
          <w:sz w:val="24"/>
          <w:szCs w:val="24"/>
          <w:lang w:eastAsia="en-IN"/>
          <w14:ligatures w14:val="none"/>
        </w:rPr>
        <w:t>Why nations fail: The origins of power, prosperity, and poverty</w:t>
      </w:r>
      <w:r w:rsidRPr="007A63EF">
        <w:rPr>
          <w:rFonts w:ascii="Times New Roman" w:eastAsia="Times New Roman" w:hAnsi="Times New Roman" w:cs="Times New Roman"/>
          <w:kern w:val="0"/>
          <w:sz w:val="24"/>
          <w:szCs w:val="24"/>
          <w:lang w:eastAsia="en-IN"/>
          <w14:ligatures w14:val="none"/>
        </w:rPr>
        <w:t>. Crown Business.</w:t>
      </w:r>
    </w:p>
    <w:p w14:paraId="108A6E05"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Mair, J., &amp; Marti, I. (2009). Entrepreneurship in and around institutional voids: A case study from Bangladesh. </w:t>
      </w:r>
      <w:r w:rsidRPr="007A63EF">
        <w:rPr>
          <w:rFonts w:ascii="Times New Roman" w:eastAsia="Times New Roman" w:hAnsi="Times New Roman" w:cs="Times New Roman"/>
          <w:i/>
          <w:iCs/>
          <w:kern w:val="0"/>
          <w:sz w:val="24"/>
          <w:szCs w:val="24"/>
          <w:lang w:eastAsia="en-IN"/>
          <w14:ligatures w14:val="none"/>
        </w:rPr>
        <w:t>Journal of Business Venturing</w:t>
      </w:r>
      <w:r w:rsidRPr="007A63EF">
        <w:rPr>
          <w:rFonts w:ascii="Times New Roman" w:eastAsia="Times New Roman" w:hAnsi="Times New Roman" w:cs="Times New Roman"/>
          <w:kern w:val="0"/>
          <w:sz w:val="24"/>
          <w:szCs w:val="24"/>
          <w:lang w:eastAsia="en-IN"/>
          <w14:ligatures w14:val="none"/>
        </w:rPr>
        <w:t>, 24(5), 419–435. https://doi.org/10.1016/j.jbusvent.2008.04.006</w:t>
      </w:r>
    </w:p>
    <w:p w14:paraId="29AB6E77"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Kabeer, N. (1999). Resources, agency, achievements: Reflections on the measurement of women’s empowerment. </w:t>
      </w:r>
      <w:r w:rsidRPr="007A63EF">
        <w:rPr>
          <w:rFonts w:ascii="Times New Roman" w:eastAsia="Times New Roman" w:hAnsi="Times New Roman" w:cs="Times New Roman"/>
          <w:i/>
          <w:iCs/>
          <w:kern w:val="0"/>
          <w:sz w:val="24"/>
          <w:szCs w:val="24"/>
          <w:lang w:eastAsia="en-IN"/>
          <w14:ligatures w14:val="none"/>
        </w:rPr>
        <w:t>Development and Change</w:t>
      </w:r>
      <w:r w:rsidRPr="007A63EF">
        <w:rPr>
          <w:rFonts w:ascii="Times New Roman" w:eastAsia="Times New Roman" w:hAnsi="Times New Roman" w:cs="Times New Roman"/>
          <w:kern w:val="0"/>
          <w:sz w:val="24"/>
          <w:szCs w:val="24"/>
          <w:lang w:eastAsia="en-IN"/>
          <w14:ligatures w14:val="none"/>
        </w:rPr>
        <w:t xml:space="preserve">, 30(3), 435–464. </w:t>
      </w:r>
      <w:hyperlink r:id="rId6" w:tgtFrame="_new" w:history="1">
        <w:r w:rsidRPr="007A63EF">
          <w:rPr>
            <w:rFonts w:ascii="Times New Roman" w:eastAsia="Times New Roman" w:hAnsi="Times New Roman" w:cs="Times New Roman"/>
            <w:color w:val="0000FF"/>
            <w:kern w:val="0"/>
            <w:sz w:val="24"/>
            <w:szCs w:val="24"/>
            <w:u w:val="single"/>
            <w:lang w:eastAsia="en-IN"/>
            <w14:ligatures w14:val="none"/>
          </w:rPr>
          <w:t>https://doi.org/10.1111/1467-7660.00125</w:t>
        </w:r>
      </w:hyperlink>
    </w:p>
    <w:p w14:paraId="30B98AFF"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Swain, R. B., &amp; Wallentin, F. Y. (2009). Does microfinance empower women? Evidence from self-help groups in India. </w:t>
      </w:r>
      <w:r w:rsidRPr="007A63EF">
        <w:rPr>
          <w:rFonts w:ascii="Times New Roman" w:eastAsia="Times New Roman" w:hAnsi="Times New Roman" w:cs="Times New Roman"/>
          <w:i/>
          <w:iCs/>
          <w:kern w:val="0"/>
          <w:sz w:val="24"/>
          <w:szCs w:val="24"/>
          <w:lang w:eastAsia="en-IN"/>
          <w14:ligatures w14:val="none"/>
        </w:rPr>
        <w:t>International Review of Applied Economics</w:t>
      </w:r>
      <w:r w:rsidRPr="007A63EF">
        <w:rPr>
          <w:rFonts w:ascii="Times New Roman" w:eastAsia="Times New Roman" w:hAnsi="Times New Roman" w:cs="Times New Roman"/>
          <w:kern w:val="0"/>
          <w:sz w:val="24"/>
          <w:szCs w:val="24"/>
          <w:lang w:eastAsia="en-IN"/>
          <w14:ligatures w14:val="none"/>
        </w:rPr>
        <w:t>, 23(5), 541–556. https://doi.org/10.1080/02692170903007540</w:t>
      </w:r>
    </w:p>
    <w:p w14:paraId="59162237"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Swain, R. B., &amp; Varghese, A. (2009). Does self-help group participation lead to asset creation? </w:t>
      </w:r>
      <w:r w:rsidRPr="007A63EF">
        <w:rPr>
          <w:rFonts w:ascii="Times New Roman" w:eastAsia="Times New Roman" w:hAnsi="Times New Roman" w:cs="Times New Roman"/>
          <w:i/>
          <w:iCs/>
          <w:kern w:val="0"/>
          <w:sz w:val="24"/>
          <w:szCs w:val="24"/>
          <w:lang w:eastAsia="en-IN"/>
          <w14:ligatures w14:val="none"/>
        </w:rPr>
        <w:t>World Development</w:t>
      </w:r>
      <w:r w:rsidRPr="007A63EF">
        <w:rPr>
          <w:rFonts w:ascii="Times New Roman" w:eastAsia="Times New Roman" w:hAnsi="Times New Roman" w:cs="Times New Roman"/>
          <w:kern w:val="0"/>
          <w:sz w:val="24"/>
          <w:szCs w:val="24"/>
          <w:lang w:eastAsia="en-IN"/>
          <w14:ligatures w14:val="none"/>
        </w:rPr>
        <w:t>, 37(10), 1674–1682. https://doi.org/10.1016/j.worlddev.2009.01.016</w:t>
      </w:r>
    </w:p>
    <w:p w14:paraId="412B800E"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proofErr w:type="spellStart"/>
      <w:r w:rsidRPr="007A63EF">
        <w:rPr>
          <w:rFonts w:ascii="Times New Roman" w:eastAsia="Times New Roman" w:hAnsi="Times New Roman" w:cs="Times New Roman"/>
          <w:kern w:val="0"/>
          <w:sz w:val="24"/>
          <w:szCs w:val="24"/>
          <w:lang w:eastAsia="en-IN"/>
          <w14:ligatures w14:val="none"/>
        </w:rPr>
        <w:t>Mayoux</w:t>
      </w:r>
      <w:proofErr w:type="spellEnd"/>
      <w:r w:rsidRPr="007A63EF">
        <w:rPr>
          <w:rFonts w:ascii="Times New Roman" w:eastAsia="Times New Roman" w:hAnsi="Times New Roman" w:cs="Times New Roman"/>
          <w:kern w:val="0"/>
          <w:sz w:val="24"/>
          <w:szCs w:val="24"/>
          <w:lang w:eastAsia="en-IN"/>
          <w14:ligatures w14:val="none"/>
        </w:rPr>
        <w:t xml:space="preserve">, L. (2001). Tackling the down side: Social capital, women’s empowerment and micro-finance in Cameroon. </w:t>
      </w:r>
      <w:r w:rsidRPr="007A63EF">
        <w:rPr>
          <w:rFonts w:ascii="Times New Roman" w:eastAsia="Times New Roman" w:hAnsi="Times New Roman" w:cs="Times New Roman"/>
          <w:i/>
          <w:iCs/>
          <w:kern w:val="0"/>
          <w:sz w:val="24"/>
          <w:szCs w:val="24"/>
          <w:lang w:eastAsia="en-IN"/>
          <w14:ligatures w14:val="none"/>
        </w:rPr>
        <w:t>Development and Change</w:t>
      </w:r>
      <w:r w:rsidRPr="007A63EF">
        <w:rPr>
          <w:rFonts w:ascii="Times New Roman" w:eastAsia="Times New Roman" w:hAnsi="Times New Roman" w:cs="Times New Roman"/>
          <w:kern w:val="0"/>
          <w:sz w:val="24"/>
          <w:szCs w:val="24"/>
          <w:lang w:eastAsia="en-IN"/>
          <w14:ligatures w14:val="none"/>
        </w:rPr>
        <w:t>, 32(3), 435–464. https://doi.org/10.1111/1467-7660.00212</w:t>
      </w:r>
    </w:p>
    <w:p w14:paraId="3CDC7E64"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Agarwal, B. (2010). </w:t>
      </w:r>
      <w:r w:rsidRPr="007A63EF">
        <w:rPr>
          <w:rFonts w:ascii="Times New Roman" w:eastAsia="Times New Roman" w:hAnsi="Times New Roman" w:cs="Times New Roman"/>
          <w:i/>
          <w:iCs/>
          <w:kern w:val="0"/>
          <w:sz w:val="24"/>
          <w:szCs w:val="24"/>
          <w:lang w:eastAsia="en-IN"/>
          <w14:ligatures w14:val="none"/>
        </w:rPr>
        <w:t>Gender and green governance: The political economy of women’s presence within and beyond community forestry</w:t>
      </w:r>
      <w:r w:rsidRPr="007A63EF">
        <w:rPr>
          <w:rFonts w:ascii="Times New Roman" w:eastAsia="Times New Roman" w:hAnsi="Times New Roman" w:cs="Times New Roman"/>
          <w:kern w:val="0"/>
          <w:sz w:val="24"/>
          <w:szCs w:val="24"/>
          <w:lang w:eastAsia="en-IN"/>
          <w14:ligatures w14:val="none"/>
        </w:rPr>
        <w:t>. Oxford University Press.</w:t>
      </w:r>
    </w:p>
    <w:p w14:paraId="71E98BFB"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Government of Jharkhand. (2021). </w:t>
      </w:r>
      <w:r w:rsidRPr="007A63EF">
        <w:rPr>
          <w:rFonts w:ascii="Times New Roman" w:eastAsia="Times New Roman" w:hAnsi="Times New Roman" w:cs="Times New Roman"/>
          <w:i/>
          <w:iCs/>
          <w:kern w:val="0"/>
          <w:sz w:val="24"/>
          <w:szCs w:val="24"/>
          <w:lang w:eastAsia="en-IN"/>
          <w14:ligatures w14:val="none"/>
        </w:rPr>
        <w:t>Jharkhand economic survey 2020–21</w:t>
      </w:r>
      <w:r w:rsidRPr="007A63EF">
        <w:rPr>
          <w:rFonts w:ascii="Times New Roman" w:eastAsia="Times New Roman" w:hAnsi="Times New Roman" w:cs="Times New Roman"/>
          <w:kern w:val="0"/>
          <w:sz w:val="24"/>
          <w:szCs w:val="24"/>
          <w:lang w:eastAsia="en-IN"/>
          <w14:ligatures w14:val="none"/>
        </w:rPr>
        <w:t>. Directorate of Economics and Statistics, Government of Jharkhand.</w:t>
      </w:r>
    </w:p>
    <w:p w14:paraId="27AC0B3B"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Sen, A. (1999). </w:t>
      </w:r>
      <w:r w:rsidRPr="007A63EF">
        <w:rPr>
          <w:rFonts w:ascii="Times New Roman" w:eastAsia="Times New Roman" w:hAnsi="Times New Roman" w:cs="Times New Roman"/>
          <w:i/>
          <w:iCs/>
          <w:kern w:val="0"/>
          <w:sz w:val="24"/>
          <w:szCs w:val="24"/>
          <w:lang w:eastAsia="en-IN"/>
          <w14:ligatures w14:val="none"/>
        </w:rPr>
        <w:t>Development as freedom</w:t>
      </w:r>
      <w:r w:rsidRPr="007A63EF">
        <w:rPr>
          <w:rFonts w:ascii="Times New Roman" w:eastAsia="Times New Roman" w:hAnsi="Times New Roman" w:cs="Times New Roman"/>
          <w:kern w:val="0"/>
          <w:sz w:val="24"/>
          <w:szCs w:val="24"/>
          <w:lang w:eastAsia="en-IN"/>
          <w14:ligatures w14:val="none"/>
        </w:rPr>
        <w:t>. Oxford University Press.</w:t>
      </w:r>
    </w:p>
    <w:p w14:paraId="0E379168"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Mahmud, S., Shah, N. M., &amp; Becker, S. (2012). Measurement of women’s empowerment in rural Bangladesh. </w:t>
      </w:r>
      <w:r w:rsidRPr="007A63EF">
        <w:rPr>
          <w:rFonts w:ascii="Times New Roman" w:eastAsia="Times New Roman" w:hAnsi="Times New Roman" w:cs="Times New Roman"/>
          <w:i/>
          <w:iCs/>
          <w:kern w:val="0"/>
          <w:sz w:val="24"/>
          <w:szCs w:val="24"/>
          <w:lang w:eastAsia="en-IN"/>
          <w14:ligatures w14:val="none"/>
        </w:rPr>
        <w:t>World Development</w:t>
      </w:r>
      <w:r w:rsidRPr="007A63EF">
        <w:rPr>
          <w:rFonts w:ascii="Times New Roman" w:eastAsia="Times New Roman" w:hAnsi="Times New Roman" w:cs="Times New Roman"/>
          <w:kern w:val="0"/>
          <w:sz w:val="24"/>
          <w:szCs w:val="24"/>
          <w:lang w:eastAsia="en-IN"/>
          <w14:ligatures w14:val="none"/>
        </w:rPr>
        <w:t>, 40(3), 610–619. https://doi.org/10.1016/j.worlddev.2011.08.003</w:t>
      </w:r>
    </w:p>
    <w:p w14:paraId="04D1F463"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Panda, P. (2009). Women’s collective action and sustainable water management: Case of SEWA. </w:t>
      </w:r>
      <w:r w:rsidRPr="007A63EF">
        <w:rPr>
          <w:rFonts w:ascii="Times New Roman" w:eastAsia="Times New Roman" w:hAnsi="Times New Roman" w:cs="Times New Roman"/>
          <w:i/>
          <w:iCs/>
          <w:kern w:val="0"/>
          <w:sz w:val="24"/>
          <w:szCs w:val="24"/>
          <w:lang w:eastAsia="en-IN"/>
          <w14:ligatures w14:val="none"/>
        </w:rPr>
        <w:t>World Development</w:t>
      </w:r>
      <w:r w:rsidRPr="007A63EF">
        <w:rPr>
          <w:rFonts w:ascii="Times New Roman" w:eastAsia="Times New Roman" w:hAnsi="Times New Roman" w:cs="Times New Roman"/>
          <w:kern w:val="0"/>
          <w:sz w:val="24"/>
          <w:szCs w:val="24"/>
          <w:lang w:eastAsia="en-IN"/>
          <w14:ligatures w14:val="none"/>
        </w:rPr>
        <w:t>, 37(1), 1–12. https://doi.org/10.1016/j.worlddev.2008.02.012</w:t>
      </w:r>
    </w:p>
    <w:p w14:paraId="059936E3"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lastRenderedPageBreak/>
        <w:t xml:space="preserve">Braun, V., &amp; Clarke, V. (2006). Using thematic analysis in psychology. </w:t>
      </w:r>
      <w:r w:rsidRPr="007A63EF">
        <w:rPr>
          <w:rFonts w:ascii="Times New Roman" w:eastAsia="Times New Roman" w:hAnsi="Times New Roman" w:cs="Times New Roman"/>
          <w:i/>
          <w:iCs/>
          <w:kern w:val="0"/>
          <w:sz w:val="24"/>
          <w:szCs w:val="24"/>
          <w:lang w:eastAsia="en-IN"/>
          <w14:ligatures w14:val="none"/>
        </w:rPr>
        <w:t>Qualitative Research in Psychology</w:t>
      </w:r>
      <w:r w:rsidRPr="007A63EF">
        <w:rPr>
          <w:rFonts w:ascii="Times New Roman" w:eastAsia="Times New Roman" w:hAnsi="Times New Roman" w:cs="Times New Roman"/>
          <w:kern w:val="0"/>
          <w:sz w:val="24"/>
          <w:szCs w:val="24"/>
          <w:lang w:eastAsia="en-IN"/>
          <w14:ligatures w14:val="none"/>
        </w:rPr>
        <w:t xml:space="preserve">, 3(2), 77–101. </w:t>
      </w:r>
      <w:hyperlink r:id="rId7" w:tgtFrame="_new" w:history="1">
        <w:r w:rsidRPr="007A63EF">
          <w:rPr>
            <w:rFonts w:ascii="Times New Roman" w:eastAsia="Times New Roman" w:hAnsi="Times New Roman" w:cs="Times New Roman"/>
            <w:color w:val="0000FF"/>
            <w:kern w:val="0"/>
            <w:sz w:val="24"/>
            <w:szCs w:val="24"/>
            <w:u w:val="single"/>
            <w:lang w:eastAsia="en-IN"/>
            <w14:ligatures w14:val="none"/>
          </w:rPr>
          <w:t>https://doi.org/10.1191/1478088706qp063oa</w:t>
        </w:r>
      </w:hyperlink>
    </w:p>
    <w:p w14:paraId="61DB496D" w14:textId="77777777" w:rsidR="007A63EF" w:rsidRPr="007A63EF" w:rsidRDefault="007A63EF" w:rsidP="001A278B">
      <w:pPr>
        <w:spacing w:before="100" w:beforeAutospacing="1" w:after="100" w:afterAutospacing="1" w:line="360" w:lineRule="auto"/>
        <w:jc w:val="both"/>
        <w:rPr>
          <w:rFonts w:ascii="Times New Roman" w:eastAsia="Times New Roman" w:hAnsi="Times New Roman" w:cs="Times New Roman"/>
          <w:kern w:val="0"/>
          <w:sz w:val="24"/>
          <w:szCs w:val="24"/>
          <w:lang w:eastAsia="en-IN"/>
          <w14:ligatures w14:val="none"/>
        </w:rPr>
      </w:pPr>
      <w:r w:rsidRPr="007A63EF">
        <w:rPr>
          <w:rFonts w:ascii="Times New Roman" w:eastAsia="Times New Roman" w:hAnsi="Times New Roman" w:cs="Times New Roman"/>
          <w:kern w:val="0"/>
          <w:sz w:val="24"/>
          <w:szCs w:val="24"/>
          <w:lang w:eastAsia="en-IN"/>
          <w14:ligatures w14:val="none"/>
        </w:rPr>
        <w:t xml:space="preserve">NABARD. (2022). </w:t>
      </w:r>
      <w:r w:rsidRPr="007A63EF">
        <w:rPr>
          <w:rFonts w:ascii="Times New Roman" w:eastAsia="Times New Roman" w:hAnsi="Times New Roman" w:cs="Times New Roman"/>
          <w:i/>
          <w:iCs/>
          <w:kern w:val="0"/>
          <w:sz w:val="24"/>
          <w:szCs w:val="24"/>
          <w:lang w:eastAsia="en-IN"/>
          <w14:ligatures w14:val="none"/>
        </w:rPr>
        <w:t>Status of microfinance in India 2021–22</w:t>
      </w:r>
      <w:r w:rsidRPr="007A63EF">
        <w:rPr>
          <w:rFonts w:ascii="Times New Roman" w:eastAsia="Times New Roman" w:hAnsi="Times New Roman" w:cs="Times New Roman"/>
          <w:kern w:val="0"/>
          <w:sz w:val="24"/>
          <w:szCs w:val="24"/>
          <w:lang w:eastAsia="en-IN"/>
          <w14:ligatures w14:val="none"/>
        </w:rPr>
        <w:t>. National Bank for Agriculture and Rural Development.</w:t>
      </w:r>
    </w:p>
    <w:p w14:paraId="349CC5D2" w14:textId="692BAEA9" w:rsidR="007A63EF" w:rsidRPr="007A63EF" w:rsidRDefault="007A63EF" w:rsidP="001A278B">
      <w:pPr>
        <w:spacing w:after="0" w:line="360" w:lineRule="auto"/>
        <w:jc w:val="both"/>
        <w:rPr>
          <w:rFonts w:ascii="Times New Roman" w:eastAsia="Times New Roman" w:hAnsi="Times New Roman" w:cs="Times New Roman"/>
          <w:kern w:val="0"/>
          <w:sz w:val="24"/>
          <w:szCs w:val="24"/>
          <w:lang w:eastAsia="en-IN"/>
          <w14:ligatures w14:val="none"/>
        </w:rPr>
      </w:pPr>
    </w:p>
    <w:p w14:paraId="5F5D0F63" w14:textId="5AE0FC87" w:rsidR="00037774" w:rsidRPr="00037774" w:rsidRDefault="00037774" w:rsidP="001A278B">
      <w:pPr>
        <w:spacing w:after="0" w:line="360" w:lineRule="auto"/>
        <w:jc w:val="both"/>
        <w:rPr>
          <w:rFonts w:ascii="Times New Roman" w:eastAsia="Times New Roman" w:hAnsi="Times New Roman" w:cs="Times New Roman"/>
          <w:kern w:val="0"/>
          <w:sz w:val="24"/>
          <w:szCs w:val="24"/>
          <w:lang w:eastAsia="en-IN"/>
          <w14:ligatures w14:val="none"/>
        </w:rPr>
      </w:pPr>
    </w:p>
    <w:p w14:paraId="4AD7E847" w14:textId="77777777" w:rsidR="0079027C" w:rsidRPr="001A278B" w:rsidRDefault="0079027C" w:rsidP="001A278B">
      <w:pPr>
        <w:spacing w:line="360" w:lineRule="auto"/>
        <w:jc w:val="both"/>
        <w:rPr>
          <w:rFonts w:ascii="Times New Roman" w:hAnsi="Times New Roman" w:cs="Times New Roman"/>
        </w:rPr>
      </w:pPr>
    </w:p>
    <w:p w14:paraId="7D50AF98" w14:textId="77777777" w:rsidR="00037774" w:rsidRPr="001A278B" w:rsidRDefault="00037774" w:rsidP="001A278B">
      <w:pPr>
        <w:spacing w:line="360" w:lineRule="auto"/>
        <w:jc w:val="both"/>
        <w:rPr>
          <w:rFonts w:ascii="Times New Roman" w:hAnsi="Times New Roman" w:cs="Times New Roman"/>
        </w:rPr>
      </w:pPr>
    </w:p>
    <w:sectPr w:rsidR="00037774" w:rsidRPr="001A278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96D63"/>
    <w:multiLevelType w:val="multilevel"/>
    <w:tmpl w:val="7E502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FD04986"/>
    <w:multiLevelType w:val="multilevel"/>
    <w:tmpl w:val="B3F40F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26117086">
    <w:abstractNumId w:val="1"/>
  </w:num>
  <w:num w:numId="2" w16cid:durableId="832633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774"/>
    <w:rsid w:val="00037774"/>
    <w:rsid w:val="001A278B"/>
    <w:rsid w:val="001C15B2"/>
    <w:rsid w:val="00495D16"/>
    <w:rsid w:val="004E45A8"/>
    <w:rsid w:val="0079027C"/>
    <w:rsid w:val="007A63EF"/>
    <w:rsid w:val="00900F06"/>
    <w:rsid w:val="00A6734B"/>
    <w:rsid w:val="00BC3C17"/>
    <w:rsid w:val="00D96B3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B9F4C"/>
  <w15:chartTrackingRefBased/>
  <w15:docId w15:val="{C3D26198-9349-4F7E-B1D3-8702B573E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777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3777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3777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3777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3777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377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77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77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77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77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377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377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377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377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377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77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77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7774"/>
    <w:rPr>
      <w:rFonts w:eastAsiaTheme="majorEastAsia" w:cstheme="majorBidi"/>
      <w:color w:val="272727" w:themeColor="text1" w:themeTint="D8"/>
    </w:rPr>
  </w:style>
  <w:style w:type="paragraph" w:styleId="Title">
    <w:name w:val="Title"/>
    <w:basedOn w:val="Normal"/>
    <w:next w:val="Normal"/>
    <w:link w:val="TitleChar"/>
    <w:uiPriority w:val="10"/>
    <w:qFormat/>
    <w:rsid w:val="00037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77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77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77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7774"/>
    <w:pPr>
      <w:spacing w:before="160"/>
      <w:jc w:val="center"/>
    </w:pPr>
    <w:rPr>
      <w:i/>
      <w:iCs/>
      <w:color w:val="404040" w:themeColor="text1" w:themeTint="BF"/>
    </w:rPr>
  </w:style>
  <w:style w:type="character" w:customStyle="1" w:styleId="QuoteChar">
    <w:name w:val="Quote Char"/>
    <w:basedOn w:val="DefaultParagraphFont"/>
    <w:link w:val="Quote"/>
    <w:uiPriority w:val="29"/>
    <w:rsid w:val="00037774"/>
    <w:rPr>
      <w:i/>
      <w:iCs/>
      <w:color w:val="404040" w:themeColor="text1" w:themeTint="BF"/>
    </w:rPr>
  </w:style>
  <w:style w:type="paragraph" w:styleId="ListParagraph">
    <w:name w:val="List Paragraph"/>
    <w:basedOn w:val="Normal"/>
    <w:uiPriority w:val="34"/>
    <w:qFormat/>
    <w:rsid w:val="00037774"/>
    <w:pPr>
      <w:ind w:left="720"/>
      <w:contextualSpacing/>
    </w:pPr>
  </w:style>
  <w:style w:type="character" w:styleId="IntenseEmphasis">
    <w:name w:val="Intense Emphasis"/>
    <w:basedOn w:val="DefaultParagraphFont"/>
    <w:uiPriority w:val="21"/>
    <w:qFormat/>
    <w:rsid w:val="00037774"/>
    <w:rPr>
      <w:i/>
      <w:iCs/>
      <w:color w:val="2F5496" w:themeColor="accent1" w:themeShade="BF"/>
    </w:rPr>
  </w:style>
  <w:style w:type="paragraph" w:styleId="IntenseQuote">
    <w:name w:val="Intense Quote"/>
    <w:basedOn w:val="Normal"/>
    <w:next w:val="Normal"/>
    <w:link w:val="IntenseQuoteChar"/>
    <w:uiPriority w:val="30"/>
    <w:qFormat/>
    <w:rsid w:val="000377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37774"/>
    <w:rPr>
      <w:i/>
      <w:iCs/>
      <w:color w:val="2F5496" w:themeColor="accent1" w:themeShade="BF"/>
    </w:rPr>
  </w:style>
  <w:style w:type="character" w:styleId="IntenseReference">
    <w:name w:val="Intense Reference"/>
    <w:basedOn w:val="DefaultParagraphFont"/>
    <w:uiPriority w:val="32"/>
    <w:qFormat/>
    <w:rsid w:val="000377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91/1478088706qp063o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i.org/10.1111/1467-7660.00125" TargetMode="External"/><Relationship Id="rId5" Type="http://schemas.openxmlformats.org/officeDocument/2006/relationships/hyperlink" Target="https://doi.org/10.1257/jel.50.4.1051"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8</Pages>
  <Words>2249</Words>
  <Characters>12820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sai construction</dc:creator>
  <cp:keywords/>
  <dc:description/>
  <cp:lastModifiedBy>theaisha1707@gmail.com</cp:lastModifiedBy>
  <cp:revision>4</cp:revision>
  <dcterms:created xsi:type="dcterms:W3CDTF">2026-01-12T08:59:00Z</dcterms:created>
  <dcterms:modified xsi:type="dcterms:W3CDTF">2026-04-13T07:41:00Z</dcterms:modified>
</cp:coreProperties>
</file>