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C1" w:rsidRDefault="00F01738">
      <w:pPr>
        <w:tabs>
          <w:tab w:val="left" w:pos="200"/>
        </w:tabs>
        <w:ind w:leftChars="-100" w:left="-200" w:firstLineChars="55" w:firstLine="199"/>
        <w:jc w:val="center"/>
        <w:rPr>
          <w:rFonts w:ascii="Times New Roman" w:hAnsi="Times New Roman" w:cs="Times New Roman"/>
          <w:b/>
          <w:sz w:val="36"/>
          <w:szCs w:val="36"/>
        </w:rPr>
      </w:pPr>
      <w:r>
        <w:rPr>
          <w:rFonts w:ascii="Times New Roman" w:hAnsi="Times New Roman" w:cs="Times New Roman"/>
          <w:b/>
          <w:sz w:val="36"/>
          <w:szCs w:val="36"/>
        </w:rPr>
        <w:t>Interplay of Operational Audit Practices, Sustainable Audit Methods, Training Quality and Operational Leak Prevention</w:t>
      </w:r>
    </w:p>
    <w:p w:rsidR="00AF32C1" w:rsidRDefault="00AF32C1">
      <w:pPr>
        <w:rPr>
          <w:rFonts w:ascii="Times New Roman" w:hAnsi="Times New Roman" w:cs="Times New Roman"/>
          <w:b/>
          <w:bCs/>
          <w:sz w:val="24"/>
          <w:szCs w:val="24"/>
        </w:rPr>
      </w:pPr>
      <w:bookmarkStart w:id="0" w:name="_GoBack"/>
      <w:bookmarkEnd w:id="0"/>
    </w:p>
    <w:p w:rsidR="00AF32C1" w:rsidRDefault="00F01738">
      <w:pPr>
        <w:rPr>
          <w:rFonts w:ascii="Times New Roman" w:hAnsi="Times New Roman" w:cs="Times New Roman"/>
          <w:b/>
          <w:bCs/>
          <w:sz w:val="28"/>
          <w:szCs w:val="28"/>
        </w:rPr>
      </w:pPr>
      <w:r>
        <w:rPr>
          <w:rFonts w:ascii="Times New Roman" w:hAnsi="Times New Roman" w:cs="Times New Roman"/>
          <w:b/>
          <w:bCs/>
          <w:sz w:val="28"/>
          <w:szCs w:val="28"/>
        </w:rPr>
        <w:t>ABSTRACT</w:t>
      </w:r>
    </w:p>
    <w:p w:rsidR="00AF32C1" w:rsidRDefault="00AF32C1">
      <w:pPr>
        <w:rPr>
          <w:rFonts w:ascii="Times New Roman" w:hAnsi="Times New Roman" w:cs="Times New Roman"/>
          <w:b/>
          <w:bCs/>
          <w:sz w:val="24"/>
          <w:szCs w:val="24"/>
        </w:rPr>
      </w:pPr>
    </w:p>
    <w:p w:rsidR="00AF32C1" w:rsidRDefault="00F01738">
      <w:pPr>
        <w:pStyle w:val="NormalWeb"/>
        <w:ind w:firstLine="720"/>
        <w:jc w:val="both"/>
        <w:rPr>
          <w:rStyle w:val="Strong"/>
          <w:b w:val="0"/>
        </w:rPr>
      </w:pPr>
      <w:r>
        <w:rPr>
          <w:rStyle w:val="Strong"/>
          <w:b w:val="0"/>
        </w:rPr>
        <w:t xml:space="preserve">Operational leaks remain a major concern for distribution companies due to their effects on efficiency, cost management, regulatory compliance, and environmental sustainability. This study examined the factors influencing operational leak prevention in a distribution company in </w:t>
      </w:r>
      <w:proofErr w:type="spellStart"/>
      <w:r>
        <w:rPr>
          <w:rStyle w:val="Strong"/>
          <w:b w:val="0"/>
        </w:rPr>
        <w:t>Misamis</w:t>
      </w:r>
      <w:proofErr w:type="spellEnd"/>
      <w:r>
        <w:rPr>
          <w:rStyle w:val="Strong"/>
          <w:b w:val="0"/>
        </w:rPr>
        <w:t xml:space="preserve"> Oriental, guided by Stakeholder Theory, which emphasizes ethical and transparent practices to protect stakeholder interests and organizational legitimacy. Using a descriptive-correlational design, data were gathered from 200 employees through an adapted five-point Likert scale questionnaire. Analytical tools included factor analysis and canonical correlation analysis (CCA). Findings revealed high employee perceptions across all variables, indicating that structured operational controls and sustainability-driven practices are actively implemented. Results showed that risk-based compliance auditing, integrated sustainability initiatives, and effective employee training work synergistically to minimize operational leaks. Canonical Loadings (CCA) further demonstrated that consistent auditing enhances inventory control, reduces spoilage, and minimizes operational errors, supporting the rejection of the null hypothesis. The study highlights the importance of sustainable audit methods in improving operational efficiency, reducing errors, and promoting responsible resource utilization. Overall, the findings provide both empirical and practical insights for distribution companies in emerging markets aiming to improve sustainability and operational performance. Future research may explore additional factors such as organizational culture, employee engagement, and technological integration using longitudinal or mixed-method approaches.</w:t>
      </w:r>
    </w:p>
    <w:p w:rsidR="00AF32C1" w:rsidRDefault="00AF32C1">
      <w:pPr>
        <w:pStyle w:val="NormalWeb"/>
        <w:spacing w:line="360" w:lineRule="auto"/>
        <w:jc w:val="both"/>
        <w:rPr>
          <w:rStyle w:val="Strong"/>
          <w:rFonts w:ascii="Arial" w:hAnsi="Arial" w:cs="Arial"/>
        </w:rPr>
      </w:pPr>
    </w:p>
    <w:p w:rsidR="00AF32C1" w:rsidRDefault="00F01738">
      <w:pPr>
        <w:pStyle w:val="NormalWeb"/>
        <w:spacing w:line="360" w:lineRule="auto"/>
        <w:jc w:val="both"/>
        <w:rPr>
          <w:i/>
          <w:iCs/>
        </w:rPr>
      </w:pPr>
      <w:r>
        <w:rPr>
          <w:rStyle w:val="Strong"/>
        </w:rPr>
        <w:t>Keywords</w:t>
      </w:r>
      <w:r>
        <w:rPr>
          <w:b/>
          <w:bCs/>
        </w:rPr>
        <w:t xml:space="preserve">: </w:t>
      </w:r>
      <w:r>
        <w:t>Internal auditing, Operational leak prevention, quality of training, sustainable audit methods</w:t>
      </w:r>
    </w:p>
    <w:p w:rsidR="00AF32C1" w:rsidRDefault="00AF32C1">
      <w:pPr>
        <w:rPr>
          <w:rFonts w:ascii="Times New Roman" w:hAnsi="Times New Roman" w:cs="Times New Roman"/>
          <w:b/>
          <w:bCs/>
          <w:sz w:val="28"/>
          <w:szCs w:val="28"/>
        </w:rPr>
      </w:pPr>
    </w:p>
    <w:p w:rsidR="00AF32C1" w:rsidRDefault="00F01738">
      <w:pPr>
        <w:rPr>
          <w:rFonts w:ascii="Times New Roman" w:hAnsi="Times New Roman" w:cs="Times New Roman"/>
          <w:b/>
          <w:bCs/>
          <w:sz w:val="28"/>
          <w:szCs w:val="28"/>
        </w:rPr>
      </w:pPr>
      <w:r>
        <w:rPr>
          <w:rFonts w:ascii="Times New Roman" w:hAnsi="Times New Roman" w:cs="Times New Roman"/>
          <w:b/>
          <w:bCs/>
          <w:sz w:val="28"/>
          <w:szCs w:val="28"/>
        </w:rPr>
        <w:t>INTRODUCTION</w:t>
      </w:r>
    </w:p>
    <w:p w:rsidR="00AF32C1" w:rsidRDefault="00AF32C1">
      <w:pPr>
        <w:rPr>
          <w:rFonts w:ascii="Times New Roman" w:hAnsi="Times New Roman" w:cs="Times New Roman"/>
          <w:b/>
          <w:bCs/>
          <w:sz w:val="24"/>
          <w:szCs w:val="24"/>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Auditing practices have progressed from simple error detection in financial statements to thorough assessments of organizational operation, especially in distribution companies. It has transitioned from detecting primary errors in financial statements to evaluating all aspects of an organization's operations; including its governance, risk management, and compliance activities.</w:t>
      </w:r>
    </w:p>
    <w:p w:rsidR="00AF32C1" w:rsidRDefault="00AF32C1">
      <w:pPr>
        <w:jc w:val="both"/>
        <w:rPr>
          <w:rFonts w:ascii="Times New Roman" w:hAnsi="Times New Roman" w:cs="Times New Roman"/>
          <w:sz w:val="24"/>
          <w:szCs w:val="24"/>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 xml:space="preserve">Internal audits carried out by quality officials measure operations with the help of internal standards and bring about gradual changes in governance, control and risk management (Hut </w:t>
      </w:r>
      <w:proofErr w:type="spellStart"/>
      <w:r>
        <w:rPr>
          <w:rFonts w:ascii="Times New Roman" w:hAnsi="Times New Roman" w:cs="Times New Roman"/>
          <w:sz w:val="24"/>
          <w:szCs w:val="24"/>
        </w:rPr>
        <w:t>Mossel</w:t>
      </w:r>
      <w:proofErr w:type="spellEnd"/>
      <w:r>
        <w:rPr>
          <w:rFonts w:ascii="Times New Roman" w:hAnsi="Times New Roman" w:cs="Times New Roman"/>
          <w:sz w:val="24"/>
          <w:szCs w:val="24"/>
        </w:rPr>
        <w:t xml:space="preserve"> et al. 2020).</w:t>
      </w:r>
    </w:p>
    <w:p w:rsidR="00AF32C1" w:rsidRDefault="00AF32C1">
      <w:pPr>
        <w:jc w:val="both"/>
        <w:rPr>
          <w:rFonts w:ascii="Times New Roman" w:hAnsi="Times New Roman" w:cs="Times New Roman"/>
          <w:sz w:val="24"/>
          <w:szCs w:val="24"/>
        </w:rPr>
      </w:pPr>
    </w:p>
    <w:p w:rsidR="00AF32C1" w:rsidRDefault="00F01738">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Effective internal audit strategies are vital for identifying and correcting deviations preemptively. Unlike departmental or financial audits, operational audits examine entire business processes to boost overall effectiveness. Strategic audits, as the culmination of strategic management, track internal and external factors, evaluate performance, and implement corrections (Rodriguez &amp; Kim, 2023). </w:t>
      </w:r>
    </w:p>
    <w:p w:rsidR="00AF32C1" w:rsidRDefault="00AF32C1">
      <w:pPr>
        <w:jc w:val="both"/>
        <w:rPr>
          <w:rFonts w:ascii="Times New Roman" w:eastAsia="Arial" w:hAnsi="Times New Roman" w:cs="Times New Roman"/>
          <w:sz w:val="24"/>
          <w:szCs w:val="24"/>
        </w:rPr>
      </w:pPr>
    </w:p>
    <w:p w:rsidR="00AF32C1" w:rsidRDefault="00F01738">
      <w:pPr>
        <w:spacing w:before="120" w:after="12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Recent studies highlight this gap, noting that distribution sectors face unique risks from supply chain disruptions and data breaches, with limited research on auditing's role in leak prevention (Smith et al., 2021; Alvarez &amp; Gupta, 2022). Addressing this gap offers insights into auditing's role in mitigating operational leaks. The context and aim of this study stems from the specific vulnerabilities of distribution companies with limited resources in </w:t>
      </w:r>
      <w:proofErr w:type="spellStart"/>
      <w:r>
        <w:rPr>
          <w:rFonts w:ascii="Times New Roman" w:hAnsi="Times New Roman" w:cs="Times New Roman"/>
          <w:bCs/>
          <w:sz w:val="24"/>
          <w:szCs w:val="24"/>
        </w:rPr>
        <w:t>Misamis</w:t>
      </w:r>
      <w:proofErr w:type="spellEnd"/>
      <w:r>
        <w:rPr>
          <w:rFonts w:ascii="Times New Roman" w:hAnsi="Times New Roman" w:cs="Times New Roman"/>
          <w:bCs/>
          <w:sz w:val="24"/>
          <w:szCs w:val="24"/>
        </w:rPr>
        <w:t xml:space="preserve"> Oriental, this location was chosen due to its representation of the area’s reliant on distribution networks for economic stability, yet prone to leaks from inadequate infrastructure and human </w:t>
      </w:r>
      <w:r>
        <w:rPr>
          <w:rFonts w:ascii="Times New Roman" w:hAnsi="Times New Roman" w:cs="Times New Roman"/>
          <w:bCs/>
          <w:sz w:val="24"/>
          <w:szCs w:val="24"/>
        </w:rPr>
        <w:lastRenderedPageBreak/>
        <w:t>factors. By focusing here, the research aims to provide tailored, practical solutions to bridge the identified gap, supporting sustainable business practices and informing policy in similar contexts.</w:t>
      </w:r>
    </w:p>
    <w:p w:rsidR="00AF32C1" w:rsidRDefault="00AF32C1">
      <w:pPr>
        <w:spacing w:before="120" w:after="120"/>
        <w:jc w:val="both"/>
        <w:rPr>
          <w:bCs/>
        </w:rPr>
      </w:pPr>
    </w:p>
    <w:p w:rsidR="00AF32C1" w:rsidRDefault="00F01738">
      <w:pPr>
        <w:spacing w:before="120" w:after="120"/>
        <w:jc w:val="both"/>
        <w:rPr>
          <w:rFonts w:ascii="Times New Roman" w:hAnsi="Times New Roman" w:cs="Times New Roman"/>
          <w:b/>
          <w:sz w:val="28"/>
          <w:szCs w:val="28"/>
        </w:rPr>
      </w:pPr>
      <w:r>
        <w:rPr>
          <w:rFonts w:ascii="Times New Roman" w:hAnsi="Times New Roman" w:cs="Times New Roman"/>
          <w:b/>
          <w:sz w:val="28"/>
          <w:szCs w:val="28"/>
        </w:rPr>
        <w:t>THEORETICAL AND CONCEPTUAL FRAMEWORK</w:t>
      </w:r>
    </w:p>
    <w:p w:rsidR="00AF32C1" w:rsidRDefault="00F01738">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This study is being supported by the Stakeholder Theory, wherein the internal stakeholders like the shareholders, preserves its operational effectiveness through a transparent, ethical processes, while mitigating risks that could alienate communities or erode legitimacy. In addition, Holistic Audit theory, wherein auditing should be viewed as an integrated process encompassing an organization's financial statements and constantly evaluating an organization's compliance with regulatory standards, internal procedures, and particular industry norms. These two theories emphasized the cohesion of various organizational components and the need for auditors to assess an organization's overall health and sustainability and It aims to assist businesses in evading non-compliance and ensuring uniform regulatory compliance.</w:t>
      </w:r>
    </w:p>
    <w:p w:rsidR="00AF32C1" w:rsidRDefault="00F01738">
      <w:pPr>
        <w:spacing w:beforeLines="40" w:before="96"/>
        <w:ind w:firstLine="720"/>
        <w:jc w:val="both"/>
        <w:rPr>
          <w:rFonts w:ascii="Times New Roman" w:eastAsia="SimSun" w:hAnsi="Times New Roman" w:cs="Times New Roman"/>
          <w:sz w:val="24"/>
          <w:szCs w:val="24"/>
          <w:lang w:bidi="ar"/>
        </w:rPr>
      </w:pPr>
      <w:r>
        <w:rPr>
          <w:rFonts w:ascii="Times New Roman" w:hAnsi="Times New Roman" w:cs="Times New Roman"/>
          <w:sz w:val="24"/>
          <w:szCs w:val="24"/>
        </w:rPr>
        <w:t>Based on these theories, the association between the variables including operational leak prevention as the main dependent variable and the independent variables is critical to the distribution companies. With a focus on these aspects, the above distribution can thrive and transform the potential weaknesses into strategic strengths that can ensure the resiliency to any form of disruption such as supply chain shock or economic turmoil in this study.</w:t>
      </w:r>
      <w:r>
        <w:rPr>
          <w:rFonts w:ascii="Times New Roman" w:eastAsia="SimSun" w:hAnsi="Times New Roman" w:cs="Times New Roman"/>
          <w:sz w:val="24"/>
          <w:szCs w:val="24"/>
          <w:lang w:bidi="ar"/>
        </w:rPr>
        <w:t xml:space="preserve"> </w:t>
      </w:r>
    </w:p>
    <w:p w:rsidR="00AF32C1" w:rsidRDefault="00AF32C1">
      <w:pPr>
        <w:spacing w:beforeLines="40" w:before="96"/>
        <w:jc w:val="both"/>
        <w:rPr>
          <w:rFonts w:ascii="Times New Roman" w:hAnsi="Times New Roman" w:cs="Times New Roman"/>
          <w:b/>
          <w:sz w:val="28"/>
          <w:szCs w:val="28"/>
        </w:rPr>
      </w:pPr>
    </w:p>
    <w:p w:rsidR="00AF32C1" w:rsidRDefault="00F01738">
      <w:pPr>
        <w:spacing w:beforeLines="40" w:before="96"/>
        <w:jc w:val="both"/>
        <w:rPr>
          <w:rFonts w:ascii="Times New Roman" w:hAnsi="Times New Roman" w:cs="Times New Roman"/>
          <w:b/>
          <w:sz w:val="28"/>
          <w:szCs w:val="28"/>
        </w:rPr>
      </w:pPr>
      <w:r>
        <w:rPr>
          <w:rFonts w:ascii="Times New Roman" w:hAnsi="Times New Roman" w:cs="Times New Roman"/>
          <w:b/>
          <w:sz w:val="28"/>
          <w:szCs w:val="28"/>
        </w:rPr>
        <w:t>RESEARCH QUESTIONS</w:t>
      </w:r>
    </w:p>
    <w:p w:rsidR="00F01738" w:rsidRDefault="00F01738">
      <w:pPr>
        <w:spacing w:beforeLines="40" w:before="96"/>
        <w:jc w:val="both"/>
        <w:rPr>
          <w:rFonts w:ascii="Times New Roman" w:hAnsi="Times New Roman" w:cs="Times New Roman"/>
          <w:b/>
          <w:sz w:val="28"/>
          <w:szCs w:val="28"/>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The researcher sought to seek the following questions as listed below:</w:t>
      </w:r>
    </w:p>
    <w:p w:rsidR="00AF32C1" w:rsidRDefault="00F01738">
      <w:pPr>
        <w:jc w:val="both"/>
        <w:rPr>
          <w:rFonts w:ascii="Times New Roman" w:hAnsi="Times New Roman" w:cs="Times New Roman"/>
          <w:sz w:val="24"/>
          <w:szCs w:val="24"/>
        </w:rPr>
      </w:pPr>
      <w:r>
        <w:rPr>
          <w:rFonts w:ascii="Times New Roman" w:hAnsi="Times New Roman" w:cs="Times New Roman"/>
          <w:sz w:val="24"/>
          <w:szCs w:val="24"/>
        </w:rPr>
        <w:t>1. What is the participants’ assessment of operational audit practices in terms of:</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t xml:space="preserve">       1.1 Risk-based auditing;</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t xml:space="preserve">       1.2 Process compliance practice;</w:t>
      </w:r>
    </w:p>
    <w:p w:rsidR="00AF32C1" w:rsidRDefault="00F01738">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1.3 Internal control process?</w:t>
      </w:r>
    </w:p>
    <w:p w:rsidR="00AF32C1" w:rsidRDefault="00F01738">
      <w:pPr>
        <w:spacing w:before="120" w:after="120"/>
        <w:jc w:val="both"/>
        <w:rPr>
          <w:rFonts w:ascii="Times New Roman" w:hAnsi="Times New Roman" w:cs="Times New Roman"/>
          <w:sz w:val="24"/>
          <w:szCs w:val="24"/>
        </w:rPr>
      </w:pPr>
      <w:r>
        <w:rPr>
          <w:rFonts w:ascii="Times New Roman" w:hAnsi="Times New Roman" w:cs="Times New Roman"/>
          <w:sz w:val="24"/>
          <w:szCs w:val="24"/>
        </w:rPr>
        <w:t>2. What is the participants’ assessment of the sustainable audit methods in terms of:</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t xml:space="preserve">       2.1 Eco-friendly compliance practice;</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t xml:space="preserve">       2.2 Waste reduction practices;</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 xml:space="preserve">            2.3 Energy efficiency practices.</w:t>
      </w:r>
    </w:p>
    <w:p w:rsidR="00AF32C1" w:rsidRDefault="00F01738">
      <w:pPr>
        <w:spacing w:before="120" w:after="120"/>
        <w:jc w:val="both"/>
        <w:rPr>
          <w:rFonts w:ascii="Times New Roman" w:hAnsi="Times New Roman" w:cs="Times New Roman"/>
          <w:sz w:val="24"/>
          <w:szCs w:val="24"/>
        </w:rPr>
      </w:pPr>
      <w:r>
        <w:rPr>
          <w:rFonts w:ascii="Times New Roman" w:hAnsi="Times New Roman" w:cs="Times New Roman"/>
          <w:sz w:val="24"/>
          <w:szCs w:val="24"/>
        </w:rPr>
        <w:t>3.What is the participants' assessment of the quality of training?</w:t>
      </w:r>
    </w:p>
    <w:p w:rsidR="00AF32C1" w:rsidRDefault="00F01738">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What is the participants’ assessment of the operational leak prevention considering: </w:t>
      </w:r>
    </w:p>
    <w:p w:rsidR="00AF32C1" w:rsidRDefault="00F01738">
      <w:pPr>
        <w:pStyle w:val="ListParagraph"/>
        <w:ind w:left="0" w:firstLineChars="500" w:firstLine="1200"/>
        <w:jc w:val="both"/>
        <w:rPr>
          <w:rFonts w:ascii="Times New Roman" w:hAnsi="Times New Roman" w:cs="Times New Roman"/>
          <w:sz w:val="24"/>
          <w:szCs w:val="24"/>
        </w:rPr>
      </w:pPr>
      <w:r>
        <w:rPr>
          <w:rFonts w:ascii="Times New Roman" w:hAnsi="Times New Roman" w:cs="Times New Roman"/>
          <w:sz w:val="24"/>
          <w:szCs w:val="24"/>
        </w:rPr>
        <w:t>4.1 Reduction in product losses and wastage;</w:t>
      </w: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4.2 Minimize errors in operation;</w:t>
      </w: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4.3 Improved Operational efficiency</w:t>
      </w:r>
    </w:p>
    <w:p w:rsidR="00F01738"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p>
    <w:p w:rsidR="00F01738"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sz w:val="24"/>
          <w:szCs w:val="24"/>
        </w:rPr>
      </w:pP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r>
        <w:rPr>
          <w:rFonts w:ascii="Times New Roman" w:hAnsi="Times New Roman" w:cs="Times New Roman"/>
          <w:b/>
          <w:sz w:val="28"/>
          <w:szCs w:val="28"/>
        </w:rPr>
        <w:t xml:space="preserve">RESEARCH DESIGN </w:t>
      </w: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r>
        <w:rPr>
          <w:rFonts w:ascii="Times New Roman" w:hAnsi="Times New Roman" w:cs="Times New Roman"/>
          <w:sz w:val="24"/>
          <w:szCs w:val="24"/>
        </w:rPr>
        <w:tab/>
        <w:t xml:space="preserve">This research study used a descriptive-correlational design, to examining relationships among variables without manipulating them. The study utilized Canonical Correlation Analysis (CCA) to determine how operational leaks affected the processes of a distribution company located in </w:t>
      </w:r>
      <w:proofErr w:type="spellStart"/>
      <w:r>
        <w:rPr>
          <w:rFonts w:ascii="Times New Roman" w:hAnsi="Times New Roman" w:cs="Times New Roman"/>
          <w:sz w:val="24"/>
          <w:szCs w:val="24"/>
        </w:rPr>
        <w:t>Misamis</w:t>
      </w:r>
      <w:proofErr w:type="spellEnd"/>
      <w:r>
        <w:rPr>
          <w:rFonts w:ascii="Times New Roman" w:hAnsi="Times New Roman" w:cs="Times New Roman"/>
          <w:sz w:val="24"/>
          <w:szCs w:val="24"/>
        </w:rPr>
        <w:t xml:space="preserve"> Oriental. This design was appropriate because it allowed the researcher to describe and measure the strength of relationships between variables (Creswell, 2014).</w:t>
      </w: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p>
    <w:p w:rsidR="00AF32C1" w:rsidRDefault="00F01738">
      <w:pPr>
        <w:spacing w:beforeLines="40" w:before="96" w:afterLines="40" w:after="96"/>
        <w:jc w:val="both"/>
        <w:rPr>
          <w:rFonts w:ascii="Times New Roman" w:hAnsi="Times New Roman" w:cs="Times New Roman"/>
          <w:b/>
          <w:sz w:val="28"/>
          <w:szCs w:val="28"/>
        </w:rPr>
      </w:pPr>
      <w:r>
        <w:rPr>
          <w:rFonts w:ascii="Times New Roman" w:hAnsi="Times New Roman" w:cs="Times New Roman"/>
          <w:b/>
          <w:sz w:val="28"/>
          <w:szCs w:val="28"/>
        </w:rPr>
        <w:t>PARTICIPANTS AND SAMPLING PROCEDURE</w:t>
      </w:r>
    </w:p>
    <w:p w:rsidR="00AF32C1" w:rsidRDefault="00F01738">
      <w:pPr>
        <w:spacing w:beforeLines="40" w:before="96" w:afterLines="40" w:after="96"/>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composed of currently employed staff members, such as managers, supervisors, sales agents, drivers, ISR encoders, audit staff, and warehouse supervisors and checkers in which meets the study’s inclusion criteria. Employees on extended or maternity leave, probationary staff with less than six months of service, and those unwilling to participate are </w:t>
      </w:r>
      <w:proofErr w:type="spellStart"/>
      <w:r>
        <w:rPr>
          <w:rFonts w:ascii="Times New Roman" w:hAnsi="Times New Roman" w:cs="Times New Roman"/>
          <w:sz w:val="24"/>
          <w:szCs w:val="24"/>
        </w:rPr>
        <w:t>excluded.The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distribution company</w:t>
      </w:r>
      <w:proofErr w:type="gramEnd"/>
      <w:r>
        <w:rPr>
          <w:rFonts w:ascii="Times New Roman" w:hAnsi="Times New Roman" w:cs="Times New Roman"/>
          <w:sz w:val="24"/>
          <w:szCs w:val="24"/>
        </w:rPr>
        <w:t xml:space="preserve"> has a total of 341 employees. Using the Taro Yamane formula, the sample size is 184. The study utilized 200 participants to cover possible outliers.</w:t>
      </w:r>
    </w:p>
    <w:p w:rsidR="00AF32C1" w:rsidRDefault="00AF32C1">
      <w:pPr>
        <w:jc w:val="both"/>
        <w:rPr>
          <w:rFonts w:ascii="Times New Roman" w:hAnsi="Times New Roman" w:cs="Times New Roman"/>
          <w:sz w:val="24"/>
          <w:szCs w:val="24"/>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These are composed of currently employed staff members, such as managers, supervisors, sales agents, drivers, ISR encoders, audit staff, and warehouse supervisors and checkers in which meets the study’s inclusion criteria. Employees on extended or maternity leave, probationary staff with less than six months of service, and those unwilling to participate are excluded.</w:t>
      </w:r>
    </w:p>
    <w:p w:rsidR="00AF32C1" w:rsidRDefault="00F01738">
      <w:pPr>
        <w:spacing w:beforeLines="90" w:before="216"/>
        <w:jc w:val="both"/>
        <w:rPr>
          <w:rFonts w:ascii="Times New Roman" w:hAnsi="Times New Roman" w:cs="Times New Roman"/>
          <w:b/>
          <w:sz w:val="28"/>
          <w:szCs w:val="28"/>
        </w:rPr>
      </w:pPr>
      <w:r>
        <w:rPr>
          <w:rFonts w:ascii="Times New Roman" w:hAnsi="Times New Roman" w:cs="Times New Roman"/>
          <w:b/>
          <w:sz w:val="28"/>
          <w:szCs w:val="28"/>
        </w:rPr>
        <w:t>DATA ANALYSIS</w:t>
      </w:r>
    </w:p>
    <w:p w:rsidR="00AF32C1" w:rsidRDefault="00F01738">
      <w:pPr>
        <w:spacing w:beforeLines="90" w:before="216"/>
        <w:ind w:firstLine="720"/>
        <w:jc w:val="both"/>
        <w:rPr>
          <w:rFonts w:ascii="Times New Roman" w:eastAsia="Arial" w:hAnsi="Times New Roman" w:cs="Times New Roman"/>
          <w:sz w:val="24"/>
          <w:szCs w:val="24"/>
        </w:rPr>
      </w:pPr>
      <w:r>
        <w:rPr>
          <w:rFonts w:ascii="Times New Roman" w:hAnsi="Times New Roman" w:cs="Times New Roman"/>
          <w:sz w:val="24"/>
          <w:szCs w:val="24"/>
        </w:rPr>
        <w:t xml:space="preserve">A researcher made or structured questionnaire with various sources, via 5 point Likert scale is used as a main instrument for data collection to achieve the necessary data for the most of this study.  After these revisions, a pilot test involving at least (30) thirty participants was conducted, and the instrument’s internal consistency and reliability were evaluated using Cronbach’s Alpha Coefficient. </w:t>
      </w:r>
      <w:r>
        <w:rPr>
          <w:rFonts w:ascii="Times New Roman" w:eastAsia="Arial" w:hAnsi="Times New Roman" w:cs="Times New Roman"/>
          <w:bCs/>
          <w:sz w:val="24"/>
          <w:szCs w:val="24"/>
        </w:rPr>
        <w:t>Problems 1,2, and 3</w:t>
      </w:r>
      <w:r>
        <w:rPr>
          <w:rFonts w:ascii="Times New Roman" w:eastAsia="Arial" w:hAnsi="Times New Roman" w:cs="Times New Roman"/>
          <w:sz w:val="24"/>
          <w:szCs w:val="24"/>
        </w:rPr>
        <w:t xml:space="preserve"> will be determine through descriptive statistics such as mean, frequency, percentage, and standard deviation. </w:t>
      </w:r>
      <w:bookmarkStart w:id="1" w:name="_hbwynj1fzpv1" w:colFirst="0" w:colLast="0"/>
      <w:bookmarkEnd w:id="1"/>
    </w:p>
    <w:p w:rsidR="00AF32C1" w:rsidRDefault="00AF32C1">
      <w:pPr>
        <w:jc w:val="both"/>
        <w:rPr>
          <w:rFonts w:ascii="Times New Roman" w:eastAsia="Arial" w:hAnsi="Times New Roman" w:cs="Times New Roman"/>
          <w:sz w:val="24"/>
          <w:szCs w:val="24"/>
        </w:rPr>
      </w:pPr>
    </w:p>
    <w:p w:rsidR="00AF32C1" w:rsidRDefault="00F01738">
      <w:pPr>
        <w:ind w:firstLine="720"/>
        <w:jc w:val="both"/>
        <w:rPr>
          <w:rFonts w:ascii="Times New Roman" w:eastAsia="Times New Roman" w:hAnsi="Times New Roman" w:cs="Times New Roman"/>
          <w:sz w:val="24"/>
          <w:szCs w:val="24"/>
        </w:rPr>
      </w:pPr>
      <w:r>
        <w:rPr>
          <w:rFonts w:ascii="Times New Roman" w:eastAsia="Arial" w:hAnsi="Times New Roman" w:cs="Times New Roman"/>
          <w:bCs/>
          <w:sz w:val="24"/>
          <w:szCs w:val="24"/>
        </w:rPr>
        <w:t>Problem 4</w:t>
      </w:r>
      <w:r>
        <w:rPr>
          <w:rFonts w:ascii="Times New Roman" w:eastAsia="Arial" w:hAnsi="Times New Roman" w:cs="Times New Roman"/>
          <w:sz w:val="24"/>
          <w:szCs w:val="24"/>
        </w:rPr>
        <w:t xml:space="preserve"> will be sought through Canonical Correlation Analysis or CCA. Canonical Correlation Analysis </w:t>
      </w:r>
      <w:r>
        <w:rPr>
          <w:rFonts w:ascii="Times New Roman" w:eastAsia="Arial" w:hAnsi="Times New Roman" w:cs="Times New Roman"/>
          <w:sz w:val="24"/>
          <w:szCs w:val="24"/>
          <w:highlight w:val="white"/>
        </w:rPr>
        <w:t xml:space="preserve">identifies and measures the linear relationships between these two sets of variables, allowing for a deeper understanding of how </w:t>
      </w:r>
      <w:r>
        <w:rPr>
          <w:rFonts w:ascii="Times New Roman" w:eastAsia="Arial" w:hAnsi="Times New Roman" w:cs="Times New Roman"/>
          <w:b/>
          <w:bCs/>
          <w:noProof/>
          <w:sz w:val="24"/>
          <w:szCs w:val="24"/>
          <w:lang w:val="en-IN" w:eastAsia="en-IN"/>
        </w:rPr>
        <mc:AlternateContent>
          <mc:Choice Requires="wps">
            <w:drawing>
              <wp:anchor distT="114300" distB="114300" distL="114300" distR="114300" simplePos="0" relativeHeight="251659264" behindDoc="0" locked="0" layoutInCell="1" allowOverlap="1">
                <wp:simplePos x="0" y="0"/>
                <wp:positionH relativeFrom="page">
                  <wp:posOffset>6904355</wp:posOffset>
                </wp:positionH>
                <wp:positionV relativeFrom="page">
                  <wp:posOffset>668020</wp:posOffset>
                </wp:positionV>
                <wp:extent cx="287020" cy="321945"/>
                <wp:effectExtent l="4445" t="5080" r="13335" b="15875"/>
                <wp:wrapNone/>
                <wp:docPr id="5" name="Rectangle 5"/>
                <wp:cNvGraphicFramePr/>
                <a:graphic xmlns:a="http://schemas.openxmlformats.org/drawingml/2006/main">
                  <a:graphicData uri="http://schemas.microsoft.com/office/word/2010/wordprocessingShape">
                    <wps:wsp>
                      <wps:cNvSpPr/>
                      <wps:spPr>
                        <a:xfrm>
                          <a:off x="5172150" y="3667500"/>
                          <a:ext cx="287020" cy="321945"/>
                        </a:xfrm>
                        <a:prstGeom prst="rect">
                          <a:avLst/>
                        </a:prstGeom>
                        <a:solidFill>
                          <a:srgbClr val="FFFFFF"/>
                        </a:solidFill>
                        <a:ln w="9525" cap="flat" cmpd="sng">
                          <a:solidFill>
                            <a:srgbClr val="FFFFFF"/>
                          </a:solidFill>
                          <a:prstDash val="solid"/>
                          <a:round/>
                          <a:headEnd type="none" w="sm" len="sm"/>
                          <a:tailEnd type="none" w="sm" len="sm"/>
                        </a:ln>
                      </wps:spPr>
                      <wps:txbx>
                        <w:txbxContent>
                          <w:p w:rsidR="00AF32C1" w:rsidRDefault="00AF32C1">
                            <w:pPr>
                              <w:jc w:val="cente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Rectangle 5" o:spid="_x0000_s1026" style="position:absolute;left:0;text-align:left;margin-left:543.65pt;margin-top:52.6pt;width:22.6pt;height:25.35pt;z-index:251659264;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" strokecolor="white">
                <v:stroke startarrowwidth="narrow" startarrowlength="short" endarrowwidth="narrow" endarrowlength="short" joinstyle="round"/>
                <v:textbox inset="2.53958mm,2.53958mm,2.53958mm,2.53958mm">
                  <w:txbxContent>
                    <w:p w:rsidR="00AF32C1" w:rsidRDefault="00AF32C1">
                      <w:pPr>
                        <w:jc w:val="center"/>
                      </w:pPr>
                    </w:p>
                  </w:txbxContent>
                </v:textbox>
                <w10:wrap anchorx="page" anchory="page"/>
              </v:rect>
            </w:pict>
          </mc:Fallback>
        </mc:AlternateContent>
      </w:r>
      <w:r>
        <w:rPr>
          <w:rFonts w:ascii="Times New Roman" w:eastAsia="Arial" w:hAnsi="Times New Roman" w:cs="Times New Roman"/>
          <w:sz w:val="24"/>
          <w:szCs w:val="24"/>
          <w:highlight w:val="white"/>
        </w:rPr>
        <w:t>they interact without changing</w:t>
      </w:r>
      <w:r>
        <w:rPr>
          <w:rFonts w:ascii="Times New Roman" w:eastAsia="Arial" w:hAnsi="Times New Roman" w:cs="Times New Roman"/>
          <w:sz w:val="24"/>
          <w:szCs w:val="24"/>
        </w:rPr>
        <w:t xml:space="preserve">. </w:t>
      </w:r>
      <w:r>
        <w:rPr>
          <w:rFonts w:ascii="Times New Roman" w:hAnsi="Times New Roman" w:cs="Times New Roman"/>
          <w:color w:val="000000" w:themeColor="text1"/>
          <w:sz w:val="24"/>
          <w:szCs w:val="24"/>
        </w:rPr>
        <w:t>I</w:t>
      </w:r>
      <w:r>
        <w:rPr>
          <w:rFonts w:ascii="Times New Roman" w:eastAsia="SimSun" w:hAnsi="Times New Roman" w:cs="Times New Roman"/>
          <w:sz w:val="24"/>
          <w:szCs w:val="24"/>
          <w:lang w:bidi="ar"/>
        </w:rPr>
        <w:t xml:space="preserve">mmediately after the pilot testing stage, Exploratory Factor Analysis (EFA) and Confirmatory Factor Analysis (CFA) were performed and measured using the real-time data from this study. </w:t>
      </w:r>
      <w:r>
        <w:rPr>
          <w:rFonts w:ascii="Times New Roman" w:eastAsia="Times New Roman" w:hAnsi="Times New Roman" w:cs="Times New Roman"/>
          <w:sz w:val="24"/>
          <w:szCs w:val="24"/>
        </w:rPr>
        <w:t>All statistical tests were conducted at a 0.05 level of significance, and results were interpreted based on p-values and regression coefficients.</w:t>
      </w:r>
    </w:p>
    <w:p w:rsidR="00AF32C1" w:rsidRDefault="00AF32C1">
      <w:pPr>
        <w:ind w:firstLine="720"/>
        <w:jc w:val="both"/>
        <w:rPr>
          <w:rFonts w:ascii="Times New Roman" w:eastAsia="Times New Roman" w:hAnsi="Times New Roman" w:cs="Times New Roman"/>
          <w:sz w:val="24"/>
          <w:szCs w:val="24"/>
        </w:rPr>
      </w:pPr>
    </w:p>
    <w:p w:rsidR="00AF32C1" w:rsidRDefault="00F01738">
      <w:pPr>
        <w:jc w:val="both"/>
        <w:rPr>
          <w:rFonts w:ascii="Times New Roman" w:hAnsi="Times New Roman" w:cs="Times New Roman"/>
          <w:b/>
          <w:sz w:val="28"/>
          <w:szCs w:val="28"/>
        </w:rPr>
      </w:pPr>
      <w:r>
        <w:rPr>
          <w:rFonts w:ascii="Times New Roman" w:hAnsi="Times New Roman" w:cs="Times New Roman"/>
          <w:b/>
          <w:sz w:val="28"/>
          <w:szCs w:val="28"/>
        </w:rPr>
        <w:t>RESULTS AND DISCUSSION</w:t>
      </w:r>
    </w:p>
    <w:p w:rsidR="00AF32C1" w:rsidRDefault="00AF32C1">
      <w:pPr>
        <w:rPr>
          <w:rFonts w:ascii="Arial" w:eastAsia="Arial" w:hAnsi="Arial" w:cs="Arial"/>
          <w:sz w:val="24"/>
          <w:szCs w:val="24"/>
        </w:rPr>
      </w:pPr>
    </w:p>
    <w:p w:rsidR="00AF32C1" w:rsidRDefault="00F01738">
      <w:pPr>
        <w:spacing w:before="200"/>
        <w:ind w:leftChars="200" w:left="400"/>
        <w:jc w:val="both"/>
        <w:rPr>
          <w:rFonts w:ascii="Times New Roman" w:eastAsia="Arial" w:hAnsi="Times New Roman" w:cs="Times New Roman"/>
          <w:sz w:val="24"/>
          <w:szCs w:val="24"/>
        </w:rPr>
      </w:pPr>
      <w:r>
        <w:rPr>
          <w:rFonts w:ascii="Times New Roman" w:eastAsia="Arial" w:hAnsi="Times New Roman" w:cs="Times New Roman"/>
          <w:b/>
          <w:sz w:val="24"/>
          <w:szCs w:val="24"/>
        </w:rPr>
        <w:t>Problem 1.</w:t>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What is the participants’ assessment of the company's operational audit in terms </w:t>
      </w:r>
      <w:proofErr w:type="gramStart"/>
      <w:r>
        <w:rPr>
          <w:rFonts w:ascii="Times New Roman" w:eastAsia="Arial" w:hAnsi="Times New Roman" w:cs="Times New Roman"/>
          <w:b/>
          <w:bCs/>
          <w:sz w:val="24"/>
          <w:szCs w:val="24"/>
        </w:rPr>
        <w:t>of:</w:t>
      </w:r>
      <w:proofErr w:type="gramEnd"/>
    </w:p>
    <w:p w:rsidR="00AF32C1" w:rsidRDefault="00F01738">
      <w:pPr>
        <w:tabs>
          <w:tab w:val="left" w:pos="1503"/>
        </w:tabs>
        <w:ind w:left="720" w:right="-279"/>
        <w:jc w:val="both"/>
        <w:rPr>
          <w:rFonts w:ascii="Times New Roman" w:hAnsi="Times New Roman" w:cs="Times New Roman"/>
          <w:b/>
          <w:bCs/>
        </w:rPr>
      </w:pPr>
      <w:r>
        <w:rPr>
          <w:rFonts w:ascii="Times New Roman" w:eastAsia="Arial" w:hAnsi="Times New Roman" w:cs="Times New Roman"/>
          <w:sz w:val="24"/>
          <w:szCs w:val="24"/>
        </w:rPr>
        <w:tab/>
      </w:r>
      <w:r>
        <w:rPr>
          <w:rFonts w:ascii="Times New Roman" w:eastAsia="Arial" w:hAnsi="Times New Roman" w:cs="Times New Roman"/>
          <w:b/>
          <w:bCs/>
          <w:sz w:val="24"/>
          <w:szCs w:val="24"/>
        </w:rPr>
        <w:t>1.1 Risk-based auditing: and,</w:t>
      </w:r>
    </w:p>
    <w:p w:rsidR="00AF32C1" w:rsidRDefault="00F01738">
      <w:pPr>
        <w:tabs>
          <w:tab w:val="left" w:pos="1503"/>
        </w:tabs>
        <w:ind w:left="720" w:right="-279"/>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ab/>
        <w:t>1.2 Process compliance practice?</w:t>
      </w:r>
    </w:p>
    <w:p w:rsidR="00AF32C1" w:rsidRDefault="00AF32C1">
      <w:pPr>
        <w:tabs>
          <w:tab w:val="left" w:pos="1503"/>
        </w:tabs>
        <w:ind w:left="720" w:right="-279"/>
        <w:jc w:val="both"/>
        <w:rPr>
          <w:rFonts w:ascii="Times New Roman" w:eastAsia="Arial" w:hAnsi="Times New Roman" w:cs="Times New Roman"/>
          <w:b/>
          <w:bCs/>
          <w:sz w:val="24"/>
          <w:szCs w:val="24"/>
        </w:rPr>
      </w:pPr>
    </w:p>
    <w:p w:rsidR="00AF32C1" w:rsidRDefault="00F01738">
      <w:pPr>
        <w:ind w:leftChars="200" w:left="400" w:firstLine="240"/>
        <w:jc w:val="both"/>
        <w:rPr>
          <w:rFonts w:ascii="Times New Roman" w:eastAsia="Arial" w:hAnsi="Times New Roman" w:cs="Times New Roman"/>
          <w:sz w:val="24"/>
          <w:szCs w:val="24"/>
        </w:rPr>
      </w:pPr>
      <w:r>
        <w:rPr>
          <w:rFonts w:ascii="Times New Roman" w:eastAsia="Arial" w:hAnsi="Times New Roman" w:cs="Times New Roman"/>
          <w:bCs/>
          <w:sz w:val="24"/>
          <w:szCs w:val="24"/>
        </w:rPr>
        <w:tab/>
        <w:t>Table 1 presents the summary of participants’ assessment of the company’s operational audit practices across its main dimensions.</w:t>
      </w:r>
      <w:r>
        <w:rPr>
          <w:rFonts w:ascii="Times New Roman" w:eastAsia="Arial" w:hAnsi="Times New Roman" w:cs="Times New Roman"/>
          <w:sz w:val="24"/>
          <w:szCs w:val="24"/>
        </w:rPr>
        <w:t xml:space="preserve"> The data indicate that participants generally positively perceive the organization’s operational audit practices positively, with all dimensions falling within the High interpretation range. Specifically, Risk-Based Auditing received a mean of 4.02, Process Compliance Practice scored 3.98, and the overall Operational Audit Practices dimension has a mean of 4.00. </w:t>
      </w:r>
    </w:p>
    <w:p w:rsidR="00AF32C1" w:rsidRDefault="00AF32C1">
      <w:pPr>
        <w:tabs>
          <w:tab w:val="left" w:pos="1503"/>
        </w:tabs>
        <w:ind w:right="-279"/>
        <w:jc w:val="both"/>
        <w:rPr>
          <w:rFonts w:ascii="Times New Roman" w:eastAsia="Arial" w:hAnsi="Times New Roman" w:cs="Times New Roman"/>
          <w:sz w:val="24"/>
          <w:szCs w:val="24"/>
        </w:rPr>
      </w:pPr>
    </w:p>
    <w:p w:rsidR="00F01738" w:rsidRDefault="00F01738">
      <w:pPr>
        <w:tabs>
          <w:tab w:val="left" w:pos="1503"/>
        </w:tabs>
        <w:ind w:leftChars="200" w:left="400" w:right="-279"/>
        <w:jc w:val="both"/>
        <w:rPr>
          <w:rFonts w:ascii="Times New Roman" w:eastAsia="Arial" w:hAnsi="Times New Roman" w:cs="Times New Roman"/>
          <w:b/>
          <w:bCs/>
          <w:sz w:val="24"/>
          <w:szCs w:val="24"/>
        </w:rPr>
      </w:pPr>
    </w:p>
    <w:p w:rsidR="00AF32C1" w:rsidRDefault="00F01738">
      <w:pPr>
        <w:tabs>
          <w:tab w:val="left" w:pos="1503"/>
        </w:tabs>
        <w:ind w:leftChars="200" w:left="400" w:right="-279"/>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Table 1</w:t>
      </w:r>
    </w:p>
    <w:p w:rsidR="00AF32C1" w:rsidRDefault="00F01738">
      <w:pPr>
        <w:ind w:firstLineChars="200" w:firstLine="480"/>
        <w:rPr>
          <w:rFonts w:ascii="Times New Roman" w:eastAsia="Arial" w:hAnsi="Times New Roman" w:cs="Times New Roman"/>
          <w:sz w:val="24"/>
          <w:szCs w:val="24"/>
        </w:rPr>
      </w:pPr>
      <w:r>
        <w:rPr>
          <w:rFonts w:ascii="Times New Roman" w:eastAsia="Arial" w:hAnsi="Times New Roman" w:cs="Times New Roman"/>
          <w:sz w:val="24"/>
          <w:szCs w:val="24"/>
        </w:rPr>
        <w:t>Summary Table of Operational Audit Practices</w:t>
      </w:r>
    </w:p>
    <w:tbl>
      <w:tblPr>
        <w:tblStyle w:val="Style16"/>
        <w:tblpPr w:leftFromText="180" w:rightFromText="180" w:vertAnchor="text" w:horzAnchor="page" w:tblpX="2245" w:tblpY="275"/>
        <w:tblOverlap w:val="never"/>
        <w:tblW w:w="8908" w:type="dxa"/>
        <w:tblInd w:w="0" w:type="dxa"/>
        <w:tblBorders>
          <w:top w:val="single" w:sz="4" w:space="0" w:color="000000"/>
          <w:bottom w:val="single" w:sz="4" w:space="0" w:color="000000"/>
        </w:tblBorders>
        <w:tblLayout w:type="fixed"/>
        <w:tblLook w:val="04A0" w:firstRow="1" w:lastRow="0" w:firstColumn="1" w:lastColumn="0" w:noHBand="0" w:noVBand="1"/>
      </w:tblPr>
      <w:tblGrid>
        <w:gridCol w:w="3420"/>
        <w:gridCol w:w="1684"/>
        <w:gridCol w:w="1660"/>
        <w:gridCol w:w="2144"/>
      </w:tblGrid>
      <w:tr w:rsidR="00AF32C1">
        <w:trPr>
          <w:trHeight w:val="355"/>
        </w:trPr>
        <w:tc>
          <w:tcPr>
            <w:tcW w:w="342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Dimensions</w:t>
            </w:r>
          </w:p>
        </w:tc>
        <w:tc>
          <w:tcPr>
            <w:tcW w:w="168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Mean</w:t>
            </w:r>
          </w:p>
        </w:tc>
        <w:tc>
          <w:tcPr>
            <w:tcW w:w="166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Description</w:t>
            </w:r>
          </w:p>
        </w:tc>
        <w:tc>
          <w:tcPr>
            <w:tcW w:w="214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SD</w:t>
            </w:r>
          </w:p>
        </w:tc>
      </w:tr>
      <w:tr w:rsidR="00AF32C1">
        <w:trPr>
          <w:trHeight w:val="355"/>
        </w:trPr>
        <w:tc>
          <w:tcPr>
            <w:tcW w:w="3420"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Risk-based Auditing</w:t>
            </w:r>
          </w:p>
        </w:tc>
        <w:tc>
          <w:tcPr>
            <w:tcW w:w="1684"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4.02</w:t>
            </w:r>
          </w:p>
        </w:tc>
        <w:tc>
          <w:tcPr>
            <w:tcW w:w="1660"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2144"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0.49</w:t>
            </w:r>
          </w:p>
        </w:tc>
      </w:tr>
      <w:tr w:rsidR="00AF32C1">
        <w:trPr>
          <w:trHeight w:val="332"/>
        </w:trPr>
        <w:tc>
          <w:tcPr>
            <w:tcW w:w="3420"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Process Compliance Practice</w:t>
            </w:r>
          </w:p>
        </w:tc>
        <w:tc>
          <w:tcPr>
            <w:tcW w:w="1684"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3.98</w:t>
            </w:r>
          </w:p>
        </w:tc>
        <w:tc>
          <w:tcPr>
            <w:tcW w:w="166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2144"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0.54</w:t>
            </w:r>
          </w:p>
        </w:tc>
      </w:tr>
      <w:tr w:rsidR="00AF32C1">
        <w:trPr>
          <w:trHeight w:val="377"/>
        </w:trPr>
        <w:tc>
          <w:tcPr>
            <w:tcW w:w="342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Operational Audit Practices</w:t>
            </w:r>
          </w:p>
        </w:tc>
        <w:tc>
          <w:tcPr>
            <w:tcW w:w="1684"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4.00</w:t>
            </w:r>
          </w:p>
        </w:tc>
        <w:tc>
          <w:tcPr>
            <w:tcW w:w="166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High</w:t>
            </w:r>
          </w:p>
        </w:tc>
        <w:tc>
          <w:tcPr>
            <w:tcW w:w="2144"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0.39</w:t>
            </w:r>
          </w:p>
        </w:tc>
      </w:tr>
    </w:tbl>
    <w:p w:rsidR="00AF32C1" w:rsidRDefault="00AF32C1">
      <w:pPr>
        <w:rPr>
          <w:rFonts w:ascii="Times New Roman" w:eastAsia="Arial" w:hAnsi="Times New Roman" w:cs="Times New Roman"/>
          <w:sz w:val="24"/>
          <w:szCs w:val="24"/>
        </w:rPr>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F01738">
      <w:pPr>
        <w:tabs>
          <w:tab w:val="left" w:pos="1503"/>
        </w:tabs>
        <w:spacing w:beforeLines="100" w:before="240"/>
        <w:ind w:leftChars="200" w:left="400" w:right="-278"/>
        <w:jc w:val="both"/>
        <w:rPr>
          <w:rFonts w:ascii="Times New Roman" w:hAnsi="Times New Roman" w:cs="Times New Roman"/>
          <w:b/>
          <w:bCs/>
        </w:rPr>
      </w:pPr>
      <w:r>
        <w:rPr>
          <w:rFonts w:ascii="Times New Roman" w:eastAsia="Arial" w:hAnsi="Times New Roman" w:cs="Times New Roman"/>
          <w:b/>
          <w:bCs/>
          <w:sz w:val="24"/>
          <w:szCs w:val="24"/>
        </w:rPr>
        <w:t xml:space="preserve">Problem 2. What is the participant’s assessment of the sustainable audit methods in terms </w:t>
      </w:r>
      <w:proofErr w:type="gramStart"/>
      <w:r>
        <w:rPr>
          <w:rFonts w:ascii="Times New Roman" w:eastAsia="Arial" w:hAnsi="Times New Roman" w:cs="Times New Roman"/>
          <w:b/>
          <w:bCs/>
          <w:sz w:val="24"/>
          <w:szCs w:val="24"/>
        </w:rPr>
        <w:t>of:</w:t>
      </w:r>
      <w:proofErr w:type="gramEnd"/>
    </w:p>
    <w:p w:rsidR="00AF32C1" w:rsidRDefault="00F01738">
      <w:pPr>
        <w:tabs>
          <w:tab w:val="left" w:pos="1503"/>
        </w:tabs>
        <w:ind w:left="720" w:right="-279"/>
        <w:jc w:val="both"/>
        <w:rPr>
          <w:rFonts w:ascii="Times New Roman" w:hAnsi="Times New Roman" w:cs="Times New Roman"/>
          <w:b/>
          <w:bCs/>
        </w:rPr>
      </w:pPr>
      <w:r>
        <w:rPr>
          <w:rFonts w:ascii="Times New Roman" w:eastAsia="Arial" w:hAnsi="Times New Roman" w:cs="Times New Roman"/>
          <w:b/>
          <w:bCs/>
          <w:sz w:val="24"/>
          <w:szCs w:val="24"/>
        </w:rPr>
        <w:tab/>
        <w:t>2.1 Eco-friendly compliance practice;</w:t>
      </w:r>
    </w:p>
    <w:p w:rsidR="00AF32C1" w:rsidRDefault="00F01738">
      <w:pPr>
        <w:pStyle w:val="ListParagraph"/>
        <w:numPr>
          <w:ilvl w:val="1"/>
          <w:numId w:val="1"/>
        </w:numPr>
        <w:tabs>
          <w:tab w:val="left" w:pos="1503"/>
        </w:tabs>
        <w:ind w:right="-279"/>
        <w:jc w:val="both"/>
        <w:rPr>
          <w:rFonts w:ascii="Times New Roman" w:hAnsi="Times New Roman" w:cs="Times New Roman"/>
          <w:b/>
          <w:bCs/>
        </w:rPr>
      </w:pPr>
      <w:r>
        <w:rPr>
          <w:rFonts w:ascii="Times New Roman" w:eastAsia="Arial" w:hAnsi="Times New Roman" w:cs="Times New Roman"/>
          <w:b/>
          <w:bCs/>
          <w:sz w:val="24"/>
          <w:szCs w:val="24"/>
        </w:rPr>
        <w:t>Waste reduction practices;</w:t>
      </w:r>
    </w:p>
    <w:p w:rsidR="00AF32C1" w:rsidRDefault="00F01738">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Energy efficiency practices?</w:t>
      </w: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left="1500" w:right="-279"/>
        <w:jc w:val="both"/>
        <w:rPr>
          <w:rFonts w:ascii="Times New Roman" w:eastAsia="Arial" w:hAnsi="Times New Roman" w:cs="Times New Roman"/>
          <w:b/>
          <w:bCs/>
          <w:sz w:val="24"/>
          <w:szCs w:val="24"/>
        </w:rPr>
      </w:pPr>
    </w:p>
    <w:tbl>
      <w:tblPr>
        <w:tblStyle w:val="Style23"/>
        <w:tblpPr w:leftFromText="180" w:rightFromText="180" w:vertAnchor="text" w:horzAnchor="page" w:tblpX="2077" w:tblpY="3597"/>
        <w:tblOverlap w:val="never"/>
        <w:tblW w:w="8888" w:type="dxa"/>
        <w:tblInd w:w="0" w:type="dxa"/>
        <w:tblBorders>
          <w:top w:val="single" w:sz="4" w:space="0" w:color="000000"/>
          <w:bottom w:val="single" w:sz="4" w:space="0" w:color="000000"/>
        </w:tblBorders>
        <w:tblLayout w:type="fixed"/>
        <w:tblLook w:val="04A0" w:firstRow="1" w:lastRow="0" w:firstColumn="1" w:lastColumn="0" w:noHBand="0" w:noVBand="1"/>
      </w:tblPr>
      <w:tblGrid>
        <w:gridCol w:w="3921"/>
        <w:gridCol w:w="900"/>
        <w:gridCol w:w="2070"/>
        <w:gridCol w:w="1997"/>
      </w:tblGrid>
      <w:tr w:rsidR="00AF32C1">
        <w:tc>
          <w:tcPr>
            <w:tcW w:w="3921"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Dimensions</w:t>
            </w:r>
          </w:p>
        </w:tc>
        <w:tc>
          <w:tcPr>
            <w:tcW w:w="90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Mean</w:t>
            </w:r>
          </w:p>
        </w:tc>
        <w:tc>
          <w:tcPr>
            <w:tcW w:w="207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Interpretation</w:t>
            </w:r>
          </w:p>
        </w:tc>
        <w:tc>
          <w:tcPr>
            <w:tcW w:w="199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SD</w:t>
            </w:r>
          </w:p>
        </w:tc>
      </w:tr>
      <w:tr w:rsidR="00AF32C1">
        <w:trPr>
          <w:trHeight w:val="371"/>
        </w:trPr>
        <w:tc>
          <w:tcPr>
            <w:tcW w:w="3921"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Ecofriendly practices</w:t>
            </w:r>
          </w:p>
        </w:tc>
        <w:tc>
          <w:tcPr>
            <w:tcW w:w="900"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4.08</w:t>
            </w:r>
          </w:p>
        </w:tc>
        <w:tc>
          <w:tcPr>
            <w:tcW w:w="2070"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997"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0.46</w:t>
            </w:r>
          </w:p>
        </w:tc>
      </w:tr>
      <w:tr w:rsidR="00AF32C1">
        <w:trPr>
          <w:trHeight w:val="333"/>
        </w:trPr>
        <w:tc>
          <w:tcPr>
            <w:tcW w:w="3921"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Waste reduction</w:t>
            </w:r>
          </w:p>
        </w:tc>
        <w:tc>
          <w:tcPr>
            <w:tcW w:w="900"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4.01</w:t>
            </w:r>
          </w:p>
        </w:tc>
        <w:tc>
          <w:tcPr>
            <w:tcW w:w="207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997"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0.45</w:t>
            </w:r>
          </w:p>
        </w:tc>
      </w:tr>
      <w:tr w:rsidR="00AF32C1">
        <w:trPr>
          <w:trHeight w:val="333"/>
        </w:trPr>
        <w:tc>
          <w:tcPr>
            <w:tcW w:w="3921"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energy efficiency</w:t>
            </w:r>
          </w:p>
        </w:tc>
        <w:tc>
          <w:tcPr>
            <w:tcW w:w="900"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3.95</w:t>
            </w:r>
          </w:p>
        </w:tc>
        <w:tc>
          <w:tcPr>
            <w:tcW w:w="207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997"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0.48</w:t>
            </w:r>
          </w:p>
        </w:tc>
      </w:tr>
      <w:tr w:rsidR="00AF32C1">
        <w:trPr>
          <w:trHeight w:val="371"/>
        </w:trPr>
        <w:tc>
          <w:tcPr>
            <w:tcW w:w="3921"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Sustainable audit methods</w:t>
            </w:r>
          </w:p>
        </w:tc>
        <w:tc>
          <w:tcPr>
            <w:tcW w:w="90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4.01</w:t>
            </w:r>
          </w:p>
        </w:tc>
        <w:tc>
          <w:tcPr>
            <w:tcW w:w="207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High</w:t>
            </w:r>
          </w:p>
        </w:tc>
        <w:tc>
          <w:tcPr>
            <w:tcW w:w="1997"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0.32</w:t>
            </w:r>
          </w:p>
        </w:tc>
      </w:tr>
    </w:tbl>
    <w:p w:rsidR="00AF32C1" w:rsidRDefault="00F01738">
      <w:pPr>
        <w:ind w:leftChars="200" w:left="400"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Table 2 presents the summary of participants’ assessment of sustainable audit methods across different dimensions. The overall results indicate that the organization effectively incorporates multiple facets of sustainability within its audit practices. The computed overall mean for Sustainable Audit Methods is 4.01, interpreted as High, with a relatively low standard deviation of 0.32, suggesting strong consensus among participants regarding the implementation of sustainability-focused audits. Overall, the summary reflects a holistic approach to sustainable auditing that aligns with contemporary best practices and global trends in environmental management, supporting operational efficiency and sustainability performance (Lee &amp; Park, 2020; Rodriguez et al., 2020; </w:t>
      </w:r>
      <w:proofErr w:type="spellStart"/>
      <w:r>
        <w:rPr>
          <w:rFonts w:ascii="Times New Roman" w:eastAsia="Arial" w:hAnsi="Times New Roman" w:cs="Times New Roman"/>
          <w:bCs/>
          <w:sz w:val="24"/>
          <w:szCs w:val="24"/>
        </w:rPr>
        <w:t>Brunelli</w:t>
      </w:r>
      <w:proofErr w:type="spellEnd"/>
      <w:r>
        <w:rPr>
          <w:rFonts w:ascii="Times New Roman" w:eastAsia="Arial" w:hAnsi="Times New Roman" w:cs="Times New Roman"/>
          <w:bCs/>
          <w:sz w:val="24"/>
          <w:szCs w:val="24"/>
        </w:rPr>
        <w:t xml:space="preserve"> et al., 2022).</w:t>
      </w:r>
    </w:p>
    <w:p w:rsidR="00AF32C1" w:rsidRDefault="00F01738">
      <w:pPr>
        <w:spacing w:beforeLines="50" w:before="120"/>
        <w:ind w:firstLineChars="150" w:firstLine="361"/>
        <w:rPr>
          <w:rFonts w:ascii="Times New Roman" w:eastAsia="Arial" w:hAnsi="Times New Roman" w:cs="Times New Roman"/>
          <w:b/>
          <w:bCs/>
          <w:sz w:val="24"/>
          <w:szCs w:val="24"/>
        </w:rPr>
      </w:pPr>
      <w:r>
        <w:rPr>
          <w:rFonts w:ascii="Times New Roman" w:eastAsia="Arial" w:hAnsi="Times New Roman" w:cs="Times New Roman"/>
          <w:b/>
          <w:bCs/>
          <w:sz w:val="24"/>
          <w:szCs w:val="24"/>
        </w:rPr>
        <w:t>Table 2</w:t>
      </w:r>
    </w:p>
    <w:p w:rsidR="00AF32C1" w:rsidRDefault="00AF32C1">
      <w:pPr>
        <w:spacing w:line="120" w:lineRule="auto"/>
        <w:rPr>
          <w:rFonts w:ascii="Times New Roman" w:eastAsia="Arial" w:hAnsi="Times New Roman" w:cs="Times New Roman"/>
          <w:sz w:val="24"/>
          <w:szCs w:val="24"/>
        </w:rPr>
      </w:pPr>
    </w:p>
    <w:p w:rsidR="00AF32C1" w:rsidRDefault="00F01738">
      <w:pPr>
        <w:ind w:firstLineChars="150" w:firstLine="360"/>
        <w:rPr>
          <w:rFonts w:ascii="Times New Roman" w:eastAsia="Arial" w:hAnsi="Times New Roman" w:cs="Times New Roman"/>
          <w:sz w:val="24"/>
          <w:szCs w:val="24"/>
        </w:rPr>
      </w:pPr>
      <w:r>
        <w:rPr>
          <w:rFonts w:ascii="Times New Roman" w:eastAsia="Arial" w:hAnsi="Times New Roman" w:cs="Times New Roman"/>
          <w:sz w:val="24"/>
          <w:szCs w:val="24"/>
        </w:rPr>
        <w:t>Summary Table of Sustainable Audit Methods</w:t>
      </w: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F01738">
      <w:pPr>
        <w:tabs>
          <w:tab w:val="left" w:pos="1503"/>
        </w:tabs>
        <w:spacing w:beforeLines="100" w:before="240"/>
        <w:ind w:leftChars="200" w:left="400" w:right="-278"/>
        <w:jc w:val="both"/>
        <w:rPr>
          <w:rFonts w:ascii="Arial" w:eastAsia="Arial" w:hAnsi="Arial" w:cs="Arial"/>
          <w:b/>
          <w:bCs/>
          <w:sz w:val="24"/>
          <w:szCs w:val="24"/>
        </w:rPr>
      </w:pPr>
      <w:r>
        <w:rPr>
          <w:rFonts w:ascii="Times New Roman" w:eastAsia="Arial" w:hAnsi="Times New Roman" w:cs="Times New Roman"/>
          <w:b/>
          <w:bCs/>
          <w:sz w:val="24"/>
          <w:szCs w:val="24"/>
        </w:rPr>
        <w:t>Problem 3. What is the participants' assessment of the Quality of Training?</w:t>
      </w:r>
      <w:r>
        <w:rPr>
          <w:rFonts w:ascii="Arial" w:eastAsia="Arial" w:hAnsi="Arial" w:cs="Arial"/>
          <w:b/>
          <w:bCs/>
          <w:sz w:val="24"/>
          <w:szCs w:val="24"/>
        </w:rPr>
        <w:t xml:space="preserve"> </w:t>
      </w:r>
    </w:p>
    <w:p w:rsidR="00AF32C1" w:rsidRDefault="00AF32C1">
      <w:pPr>
        <w:tabs>
          <w:tab w:val="left" w:pos="1503"/>
        </w:tabs>
        <w:ind w:leftChars="200" w:left="400" w:right="-278"/>
        <w:jc w:val="both"/>
        <w:rPr>
          <w:rFonts w:ascii="Arial" w:eastAsia="Arial" w:hAnsi="Arial" w:cs="Arial"/>
          <w:b/>
          <w:bCs/>
          <w:sz w:val="24"/>
          <w:szCs w:val="24"/>
        </w:rPr>
      </w:pPr>
    </w:p>
    <w:p w:rsidR="00AF32C1" w:rsidRDefault="00F01738">
      <w:pPr>
        <w:ind w:leftChars="200" w:left="400" w:firstLine="720"/>
        <w:jc w:val="both"/>
        <w:rPr>
          <w:rFonts w:ascii="Times New Roman" w:eastAsia="Arial" w:hAnsi="Times New Roman" w:cs="Times New Roman"/>
          <w:iCs/>
          <w:sz w:val="24"/>
          <w:szCs w:val="24"/>
        </w:rPr>
      </w:pPr>
      <w:r>
        <w:rPr>
          <w:rFonts w:ascii="Times New Roman" w:eastAsia="Arial" w:hAnsi="Times New Roman" w:cs="Times New Roman"/>
          <w:bCs/>
          <w:sz w:val="24"/>
          <w:szCs w:val="24"/>
        </w:rPr>
        <w:t xml:space="preserve">Table 3 presents the frequency, percentage, and mean distribution of participants’ assessment of the company’s Quality of Training. The majority of </w:t>
      </w:r>
      <w:r>
        <w:rPr>
          <w:rFonts w:ascii="Times New Roman" w:eastAsia="Arial" w:hAnsi="Times New Roman" w:cs="Times New Roman"/>
          <w:sz w:val="24"/>
          <w:szCs w:val="24"/>
        </w:rPr>
        <w:t xml:space="preserve">participants </w:t>
      </w:r>
      <w:r>
        <w:rPr>
          <w:rFonts w:ascii="Times New Roman" w:eastAsia="Arial" w:hAnsi="Times New Roman" w:cs="Times New Roman"/>
          <w:bCs/>
          <w:sz w:val="24"/>
          <w:szCs w:val="24"/>
        </w:rPr>
        <w:t xml:space="preserve">rated the practices as High, with 74% falling within the 3.51–4.50 range, while 13.5% assessed them as Moderate and 12.5% rated them as Very </w:t>
      </w:r>
      <w:proofErr w:type="spellStart"/>
      <w:r>
        <w:rPr>
          <w:rFonts w:ascii="Times New Roman" w:eastAsia="Arial" w:hAnsi="Times New Roman" w:cs="Times New Roman"/>
          <w:bCs/>
          <w:sz w:val="24"/>
          <w:szCs w:val="24"/>
        </w:rPr>
        <w:t>High.</w:t>
      </w:r>
      <w:r>
        <w:rPr>
          <w:rFonts w:ascii="Times New Roman" w:eastAsia="Arial" w:hAnsi="Times New Roman" w:cs="Times New Roman"/>
          <w:iCs/>
          <w:sz w:val="24"/>
          <w:szCs w:val="24"/>
        </w:rPr>
        <w:t>The</w:t>
      </w:r>
      <w:proofErr w:type="spellEnd"/>
      <w:r>
        <w:rPr>
          <w:rFonts w:ascii="Times New Roman" w:eastAsia="Arial" w:hAnsi="Times New Roman" w:cs="Times New Roman"/>
          <w:iCs/>
          <w:sz w:val="24"/>
          <w:szCs w:val="24"/>
        </w:rPr>
        <w:t xml:space="preserve"> higher standard deviation suggests more variation in responses, indicating that while training sessions are generally viewed as timely, some participants may experience operational disruptions during implementation. This highlights an opportunity for the organization to further improve training scheduling and coordination to minimize workflow interruptions.</w:t>
      </w:r>
    </w:p>
    <w:p w:rsidR="00AF32C1" w:rsidRDefault="00F01738">
      <w:pPr>
        <w:ind w:leftChars="200" w:left="400" w:firstLine="720"/>
        <w:jc w:val="both"/>
        <w:rPr>
          <w:rFonts w:ascii="Times New Roman" w:eastAsia="Arial" w:hAnsi="Times New Roman" w:cs="Times New Roman"/>
          <w:iCs/>
          <w:sz w:val="24"/>
          <w:szCs w:val="24"/>
          <w:lang w:val="en-PH" w:eastAsia="ja-JP"/>
        </w:rPr>
      </w:pPr>
      <w:r>
        <w:rPr>
          <w:rFonts w:ascii="Times New Roman" w:eastAsia="Arial" w:hAnsi="Times New Roman" w:cs="Times New Roman"/>
          <w:iCs/>
          <w:sz w:val="24"/>
          <w:szCs w:val="24"/>
        </w:rPr>
        <w:t xml:space="preserve"> </w:t>
      </w:r>
    </w:p>
    <w:tbl>
      <w:tblPr>
        <w:tblStyle w:val="Style17"/>
        <w:tblpPr w:leftFromText="180" w:rightFromText="180" w:vertAnchor="text" w:horzAnchor="page" w:tblpX="1837" w:tblpY="32"/>
        <w:tblOverlap w:val="never"/>
        <w:tblW w:w="9079" w:type="dxa"/>
        <w:tblInd w:w="0" w:type="dxa"/>
        <w:tblBorders>
          <w:top w:val="single" w:sz="4" w:space="0" w:color="000000"/>
          <w:bottom w:val="single" w:sz="4" w:space="0" w:color="000000"/>
        </w:tblBorders>
        <w:tblLayout w:type="fixed"/>
        <w:tblLook w:val="04A0" w:firstRow="1" w:lastRow="0" w:firstColumn="1" w:lastColumn="0" w:noHBand="0" w:noVBand="1"/>
      </w:tblPr>
      <w:tblGrid>
        <w:gridCol w:w="1444"/>
        <w:gridCol w:w="2100"/>
        <w:gridCol w:w="1792"/>
        <w:gridCol w:w="1530"/>
        <w:gridCol w:w="2213"/>
      </w:tblGrid>
      <w:tr w:rsidR="00AF32C1">
        <w:trPr>
          <w:trHeight w:val="259"/>
        </w:trPr>
        <w:tc>
          <w:tcPr>
            <w:tcW w:w="1444"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Range</w:t>
            </w:r>
          </w:p>
        </w:tc>
        <w:tc>
          <w:tcPr>
            <w:tcW w:w="2100" w:type="dxa"/>
            <w:tcBorders>
              <w:top w:val="single" w:sz="4" w:space="0" w:color="000000"/>
              <w:left w:val="nil"/>
              <w:bottom w:val="single" w:sz="4" w:space="0" w:color="000000"/>
              <w:right w:val="nil"/>
            </w:tcBorders>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Description</w:t>
            </w:r>
          </w:p>
        </w:tc>
        <w:tc>
          <w:tcPr>
            <w:tcW w:w="1792"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Interpretation</w:t>
            </w:r>
          </w:p>
        </w:tc>
        <w:tc>
          <w:tcPr>
            <w:tcW w:w="153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Frequency</w:t>
            </w:r>
          </w:p>
        </w:tc>
        <w:tc>
          <w:tcPr>
            <w:tcW w:w="2213"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Percentage</w:t>
            </w:r>
          </w:p>
        </w:tc>
      </w:tr>
      <w:tr w:rsidR="00AF32C1">
        <w:trPr>
          <w:trHeight w:val="259"/>
        </w:trPr>
        <w:tc>
          <w:tcPr>
            <w:tcW w:w="1444"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4.51-5.00</w:t>
            </w:r>
          </w:p>
        </w:tc>
        <w:tc>
          <w:tcPr>
            <w:tcW w:w="2100" w:type="dxa"/>
            <w:tcBorders>
              <w:top w:val="single" w:sz="4" w:space="0" w:color="000000"/>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Strongly Agree</w:t>
            </w:r>
          </w:p>
        </w:tc>
        <w:tc>
          <w:tcPr>
            <w:tcW w:w="1792"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Very High</w:t>
            </w:r>
          </w:p>
        </w:tc>
        <w:tc>
          <w:tcPr>
            <w:tcW w:w="1530" w:type="dxa"/>
            <w:tcBorders>
              <w:top w:val="single" w:sz="4" w:space="0" w:color="000000"/>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27</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13.50</w:t>
            </w:r>
          </w:p>
        </w:tc>
      </w:tr>
      <w:tr w:rsidR="00AF32C1">
        <w:trPr>
          <w:trHeight w:val="273"/>
        </w:trPr>
        <w:tc>
          <w:tcPr>
            <w:tcW w:w="1444"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3.51-4.50</w:t>
            </w:r>
          </w:p>
        </w:tc>
        <w:tc>
          <w:tcPr>
            <w:tcW w:w="2100" w:type="dxa"/>
            <w:tcBorders>
              <w:top w:val="nil"/>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Agree</w:t>
            </w: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High</w:t>
            </w:r>
          </w:p>
        </w:tc>
        <w:tc>
          <w:tcPr>
            <w:tcW w:w="1530" w:type="dxa"/>
            <w:tcBorders>
              <w:top w:val="nil"/>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143</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71.50</w:t>
            </w:r>
          </w:p>
        </w:tc>
      </w:tr>
      <w:tr w:rsidR="00AF32C1">
        <w:trPr>
          <w:trHeight w:val="259"/>
        </w:trPr>
        <w:tc>
          <w:tcPr>
            <w:tcW w:w="1444"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2.51-3.50</w:t>
            </w:r>
          </w:p>
        </w:tc>
        <w:tc>
          <w:tcPr>
            <w:tcW w:w="2100" w:type="dxa"/>
            <w:tcBorders>
              <w:top w:val="nil"/>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Neutral</w:t>
            </w: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Moderate</w:t>
            </w:r>
          </w:p>
        </w:tc>
        <w:tc>
          <w:tcPr>
            <w:tcW w:w="1530" w:type="dxa"/>
            <w:tcBorders>
              <w:top w:val="nil"/>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30</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15.00</w:t>
            </w:r>
          </w:p>
        </w:tc>
      </w:tr>
      <w:tr w:rsidR="00AF32C1">
        <w:trPr>
          <w:trHeight w:val="259"/>
        </w:trPr>
        <w:tc>
          <w:tcPr>
            <w:tcW w:w="1444"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1.51-2.50</w:t>
            </w:r>
          </w:p>
        </w:tc>
        <w:tc>
          <w:tcPr>
            <w:tcW w:w="2100" w:type="dxa"/>
            <w:tcBorders>
              <w:top w:val="nil"/>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Disagree</w:t>
            </w: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Low</w:t>
            </w:r>
          </w:p>
        </w:tc>
        <w:tc>
          <w:tcPr>
            <w:tcW w:w="1530" w:type="dxa"/>
            <w:tcBorders>
              <w:top w:val="nil"/>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0.00</w:t>
            </w:r>
          </w:p>
        </w:tc>
      </w:tr>
      <w:tr w:rsidR="00AF32C1">
        <w:trPr>
          <w:trHeight w:val="273"/>
        </w:trPr>
        <w:tc>
          <w:tcPr>
            <w:tcW w:w="1444" w:type="dxa"/>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1.00-1.50</w:t>
            </w:r>
          </w:p>
        </w:tc>
        <w:tc>
          <w:tcPr>
            <w:tcW w:w="2100" w:type="dxa"/>
            <w:tcBorders>
              <w:top w:val="nil"/>
              <w:left w:val="nil"/>
              <w:bottom w:val="single" w:sz="4" w:space="0" w:color="000000"/>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Strongly Disagree</w:t>
            </w:r>
          </w:p>
        </w:tc>
        <w:tc>
          <w:tcPr>
            <w:tcW w:w="1792" w:type="dxa"/>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Very Low</w:t>
            </w:r>
          </w:p>
        </w:tc>
        <w:tc>
          <w:tcPr>
            <w:tcW w:w="1530" w:type="dxa"/>
            <w:tcBorders>
              <w:top w:val="nil"/>
              <w:left w:val="nil"/>
              <w:bottom w:val="single" w:sz="4" w:space="0" w:color="000000"/>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0.00</w:t>
            </w:r>
          </w:p>
        </w:tc>
      </w:tr>
      <w:tr w:rsidR="00AF32C1">
        <w:trPr>
          <w:trHeight w:val="259"/>
        </w:trPr>
        <w:tc>
          <w:tcPr>
            <w:tcW w:w="1444" w:type="dxa"/>
            <w:tcBorders>
              <w:top w:val="single" w:sz="4" w:space="0" w:color="000000"/>
              <w:left w:val="nil"/>
              <w:bottom w:val="nil"/>
              <w:right w:val="nil"/>
            </w:tcBorders>
            <w:tcMar>
              <w:top w:w="0" w:type="dxa"/>
              <w:left w:w="108" w:type="dxa"/>
              <w:bottom w:w="0" w:type="dxa"/>
              <w:right w:w="108" w:type="dxa"/>
            </w:tcMar>
          </w:tcPr>
          <w:p w:rsidR="00AF32C1" w:rsidRDefault="00AF32C1">
            <w:pPr>
              <w:tabs>
                <w:tab w:val="left" w:pos="1503"/>
              </w:tabs>
              <w:ind w:right="-278"/>
              <w:jc w:val="center"/>
              <w:rPr>
                <w:rFonts w:ascii="Times New Roman" w:eastAsia="Arial" w:hAnsi="Times New Roman" w:cs="Times New Roman"/>
                <w:b/>
                <w:bCs/>
                <w:sz w:val="24"/>
                <w:szCs w:val="24"/>
                <w:lang w:val="en-PH" w:eastAsia="ja-JP"/>
              </w:rPr>
            </w:pPr>
          </w:p>
        </w:tc>
        <w:tc>
          <w:tcPr>
            <w:tcW w:w="2100" w:type="dxa"/>
            <w:tcBorders>
              <w:top w:val="single" w:sz="4" w:space="0" w:color="000000"/>
              <w:left w:val="nil"/>
              <w:bottom w:val="nil"/>
              <w:right w:val="nil"/>
            </w:tcBorders>
          </w:tcPr>
          <w:p w:rsidR="00AF32C1" w:rsidRDefault="00AF32C1">
            <w:pPr>
              <w:tabs>
                <w:tab w:val="left" w:pos="1503"/>
              </w:tabs>
              <w:ind w:right="-278"/>
              <w:jc w:val="center"/>
              <w:rPr>
                <w:rFonts w:ascii="Times New Roman" w:eastAsia="Arial" w:hAnsi="Times New Roman" w:cs="Times New Roman"/>
                <w:b/>
                <w:bCs/>
                <w:sz w:val="24"/>
                <w:szCs w:val="24"/>
                <w:lang w:val="en-PH" w:eastAsia="ja-JP"/>
              </w:rPr>
            </w:pPr>
          </w:p>
        </w:tc>
        <w:tc>
          <w:tcPr>
            <w:tcW w:w="1792"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Total</w:t>
            </w:r>
          </w:p>
        </w:tc>
        <w:tc>
          <w:tcPr>
            <w:tcW w:w="1530"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200</w:t>
            </w:r>
          </w:p>
        </w:tc>
        <w:tc>
          <w:tcPr>
            <w:tcW w:w="2213"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firstLineChars="300" w:firstLine="723"/>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100.0</w:t>
            </w:r>
          </w:p>
        </w:tc>
      </w:tr>
      <w:tr w:rsidR="00AF32C1">
        <w:trPr>
          <w:trHeight w:val="259"/>
        </w:trPr>
        <w:tc>
          <w:tcPr>
            <w:tcW w:w="1444" w:type="dxa"/>
            <w:tcBorders>
              <w:top w:val="nil"/>
              <w:left w:val="nil"/>
              <w:bottom w:val="nil"/>
              <w:right w:val="nil"/>
            </w:tcBorders>
            <w:tcMar>
              <w:top w:w="0" w:type="dxa"/>
              <w:left w:w="108" w:type="dxa"/>
              <w:bottom w:w="0" w:type="dxa"/>
              <w:right w:w="108" w:type="dxa"/>
            </w:tcMar>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2100" w:type="dxa"/>
            <w:tcBorders>
              <w:top w:val="nil"/>
              <w:left w:val="nil"/>
              <w:bottom w:val="nil"/>
              <w:right w:val="nil"/>
            </w:tcBorders>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Overall Mean</w:t>
            </w:r>
          </w:p>
        </w:tc>
        <w:tc>
          <w:tcPr>
            <w:tcW w:w="3743" w:type="dxa"/>
            <w:gridSpan w:val="2"/>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4.08</w:t>
            </w:r>
          </w:p>
        </w:tc>
      </w:tr>
      <w:tr w:rsidR="00AF32C1">
        <w:trPr>
          <w:trHeight w:val="95"/>
        </w:trPr>
        <w:tc>
          <w:tcPr>
            <w:tcW w:w="1444" w:type="dxa"/>
            <w:tcBorders>
              <w:top w:val="nil"/>
              <w:left w:val="nil"/>
              <w:bottom w:val="nil"/>
              <w:right w:val="nil"/>
            </w:tcBorders>
            <w:tcMar>
              <w:top w:w="0" w:type="dxa"/>
              <w:left w:w="108" w:type="dxa"/>
              <w:bottom w:w="0" w:type="dxa"/>
              <w:right w:w="108" w:type="dxa"/>
            </w:tcMar>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2100" w:type="dxa"/>
            <w:tcBorders>
              <w:top w:val="nil"/>
              <w:left w:val="nil"/>
              <w:bottom w:val="nil"/>
              <w:right w:val="nil"/>
            </w:tcBorders>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Interpretation</w:t>
            </w:r>
          </w:p>
        </w:tc>
        <w:tc>
          <w:tcPr>
            <w:tcW w:w="3743" w:type="dxa"/>
            <w:gridSpan w:val="2"/>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High</w:t>
            </w:r>
          </w:p>
        </w:tc>
      </w:tr>
      <w:tr w:rsidR="00AF32C1">
        <w:trPr>
          <w:trHeight w:val="259"/>
        </w:trPr>
        <w:tc>
          <w:tcPr>
            <w:tcW w:w="1444" w:type="dxa"/>
            <w:tcBorders>
              <w:top w:val="nil"/>
              <w:left w:val="nil"/>
              <w:bottom w:val="single" w:sz="4" w:space="0" w:color="000000"/>
              <w:right w:val="nil"/>
            </w:tcBorders>
            <w:tcMar>
              <w:top w:w="0" w:type="dxa"/>
              <w:left w:w="108" w:type="dxa"/>
              <w:bottom w:w="0" w:type="dxa"/>
              <w:right w:w="108" w:type="dxa"/>
            </w:tcMar>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2100" w:type="dxa"/>
            <w:tcBorders>
              <w:top w:val="nil"/>
              <w:left w:val="nil"/>
              <w:bottom w:val="single" w:sz="4" w:space="0" w:color="000000"/>
              <w:right w:val="nil"/>
            </w:tcBorders>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1792" w:type="dxa"/>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SD</w:t>
            </w:r>
          </w:p>
        </w:tc>
        <w:tc>
          <w:tcPr>
            <w:tcW w:w="3743" w:type="dxa"/>
            <w:gridSpan w:val="2"/>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0.46</w:t>
            </w:r>
          </w:p>
        </w:tc>
      </w:tr>
    </w:tbl>
    <w:p w:rsidR="00AF32C1" w:rsidRDefault="00F01738">
      <w:pPr>
        <w:tabs>
          <w:tab w:val="left" w:pos="1503"/>
        </w:tabs>
        <w:spacing w:beforeLines="100" w:before="240"/>
        <w:ind w:left="482" w:right="-278" w:hangingChars="200" w:hanging="482"/>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ab/>
      </w: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F01738">
      <w:pPr>
        <w:tabs>
          <w:tab w:val="left" w:pos="1503"/>
        </w:tabs>
        <w:spacing w:beforeLines="100" w:before="240"/>
        <w:ind w:right="-278" w:firstLineChars="150" w:firstLine="361"/>
        <w:jc w:val="both"/>
        <w:rPr>
          <w:rFonts w:ascii="Times New Roman" w:hAnsi="Times New Roman" w:cs="Times New Roman"/>
          <w:b/>
          <w:bCs/>
        </w:rPr>
      </w:pPr>
      <w:r>
        <w:rPr>
          <w:rFonts w:ascii="Times New Roman" w:eastAsia="Arial" w:hAnsi="Times New Roman" w:cs="Times New Roman"/>
          <w:b/>
          <w:bCs/>
          <w:sz w:val="24"/>
          <w:szCs w:val="24"/>
        </w:rPr>
        <w:t>Problem 4. What is the participant’s assessment of the operational leak prevention in terms of;</w:t>
      </w:r>
    </w:p>
    <w:p w:rsidR="00AF32C1" w:rsidRDefault="00F01738">
      <w:pPr>
        <w:tabs>
          <w:tab w:val="left" w:pos="1503"/>
        </w:tabs>
        <w:ind w:leftChars="100" w:left="200" w:right="-279"/>
        <w:jc w:val="both"/>
        <w:rPr>
          <w:rFonts w:ascii="Times New Roman" w:hAnsi="Times New Roman" w:cs="Times New Roman"/>
          <w:b/>
          <w:bCs/>
          <w:sz w:val="24"/>
          <w:szCs w:val="24"/>
        </w:rPr>
      </w:pPr>
      <w:r>
        <w:rPr>
          <w:rFonts w:ascii="Times New Roman" w:eastAsia="Arial" w:hAnsi="Times New Roman" w:cs="Times New Roman"/>
          <w:b/>
          <w:bCs/>
          <w:sz w:val="24"/>
          <w:szCs w:val="24"/>
        </w:rPr>
        <w:t xml:space="preserve">              4.1 Reduction in product losses and wastage;</w:t>
      </w:r>
    </w:p>
    <w:p w:rsidR="00AF32C1" w:rsidRDefault="00F01738">
      <w:pPr>
        <w:tabs>
          <w:tab w:val="left" w:pos="1503"/>
        </w:tabs>
        <w:ind w:leftChars="100" w:left="200" w:right="-279" w:firstLineChars="350" w:firstLine="843"/>
        <w:jc w:val="both"/>
        <w:rPr>
          <w:rFonts w:ascii="Times New Roman" w:hAnsi="Times New Roman" w:cs="Times New Roman"/>
          <w:b/>
          <w:bCs/>
          <w:sz w:val="24"/>
          <w:szCs w:val="24"/>
        </w:rPr>
      </w:pPr>
      <w:r>
        <w:rPr>
          <w:rFonts w:ascii="Times New Roman" w:eastAsia="Arial" w:hAnsi="Times New Roman" w:cs="Times New Roman"/>
          <w:b/>
          <w:bCs/>
          <w:sz w:val="24"/>
          <w:szCs w:val="24"/>
        </w:rPr>
        <w:t>4.2 Minimizing errors in operation;</w:t>
      </w:r>
    </w:p>
    <w:p w:rsidR="00AF32C1" w:rsidRDefault="00F01738">
      <w:pPr>
        <w:tabs>
          <w:tab w:val="left" w:pos="1503"/>
          <w:tab w:val="left" w:pos="5775"/>
        </w:tabs>
        <w:ind w:leftChars="100" w:left="200" w:right="-279" w:firstLineChars="350" w:firstLine="843"/>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4.3 Improved operational efficiency?</w:t>
      </w:r>
    </w:p>
    <w:p w:rsidR="00AF32C1" w:rsidRDefault="00AF32C1">
      <w:pPr>
        <w:tabs>
          <w:tab w:val="left" w:pos="1503"/>
          <w:tab w:val="left" w:pos="5775"/>
        </w:tabs>
        <w:ind w:leftChars="100" w:left="200" w:right="-279" w:firstLineChars="350" w:firstLine="843"/>
        <w:jc w:val="both"/>
        <w:rPr>
          <w:rFonts w:ascii="Times New Roman" w:eastAsia="Arial" w:hAnsi="Times New Roman" w:cs="Times New Roman"/>
          <w:b/>
          <w:bCs/>
          <w:sz w:val="24"/>
          <w:szCs w:val="24"/>
        </w:rPr>
      </w:pPr>
    </w:p>
    <w:p w:rsidR="00AF32C1" w:rsidRDefault="00F01738">
      <w:pPr>
        <w:ind w:leftChars="200" w:left="400" w:firstLine="720"/>
        <w:jc w:val="both"/>
        <w:rPr>
          <w:rFonts w:ascii="Times New Roman" w:eastAsia="Arial" w:hAnsi="Times New Roman" w:cs="Times New Roman"/>
          <w:b/>
          <w:bCs/>
          <w:sz w:val="24"/>
          <w:szCs w:val="24"/>
        </w:rPr>
      </w:pPr>
      <w:r>
        <w:rPr>
          <w:rFonts w:ascii="Times New Roman" w:eastAsia="Arial" w:hAnsi="Times New Roman" w:cs="Times New Roman"/>
          <w:bCs/>
          <w:sz w:val="24"/>
          <w:szCs w:val="24"/>
        </w:rPr>
        <w:t>Table 12 presents a summary of the participants’ assessment of operational leak prevention across its three core dimensions.</w:t>
      </w:r>
      <w:r>
        <w:rPr>
          <w:rFonts w:ascii="Times New Roman" w:eastAsia="Arial" w:hAnsi="Times New Roman" w:cs="Times New Roman"/>
          <w:sz w:val="24"/>
          <w:szCs w:val="24"/>
        </w:rPr>
        <w:t xml:space="preserve"> The data indicates that participants generally perceive leak prevention practices positively, with overall high ratings. </w:t>
      </w:r>
      <w:r>
        <w:rPr>
          <w:rFonts w:ascii="Times New Roman" w:eastAsia="Arial" w:hAnsi="Times New Roman" w:cs="Times New Roman"/>
          <w:bCs/>
          <w:sz w:val="24"/>
          <w:szCs w:val="24"/>
        </w:rPr>
        <w:t>Reduction of Product Losses and Wastage</w:t>
      </w:r>
      <w:r>
        <w:rPr>
          <w:rFonts w:ascii="Times New Roman" w:eastAsia="Arial" w:hAnsi="Times New Roman" w:cs="Times New Roman"/>
          <w:sz w:val="24"/>
          <w:szCs w:val="24"/>
        </w:rPr>
        <w:t xml:space="preserve"> achieved the highest mean of 3.94 (SD = 0.44), suggesting that participants strongly agree that the company effectively monitors and mitigates product losses. </w:t>
      </w:r>
      <w:r>
        <w:rPr>
          <w:rFonts w:ascii="Times New Roman" w:eastAsia="Arial" w:hAnsi="Times New Roman" w:cs="Times New Roman"/>
          <w:bCs/>
          <w:sz w:val="24"/>
          <w:szCs w:val="24"/>
        </w:rPr>
        <w:t>Improvement in Operational Efficiency</w:t>
      </w:r>
      <w:r>
        <w:rPr>
          <w:rFonts w:ascii="Times New Roman" w:eastAsia="Arial" w:hAnsi="Times New Roman" w:cs="Times New Roman"/>
          <w:sz w:val="24"/>
          <w:szCs w:val="24"/>
        </w:rPr>
        <w:t xml:space="preserve"> follows closely with a mean of 3.92 (SD = 0.48), indicating that leak prevention efforts contribute meaningfully to smoother and more efficient operations. </w:t>
      </w:r>
    </w:p>
    <w:p w:rsidR="00AF32C1" w:rsidRDefault="00F01738">
      <w:pPr>
        <w:spacing w:beforeLines="50" w:before="1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Table 12</w:t>
      </w:r>
    </w:p>
    <w:p w:rsidR="00AF32C1" w:rsidRDefault="00F01738">
      <w:pPr>
        <w:ind w:firstLineChars="200" w:firstLine="480"/>
        <w:rPr>
          <w:rFonts w:ascii="Times New Roman" w:eastAsia="Arial" w:hAnsi="Times New Roman" w:cs="Times New Roman"/>
          <w:b/>
          <w:bCs/>
          <w:sz w:val="24"/>
          <w:szCs w:val="24"/>
        </w:rPr>
      </w:pPr>
      <w:r>
        <w:rPr>
          <w:rFonts w:ascii="Times New Roman" w:eastAsia="Arial" w:hAnsi="Times New Roman" w:cs="Times New Roman"/>
          <w:sz w:val="24"/>
          <w:szCs w:val="24"/>
        </w:rPr>
        <w:t>Summary Table of Operational Leak Prevention</w:t>
      </w:r>
    </w:p>
    <w:tbl>
      <w:tblPr>
        <w:tblStyle w:val="Style32"/>
        <w:tblpPr w:leftFromText="180" w:rightFromText="180" w:vertAnchor="text" w:horzAnchor="page" w:tblpX="2171" w:tblpY="289"/>
        <w:tblOverlap w:val="never"/>
        <w:tblW w:w="8778" w:type="dxa"/>
        <w:tblInd w:w="0" w:type="dxa"/>
        <w:tblBorders>
          <w:top w:val="single" w:sz="4" w:space="0" w:color="000000"/>
          <w:bottom w:val="single" w:sz="4" w:space="0" w:color="000000"/>
        </w:tblBorders>
        <w:tblLayout w:type="fixed"/>
        <w:tblLook w:val="04A0" w:firstRow="1" w:lastRow="0" w:firstColumn="1" w:lastColumn="0" w:noHBand="0" w:noVBand="1"/>
      </w:tblPr>
      <w:tblGrid>
        <w:gridCol w:w="4848"/>
        <w:gridCol w:w="1005"/>
        <w:gridCol w:w="1830"/>
        <w:gridCol w:w="1095"/>
      </w:tblGrid>
      <w:tr w:rsidR="00AF32C1">
        <w:trPr>
          <w:trHeight w:val="318"/>
        </w:trPr>
        <w:tc>
          <w:tcPr>
            <w:tcW w:w="4848"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rPr>
                <w:rFonts w:ascii="Times New Roman" w:eastAsia="Arial" w:hAnsi="Times New Roman" w:cs="Times New Roman"/>
                <w:b/>
                <w:bCs/>
                <w:sz w:val="24"/>
                <w:szCs w:val="24"/>
              </w:rPr>
            </w:pPr>
            <w:r>
              <w:rPr>
                <w:rFonts w:ascii="Times New Roman" w:eastAsia="Arial" w:hAnsi="Times New Roman" w:cs="Times New Roman"/>
                <w:b/>
                <w:bCs/>
                <w:sz w:val="24"/>
                <w:szCs w:val="24"/>
              </w:rPr>
              <w:t>Dimensions</w:t>
            </w:r>
          </w:p>
        </w:tc>
        <w:tc>
          <w:tcPr>
            <w:tcW w:w="1005"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Mean</w:t>
            </w:r>
          </w:p>
        </w:tc>
        <w:tc>
          <w:tcPr>
            <w:tcW w:w="183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Description</w:t>
            </w:r>
          </w:p>
        </w:tc>
        <w:tc>
          <w:tcPr>
            <w:tcW w:w="1095"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SD</w:t>
            </w:r>
          </w:p>
        </w:tc>
      </w:tr>
      <w:tr w:rsidR="00AF32C1">
        <w:trPr>
          <w:trHeight w:val="318"/>
        </w:trPr>
        <w:tc>
          <w:tcPr>
            <w:tcW w:w="4848" w:type="dxa"/>
            <w:tcBorders>
              <w:top w:val="single" w:sz="4" w:space="0" w:color="000000"/>
              <w:left w:val="nil"/>
              <w:bottom w:val="nil"/>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Reduction of product losses and wastage</w:t>
            </w:r>
          </w:p>
        </w:tc>
        <w:tc>
          <w:tcPr>
            <w:tcW w:w="1005"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3.94</w:t>
            </w:r>
          </w:p>
        </w:tc>
        <w:tc>
          <w:tcPr>
            <w:tcW w:w="1830"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095"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0.44</w:t>
            </w:r>
          </w:p>
        </w:tc>
      </w:tr>
      <w:tr w:rsidR="00AF32C1">
        <w:trPr>
          <w:trHeight w:val="307"/>
        </w:trPr>
        <w:tc>
          <w:tcPr>
            <w:tcW w:w="4848" w:type="dxa"/>
            <w:tcBorders>
              <w:top w:val="nil"/>
              <w:left w:val="nil"/>
              <w:bottom w:val="nil"/>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Minimize in errors</w:t>
            </w:r>
          </w:p>
        </w:tc>
        <w:tc>
          <w:tcPr>
            <w:tcW w:w="100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3.90</w:t>
            </w:r>
          </w:p>
        </w:tc>
        <w:tc>
          <w:tcPr>
            <w:tcW w:w="183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09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0.47</w:t>
            </w:r>
          </w:p>
        </w:tc>
      </w:tr>
      <w:tr w:rsidR="00AF32C1">
        <w:trPr>
          <w:trHeight w:val="371"/>
        </w:trPr>
        <w:tc>
          <w:tcPr>
            <w:tcW w:w="4848" w:type="dxa"/>
            <w:tcBorders>
              <w:top w:val="nil"/>
              <w:left w:val="nil"/>
              <w:bottom w:val="nil"/>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100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3.92</w:t>
            </w:r>
          </w:p>
        </w:tc>
        <w:tc>
          <w:tcPr>
            <w:tcW w:w="183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09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0.48</w:t>
            </w:r>
          </w:p>
        </w:tc>
      </w:tr>
      <w:tr w:rsidR="00AF32C1">
        <w:trPr>
          <w:trHeight w:val="437"/>
        </w:trPr>
        <w:tc>
          <w:tcPr>
            <w:tcW w:w="4848"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leak prevention</w:t>
            </w:r>
          </w:p>
        </w:tc>
        <w:tc>
          <w:tcPr>
            <w:tcW w:w="1005"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3.92</w:t>
            </w:r>
          </w:p>
        </w:tc>
        <w:tc>
          <w:tcPr>
            <w:tcW w:w="183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High</w:t>
            </w:r>
          </w:p>
        </w:tc>
        <w:tc>
          <w:tcPr>
            <w:tcW w:w="1095"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0.32</w:t>
            </w:r>
          </w:p>
        </w:tc>
      </w:tr>
    </w:tbl>
    <w:p w:rsidR="00AF32C1" w:rsidRDefault="00AF32C1">
      <w:pPr>
        <w:tabs>
          <w:tab w:val="left" w:pos="1503"/>
          <w:tab w:val="left" w:pos="5775"/>
        </w:tabs>
        <w:ind w:right="-279"/>
        <w:jc w:val="both"/>
        <w:rPr>
          <w:rFonts w:ascii="Times New Roman" w:eastAsia="Arial" w:hAnsi="Times New Roman" w:cs="Times New Roman"/>
          <w:b/>
          <w:bCs/>
          <w:sz w:val="24"/>
          <w:szCs w:val="24"/>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F01738">
      <w:pPr>
        <w:pStyle w:val="ListParagraph"/>
        <w:numPr>
          <w:ilvl w:val="0"/>
          <w:numId w:val="2"/>
        </w:numPr>
        <w:jc w:val="both"/>
        <w:rPr>
          <w:rFonts w:ascii="Times New Roman" w:eastAsia="Arial" w:hAnsi="Times New Roman" w:cs="Times New Roman"/>
          <w:sz w:val="24"/>
          <w:szCs w:val="24"/>
        </w:rPr>
      </w:pPr>
      <w:r>
        <w:rPr>
          <w:rFonts w:ascii="Times New Roman" w:eastAsia="Arial" w:hAnsi="Times New Roman" w:cs="Times New Roman"/>
          <w:b/>
          <w:bCs/>
          <w:color w:val="000000" w:themeColor="text1"/>
          <w:sz w:val="24"/>
          <w:szCs w:val="24"/>
        </w:rPr>
        <w:t>Do Operational audit practices, sustainable Audit Methods and quality of training significantly associated with operational leak prevention?</w:t>
      </w:r>
    </w:p>
    <w:p w:rsidR="00AF32C1" w:rsidRDefault="00F01738">
      <w:pPr>
        <w:tabs>
          <w:tab w:val="left" w:pos="1503"/>
        </w:tabs>
        <w:ind w:left="360" w:right="-279"/>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Ho1: Operational audit practices are not significantly associated with operational leak prevention.</w:t>
      </w:r>
    </w:p>
    <w:p w:rsidR="00AF32C1" w:rsidRDefault="00F01738">
      <w:pPr>
        <w:tabs>
          <w:tab w:val="left" w:pos="1503"/>
        </w:tabs>
        <w:ind w:left="360" w:right="-279"/>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Ho2: Sustainable Audit Methods are not significantly associated with operational leak prevention.</w:t>
      </w:r>
    </w:p>
    <w:p w:rsidR="00AF32C1" w:rsidRDefault="00F01738">
      <w:pPr>
        <w:tabs>
          <w:tab w:val="left" w:pos="1503"/>
        </w:tabs>
        <w:ind w:left="360" w:right="-279"/>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Ho3:</w:t>
      </w:r>
      <w:r>
        <w:rPr>
          <w:rFonts w:ascii="Times New Roman" w:hAnsi="Times New Roman" w:cs="Times New Roman"/>
          <w:b/>
          <w:bCs/>
          <w:color w:val="000000" w:themeColor="text1"/>
          <w:sz w:val="24"/>
          <w:szCs w:val="24"/>
        </w:rPr>
        <w:t xml:space="preserve"> </w:t>
      </w:r>
      <w:r>
        <w:rPr>
          <w:rFonts w:ascii="Times New Roman" w:eastAsia="Arial" w:hAnsi="Times New Roman" w:cs="Times New Roman"/>
          <w:b/>
          <w:bCs/>
          <w:color w:val="000000" w:themeColor="text1"/>
          <w:sz w:val="24"/>
          <w:szCs w:val="24"/>
        </w:rPr>
        <w:t>Quality of training is not significantly associated with operational leak prevention</w:t>
      </w:r>
    </w:p>
    <w:p w:rsidR="00AF32C1" w:rsidRDefault="00AF32C1">
      <w:pPr>
        <w:tabs>
          <w:tab w:val="left" w:pos="1503"/>
        </w:tabs>
        <w:ind w:left="360" w:right="-279"/>
        <w:jc w:val="both"/>
        <w:rPr>
          <w:rFonts w:ascii="Times New Roman" w:eastAsia="Arial" w:hAnsi="Times New Roman" w:cs="Times New Roman"/>
          <w:b/>
          <w:bCs/>
          <w:color w:val="000000" w:themeColor="text1"/>
          <w:sz w:val="24"/>
          <w:szCs w:val="24"/>
        </w:rPr>
      </w:pPr>
    </w:p>
    <w:p w:rsidR="00AF32C1" w:rsidRDefault="00F01738">
      <w:pPr>
        <w:ind w:leftChars="100" w:left="200" w:firstLine="48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Table 5 presents the results of the canonical correlation analysis between operational audit practices and operational leak prevention. The analysis revealed a statistically significant relationship between the participants’ assessment of operational audit practices and operational leak prevention, with a canonical correlation coefficient of R = 0.305 and a corresponding R² = 0.093. This indicates that approximately 9.3% of the variance in operational leak prevention is explained by variations in operational audit practices. The F-value of 3.268 and p-value of .004 (p &lt; 0.05) further confirm that the relationship is significant, providing sufficient evidence to reject the null hypothesis. The canonical correlation demonstrates a modest but meaningful association, suggesting that audit practices, particularly compliance-focused procedures, </w:t>
      </w:r>
      <w:r>
        <w:rPr>
          <w:rFonts w:ascii="Times New Roman" w:eastAsia="Arial" w:hAnsi="Times New Roman" w:cs="Times New Roman"/>
          <w:bCs/>
          <w:sz w:val="24"/>
          <w:szCs w:val="24"/>
        </w:rPr>
        <w:lastRenderedPageBreak/>
        <w:t xml:space="preserve">contribute to the prevention of operational leaks. Thus, </w:t>
      </w:r>
      <w:r>
        <w:rPr>
          <w:rFonts w:ascii="Times New Roman" w:hAnsi="Times New Roman" w:cs="Times New Roman"/>
          <w:sz w:val="24"/>
          <w:szCs w:val="24"/>
        </w:rPr>
        <w:t xml:space="preserve">Ho1 Operational audit practices are not significantly associate with operational leak prevention. </w:t>
      </w:r>
    </w:p>
    <w:p w:rsidR="00AF32C1" w:rsidRDefault="00AF32C1">
      <w:pPr>
        <w:tabs>
          <w:tab w:val="left" w:pos="240"/>
        </w:tabs>
        <w:ind w:leftChars="100" w:left="200" w:firstLine="480"/>
        <w:jc w:val="both"/>
        <w:rPr>
          <w:rFonts w:ascii="Times New Roman" w:eastAsia="Arial" w:hAnsi="Times New Roman" w:cs="Times New Roman"/>
          <w:bCs/>
          <w:sz w:val="24"/>
          <w:szCs w:val="24"/>
          <w:lang w:eastAsia="ja-JP"/>
        </w:rPr>
      </w:pPr>
    </w:p>
    <w:p w:rsidR="00AF32C1" w:rsidRDefault="00F01738">
      <w:pPr>
        <w:jc w:val="both"/>
        <w:rPr>
          <w:rFonts w:ascii="Times New Roman" w:eastAsia="Arial" w:hAnsi="Times New Roman" w:cs="Times New Roman"/>
          <w:b/>
          <w:bCs/>
          <w:sz w:val="24"/>
          <w:szCs w:val="24"/>
        </w:rPr>
      </w:pPr>
      <w:r>
        <w:rPr>
          <w:rFonts w:ascii="Times New Roman" w:eastAsia="Arial" w:hAnsi="Times New Roman" w:cs="Times New Roman"/>
          <w:sz w:val="24"/>
          <w:szCs w:val="24"/>
          <w:lang w:eastAsia="ja-JP"/>
        </w:rPr>
        <w:t xml:space="preserve">      </w:t>
      </w:r>
      <w:r>
        <w:rPr>
          <w:rFonts w:ascii="Times New Roman" w:eastAsia="Arial" w:hAnsi="Times New Roman" w:cs="Times New Roman"/>
          <w:b/>
          <w:bCs/>
          <w:sz w:val="24"/>
          <w:szCs w:val="24"/>
        </w:rPr>
        <w:t>Table 5</w:t>
      </w:r>
    </w:p>
    <w:p w:rsidR="00AF32C1" w:rsidRDefault="00F01738">
      <w:pPr>
        <w:ind w:firstLineChars="150" w:firstLine="360"/>
        <w:rPr>
          <w:rFonts w:ascii="Times New Roman" w:eastAsia="Arial" w:hAnsi="Times New Roman" w:cs="Times New Roman"/>
          <w:i/>
          <w:iCs/>
          <w:sz w:val="24"/>
          <w:szCs w:val="24"/>
        </w:rPr>
      </w:pPr>
      <w:r>
        <w:rPr>
          <w:rFonts w:ascii="Times New Roman" w:eastAsia="Arial" w:hAnsi="Times New Roman" w:cs="Times New Roman"/>
          <w:iCs/>
          <w:sz w:val="24"/>
          <w:szCs w:val="24"/>
        </w:rPr>
        <w:t>Canonical Loadings of Sustainable Audit Methods on Operational Leak Prevention</w:t>
      </w:r>
    </w:p>
    <w:tbl>
      <w:tblPr>
        <w:tblStyle w:val="Style33"/>
        <w:tblpPr w:leftFromText="180" w:rightFromText="180" w:vertAnchor="text" w:horzAnchor="page" w:tblpX="2209" w:tblpY="292"/>
        <w:tblOverlap w:val="never"/>
        <w:tblW w:w="8837" w:type="dxa"/>
        <w:tblInd w:w="0" w:type="dxa"/>
        <w:tblLayout w:type="fixed"/>
        <w:tblLook w:val="04A0" w:firstRow="1" w:lastRow="0" w:firstColumn="1" w:lastColumn="0" w:noHBand="0" w:noVBand="1"/>
      </w:tblPr>
      <w:tblGrid>
        <w:gridCol w:w="3212"/>
        <w:gridCol w:w="2178"/>
        <w:gridCol w:w="726"/>
        <w:gridCol w:w="726"/>
        <w:gridCol w:w="1179"/>
        <w:gridCol w:w="816"/>
      </w:tblGrid>
      <w:tr w:rsidR="00AF32C1">
        <w:trPr>
          <w:trHeight w:val="262"/>
        </w:trPr>
        <w:tc>
          <w:tcPr>
            <w:tcW w:w="3212"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Variable</w:t>
            </w:r>
          </w:p>
        </w:tc>
        <w:tc>
          <w:tcPr>
            <w:tcW w:w="2178"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Cross loading</w:t>
            </w:r>
          </w:p>
        </w:tc>
        <w:tc>
          <w:tcPr>
            <w:tcW w:w="726"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p>
        </w:tc>
        <w:tc>
          <w:tcPr>
            <w:tcW w:w="726"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r>
              <w:rPr>
                <w:rFonts w:ascii="Times New Roman" w:eastAsia="Arial" w:hAnsi="Times New Roman" w:cs="Times New Roman"/>
                <w:b/>
                <w:bCs/>
                <w:sz w:val="24"/>
                <w:szCs w:val="24"/>
                <w:vertAlign w:val="superscript"/>
              </w:rPr>
              <w:t>2</w:t>
            </w:r>
          </w:p>
        </w:tc>
        <w:tc>
          <w:tcPr>
            <w:tcW w:w="1179"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F</w:t>
            </w:r>
          </w:p>
        </w:tc>
        <w:tc>
          <w:tcPr>
            <w:tcW w:w="816"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w:t>
            </w:r>
          </w:p>
        </w:tc>
      </w:tr>
      <w:tr w:rsidR="00AF32C1">
        <w:trPr>
          <w:trHeight w:val="273"/>
        </w:trPr>
        <w:tc>
          <w:tcPr>
            <w:tcW w:w="3212"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Audit practices</w:t>
            </w:r>
          </w:p>
        </w:tc>
        <w:tc>
          <w:tcPr>
            <w:tcW w:w="2178" w:type="dxa"/>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26"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.305</w:t>
            </w:r>
          </w:p>
        </w:tc>
        <w:tc>
          <w:tcPr>
            <w:tcW w:w="726"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.093</w:t>
            </w:r>
          </w:p>
        </w:tc>
        <w:tc>
          <w:tcPr>
            <w:tcW w:w="1179"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3.268**</w:t>
            </w:r>
          </w:p>
        </w:tc>
        <w:tc>
          <w:tcPr>
            <w:tcW w:w="816"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.004</w:t>
            </w:r>
          </w:p>
        </w:tc>
      </w:tr>
      <w:tr w:rsidR="00AF32C1">
        <w:trPr>
          <w:trHeight w:val="347"/>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Risk based auditing</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-0.161</w:t>
            </w: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655"/>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Process compliance practices</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-0.279</w:t>
            </w: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253"/>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leak prevention</w:t>
            </w:r>
          </w:p>
        </w:tc>
        <w:tc>
          <w:tcPr>
            <w:tcW w:w="2178" w:type="dxa"/>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26"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26"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79"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816"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r>
      <w:tr w:rsidR="00AF32C1">
        <w:trPr>
          <w:trHeight w:val="506"/>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Reduction in product losses and wastage</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-0.247</w:t>
            </w: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506"/>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Minimize errors in operation</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-0.210</w:t>
            </w: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506"/>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-0.162</w:t>
            </w: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262"/>
        </w:trPr>
        <w:tc>
          <w:tcPr>
            <w:tcW w:w="8837" w:type="dxa"/>
            <w:gridSpan w:val="6"/>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*Significant at 0.05 two-tailed alpha level.</w:t>
            </w:r>
          </w:p>
        </w:tc>
      </w:tr>
    </w:tbl>
    <w:p w:rsidR="00AF32C1" w:rsidRDefault="00AF32C1">
      <w:pPr>
        <w:rPr>
          <w:rFonts w:ascii="Times New Roman" w:eastAsia="Arial" w:hAnsi="Times New Roman" w:cs="Times New Roman"/>
          <w:sz w:val="24"/>
          <w:szCs w:val="24"/>
          <w:lang w:val="en-PH" w:eastAsia="ja-JP"/>
        </w:rPr>
      </w:pPr>
    </w:p>
    <w:p w:rsidR="00AF32C1" w:rsidRDefault="00F01738">
      <w:pPr>
        <w:jc w:val="both"/>
      </w:pPr>
      <w:r>
        <w:t xml:space="preserve">  </w:t>
      </w:r>
    </w:p>
    <w:p w:rsidR="00AF32C1" w:rsidRDefault="00F01738">
      <w:pPr>
        <w:ind w:firstLine="720"/>
        <w:jc w:val="both"/>
      </w:pPr>
      <w:r>
        <w:t xml:space="preserve"> </w:t>
      </w:r>
    </w:p>
    <w:p w:rsidR="00AF32C1" w:rsidRDefault="00AF32C1">
      <w:pPr>
        <w:ind w:firstLine="720"/>
        <w:jc w:val="both"/>
      </w:pPr>
    </w:p>
    <w:p w:rsidR="00AF32C1" w:rsidRDefault="00AF32C1">
      <w:pPr>
        <w:ind w:firstLine="720"/>
        <w:jc w:val="both"/>
      </w:pPr>
    </w:p>
    <w:p w:rsidR="00AF32C1" w:rsidRDefault="00AF32C1">
      <w:pPr>
        <w:ind w:firstLine="720"/>
        <w:jc w:val="both"/>
      </w:pPr>
    </w:p>
    <w:p w:rsidR="00AF32C1" w:rsidRDefault="00AF32C1">
      <w:pPr>
        <w:ind w:firstLine="720"/>
        <w:jc w:val="both"/>
      </w:pPr>
    </w:p>
    <w:p w:rsidR="00AF32C1" w:rsidRDefault="00F01738">
      <w:pPr>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Table 6 demonstrates a statistically significant relationship between sustainable audit methods and operational leak prevention, with a canonical correlation of R = 0.305, R² = 0.093, F = 3.268, and p = 0.004 (p &lt; 0.01). These results indicate that 9.3% of the variance in operational leak prevention is explained by variations in audit methods, confirming that the implementation of operational audit practices is meaningfully associated with preventing operational leaks. Table 6 presents the results of the canonical correlation analysis between sustainable audit methods and operational leak prevention. The analysis revealed a statistically significant relationship between participants’ assessment of sustainable audit methods and operational leak prevention, with a canonical correlation coefficient of R = 0.403 and a corresponding R² = 0.162. </w:t>
      </w:r>
    </w:p>
    <w:p w:rsidR="00AF32C1" w:rsidRDefault="00F01738">
      <w:pPr>
        <w:spacing w:beforeLines="50" w:before="120"/>
        <w:ind w:firstLineChars="100" w:firstLine="241"/>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Table 6</w:t>
      </w:r>
    </w:p>
    <w:p w:rsidR="00AF32C1" w:rsidRDefault="00F01738">
      <w:pPr>
        <w:ind w:firstLineChars="100" w:firstLine="240"/>
        <w:jc w:val="both"/>
        <w:rPr>
          <w:rFonts w:ascii="Times New Roman" w:eastAsia="Arial" w:hAnsi="Times New Roman" w:cs="Times New Roman"/>
          <w:iCs/>
          <w:sz w:val="24"/>
          <w:szCs w:val="24"/>
        </w:rPr>
      </w:pPr>
      <w:r>
        <w:rPr>
          <w:rFonts w:ascii="Times New Roman" w:eastAsia="Arial" w:hAnsi="Times New Roman" w:cs="Times New Roman"/>
          <w:iCs/>
          <w:sz w:val="24"/>
          <w:szCs w:val="24"/>
        </w:rPr>
        <w:t>Canonical Loadings of Sustainable Audit Methods on Operational Leak Prevention</w:t>
      </w:r>
    </w:p>
    <w:tbl>
      <w:tblPr>
        <w:tblStyle w:val="Style34"/>
        <w:tblpPr w:leftFromText="180" w:rightFromText="180" w:vertAnchor="text" w:horzAnchor="page" w:tblpX="2115" w:tblpY="270"/>
        <w:tblOverlap w:val="never"/>
        <w:tblW w:w="8936" w:type="dxa"/>
        <w:tblInd w:w="0" w:type="dxa"/>
        <w:tblLayout w:type="fixed"/>
        <w:tblLook w:val="04A0" w:firstRow="1" w:lastRow="0" w:firstColumn="1" w:lastColumn="0" w:noHBand="0" w:noVBand="1"/>
      </w:tblPr>
      <w:tblGrid>
        <w:gridCol w:w="2901"/>
        <w:gridCol w:w="1554"/>
        <w:gridCol w:w="1027"/>
        <w:gridCol w:w="1115"/>
        <w:gridCol w:w="1192"/>
        <w:gridCol w:w="1147"/>
      </w:tblGrid>
      <w:tr w:rsidR="00AF32C1">
        <w:tc>
          <w:tcPr>
            <w:tcW w:w="2901"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Variable</w:t>
            </w:r>
          </w:p>
        </w:tc>
        <w:tc>
          <w:tcPr>
            <w:tcW w:w="155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Cross loading</w:t>
            </w:r>
          </w:p>
        </w:tc>
        <w:tc>
          <w:tcPr>
            <w:tcW w:w="102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p>
        </w:tc>
        <w:tc>
          <w:tcPr>
            <w:tcW w:w="1115"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r>
              <w:rPr>
                <w:rFonts w:ascii="Times New Roman" w:eastAsia="Arial" w:hAnsi="Times New Roman" w:cs="Times New Roman"/>
                <w:b/>
                <w:bCs/>
                <w:sz w:val="24"/>
                <w:szCs w:val="24"/>
                <w:vertAlign w:val="superscript"/>
              </w:rPr>
              <w:t>2</w:t>
            </w:r>
          </w:p>
        </w:tc>
        <w:tc>
          <w:tcPr>
            <w:tcW w:w="1192"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F</w:t>
            </w:r>
          </w:p>
        </w:tc>
        <w:tc>
          <w:tcPr>
            <w:tcW w:w="114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w:t>
            </w:r>
          </w:p>
        </w:tc>
      </w:tr>
      <w:tr w:rsidR="00AF32C1">
        <w:trPr>
          <w:trHeight w:val="287"/>
        </w:trPr>
        <w:tc>
          <w:tcPr>
            <w:tcW w:w="2901"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Sustainable audit methods</w:t>
            </w:r>
          </w:p>
        </w:tc>
        <w:tc>
          <w:tcPr>
            <w:tcW w:w="1554" w:type="dxa"/>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027"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.403</w:t>
            </w:r>
          </w:p>
        </w:tc>
        <w:tc>
          <w:tcPr>
            <w:tcW w:w="1115"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.162</w:t>
            </w:r>
          </w:p>
        </w:tc>
        <w:tc>
          <w:tcPr>
            <w:tcW w:w="1192"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4.671**</w:t>
            </w:r>
          </w:p>
        </w:tc>
        <w:tc>
          <w:tcPr>
            <w:tcW w:w="1147"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.000</w:t>
            </w:r>
          </w:p>
        </w:tc>
      </w:tr>
      <w:tr w:rsidR="00AF32C1">
        <w:trPr>
          <w:trHeight w:val="368"/>
        </w:trPr>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Ecofriendly practices</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-0.272</w:t>
            </w:r>
          </w:p>
        </w:tc>
        <w:tc>
          <w:tcPr>
            <w:tcW w:w="102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Waste reduction practices</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-0.289</w:t>
            </w:r>
          </w:p>
        </w:tc>
        <w:tc>
          <w:tcPr>
            <w:tcW w:w="102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Energy efficiency practices</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-0.263</w:t>
            </w:r>
          </w:p>
        </w:tc>
        <w:tc>
          <w:tcPr>
            <w:tcW w:w="102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leak prevention</w:t>
            </w:r>
          </w:p>
        </w:tc>
        <w:tc>
          <w:tcPr>
            <w:tcW w:w="1554" w:type="dxa"/>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027"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15"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92"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47"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Reduction in product losses and wastage</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-0.315</w:t>
            </w:r>
          </w:p>
        </w:tc>
        <w:tc>
          <w:tcPr>
            <w:tcW w:w="10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Minimize errors in operation</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-0.238</w:t>
            </w:r>
          </w:p>
        </w:tc>
        <w:tc>
          <w:tcPr>
            <w:tcW w:w="10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rPr>
          <w:trHeight w:val="80"/>
        </w:trPr>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-0.280</w:t>
            </w:r>
          </w:p>
        </w:tc>
        <w:tc>
          <w:tcPr>
            <w:tcW w:w="10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8936" w:type="dxa"/>
            <w:gridSpan w:val="6"/>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**Significant at 0.01 two-tailed alpha level.</w:t>
            </w:r>
          </w:p>
        </w:tc>
      </w:tr>
    </w:tbl>
    <w:p w:rsidR="00AF32C1" w:rsidRDefault="00AF32C1">
      <w:pPr>
        <w:rPr>
          <w:rFonts w:ascii="Times New Roman" w:eastAsia="Arial" w:hAnsi="Times New Roman" w:cs="Times New Roman"/>
          <w:i/>
          <w:i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F01738">
      <w:pPr>
        <w:ind w:leftChars="200" w:left="400" w:firstLine="954"/>
        <w:jc w:val="both"/>
        <w:rPr>
          <w:rFonts w:ascii="Times New Roman" w:eastAsia="Arial" w:hAnsi="Times New Roman" w:cs="Times New Roman"/>
          <w:sz w:val="24"/>
          <w:szCs w:val="24"/>
        </w:rPr>
      </w:pPr>
      <w:r>
        <w:rPr>
          <w:rFonts w:ascii="Times New Roman" w:eastAsia="Arial" w:hAnsi="Times New Roman" w:cs="Times New Roman"/>
          <w:bCs/>
          <w:sz w:val="24"/>
          <w:szCs w:val="24"/>
        </w:rPr>
        <w:lastRenderedPageBreak/>
        <w:t xml:space="preserve">Table 7 presents </w:t>
      </w:r>
      <w:proofErr w:type="gramStart"/>
      <w:r>
        <w:rPr>
          <w:rFonts w:ascii="Times New Roman" w:eastAsia="Arial" w:hAnsi="Times New Roman" w:cs="Times New Roman"/>
          <w:bCs/>
          <w:sz w:val="24"/>
          <w:szCs w:val="24"/>
        </w:rPr>
        <w:t>the  results</w:t>
      </w:r>
      <w:proofErr w:type="gramEnd"/>
      <w:r>
        <w:rPr>
          <w:rFonts w:ascii="Times New Roman" w:eastAsia="Arial" w:hAnsi="Times New Roman" w:cs="Times New Roman"/>
          <w:bCs/>
          <w:sz w:val="24"/>
          <w:szCs w:val="24"/>
        </w:rPr>
        <w:t xml:space="preserve"> of the canonical correlation analysis between the quality of training and operational leak prevention.</w:t>
      </w:r>
      <w:r>
        <w:rPr>
          <w:rFonts w:ascii="Times New Roman" w:eastAsia="Arial" w:hAnsi="Times New Roman" w:cs="Times New Roman"/>
          <w:sz w:val="24"/>
          <w:szCs w:val="24"/>
        </w:rPr>
        <w:t xml:space="preserve"> The analysis revealed a statistically significant relationship, with a canonical correlation coefficient of R = 0.512 and a corresponding R² = 0.262. The canonical loadings highlight that training primarily contributes to error reduction, with secondary influence on waste minimization and overall efficiency improvements.</w:t>
      </w:r>
    </w:p>
    <w:p w:rsidR="00AF32C1" w:rsidRDefault="00F01738">
      <w:pPr>
        <w:spacing w:beforeLines="50" w:before="120"/>
        <w:ind w:firstLineChars="200" w:firstLine="482"/>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Table 7</w:t>
      </w:r>
    </w:p>
    <w:p w:rsidR="00AF32C1" w:rsidRDefault="00F01738">
      <w:pPr>
        <w:ind w:firstLineChars="200" w:firstLine="480"/>
        <w:rPr>
          <w:rFonts w:ascii="Times New Roman" w:eastAsia="Arial" w:hAnsi="Times New Roman" w:cs="Times New Roman"/>
          <w:i/>
          <w:iCs/>
          <w:sz w:val="24"/>
          <w:szCs w:val="24"/>
        </w:rPr>
      </w:pPr>
      <w:r>
        <w:rPr>
          <w:rFonts w:ascii="Times New Roman" w:eastAsia="Arial" w:hAnsi="Times New Roman" w:cs="Times New Roman"/>
          <w:iCs/>
          <w:sz w:val="24"/>
          <w:szCs w:val="24"/>
        </w:rPr>
        <w:t>Canonical Loadings of Quality of Training on Operational Leak Prevention</w:t>
      </w:r>
    </w:p>
    <w:tbl>
      <w:tblPr>
        <w:tblStyle w:val="Style35"/>
        <w:tblpPr w:leftFromText="180" w:rightFromText="180" w:vertAnchor="text" w:horzAnchor="page" w:tblpX="2171" w:tblpY="281"/>
        <w:tblOverlap w:val="never"/>
        <w:tblW w:w="8856" w:type="dxa"/>
        <w:tblInd w:w="0" w:type="dxa"/>
        <w:tblLayout w:type="fixed"/>
        <w:tblLook w:val="04A0" w:firstRow="1" w:lastRow="0" w:firstColumn="1" w:lastColumn="0" w:noHBand="0" w:noVBand="1"/>
      </w:tblPr>
      <w:tblGrid>
        <w:gridCol w:w="3302"/>
        <w:gridCol w:w="1493"/>
        <w:gridCol w:w="731"/>
        <w:gridCol w:w="1019"/>
        <w:gridCol w:w="1327"/>
        <w:gridCol w:w="984"/>
      </w:tblGrid>
      <w:tr w:rsidR="00AF32C1">
        <w:tc>
          <w:tcPr>
            <w:tcW w:w="3302"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Variable</w:t>
            </w:r>
          </w:p>
        </w:tc>
        <w:tc>
          <w:tcPr>
            <w:tcW w:w="1493"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Cross loading</w:t>
            </w:r>
          </w:p>
        </w:tc>
        <w:tc>
          <w:tcPr>
            <w:tcW w:w="731"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p>
        </w:tc>
        <w:tc>
          <w:tcPr>
            <w:tcW w:w="1019"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r>
              <w:rPr>
                <w:rFonts w:ascii="Times New Roman" w:eastAsia="Arial" w:hAnsi="Times New Roman" w:cs="Times New Roman"/>
                <w:b/>
                <w:bCs/>
                <w:sz w:val="24"/>
                <w:szCs w:val="24"/>
                <w:vertAlign w:val="superscript"/>
              </w:rPr>
              <w:t>2</w:t>
            </w:r>
          </w:p>
        </w:tc>
        <w:tc>
          <w:tcPr>
            <w:tcW w:w="132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F</w:t>
            </w:r>
          </w:p>
        </w:tc>
        <w:tc>
          <w:tcPr>
            <w:tcW w:w="98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w:t>
            </w:r>
          </w:p>
        </w:tc>
      </w:tr>
      <w:tr w:rsidR="00AF32C1">
        <w:trPr>
          <w:trHeight w:val="287"/>
        </w:trPr>
        <w:tc>
          <w:tcPr>
            <w:tcW w:w="3302"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Quality of training</w:t>
            </w:r>
          </w:p>
        </w:tc>
        <w:tc>
          <w:tcPr>
            <w:tcW w:w="1493"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0.512</w:t>
            </w:r>
          </w:p>
        </w:tc>
        <w:tc>
          <w:tcPr>
            <w:tcW w:w="731"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.512</w:t>
            </w:r>
          </w:p>
        </w:tc>
        <w:tc>
          <w:tcPr>
            <w:tcW w:w="1019"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.262</w:t>
            </w:r>
          </w:p>
        </w:tc>
        <w:tc>
          <w:tcPr>
            <w:tcW w:w="1327"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23.151**</w:t>
            </w:r>
          </w:p>
        </w:tc>
        <w:tc>
          <w:tcPr>
            <w:tcW w:w="984"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.000</w:t>
            </w:r>
          </w:p>
        </w:tc>
      </w:tr>
      <w:tr w:rsidR="00AF32C1">
        <w:tc>
          <w:tcPr>
            <w:tcW w:w="3302" w:type="dxa"/>
            <w:tcBorders>
              <w:top w:val="nil"/>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leak prevention</w:t>
            </w:r>
          </w:p>
        </w:tc>
        <w:tc>
          <w:tcPr>
            <w:tcW w:w="1493" w:type="dxa"/>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31"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019"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327"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984"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r>
      <w:tr w:rsidR="00AF32C1">
        <w:tc>
          <w:tcPr>
            <w:tcW w:w="330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Reduction in product losses and wastage</w:t>
            </w:r>
          </w:p>
        </w:tc>
        <w:tc>
          <w:tcPr>
            <w:tcW w:w="1493"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0.272</w:t>
            </w:r>
          </w:p>
        </w:tc>
        <w:tc>
          <w:tcPr>
            <w:tcW w:w="731"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01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3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984"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c>
          <w:tcPr>
            <w:tcW w:w="330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Minimize errors in operation</w:t>
            </w:r>
          </w:p>
        </w:tc>
        <w:tc>
          <w:tcPr>
            <w:tcW w:w="1493"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0.472</w:t>
            </w:r>
          </w:p>
        </w:tc>
        <w:tc>
          <w:tcPr>
            <w:tcW w:w="731"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01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3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984"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80"/>
        </w:trPr>
        <w:tc>
          <w:tcPr>
            <w:tcW w:w="330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1493"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0.225</w:t>
            </w:r>
          </w:p>
        </w:tc>
        <w:tc>
          <w:tcPr>
            <w:tcW w:w="731"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01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3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984"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c>
          <w:tcPr>
            <w:tcW w:w="8856" w:type="dxa"/>
            <w:gridSpan w:val="6"/>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**Significant at 0.01 two-tailed alpha level.</w:t>
            </w:r>
          </w:p>
        </w:tc>
      </w:tr>
    </w:tbl>
    <w:p w:rsidR="00AF32C1" w:rsidRDefault="00AF32C1">
      <w:pPr>
        <w:ind w:leftChars="200" w:left="400" w:firstLine="240"/>
        <w:jc w:val="both"/>
        <w:rPr>
          <w:rFonts w:ascii="Times New Roman" w:eastAsia="Arial" w:hAnsi="Times New Roman" w:cs="Times New Roman"/>
          <w:sz w:val="24"/>
          <w:szCs w:val="24"/>
        </w:rPr>
      </w:pPr>
    </w:p>
    <w:p w:rsidR="00AF32C1" w:rsidRDefault="00AF32C1">
      <w:pPr>
        <w:ind w:leftChars="100" w:left="200"/>
        <w:jc w:val="both"/>
        <w:rPr>
          <w:rFonts w:ascii="Times New Roman" w:eastAsia="Arial" w:hAnsi="Times New Roman" w:cs="Times New Roman"/>
          <w:bCs/>
          <w:sz w:val="24"/>
          <w:szCs w:val="24"/>
        </w:rPr>
      </w:pPr>
    </w:p>
    <w:p w:rsidR="00AF32C1" w:rsidRDefault="00AF32C1">
      <w:pPr>
        <w:spacing w:before="120" w:after="120"/>
        <w:jc w:val="both"/>
        <w:rPr>
          <w:b/>
          <w:sz w:val="28"/>
          <w:szCs w:val="28"/>
        </w:rPr>
      </w:pPr>
    </w:p>
    <w:p w:rsidR="00AF32C1" w:rsidRDefault="00AF32C1">
      <w:pPr>
        <w:spacing w:before="120" w:after="120"/>
        <w:ind w:leftChars="200" w:left="400"/>
        <w:jc w:val="both"/>
        <w:rPr>
          <w:rFonts w:ascii="Times New Roman" w:hAnsi="Times New Roman" w:cs="Times New Roman"/>
          <w:b/>
          <w:sz w:val="24"/>
          <w:szCs w:val="24"/>
        </w:rPr>
      </w:pPr>
    </w:p>
    <w:p w:rsidR="00AF32C1" w:rsidRDefault="00AF32C1">
      <w:pPr>
        <w:spacing w:before="120" w:after="120"/>
        <w:ind w:leftChars="200" w:left="400"/>
        <w:jc w:val="both"/>
        <w:rPr>
          <w:rFonts w:ascii="Times New Roman" w:hAnsi="Times New Roman" w:cs="Times New Roman"/>
          <w:b/>
          <w:sz w:val="28"/>
          <w:szCs w:val="28"/>
        </w:rPr>
      </w:pPr>
    </w:p>
    <w:p w:rsidR="00AF32C1" w:rsidRDefault="00F01738">
      <w:pPr>
        <w:spacing w:before="120" w:after="120"/>
        <w:ind w:leftChars="200" w:left="400"/>
        <w:jc w:val="both"/>
        <w:rPr>
          <w:rFonts w:ascii="Times New Roman" w:hAnsi="Times New Roman" w:cs="Times New Roman"/>
          <w:b/>
          <w:sz w:val="28"/>
          <w:szCs w:val="28"/>
        </w:rPr>
      </w:pPr>
      <w:r>
        <w:rPr>
          <w:rFonts w:ascii="Times New Roman" w:hAnsi="Times New Roman" w:cs="Times New Roman"/>
          <w:b/>
          <w:sz w:val="28"/>
          <w:szCs w:val="28"/>
        </w:rPr>
        <w:t>SUMMARY</w:t>
      </w:r>
    </w:p>
    <w:p w:rsidR="00AF32C1" w:rsidRDefault="00F01738">
      <w:pPr>
        <w:spacing w:before="120" w:after="120"/>
        <w:ind w:leftChars="200" w:left="400" w:firstLine="715"/>
        <w:jc w:val="both"/>
        <w:rPr>
          <w:rFonts w:ascii="Times New Roman" w:hAnsi="Times New Roman" w:cs="Times New Roman"/>
          <w:sz w:val="24"/>
          <w:szCs w:val="24"/>
        </w:rPr>
      </w:pPr>
      <w:r>
        <w:rPr>
          <w:rFonts w:ascii="Times New Roman" w:hAnsi="Times New Roman" w:cs="Times New Roman"/>
          <w:sz w:val="24"/>
          <w:szCs w:val="24"/>
        </w:rPr>
        <w:t xml:space="preserve">This study examined the Interplay of Operational Audit Practices, Sustainable Audit Methods, Training Quality and Operational Leak Prevention </w:t>
      </w:r>
      <w:proofErr w:type="spellStart"/>
      <w:r>
        <w:rPr>
          <w:rFonts w:ascii="Times New Roman" w:hAnsi="Times New Roman" w:cs="Times New Roman"/>
          <w:sz w:val="24"/>
          <w:szCs w:val="24"/>
        </w:rPr>
        <w:t>Misamis</w:t>
      </w:r>
      <w:proofErr w:type="spellEnd"/>
      <w:r>
        <w:rPr>
          <w:rFonts w:ascii="Times New Roman" w:hAnsi="Times New Roman" w:cs="Times New Roman"/>
          <w:sz w:val="24"/>
          <w:szCs w:val="24"/>
        </w:rPr>
        <w:t xml:space="preserve"> Oriental. This study investigates how operational leaks impact processes in a distribution company in </w:t>
      </w:r>
      <w:proofErr w:type="spellStart"/>
      <w:r>
        <w:rPr>
          <w:rFonts w:ascii="Times New Roman" w:hAnsi="Times New Roman" w:cs="Times New Roman"/>
          <w:sz w:val="24"/>
          <w:szCs w:val="24"/>
        </w:rPr>
        <w:t>Misamis</w:t>
      </w:r>
      <w:proofErr w:type="spellEnd"/>
      <w:r>
        <w:rPr>
          <w:rFonts w:ascii="Times New Roman" w:hAnsi="Times New Roman" w:cs="Times New Roman"/>
          <w:sz w:val="24"/>
          <w:szCs w:val="24"/>
        </w:rPr>
        <w:t xml:space="preserve"> Oriental. Operational leaks involve unauthorized disclosures of sensitive information, resource losses, and compromised integrity, posing significant challenges for distribution companies. </w:t>
      </w:r>
    </w:p>
    <w:p w:rsidR="00AF32C1" w:rsidRDefault="00F01738">
      <w:pPr>
        <w:spacing w:before="120" w:after="120"/>
        <w:ind w:leftChars="200" w:left="400" w:firstLine="715"/>
        <w:jc w:val="both"/>
        <w:rPr>
          <w:rFonts w:ascii="Times New Roman" w:hAnsi="Times New Roman" w:cs="Times New Roman"/>
          <w:sz w:val="24"/>
          <w:szCs w:val="24"/>
        </w:rPr>
      </w:pPr>
      <w:r>
        <w:rPr>
          <w:rFonts w:ascii="Times New Roman" w:hAnsi="Times New Roman" w:cs="Times New Roman"/>
          <w:sz w:val="24"/>
          <w:szCs w:val="24"/>
        </w:rPr>
        <w:t xml:space="preserve">This said study specifically answered the following problems mentioned in this study: 1.) What is the participants’ assessment of operational audit practices in terms of: 1.1 Risk-based auditing; 1.2 Process compliance practice &amp; 1.3 Internal control process? 2.) What is the participant’s assessment of the sustainable audit methods in terms of: 2.1 Eco-friendly compliance practice; 2.2 Waste reduction practices; &amp; 2.3 Energy efficiency practices. 3.) What is the participants' assessment of the quality of training? 4.)  What is the participants’ assessment of the operational leak prevention considering: 4.1 Reduction in product losses and wastage; 4.2 Minimize errors in operation; &amp; 4.3 Improved Operational efficiency. 5.) Do Operational audit practices, sustainable audit methods and quality of training have significant association with operational Leak Prevention? and 6.) What are managers' experiences in preventing </w:t>
      </w:r>
      <w:proofErr w:type="spellStart"/>
      <w:r>
        <w:rPr>
          <w:rFonts w:ascii="Times New Roman" w:hAnsi="Times New Roman" w:cs="Times New Roman"/>
          <w:sz w:val="24"/>
          <w:szCs w:val="24"/>
        </w:rPr>
        <w:t>poperational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leak.</w:t>
      </w:r>
      <w:proofErr w:type="gramEnd"/>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Method. The researcher utilized quantitative methods in a specific sequence. In this design, researchers first collect and analyze quantitative data, which provides a broad overview of a research question. With 200 employees, they were included as participants. The instrument’s reliability was validated using Cronbach’s Alpha, which showed high internal consistency for all dimensions. Additionally, CCA was applied to the survey instrument to ensure the validity and reliability of the constructs measured. The data were gathered, tabulated, and analyzed using descriptive statistics, including frequency, percentage, and mean distribution.</w:t>
      </w:r>
    </w:p>
    <w:p w:rsidR="00AF32C1" w:rsidRDefault="00AF32C1">
      <w:pPr>
        <w:spacing w:before="120" w:after="120"/>
        <w:ind w:leftChars="200" w:left="400"/>
        <w:jc w:val="both"/>
        <w:rPr>
          <w:rFonts w:ascii="Times New Roman" w:hAnsi="Times New Roman" w:cs="Times New Roman"/>
          <w:sz w:val="24"/>
          <w:szCs w:val="24"/>
        </w:rPr>
      </w:pPr>
    </w:p>
    <w:p w:rsidR="00AF32C1" w:rsidRDefault="00F01738">
      <w:pPr>
        <w:spacing w:before="120" w:after="120"/>
        <w:ind w:leftChars="200" w:left="400"/>
        <w:jc w:val="both"/>
        <w:rPr>
          <w:rFonts w:ascii="Times New Roman" w:hAnsi="Times New Roman" w:cs="Times New Roman"/>
          <w:bCs/>
          <w:sz w:val="28"/>
          <w:szCs w:val="28"/>
        </w:rPr>
      </w:pPr>
      <w:r>
        <w:rPr>
          <w:rFonts w:ascii="Times New Roman" w:hAnsi="Times New Roman" w:cs="Times New Roman"/>
          <w:b/>
          <w:bCs/>
          <w:sz w:val="28"/>
          <w:szCs w:val="28"/>
        </w:rPr>
        <w:t>FINDINGS</w:t>
      </w:r>
    </w:p>
    <w:p w:rsidR="00AF32C1" w:rsidRDefault="00F01738">
      <w:pPr>
        <w:spacing w:before="120" w:after="120"/>
        <w:ind w:leftChars="200" w:left="400"/>
        <w:jc w:val="both"/>
        <w:rPr>
          <w:rFonts w:ascii="Times New Roman" w:hAnsi="Times New Roman" w:cs="Times New Roman"/>
          <w:bCs/>
          <w:sz w:val="24"/>
          <w:szCs w:val="24"/>
        </w:rPr>
      </w:pPr>
      <w:r>
        <w:rPr>
          <w:rFonts w:ascii="Times New Roman" w:hAnsi="Times New Roman" w:cs="Times New Roman"/>
          <w:bCs/>
          <w:sz w:val="24"/>
          <w:szCs w:val="24"/>
        </w:rPr>
        <w:t xml:space="preserve">Based on the data gathered from the study, the following findings are thus presented: </w:t>
      </w:r>
    </w:p>
    <w:p w:rsidR="00AF32C1" w:rsidRDefault="00F01738">
      <w:pPr>
        <w:spacing w:before="120" w:after="120"/>
        <w:ind w:leftChars="200" w:left="400" w:firstLine="715"/>
        <w:jc w:val="both"/>
        <w:rPr>
          <w:rFonts w:ascii="Times New Roman" w:hAnsi="Times New Roman" w:cs="Times New Roman"/>
          <w:bCs/>
          <w:sz w:val="24"/>
          <w:szCs w:val="24"/>
        </w:rPr>
      </w:pPr>
      <w:r>
        <w:rPr>
          <w:rFonts w:ascii="Times New Roman" w:hAnsi="Times New Roman" w:cs="Times New Roman"/>
          <w:bCs/>
          <w:sz w:val="24"/>
          <w:szCs w:val="24"/>
        </w:rPr>
        <w:t xml:space="preserve">Operational audit practice was generally rated as high implying that the company demonstrates a strong application of risk-based auditing principles, such as prioritizing high-risk areas and focusing audit efforts on processes with greater operational </w:t>
      </w:r>
      <w:proofErr w:type="spellStart"/>
      <w:r>
        <w:rPr>
          <w:rFonts w:ascii="Times New Roman" w:hAnsi="Times New Roman" w:cs="Times New Roman"/>
          <w:bCs/>
          <w:sz w:val="24"/>
          <w:szCs w:val="24"/>
        </w:rPr>
        <w:t>exposure.The</w:t>
      </w:r>
      <w:proofErr w:type="spellEnd"/>
      <w:r>
        <w:rPr>
          <w:rFonts w:ascii="Times New Roman" w:hAnsi="Times New Roman" w:cs="Times New Roman"/>
          <w:bCs/>
          <w:sz w:val="24"/>
          <w:szCs w:val="24"/>
        </w:rPr>
        <w:t xml:space="preserve"> participants of the company highly valued </w:t>
      </w:r>
      <w:r>
        <w:rPr>
          <w:rFonts w:ascii="Times New Roman" w:hAnsi="Times New Roman" w:cs="Times New Roman"/>
          <w:bCs/>
          <w:sz w:val="24"/>
          <w:szCs w:val="24"/>
        </w:rPr>
        <w:lastRenderedPageBreak/>
        <w:t>sustainable audit methods, particularly eco-friendly compliance practices, reflecting strong implementation of embedding sustainability into routine processes and integrating eco-friendly compliance into daily operations.</w:t>
      </w:r>
    </w:p>
    <w:p w:rsidR="00AF32C1" w:rsidRDefault="00F01738">
      <w:pPr>
        <w:spacing w:before="120" w:after="120"/>
        <w:ind w:leftChars="200" w:left="400" w:firstLine="715"/>
        <w:jc w:val="both"/>
        <w:rPr>
          <w:rFonts w:ascii="Times New Roman" w:hAnsi="Times New Roman" w:cs="Times New Roman"/>
          <w:bCs/>
          <w:sz w:val="24"/>
          <w:szCs w:val="24"/>
        </w:rPr>
      </w:pPr>
      <w:r>
        <w:rPr>
          <w:rFonts w:ascii="Times New Roman" w:hAnsi="Times New Roman" w:cs="Times New Roman"/>
          <w:bCs/>
          <w:sz w:val="24"/>
          <w:szCs w:val="24"/>
        </w:rPr>
        <w:t xml:space="preserve">The company emphasized employee training to ensure that various measures were effectively adopted in daily operations and that environmental compliance was integrated into routine business </w:t>
      </w:r>
      <w:proofErr w:type="spellStart"/>
      <w:r>
        <w:rPr>
          <w:rFonts w:ascii="Times New Roman" w:hAnsi="Times New Roman" w:cs="Times New Roman"/>
          <w:bCs/>
          <w:sz w:val="24"/>
          <w:szCs w:val="24"/>
        </w:rPr>
        <w:t>practices.The</w:t>
      </w:r>
      <w:proofErr w:type="spellEnd"/>
      <w:r>
        <w:rPr>
          <w:rFonts w:ascii="Times New Roman" w:hAnsi="Times New Roman" w:cs="Times New Roman"/>
          <w:bCs/>
          <w:sz w:val="24"/>
          <w:szCs w:val="24"/>
        </w:rPr>
        <w:t xml:space="preserve"> high level of prevention in reducing product losses and wastage in distribution companies, based on the participants’ perceptions, suggested that waste reduction practices were already well integrated into the company’s operational processes. </w:t>
      </w:r>
    </w:p>
    <w:p w:rsidR="00AF32C1" w:rsidRDefault="00F01738">
      <w:pPr>
        <w:spacing w:before="120" w:after="120"/>
        <w:ind w:leftChars="200" w:left="400" w:firstLine="715"/>
        <w:jc w:val="both"/>
        <w:rPr>
          <w:rFonts w:ascii="Times New Roman" w:hAnsi="Times New Roman" w:cs="Times New Roman"/>
          <w:bCs/>
          <w:sz w:val="24"/>
          <w:szCs w:val="24"/>
        </w:rPr>
      </w:pPr>
      <w:r>
        <w:rPr>
          <w:rFonts w:ascii="Times New Roman" w:hAnsi="Times New Roman" w:cs="Times New Roman"/>
          <w:bCs/>
          <w:sz w:val="24"/>
          <w:szCs w:val="24"/>
        </w:rPr>
        <w:t xml:space="preserve">Among the indicators under sustainable audit methods, Process Compliance Practices (–0.279) recorded the highest canonical loading, suggesting that adherence to standardized procedures, operational protocols, and documentation played the most influential role in preventing operational leakages. This indicated that consistent compliance with audit procedures was central to minimizing risks and maintaining operational </w:t>
      </w:r>
      <w:proofErr w:type="spellStart"/>
      <w:r>
        <w:rPr>
          <w:rFonts w:ascii="Times New Roman" w:hAnsi="Times New Roman" w:cs="Times New Roman"/>
          <w:bCs/>
          <w:sz w:val="24"/>
          <w:szCs w:val="24"/>
        </w:rPr>
        <w:t>efficiency.</w:t>
      </w:r>
      <w:r>
        <w:rPr>
          <w:rFonts w:ascii="Times New Roman" w:hAnsi="Times New Roman" w:cs="Times New Roman"/>
          <w:sz w:val="24"/>
          <w:szCs w:val="24"/>
        </w:rPr>
        <w:t>The</w:t>
      </w:r>
      <w:proofErr w:type="spellEnd"/>
      <w:r>
        <w:rPr>
          <w:rFonts w:ascii="Times New Roman" w:hAnsi="Times New Roman" w:cs="Times New Roman"/>
          <w:sz w:val="24"/>
          <w:szCs w:val="24"/>
        </w:rPr>
        <w:t xml:space="preserve"> study's findings demonstrate how the organization's internal control and operational stability are strengthened by the methodical embedding and etching of audit systems, procedures, techniques, and practices. Through the integration of high quality training, focused training and improvement of technology and process, organizations like distribution businesses are able to utilize and maximize diverse approaches and practices, which translate to greater efficiency in resources, reduction of leakages, and sustainable operational performance. These coordinated actions anchor both the environmental stewardship and performance </w:t>
      </w:r>
    </w:p>
    <w:p w:rsidR="00AF32C1" w:rsidRDefault="00AF32C1">
      <w:pPr>
        <w:spacing w:before="120" w:after="120"/>
        <w:ind w:leftChars="200" w:left="400"/>
        <w:jc w:val="both"/>
        <w:rPr>
          <w:rFonts w:ascii="Times New Roman" w:hAnsi="Times New Roman" w:cs="Times New Roman"/>
          <w:bCs/>
          <w:sz w:val="24"/>
          <w:szCs w:val="24"/>
        </w:rPr>
      </w:pPr>
    </w:p>
    <w:p w:rsidR="00AF32C1" w:rsidRDefault="00F01738">
      <w:pPr>
        <w:spacing w:before="120" w:after="120"/>
        <w:ind w:leftChars="200" w:left="400"/>
        <w:jc w:val="both"/>
        <w:rPr>
          <w:rFonts w:ascii="Times New Roman" w:hAnsi="Times New Roman" w:cs="Times New Roman"/>
          <w:b/>
          <w:bCs/>
          <w:sz w:val="28"/>
          <w:szCs w:val="28"/>
        </w:rPr>
      </w:pPr>
      <w:r>
        <w:rPr>
          <w:rFonts w:ascii="Times New Roman" w:hAnsi="Times New Roman" w:cs="Times New Roman"/>
          <w:b/>
          <w:bCs/>
          <w:sz w:val="28"/>
          <w:szCs w:val="28"/>
        </w:rPr>
        <w:t>CONCLUSION</w:t>
      </w:r>
    </w:p>
    <w:p w:rsidR="00AF32C1" w:rsidRDefault="00F01738">
      <w:pPr>
        <w:spacing w:before="120" w:after="120"/>
        <w:ind w:leftChars="200" w:left="400" w:firstLine="716"/>
        <w:jc w:val="both"/>
        <w:rPr>
          <w:rFonts w:ascii="Times New Roman" w:hAnsi="Times New Roman" w:cs="Times New Roman"/>
          <w:sz w:val="24"/>
          <w:szCs w:val="24"/>
        </w:rPr>
      </w:pPr>
      <w:r>
        <w:rPr>
          <w:rFonts w:ascii="Times New Roman" w:hAnsi="Times New Roman" w:cs="Times New Roman"/>
          <w:sz w:val="24"/>
          <w:szCs w:val="24"/>
        </w:rPr>
        <w:t xml:space="preserve">The study examined the implementation and effectiveness of operational and sustainable audit methods in distribution companies, with emphasis on risk-based auditing, compliance practices, eco-friendly initiatives, waste reduction, energy efficiency, employee training, and operational leak prevention. The results demonstrate that these audit mechanisms are systematically embedded in the organization’s processes and help strengthen internal control and operational stability. This study provides a unique contribution by offering the first localized, empirical investigation of operational leak prevention in a rural Philippine distribution company in </w:t>
      </w:r>
      <w:proofErr w:type="spellStart"/>
      <w:r>
        <w:rPr>
          <w:rFonts w:ascii="Times New Roman" w:hAnsi="Times New Roman" w:cs="Times New Roman"/>
          <w:sz w:val="24"/>
          <w:szCs w:val="24"/>
        </w:rPr>
        <w:t>Misamis</w:t>
      </w:r>
      <w:proofErr w:type="spellEnd"/>
      <w:r>
        <w:rPr>
          <w:rFonts w:ascii="Times New Roman" w:hAnsi="Times New Roman" w:cs="Times New Roman"/>
          <w:sz w:val="24"/>
          <w:szCs w:val="24"/>
        </w:rPr>
        <w:t xml:space="preserve"> Oriental, tailored to similar small-to-medium distribution firms in developing regions, a context rarely examined in existing auditing and sustainability literature, which predominantly focuses on urban/global supply chains, manufacturing, or financial audits.</w:t>
      </w:r>
    </w:p>
    <w:p w:rsidR="00AF32C1" w:rsidRDefault="00F01738">
      <w:pPr>
        <w:spacing w:before="120" w:after="120"/>
        <w:ind w:leftChars="200" w:left="400" w:firstLine="716"/>
        <w:jc w:val="both"/>
        <w:rPr>
          <w:rFonts w:ascii="Times New Roman" w:hAnsi="Times New Roman" w:cs="Times New Roman"/>
          <w:sz w:val="24"/>
          <w:szCs w:val="24"/>
        </w:rPr>
      </w:pPr>
      <w:r>
        <w:rPr>
          <w:rFonts w:ascii="Times New Roman" w:hAnsi="Times New Roman" w:cs="Times New Roman"/>
          <w:sz w:val="24"/>
          <w:szCs w:val="24"/>
        </w:rPr>
        <w:t>The company demonstrates a methodical approach to sustainability and compliance, bolstered by ongoing capability development and active employee involvement. Environmentally conscious behaviors are reinforced while operational discipline is improved through training programs and sustainability-driven projects. Both environmental stewardship and performance enhancement are supported by these coordinated initiatives.</w:t>
      </w:r>
      <w:r>
        <w:rPr>
          <w:rFonts w:ascii="Times New Roman" w:hAnsi="Times New Roman" w:cs="Times New Roman"/>
          <w:sz w:val="24"/>
          <w:szCs w:val="24"/>
        </w:rPr>
        <w:br/>
      </w:r>
      <w:r>
        <w:rPr>
          <w:rFonts w:ascii="Times New Roman" w:hAnsi="Times New Roman" w:cs="Times New Roman"/>
          <w:sz w:val="24"/>
          <w:szCs w:val="24"/>
        </w:rPr>
        <w:tab/>
        <w:t xml:space="preserve">     Overall, the study confirms that a strong framework for risk management, efficiency improvement, and long-term organizational performance is provided by coordinating operational audits with sustainability-oriented policies.</w:t>
      </w:r>
    </w:p>
    <w:p w:rsidR="00AF32C1" w:rsidRDefault="00AF32C1">
      <w:pPr>
        <w:spacing w:before="120" w:after="120"/>
        <w:ind w:leftChars="200" w:left="400" w:firstLine="716"/>
        <w:jc w:val="both"/>
        <w:rPr>
          <w:rFonts w:ascii="Times New Roman" w:hAnsi="Times New Roman" w:cs="Times New Roman"/>
          <w:sz w:val="24"/>
          <w:szCs w:val="24"/>
        </w:rPr>
      </w:pPr>
    </w:p>
    <w:p w:rsidR="00AF32C1" w:rsidRDefault="00F01738">
      <w:pPr>
        <w:spacing w:before="120" w:after="120"/>
        <w:ind w:firstLineChars="150" w:firstLine="422"/>
        <w:rPr>
          <w:rFonts w:ascii="Times New Roman" w:hAnsi="Times New Roman" w:cs="Times New Roman"/>
          <w:b/>
          <w:bCs/>
          <w:sz w:val="28"/>
          <w:szCs w:val="28"/>
        </w:rPr>
      </w:pPr>
      <w:r>
        <w:rPr>
          <w:rFonts w:ascii="Times New Roman" w:hAnsi="Times New Roman" w:cs="Times New Roman"/>
          <w:b/>
          <w:bCs/>
          <w:sz w:val="28"/>
          <w:szCs w:val="28"/>
        </w:rPr>
        <w:t>RECOMMENDATIONS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Based on the findings of this study, the following recommendations are endorsed. Each recommendation specifies the responsible stakeholders to ensure clarity in implementation and accountability. </w:t>
      </w:r>
      <w:r>
        <w:rPr>
          <w:rFonts w:ascii="Times New Roman" w:hAnsi="Times New Roman" w:cs="Times New Roman"/>
          <w:sz w:val="24"/>
          <w:szCs w:val="24"/>
        </w:rPr>
        <w:tab/>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Distribution Company Management -</w:t>
      </w:r>
      <w:r>
        <w:rPr>
          <w:rFonts w:ascii="Times New Roman" w:hAnsi="Times New Roman" w:cs="Times New Roman"/>
          <w:sz w:val="24"/>
          <w:szCs w:val="24"/>
        </w:rPr>
        <w:t xml:space="preserve"> Distribution company management shall strengthen operational audit practices by prioritizing high-risk areas, implementing robust audit procedures, and </w:t>
      </w:r>
      <w:r>
        <w:rPr>
          <w:rFonts w:ascii="Times New Roman" w:hAnsi="Times New Roman" w:cs="Times New Roman"/>
          <w:sz w:val="24"/>
          <w:szCs w:val="24"/>
        </w:rPr>
        <w:lastRenderedPageBreak/>
        <w:t>ensuring consistent application across all departments. This shall be undertaken to maintain operational efficiency and strengthen the effectiveness of internal control systems.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Sustainability or Environmental Compliance Officers -</w:t>
      </w:r>
      <w:r>
        <w:rPr>
          <w:rFonts w:ascii="Times New Roman" w:hAnsi="Times New Roman" w:cs="Times New Roman"/>
          <w:sz w:val="24"/>
          <w:szCs w:val="24"/>
        </w:rPr>
        <w:t xml:space="preserve"> Sustainability or environmental compliance officers shall strengthen eco-friendly practices by promoting waste reduction and energy efficiency initiatives. They shall conduct regular monitoring, update sustainability policies as needed, and ensure clear communication with employees to promote consistent implementation and active participation in sustainability audit programs.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Human Resource and Training Departments -</w:t>
      </w:r>
      <w:r>
        <w:rPr>
          <w:rFonts w:ascii="Times New Roman" w:hAnsi="Times New Roman" w:cs="Times New Roman"/>
          <w:sz w:val="24"/>
          <w:szCs w:val="24"/>
        </w:rPr>
        <w:t xml:space="preserve"> Human resource and training departments shall develop and implement comprehensive training programs focused on operational leak prevention, energy efficiency, and sustainable practices. Training shall be practical, scenario-based, and strategically scheduled to minimize operational disruption while maximizing employee engagement and effective skill application.</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 xml:space="preserve">For Operational Staff and Employees - </w:t>
      </w:r>
      <w:r>
        <w:rPr>
          <w:rFonts w:ascii="Times New Roman" w:hAnsi="Times New Roman" w:cs="Times New Roman"/>
          <w:sz w:val="24"/>
          <w:szCs w:val="24"/>
        </w:rPr>
        <w:t>Operational staff and employees shall actively participate in audit processes, adhere to audit recommendations, and promptly report operational issues. Their proactive compliance and accountability are essential in sustaining operational efficiency and ensuring environmental compliance.</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External Auditors and Consultants-</w:t>
      </w:r>
      <w:r>
        <w:rPr>
          <w:rFonts w:ascii="Times New Roman" w:hAnsi="Times New Roman" w:cs="Times New Roman"/>
          <w:sz w:val="24"/>
          <w:szCs w:val="24"/>
        </w:rPr>
        <w:t xml:space="preserve"> External auditors and sustainability consultants shall provide actionable feedback, identify implementation gaps, and recommend practical strategies to enhance risk mitigation, resource efficiency, and compliance with environmental standards.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 xml:space="preserve">For Future Researchers - </w:t>
      </w:r>
      <w:r>
        <w:rPr>
          <w:rFonts w:ascii="Times New Roman" w:hAnsi="Times New Roman" w:cs="Times New Roman"/>
          <w:sz w:val="24"/>
          <w:szCs w:val="24"/>
        </w:rPr>
        <w:t>Future researchers may expand this study by examining additional factors that influence operational and sustainable audit effectiveness, such as organizational culture, employee engagement, and technological integration, to provide broader insights and strengthen future findings.</w:t>
      </w:r>
    </w:p>
    <w:p w:rsidR="00AF32C1" w:rsidRDefault="00AF32C1">
      <w:pPr>
        <w:spacing w:before="120" w:after="120"/>
        <w:ind w:leftChars="200" w:left="400"/>
        <w:rPr>
          <w:rFonts w:ascii="Times New Roman" w:hAnsi="Times New Roman" w:cs="Times New Roman"/>
          <w:sz w:val="24"/>
          <w:szCs w:val="24"/>
        </w:rPr>
      </w:pPr>
    </w:p>
    <w:p w:rsidR="00AF32C1" w:rsidRDefault="00F01738">
      <w:pPr>
        <w:spacing w:before="120" w:after="120"/>
        <w:ind w:leftChars="200" w:left="400"/>
        <w:jc w:val="center"/>
        <w:rPr>
          <w:rFonts w:ascii="Times New Roman" w:hAnsi="Times New Roman" w:cs="Times New Roman"/>
          <w:sz w:val="24"/>
          <w:szCs w:val="24"/>
        </w:rPr>
      </w:pPr>
      <w:r>
        <w:rPr>
          <w:rFonts w:ascii="Times New Roman" w:hAnsi="Times New Roman" w:cs="Times New Roman"/>
          <w:b/>
          <w:bCs/>
          <w:sz w:val="24"/>
          <w:szCs w:val="24"/>
        </w:rPr>
        <w:t>REFERENCES</w:t>
      </w:r>
    </w:p>
    <w:p w:rsidR="00AF32C1" w:rsidRDefault="00AF32C1">
      <w:pPr>
        <w:spacing w:before="120" w:after="120"/>
        <w:ind w:leftChars="200" w:left="400"/>
        <w:rPr>
          <w:rFonts w:ascii="Times New Roman" w:hAnsi="Times New Roman" w:cs="Times New Roman"/>
          <w:sz w:val="24"/>
          <w:szCs w:val="24"/>
        </w:rPr>
      </w:pP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Abdulameer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Obaid</w:t>
      </w:r>
      <w:proofErr w:type="spellEnd"/>
      <w:r>
        <w:rPr>
          <w:rFonts w:ascii="Times New Roman" w:hAnsi="Times New Roman" w:cs="Times New Roman"/>
          <w:sz w:val="24"/>
          <w:szCs w:val="24"/>
        </w:rPr>
        <w:t xml:space="preserve"> N, &amp; </w:t>
      </w:r>
      <w:proofErr w:type="spellStart"/>
      <w:r>
        <w:rPr>
          <w:rFonts w:ascii="Times New Roman" w:hAnsi="Times New Roman" w:cs="Times New Roman"/>
          <w:sz w:val="24"/>
          <w:szCs w:val="24"/>
        </w:rPr>
        <w:t>Alreeshawee</w:t>
      </w:r>
      <w:proofErr w:type="spellEnd"/>
      <w:r>
        <w:rPr>
          <w:rFonts w:ascii="Times New Roman" w:hAnsi="Times New Roman" w:cs="Times New Roman"/>
          <w:sz w:val="24"/>
          <w:szCs w:val="24"/>
        </w:rPr>
        <w:t xml:space="preserve">, R. (2023). The Role of Strategic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Auditing In Achieving Sustainable Performance And Its Impact On   Improving The Competitive Advantage Of The Product (A Practical Study In Some Organizations Registered In The Iraq Stock Exchange). World Bulletin of Management and Law, 22, 75–87. Retrieved from https://scholarexpress.net/index.php/wbml/article/view/2727</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E.A., (2020), ‘Internal control procedures and firm’s performance’, International Journal of Scientific and Technology Research 9(2), 6407–6415.</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Adams, M.B. (1994). "Agency Theory and the Internal Audit", Managerial Auditing Journal, Vol. 9, No. 8, pp. 8–12. https://doi.org/10.1108/02686909410071133</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Agyemang</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Yusheng</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Twum</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Ayamba</w:t>
      </w:r>
      <w:proofErr w:type="spellEnd"/>
      <w:r>
        <w:rPr>
          <w:rFonts w:ascii="Times New Roman" w:hAnsi="Times New Roman" w:cs="Times New Roman"/>
          <w:sz w:val="24"/>
          <w:szCs w:val="24"/>
        </w:rPr>
        <w:t xml:space="preserve">, E. C., </w:t>
      </w:r>
      <w:proofErr w:type="spellStart"/>
      <w:r>
        <w:rPr>
          <w:rFonts w:ascii="Times New Roman" w:hAnsi="Times New Roman" w:cs="Times New Roman"/>
          <w:sz w:val="24"/>
          <w:szCs w:val="24"/>
        </w:rPr>
        <w:t>Kongkuah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Musah</w:t>
      </w:r>
      <w:proofErr w:type="spellEnd"/>
      <w:r>
        <w:rPr>
          <w:rFonts w:ascii="Times New Roman" w:hAnsi="Times New Roman" w:cs="Times New Roman"/>
          <w:sz w:val="24"/>
          <w:szCs w:val="24"/>
        </w:rPr>
        <w:t>, M. (2021). Trend and relationship between environmental accounting disclosure and environmental performance for mining companies listed in China. Environment Development and Sustainability, 23(8), 12192–12216. https://doi. org/10.1007/s10668-020-01164-4</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Agyemang</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Yusheng</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Twum</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Edziah</w:t>
      </w:r>
      <w:proofErr w:type="spellEnd"/>
      <w:r>
        <w:rPr>
          <w:rFonts w:ascii="Times New Roman" w:hAnsi="Times New Roman" w:cs="Times New Roman"/>
          <w:sz w:val="24"/>
          <w:szCs w:val="24"/>
        </w:rPr>
        <w:t xml:space="preserve">, B. K., &amp; </w:t>
      </w:r>
      <w:proofErr w:type="spellStart"/>
      <w:r>
        <w:rPr>
          <w:rFonts w:ascii="Times New Roman" w:hAnsi="Times New Roman" w:cs="Times New Roman"/>
          <w:sz w:val="24"/>
          <w:szCs w:val="24"/>
        </w:rPr>
        <w:t>Ayamba</w:t>
      </w:r>
      <w:proofErr w:type="spellEnd"/>
      <w:r>
        <w:rPr>
          <w:rFonts w:ascii="Times New Roman" w:hAnsi="Times New Roman" w:cs="Times New Roman"/>
          <w:sz w:val="24"/>
          <w:szCs w:val="24"/>
        </w:rPr>
        <w:t>, E. C. (2023). Environmental accounting and performance: Empirical evidence from China. Environment Development and Sustainability, 1–26. https://doi. org/10.1007/s10668-022-02853-y</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Ahmed, A., &amp; Hussain, A. (2024). Auditor’s response to firm’s environmental violations and engagement in supplemental environmental projects. Journal of Financial Reporting &amp; Accounting. https://doi.org/10.1108/jfra-12-2023-0739</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Alharasis</w:t>
      </w:r>
      <w:proofErr w:type="spellEnd"/>
      <w:r>
        <w:rPr>
          <w:rFonts w:ascii="Times New Roman" w:hAnsi="Times New Roman" w:cs="Times New Roman"/>
          <w:sz w:val="24"/>
          <w:szCs w:val="24"/>
        </w:rPr>
        <w:t xml:space="preserve">, E. E., </w:t>
      </w:r>
      <w:proofErr w:type="spellStart"/>
      <w:r>
        <w:rPr>
          <w:rFonts w:ascii="Times New Roman" w:hAnsi="Times New Roman" w:cs="Times New Roman"/>
          <w:sz w:val="24"/>
          <w:szCs w:val="24"/>
        </w:rPr>
        <w:t>Alhadab</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Alidarous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Jamaani</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Alkhwaldi</w:t>
      </w:r>
      <w:proofErr w:type="spellEnd"/>
      <w:r>
        <w:rPr>
          <w:rFonts w:ascii="Times New Roman" w:hAnsi="Times New Roman" w:cs="Times New Roman"/>
          <w:sz w:val="24"/>
          <w:szCs w:val="24"/>
        </w:rPr>
        <w:t>, A. F. (2023). The impact of COVID-19 on the relationship between auditor industry specialization and audit fees: Empirical evidence from Jordan. Journal of Financial Reporting and Accounting. Ahead-of- print. https://doi.org/10.1108/JFRA-01-2023-0052</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Ali, M. U., &amp; Nicholson-Crotty, S. (2020). Examining the Accountability-  Performance Link: The Case of Citizen Oversight of Police. Public Performance &amp; Management Review, 1–37.</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Alvarez, R., &amp; Gupta, S. (2022).Operational leak prevention in distribution</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sectors: Emerging risks and auditing strategies. Journal of Business Risk</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Management, 15(3), 45-62.</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Alzeban</w:t>
      </w:r>
      <w:proofErr w:type="spellEnd"/>
      <w:r>
        <w:rPr>
          <w:rFonts w:ascii="Times New Roman" w:hAnsi="Times New Roman" w:cs="Times New Roman"/>
          <w:sz w:val="24"/>
          <w:szCs w:val="24"/>
        </w:rPr>
        <w:t>, 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Gwilliam</w:t>
      </w:r>
      <w:proofErr w:type="spellEnd"/>
      <w:r>
        <w:rPr>
          <w:rFonts w:ascii="Times New Roman" w:hAnsi="Times New Roman" w:cs="Times New Roman"/>
          <w:sz w:val="24"/>
          <w:szCs w:val="24"/>
        </w:rPr>
        <w:t>, D. (2020) Factors affecting the internal audit effectiveness: a survey of the Saudi public sector, J. Int. Account. Audit. Taxa. 74– 86, https://doi.org/10.1016/j.intaccaudtax.2014.06.001.</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Anwar, G., &amp; </w:t>
      </w:r>
      <w:proofErr w:type="spellStart"/>
      <w:r>
        <w:rPr>
          <w:rFonts w:ascii="Times New Roman" w:hAnsi="Times New Roman" w:cs="Times New Roman"/>
          <w:sz w:val="24"/>
          <w:szCs w:val="24"/>
        </w:rPr>
        <w:t>Surarchith</w:t>
      </w:r>
      <w:proofErr w:type="spellEnd"/>
      <w:r>
        <w:rPr>
          <w:rFonts w:ascii="Times New Roman" w:hAnsi="Times New Roman" w:cs="Times New Roman"/>
          <w:sz w:val="24"/>
          <w:szCs w:val="24"/>
        </w:rPr>
        <w:t xml:space="preserve">, N. K. (2015). Factors Affecting Shoppers’ Behavior in Erbil, Kurdistan–Iraq. International Journal of Social Sciences &amp; Educational Studies, 1(4), 10.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Anwar, G., &amp; Abdullah, N. N. (2021). Inspiring future entrepreneurs: The effect of experiential learning on the entrepreneurial intention at higher education. International Journal of English Literature and Social Sciences, 6. </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Arikkök</w:t>
      </w:r>
      <w:proofErr w:type="spellEnd"/>
      <w:r>
        <w:rPr>
          <w:rFonts w:ascii="Times New Roman" w:hAnsi="Times New Roman" w:cs="Times New Roman"/>
          <w:sz w:val="24"/>
          <w:szCs w:val="24"/>
        </w:rPr>
        <w:t>, M. (2017). Total Quality Management.  10.13140/RG.2.2.15304.72969.</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Arokodare</w:t>
      </w:r>
      <w:proofErr w:type="spellEnd"/>
      <w:r>
        <w:rPr>
          <w:rFonts w:ascii="Times New Roman" w:hAnsi="Times New Roman" w:cs="Times New Roman"/>
          <w:sz w:val="24"/>
          <w:szCs w:val="24"/>
        </w:rPr>
        <w:t>, A. (2020). Strategic agility: Achieving superior organizational performance through strategic foresight. Global Journal of Management and Business Research.</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Ebrahimi</w:t>
      </w:r>
      <w:proofErr w:type="spellEnd"/>
      <w:r>
        <w:rPr>
          <w:rFonts w:ascii="Times New Roman" w:hAnsi="Times New Roman" w:cs="Times New Roman"/>
          <w:sz w:val="24"/>
          <w:szCs w:val="24"/>
        </w:rPr>
        <w:t xml:space="preserve">, S. M., &amp; </w:t>
      </w:r>
      <w:proofErr w:type="spellStart"/>
      <w:r>
        <w:rPr>
          <w:rFonts w:ascii="Times New Roman" w:hAnsi="Times New Roman" w:cs="Times New Roman"/>
          <w:sz w:val="24"/>
          <w:szCs w:val="24"/>
        </w:rPr>
        <w:t>Koh</w:t>
      </w:r>
      <w:proofErr w:type="spellEnd"/>
      <w:r>
        <w:rPr>
          <w:rFonts w:ascii="Times New Roman" w:hAnsi="Times New Roman" w:cs="Times New Roman"/>
          <w:sz w:val="24"/>
          <w:szCs w:val="24"/>
        </w:rPr>
        <w:t>, L. (2021). Manufacturing sustainability: Institutional theory and life cycle thinking. Journal of Cleaner Production, 298, 126787. https:// doi.org/10.1016/j.jclepro.2021.126787</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Eissa</w:t>
      </w:r>
      <w:proofErr w:type="spellEnd"/>
      <w:r>
        <w:rPr>
          <w:rFonts w:ascii="Times New Roman" w:hAnsi="Times New Roman" w:cs="Times New Roman"/>
          <w:sz w:val="24"/>
          <w:szCs w:val="24"/>
        </w:rPr>
        <w:t xml:space="preserve"> N., Gerard F., &amp; Zeitlin, A. (2020). Impacts of an innovative audit strategy: Pre-Analysis Plan. National Tax Journal, 112, 1-12. https://doi.org/10.17310/ntj.2019.1.01 </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Emroozi</w:t>
      </w:r>
      <w:proofErr w:type="spellEnd"/>
      <w:r>
        <w:rPr>
          <w:rFonts w:ascii="Times New Roman" w:hAnsi="Times New Roman" w:cs="Times New Roman"/>
          <w:sz w:val="24"/>
          <w:szCs w:val="24"/>
        </w:rPr>
        <w:t>, V. B., et al. (2025). Enhancing industrial maintenance planning: Optimization of human error reduction and spare parts management. Journal of Industrial Information Integration. https://doi.org/10.1016/j.jii.2025.100012 (or relevant DOI from source)</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European Commission. (2020). Sustainable audit methods in distribution: Integrating eco-friendly, waste, and energy practices. https://ec.europa.eu/info/sites/default/files/sustainable-audit-methods-distribution.pdf</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Farouk, A. M., &amp; Hassan, U. S. (2014). Impact of audit quality and financial performance of quoted cement firms in Nigeria. International Journal of Accounting and Taxation, America, 2(2), 01-22.</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Institute of Internal Auditors (IIA). (2019) The IIA’s Code of </w:t>
      </w:r>
      <w:proofErr w:type="gramStart"/>
      <w:r>
        <w:rPr>
          <w:rFonts w:ascii="Times New Roman" w:hAnsi="Times New Roman" w:cs="Times New Roman"/>
          <w:sz w:val="24"/>
          <w:szCs w:val="24"/>
        </w:rPr>
        <w:t>Ethics  https</w:t>
      </w:r>
      <w:proofErr w:type="gramEnd"/>
      <w:r>
        <w:rPr>
          <w:rFonts w:ascii="Times New Roman" w:hAnsi="Times New Roman" w:cs="Times New Roman"/>
          <w:sz w:val="24"/>
          <w:szCs w:val="24"/>
        </w:rPr>
        <w:t xml:space="preserve">://globaliia.org/standardsguidance/mandatoryguidance/Pages/Code-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Institute of Internal Auditors (IIA). (2023). International standards for the</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professional practice of internal auditing. IIA Publications.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U.S. Energy Information Administration. (2024). Energy efficiency and conservation.       https://www.eia.gov/energyexplained/use-of-energy/efficiency-and- </w:t>
      </w:r>
      <w:r>
        <w:rPr>
          <w:rFonts w:ascii="Times New Roman" w:hAnsi="Times New Roman" w:cs="Times New Roman"/>
          <w:sz w:val="24"/>
          <w:szCs w:val="24"/>
        </w:rPr>
        <w:tab/>
      </w:r>
      <w:proofErr w:type="spellStart"/>
      <w:r>
        <w:rPr>
          <w:rFonts w:ascii="Times New Roman" w:hAnsi="Times New Roman" w:cs="Times New Roman"/>
          <w:sz w:val="24"/>
          <w:szCs w:val="24"/>
        </w:rPr>
        <w:t>conservation.php</w:t>
      </w:r>
      <w:proofErr w:type="spellEnd"/>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Vulley</w:t>
      </w:r>
      <w:proofErr w:type="spellEnd"/>
      <w:r>
        <w:rPr>
          <w:rFonts w:ascii="Times New Roman" w:hAnsi="Times New Roman" w:cs="Times New Roman"/>
          <w:sz w:val="24"/>
          <w:szCs w:val="24"/>
        </w:rPr>
        <w:t xml:space="preserve">, D. (2022). Factors influencing the effectiveness of internal control systems: A </w:t>
      </w:r>
      <w:r>
        <w:rPr>
          <w:rFonts w:ascii="Times New Roman" w:hAnsi="Times New Roman" w:cs="Times New Roman"/>
          <w:sz w:val="24"/>
          <w:szCs w:val="24"/>
        </w:rPr>
        <w:tab/>
        <w:t>case study of commercial banks in Ghana. European Journal of Accounting, Auditing and Finance Research, 10(4), 63–75</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Wang, J., Li, Y., &amp; Wu, J. (2021). Audits enhancing operational efficiency. Energy </w:t>
      </w:r>
      <w:r>
        <w:rPr>
          <w:rFonts w:ascii="Times New Roman" w:hAnsi="Times New Roman" w:cs="Times New Roman"/>
          <w:sz w:val="24"/>
          <w:szCs w:val="24"/>
        </w:rPr>
        <w:tab/>
        <w:t xml:space="preserve">Policy, 149*, 112034. https://doi.org/10.1016/j.enpol.2020.112034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lastRenderedPageBreak/>
        <w:t xml:space="preserve">Wang, X., &amp; Liu, Y. (2023). The Impact of Sustainable Auditing on Stakeholder </w:t>
      </w:r>
      <w:proofErr w:type="spellStart"/>
      <w:r>
        <w:rPr>
          <w:rFonts w:ascii="Times New Roman" w:hAnsi="Times New Roman" w:cs="Times New Roman"/>
          <w:sz w:val="24"/>
          <w:szCs w:val="24"/>
        </w:rPr>
        <w:t>Perceptions</w:t>
      </w:r>
      <w:proofErr w:type="gramStart"/>
      <w:r>
        <w:rPr>
          <w:rFonts w:ascii="Times New Roman" w:hAnsi="Times New Roman" w:cs="Times New Roman"/>
          <w:sz w:val="24"/>
          <w:szCs w:val="24"/>
        </w:rPr>
        <w:t>:Evidence</w:t>
      </w:r>
      <w:proofErr w:type="spellEnd"/>
      <w:proofErr w:type="gramEnd"/>
      <w:r>
        <w:rPr>
          <w:rFonts w:ascii="Times New Roman" w:hAnsi="Times New Roman" w:cs="Times New Roman"/>
          <w:sz w:val="24"/>
          <w:szCs w:val="24"/>
        </w:rPr>
        <w:t xml:space="preserve"> from </w:t>
      </w:r>
      <w:proofErr w:type="spellStart"/>
      <w:r>
        <w:rPr>
          <w:rFonts w:ascii="Times New Roman" w:hAnsi="Times New Roman" w:cs="Times New Roman"/>
          <w:sz w:val="24"/>
          <w:szCs w:val="24"/>
        </w:rPr>
        <w:t>China.Asia</w:t>
      </w:r>
      <w:proofErr w:type="spellEnd"/>
      <w:r>
        <w:rPr>
          <w:rFonts w:ascii="Times New Roman" w:hAnsi="Times New Roman" w:cs="Times New Roman"/>
          <w:sz w:val="24"/>
          <w:szCs w:val="24"/>
        </w:rPr>
        <w:t xml:space="preserve">-Pacific Journal of Accounting &amp; </w:t>
      </w:r>
      <w:r>
        <w:rPr>
          <w:rFonts w:ascii="Times New Roman" w:hAnsi="Times New Roman" w:cs="Times New Roman"/>
          <w:sz w:val="24"/>
          <w:szCs w:val="24"/>
        </w:rPr>
        <w:tab/>
        <w:t>Economics,30(1-2),167-185.https://doi.org/10.1080/16081625.2021.1938209</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Williams, E., Erasmus, P., &amp; Coetzee, S. (2021). Internal auditing for organizational </w:t>
      </w:r>
      <w:r>
        <w:rPr>
          <w:rFonts w:ascii="Times New Roman" w:hAnsi="Times New Roman" w:cs="Times New Roman"/>
          <w:sz w:val="24"/>
          <w:szCs w:val="24"/>
        </w:rPr>
        <w:tab/>
        <w:t xml:space="preserve">sustainability. Sustainability Accounting, Management and Policy Journal, </w:t>
      </w:r>
      <w:r>
        <w:rPr>
          <w:rFonts w:ascii="Times New Roman" w:hAnsi="Times New Roman" w:cs="Times New Roman"/>
          <w:sz w:val="24"/>
          <w:szCs w:val="24"/>
        </w:rPr>
        <w:tab/>
        <w:t>12(3), 445-462.</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Zhang, Y., Ren, S., &amp; Si, S. (2023).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minimizing product losses in supply </w:t>
      </w:r>
      <w:r>
        <w:rPr>
          <w:rFonts w:ascii="Times New Roman" w:hAnsi="Times New Roman" w:cs="Times New Roman"/>
          <w:sz w:val="24"/>
          <w:szCs w:val="24"/>
        </w:rPr>
        <w:tab/>
        <w:t>chains. *International Journal of Production Research, 61*(10), 3387-3406. https://doi.org/10.1080/00207543.2022.2055072</w:t>
      </w:r>
    </w:p>
    <w:p w:rsidR="00AF32C1" w:rsidRDefault="00AF32C1">
      <w:pPr>
        <w:rPr>
          <w:rFonts w:ascii="Arial" w:eastAsia="Arial" w:hAnsi="Arial" w:cs="Arial"/>
          <w:sz w:val="24"/>
          <w:szCs w:val="24"/>
        </w:rPr>
      </w:pPr>
    </w:p>
    <w:sectPr w:rsidR="00AF32C1">
      <w:pgSz w:w="11906" w:h="16838"/>
      <w:pgMar w:top="1440" w:right="506" w:bottom="1440" w:left="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963"/>
    <w:multiLevelType w:val="multilevel"/>
    <w:tmpl w:val="004D4963"/>
    <w:lvl w:ilvl="0">
      <w:start w:val="5"/>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3C26E4"/>
    <w:multiLevelType w:val="multilevel"/>
    <w:tmpl w:val="1E3C26E4"/>
    <w:lvl w:ilvl="0">
      <w:start w:val="2"/>
      <w:numFmt w:val="decimal"/>
      <w:lvlText w:val="%1"/>
      <w:lvlJc w:val="left"/>
      <w:pPr>
        <w:ind w:left="360" w:hanging="360"/>
      </w:pPr>
      <w:rPr>
        <w:rFonts w:ascii="Arial" w:eastAsia="Arial" w:hAnsi="Arial" w:cs="Arial" w:hint="default"/>
        <w:sz w:val="24"/>
      </w:rPr>
    </w:lvl>
    <w:lvl w:ilvl="1">
      <w:start w:val="2"/>
      <w:numFmt w:val="decimal"/>
      <w:lvlText w:val="%1.%2"/>
      <w:lvlJc w:val="left"/>
      <w:pPr>
        <w:ind w:left="1860" w:hanging="360"/>
      </w:pPr>
      <w:rPr>
        <w:rFonts w:ascii="Arial" w:eastAsia="Arial" w:hAnsi="Arial" w:cs="Arial" w:hint="default"/>
        <w:sz w:val="24"/>
      </w:rPr>
    </w:lvl>
    <w:lvl w:ilvl="2">
      <w:start w:val="1"/>
      <w:numFmt w:val="decimal"/>
      <w:lvlText w:val="%1.%2.%3"/>
      <w:lvlJc w:val="left"/>
      <w:pPr>
        <w:ind w:left="3720" w:hanging="720"/>
      </w:pPr>
      <w:rPr>
        <w:rFonts w:ascii="Arial" w:eastAsia="Arial" w:hAnsi="Arial" w:cs="Arial" w:hint="default"/>
        <w:sz w:val="24"/>
      </w:rPr>
    </w:lvl>
    <w:lvl w:ilvl="3">
      <w:start w:val="1"/>
      <w:numFmt w:val="decimal"/>
      <w:lvlText w:val="%1.%2.%3.%4"/>
      <w:lvlJc w:val="left"/>
      <w:pPr>
        <w:ind w:left="5580" w:hanging="1080"/>
      </w:pPr>
      <w:rPr>
        <w:rFonts w:ascii="Arial" w:eastAsia="Arial" w:hAnsi="Arial" w:cs="Arial" w:hint="default"/>
        <w:sz w:val="24"/>
      </w:rPr>
    </w:lvl>
    <w:lvl w:ilvl="4">
      <w:start w:val="1"/>
      <w:numFmt w:val="decimal"/>
      <w:lvlText w:val="%1.%2.%3.%4.%5"/>
      <w:lvlJc w:val="left"/>
      <w:pPr>
        <w:ind w:left="7080" w:hanging="1080"/>
      </w:pPr>
      <w:rPr>
        <w:rFonts w:ascii="Arial" w:eastAsia="Arial" w:hAnsi="Arial" w:cs="Arial" w:hint="default"/>
        <w:sz w:val="24"/>
      </w:rPr>
    </w:lvl>
    <w:lvl w:ilvl="5">
      <w:start w:val="1"/>
      <w:numFmt w:val="decimal"/>
      <w:lvlText w:val="%1.%2.%3.%4.%5.%6"/>
      <w:lvlJc w:val="left"/>
      <w:pPr>
        <w:ind w:left="8940" w:hanging="1440"/>
      </w:pPr>
      <w:rPr>
        <w:rFonts w:ascii="Arial" w:eastAsia="Arial" w:hAnsi="Arial" w:cs="Arial" w:hint="default"/>
        <w:sz w:val="24"/>
      </w:rPr>
    </w:lvl>
    <w:lvl w:ilvl="6">
      <w:start w:val="1"/>
      <w:numFmt w:val="decimal"/>
      <w:lvlText w:val="%1.%2.%3.%4.%5.%6.%7"/>
      <w:lvlJc w:val="left"/>
      <w:pPr>
        <w:ind w:left="10440" w:hanging="1440"/>
      </w:pPr>
      <w:rPr>
        <w:rFonts w:ascii="Arial" w:eastAsia="Arial" w:hAnsi="Arial" w:cs="Arial" w:hint="default"/>
        <w:sz w:val="24"/>
      </w:rPr>
    </w:lvl>
    <w:lvl w:ilvl="7">
      <w:start w:val="1"/>
      <w:numFmt w:val="decimal"/>
      <w:lvlText w:val="%1.%2.%3.%4.%5.%6.%7.%8"/>
      <w:lvlJc w:val="left"/>
      <w:pPr>
        <w:ind w:left="12300" w:hanging="1800"/>
      </w:pPr>
      <w:rPr>
        <w:rFonts w:ascii="Arial" w:eastAsia="Arial" w:hAnsi="Arial" w:cs="Arial" w:hint="default"/>
        <w:sz w:val="24"/>
      </w:rPr>
    </w:lvl>
    <w:lvl w:ilvl="8">
      <w:start w:val="1"/>
      <w:numFmt w:val="decimal"/>
      <w:lvlText w:val="%1.%2.%3.%4.%5.%6.%7.%8.%9"/>
      <w:lvlJc w:val="left"/>
      <w:pPr>
        <w:ind w:left="13800" w:hanging="1800"/>
      </w:pPr>
      <w:rPr>
        <w:rFonts w:ascii="Arial" w:eastAsia="Arial" w:hAnsi="Arial" w:cs="Arial"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91C66"/>
    <w:rsid w:val="00223F9B"/>
    <w:rsid w:val="00AF32C1"/>
    <w:rsid w:val="00F01738"/>
    <w:rsid w:val="3F09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character" w:customStyle="1" w:styleId="cursor-pointer">
    <w:name w:val="cursor-pointer"/>
    <w:basedOn w:val="DefaultParagraphFont"/>
    <w:qFormat/>
  </w:style>
  <w:style w:type="table" w:customStyle="1" w:styleId="Style12">
    <w:name w:val="_Style 12"/>
    <w:basedOn w:val="TableNormal0"/>
    <w:qFormat/>
    <w:tblPr>
      <w:tblCellMar>
        <w:top w:w="0" w:type="dxa"/>
        <w:left w:w="108" w:type="dxa"/>
        <w:bottom w:w="0" w:type="dxa"/>
        <w:right w:w="108"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3">
    <w:name w:val="_Style 13"/>
    <w:basedOn w:val="TableNormal0"/>
    <w:qFormat/>
    <w:tblPr>
      <w:tblCellMar>
        <w:top w:w="0" w:type="dxa"/>
        <w:left w:w="108" w:type="dxa"/>
        <w:bottom w:w="0" w:type="dxa"/>
        <w:right w:w="108" w:type="dxa"/>
      </w:tblCellMar>
    </w:tblPr>
  </w:style>
  <w:style w:type="table" w:customStyle="1" w:styleId="Style14">
    <w:name w:val="_Style 14"/>
    <w:basedOn w:val="TableNormal0"/>
    <w:qFormat/>
    <w:tblPr>
      <w:tblCellMar>
        <w:top w:w="0" w:type="dxa"/>
        <w:left w:w="108" w:type="dxa"/>
        <w:bottom w:w="0" w:type="dxa"/>
        <w:right w:w="108" w:type="dxa"/>
      </w:tblCellMar>
    </w:tblPr>
  </w:style>
  <w:style w:type="table" w:customStyle="1" w:styleId="Style15">
    <w:name w:val="_Style 15"/>
    <w:basedOn w:val="TableNormal0"/>
    <w:qFormat/>
    <w:tblPr>
      <w:tblCellMar>
        <w:top w:w="0" w:type="dxa"/>
        <w:left w:w="108" w:type="dxa"/>
        <w:bottom w:w="0" w:type="dxa"/>
        <w:right w:w="108" w:type="dxa"/>
      </w:tblCellMar>
    </w:tbl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Style17">
    <w:name w:val="_Style 17"/>
    <w:basedOn w:val="TableNormal0"/>
    <w:qFormat/>
    <w:tblPr>
      <w:tblCellMar>
        <w:top w:w="0" w:type="dxa"/>
        <w:left w:w="108" w:type="dxa"/>
        <w:bottom w:w="0" w:type="dxa"/>
        <w:right w:w="108" w:type="dxa"/>
      </w:tblCellMar>
    </w:tblPr>
  </w:style>
  <w:style w:type="table" w:customStyle="1" w:styleId="Style18">
    <w:name w:val="_Style 18"/>
    <w:basedOn w:val="TableNormal0"/>
    <w:qFormat/>
    <w:tblPr>
      <w:tblCellMar>
        <w:top w:w="0" w:type="dxa"/>
        <w:left w:w="108" w:type="dxa"/>
        <w:bottom w:w="0" w:type="dxa"/>
        <w:right w:w="108" w:type="dxa"/>
      </w:tblCellMar>
    </w:tblPr>
  </w:style>
  <w:style w:type="table" w:customStyle="1" w:styleId="Style19">
    <w:name w:val="_Style 19"/>
    <w:basedOn w:val="TableNormal0"/>
    <w:qFormat/>
    <w:tblPr>
      <w:tblCellMar>
        <w:top w:w="0" w:type="dxa"/>
        <w:left w:w="108" w:type="dxa"/>
        <w:bottom w:w="0" w:type="dxa"/>
        <w:right w:w="108" w:type="dxa"/>
      </w:tblCellMar>
    </w:tblPr>
  </w:style>
  <w:style w:type="table" w:customStyle="1" w:styleId="Style20">
    <w:name w:val="_Style 20"/>
    <w:basedOn w:val="TableNormal0"/>
    <w:qFormat/>
    <w:tblPr>
      <w:tblCellMar>
        <w:top w:w="0" w:type="dxa"/>
        <w:left w:w="108" w:type="dxa"/>
        <w:bottom w:w="0" w:type="dxa"/>
        <w:right w:w="108" w:type="dxa"/>
      </w:tblCellMar>
    </w:tblPr>
  </w:style>
  <w:style w:type="table" w:customStyle="1" w:styleId="Style21">
    <w:name w:val="_Style 21"/>
    <w:basedOn w:val="TableNormal0"/>
    <w:qFormat/>
    <w:tblPr>
      <w:tblCellMar>
        <w:top w:w="0" w:type="dxa"/>
        <w:left w:w="108" w:type="dxa"/>
        <w:bottom w:w="0" w:type="dxa"/>
        <w:right w:w="108" w:type="dxa"/>
      </w:tblCellMar>
    </w:tblPr>
  </w:style>
  <w:style w:type="table" w:customStyle="1" w:styleId="Style22">
    <w:name w:val="_Style 22"/>
    <w:basedOn w:val="TableNormal0"/>
    <w:qFormat/>
    <w:tblPr>
      <w:tblCellMar>
        <w:top w:w="0" w:type="dxa"/>
        <w:left w:w="108" w:type="dxa"/>
        <w:bottom w:w="0" w:type="dxa"/>
        <w:right w:w="108" w:type="dxa"/>
      </w:tblCellMar>
    </w:tblPr>
  </w:style>
  <w:style w:type="table" w:customStyle="1" w:styleId="Style23">
    <w:name w:val="_Style 23"/>
    <w:basedOn w:val="TableNormal0"/>
    <w:qFormat/>
    <w:tblPr>
      <w:tblCellMar>
        <w:top w:w="0" w:type="dxa"/>
        <w:left w:w="108" w:type="dxa"/>
        <w:bottom w:w="0" w:type="dxa"/>
        <w:right w:w="108" w:type="dxa"/>
      </w:tblCellMar>
    </w:tblPr>
  </w:style>
  <w:style w:type="table" w:customStyle="1" w:styleId="Style24">
    <w:name w:val="_Style 24"/>
    <w:basedOn w:val="TableNormal0"/>
    <w:qFormat/>
    <w:tblPr>
      <w:tblCellMar>
        <w:top w:w="0" w:type="dxa"/>
        <w:left w:w="108" w:type="dxa"/>
        <w:bottom w:w="0" w:type="dxa"/>
        <w:right w:w="108" w:type="dxa"/>
      </w:tblCellMar>
    </w:tblPr>
  </w:style>
  <w:style w:type="table" w:customStyle="1" w:styleId="Style25">
    <w:name w:val="_Style 25"/>
    <w:basedOn w:val="TableNormal0"/>
    <w:qFormat/>
    <w:tblPr>
      <w:tblCellMar>
        <w:top w:w="0" w:type="dxa"/>
        <w:left w:w="108" w:type="dxa"/>
        <w:bottom w:w="0" w:type="dxa"/>
        <w:right w:w="108" w:type="dxa"/>
      </w:tblCellMar>
    </w:tblPr>
  </w:style>
  <w:style w:type="table" w:customStyle="1" w:styleId="Style26">
    <w:name w:val="_Style 26"/>
    <w:basedOn w:val="TableNormal0"/>
    <w:qFormat/>
    <w:tblPr>
      <w:tblCellMar>
        <w:top w:w="0" w:type="dxa"/>
        <w:left w:w="108" w:type="dxa"/>
        <w:bottom w:w="0" w:type="dxa"/>
        <w:right w:w="108" w:type="dxa"/>
      </w:tblCellMar>
    </w:tblPr>
  </w:style>
  <w:style w:type="table" w:customStyle="1" w:styleId="Style27">
    <w:name w:val="_Style 27"/>
    <w:basedOn w:val="TableNormal0"/>
    <w:qFormat/>
    <w:tblPr>
      <w:tblCellMar>
        <w:top w:w="0" w:type="dxa"/>
        <w:left w:w="108" w:type="dxa"/>
        <w:bottom w:w="0" w:type="dxa"/>
        <w:right w:w="108" w:type="dxa"/>
      </w:tblCellMar>
    </w:tblPr>
  </w:style>
  <w:style w:type="table" w:customStyle="1" w:styleId="Style28">
    <w:name w:val="_Style 28"/>
    <w:basedOn w:val="TableNormal0"/>
    <w:qFormat/>
    <w:tblPr>
      <w:tblCellMar>
        <w:top w:w="0" w:type="dxa"/>
        <w:left w:w="108" w:type="dxa"/>
        <w:bottom w:w="0" w:type="dxa"/>
        <w:right w:w="108" w:type="dxa"/>
      </w:tblCellMar>
    </w:tblPr>
  </w:style>
  <w:style w:type="table" w:customStyle="1" w:styleId="Style29">
    <w:name w:val="_Style 29"/>
    <w:basedOn w:val="TableNormal0"/>
    <w:qFormat/>
    <w:tblPr>
      <w:tblCellMar>
        <w:top w:w="0" w:type="dxa"/>
        <w:left w:w="108" w:type="dxa"/>
        <w:bottom w:w="0" w:type="dxa"/>
        <w:right w:w="108" w:type="dxa"/>
      </w:tblCellMar>
    </w:tblPr>
  </w:style>
  <w:style w:type="table" w:customStyle="1" w:styleId="Style30">
    <w:name w:val="_Style 30"/>
    <w:basedOn w:val="TableNormal0"/>
    <w:qFormat/>
    <w:tblPr>
      <w:tblCellMar>
        <w:top w:w="0" w:type="dxa"/>
        <w:left w:w="108" w:type="dxa"/>
        <w:bottom w:w="0" w:type="dxa"/>
        <w:right w:w="108" w:type="dxa"/>
      </w:tblCellMar>
    </w:tblPr>
  </w:style>
  <w:style w:type="table" w:customStyle="1" w:styleId="Style31">
    <w:name w:val="_Style 31"/>
    <w:basedOn w:val="TableNormal0"/>
    <w:qFormat/>
    <w:tblPr>
      <w:tblCellMar>
        <w:top w:w="0" w:type="dxa"/>
        <w:left w:w="108" w:type="dxa"/>
        <w:bottom w:w="0" w:type="dxa"/>
        <w:right w:w="108" w:type="dxa"/>
      </w:tblCellMar>
    </w:tblPr>
  </w:style>
  <w:style w:type="table" w:customStyle="1" w:styleId="Style32">
    <w:name w:val="_Style 32"/>
    <w:basedOn w:val="TableNormal0"/>
    <w:qFormat/>
    <w:tblPr>
      <w:tblCellMar>
        <w:top w:w="0" w:type="dxa"/>
        <w:left w:w="108" w:type="dxa"/>
        <w:bottom w:w="0" w:type="dxa"/>
        <w:right w:w="108" w:type="dxa"/>
      </w:tblCellMar>
    </w:tblPr>
  </w:style>
  <w:style w:type="table" w:customStyle="1" w:styleId="Style33">
    <w:name w:val="_Style 33"/>
    <w:basedOn w:val="TableNormal0"/>
    <w:qFormat/>
    <w:tblPr>
      <w:tblCellMar>
        <w:top w:w="0" w:type="dxa"/>
        <w:left w:w="108" w:type="dxa"/>
        <w:bottom w:w="0" w:type="dxa"/>
        <w:right w:w="108" w:type="dxa"/>
      </w:tblCellMar>
    </w:tbl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Style35">
    <w:name w:val="_Style 35"/>
    <w:basedOn w:val="TableNormal0"/>
    <w:qFormat/>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character" w:customStyle="1" w:styleId="cursor-pointer">
    <w:name w:val="cursor-pointer"/>
    <w:basedOn w:val="DefaultParagraphFont"/>
    <w:qFormat/>
  </w:style>
  <w:style w:type="table" w:customStyle="1" w:styleId="Style12">
    <w:name w:val="_Style 12"/>
    <w:basedOn w:val="TableNormal0"/>
    <w:qFormat/>
    <w:tblPr>
      <w:tblCellMar>
        <w:top w:w="0" w:type="dxa"/>
        <w:left w:w="108" w:type="dxa"/>
        <w:bottom w:w="0" w:type="dxa"/>
        <w:right w:w="108"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3">
    <w:name w:val="_Style 13"/>
    <w:basedOn w:val="TableNormal0"/>
    <w:qFormat/>
    <w:tblPr>
      <w:tblCellMar>
        <w:top w:w="0" w:type="dxa"/>
        <w:left w:w="108" w:type="dxa"/>
        <w:bottom w:w="0" w:type="dxa"/>
        <w:right w:w="108" w:type="dxa"/>
      </w:tblCellMar>
    </w:tblPr>
  </w:style>
  <w:style w:type="table" w:customStyle="1" w:styleId="Style14">
    <w:name w:val="_Style 14"/>
    <w:basedOn w:val="TableNormal0"/>
    <w:qFormat/>
    <w:tblPr>
      <w:tblCellMar>
        <w:top w:w="0" w:type="dxa"/>
        <w:left w:w="108" w:type="dxa"/>
        <w:bottom w:w="0" w:type="dxa"/>
        <w:right w:w="108" w:type="dxa"/>
      </w:tblCellMar>
    </w:tblPr>
  </w:style>
  <w:style w:type="table" w:customStyle="1" w:styleId="Style15">
    <w:name w:val="_Style 15"/>
    <w:basedOn w:val="TableNormal0"/>
    <w:qFormat/>
    <w:tblPr>
      <w:tblCellMar>
        <w:top w:w="0" w:type="dxa"/>
        <w:left w:w="108" w:type="dxa"/>
        <w:bottom w:w="0" w:type="dxa"/>
        <w:right w:w="108" w:type="dxa"/>
      </w:tblCellMar>
    </w:tbl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Style17">
    <w:name w:val="_Style 17"/>
    <w:basedOn w:val="TableNormal0"/>
    <w:qFormat/>
    <w:tblPr>
      <w:tblCellMar>
        <w:top w:w="0" w:type="dxa"/>
        <w:left w:w="108" w:type="dxa"/>
        <w:bottom w:w="0" w:type="dxa"/>
        <w:right w:w="108" w:type="dxa"/>
      </w:tblCellMar>
    </w:tblPr>
  </w:style>
  <w:style w:type="table" w:customStyle="1" w:styleId="Style18">
    <w:name w:val="_Style 18"/>
    <w:basedOn w:val="TableNormal0"/>
    <w:qFormat/>
    <w:tblPr>
      <w:tblCellMar>
        <w:top w:w="0" w:type="dxa"/>
        <w:left w:w="108" w:type="dxa"/>
        <w:bottom w:w="0" w:type="dxa"/>
        <w:right w:w="108" w:type="dxa"/>
      </w:tblCellMar>
    </w:tblPr>
  </w:style>
  <w:style w:type="table" w:customStyle="1" w:styleId="Style19">
    <w:name w:val="_Style 19"/>
    <w:basedOn w:val="TableNormal0"/>
    <w:qFormat/>
    <w:tblPr>
      <w:tblCellMar>
        <w:top w:w="0" w:type="dxa"/>
        <w:left w:w="108" w:type="dxa"/>
        <w:bottom w:w="0" w:type="dxa"/>
        <w:right w:w="108" w:type="dxa"/>
      </w:tblCellMar>
    </w:tblPr>
  </w:style>
  <w:style w:type="table" w:customStyle="1" w:styleId="Style20">
    <w:name w:val="_Style 20"/>
    <w:basedOn w:val="TableNormal0"/>
    <w:qFormat/>
    <w:tblPr>
      <w:tblCellMar>
        <w:top w:w="0" w:type="dxa"/>
        <w:left w:w="108" w:type="dxa"/>
        <w:bottom w:w="0" w:type="dxa"/>
        <w:right w:w="108" w:type="dxa"/>
      </w:tblCellMar>
    </w:tblPr>
  </w:style>
  <w:style w:type="table" w:customStyle="1" w:styleId="Style21">
    <w:name w:val="_Style 21"/>
    <w:basedOn w:val="TableNormal0"/>
    <w:qFormat/>
    <w:tblPr>
      <w:tblCellMar>
        <w:top w:w="0" w:type="dxa"/>
        <w:left w:w="108" w:type="dxa"/>
        <w:bottom w:w="0" w:type="dxa"/>
        <w:right w:w="108" w:type="dxa"/>
      </w:tblCellMar>
    </w:tblPr>
  </w:style>
  <w:style w:type="table" w:customStyle="1" w:styleId="Style22">
    <w:name w:val="_Style 22"/>
    <w:basedOn w:val="TableNormal0"/>
    <w:qFormat/>
    <w:tblPr>
      <w:tblCellMar>
        <w:top w:w="0" w:type="dxa"/>
        <w:left w:w="108" w:type="dxa"/>
        <w:bottom w:w="0" w:type="dxa"/>
        <w:right w:w="108" w:type="dxa"/>
      </w:tblCellMar>
    </w:tblPr>
  </w:style>
  <w:style w:type="table" w:customStyle="1" w:styleId="Style23">
    <w:name w:val="_Style 23"/>
    <w:basedOn w:val="TableNormal0"/>
    <w:qFormat/>
    <w:tblPr>
      <w:tblCellMar>
        <w:top w:w="0" w:type="dxa"/>
        <w:left w:w="108" w:type="dxa"/>
        <w:bottom w:w="0" w:type="dxa"/>
        <w:right w:w="108" w:type="dxa"/>
      </w:tblCellMar>
    </w:tblPr>
  </w:style>
  <w:style w:type="table" w:customStyle="1" w:styleId="Style24">
    <w:name w:val="_Style 24"/>
    <w:basedOn w:val="TableNormal0"/>
    <w:qFormat/>
    <w:tblPr>
      <w:tblCellMar>
        <w:top w:w="0" w:type="dxa"/>
        <w:left w:w="108" w:type="dxa"/>
        <w:bottom w:w="0" w:type="dxa"/>
        <w:right w:w="108" w:type="dxa"/>
      </w:tblCellMar>
    </w:tblPr>
  </w:style>
  <w:style w:type="table" w:customStyle="1" w:styleId="Style25">
    <w:name w:val="_Style 25"/>
    <w:basedOn w:val="TableNormal0"/>
    <w:qFormat/>
    <w:tblPr>
      <w:tblCellMar>
        <w:top w:w="0" w:type="dxa"/>
        <w:left w:w="108" w:type="dxa"/>
        <w:bottom w:w="0" w:type="dxa"/>
        <w:right w:w="108" w:type="dxa"/>
      </w:tblCellMar>
    </w:tblPr>
  </w:style>
  <w:style w:type="table" w:customStyle="1" w:styleId="Style26">
    <w:name w:val="_Style 26"/>
    <w:basedOn w:val="TableNormal0"/>
    <w:qFormat/>
    <w:tblPr>
      <w:tblCellMar>
        <w:top w:w="0" w:type="dxa"/>
        <w:left w:w="108" w:type="dxa"/>
        <w:bottom w:w="0" w:type="dxa"/>
        <w:right w:w="108" w:type="dxa"/>
      </w:tblCellMar>
    </w:tblPr>
  </w:style>
  <w:style w:type="table" w:customStyle="1" w:styleId="Style27">
    <w:name w:val="_Style 27"/>
    <w:basedOn w:val="TableNormal0"/>
    <w:qFormat/>
    <w:tblPr>
      <w:tblCellMar>
        <w:top w:w="0" w:type="dxa"/>
        <w:left w:w="108" w:type="dxa"/>
        <w:bottom w:w="0" w:type="dxa"/>
        <w:right w:w="108" w:type="dxa"/>
      </w:tblCellMar>
    </w:tblPr>
  </w:style>
  <w:style w:type="table" w:customStyle="1" w:styleId="Style28">
    <w:name w:val="_Style 28"/>
    <w:basedOn w:val="TableNormal0"/>
    <w:qFormat/>
    <w:tblPr>
      <w:tblCellMar>
        <w:top w:w="0" w:type="dxa"/>
        <w:left w:w="108" w:type="dxa"/>
        <w:bottom w:w="0" w:type="dxa"/>
        <w:right w:w="108" w:type="dxa"/>
      </w:tblCellMar>
    </w:tblPr>
  </w:style>
  <w:style w:type="table" w:customStyle="1" w:styleId="Style29">
    <w:name w:val="_Style 29"/>
    <w:basedOn w:val="TableNormal0"/>
    <w:qFormat/>
    <w:tblPr>
      <w:tblCellMar>
        <w:top w:w="0" w:type="dxa"/>
        <w:left w:w="108" w:type="dxa"/>
        <w:bottom w:w="0" w:type="dxa"/>
        <w:right w:w="108" w:type="dxa"/>
      </w:tblCellMar>
    </w:tblPr>
  </w:style>
  <w:style w:type="table" w:customStyle="1" w:styleId="Style30">
    <w:name w:val="_Style 30"/>
    <w:basedOn w:val="TableNormal0"/>
    <w:qFormat/>
    <w:tblPr>
      <w:tblCellMar>
        <w:top w:w="0" w:type="dxa"/>
        <w:left w:w="108" w:type="dxa"/>
        <w:bottom w:w="0" w:type="dxa"/>
        <w:right w:w="108" w:type="dxa"/>
      </w:tblCellMar>
    </w:tblPr>
  </w:style>
  <w:style w:type="table" w:customStyle="1" w:styleId="Style31">
    <w:name w:val="_Style 31"/>
    <w:basedOn w:val="TableNormal0"/>
    <w:qFormat/>
    <w:tblPr>
      <w:tblCellMar>
        <w:top w:w="0" w:type="dxa"/>
        <w:left w:w="108" w:type="dxa"/>
        <w:bottom w:w="0" w:type="dxa"/>
        <w:right w:w="108" w:type="dxa"/>
      </w:tblCellMar>
    </w:tblPr>
  </w:style>
  <w:style w:type="table" w:customStyle="1" w:styleId="Style32">
    <w:name w:val="_Style 32"/>
    <w:basedOn w:val="TableNormal0"/>
    <w:qFormat/>
    <w:tblPr>
      <w:tblCellMar>
        <w:top w:w="0" w:type="dxa"/>
        <w:left w:w="108" w:type="dxa"/>
        <w:bottom w:w="0" w:type="dxa"/>
        <w:right w:w="108" w:type="dxa"/>
      </w:tblCellMar>
    </w:tblPr>
  </w:style>
  <w:style w:type="table" w:customStyle="1" w:styleId="Style33">
    <w:name w:val="_Style 33"/>
    <w:basedOn w:val="TableNormal0"/>
    <w:qFormat/>
    <w:tblPr>
      <w:tblCellMar>
        <w:top w:w="0" w:type="dxa"/>
        <w:left w:w="108" w:type="dxa"/>
        <w:bottom w:w="0" w:type="dxa"/>
        <w:right w:w="108" w:type="dxa"/>
      </w:tblCellMar>
    </w:tbl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Style35">
    <w:name w:val="_Style 35"/>
    <w:basedOn w:val="TableNormal0"/>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4583</Words>
  <Characters>26126</Characters>
  <Application>Microsoft Office Word</Application>
  <DocSecurity>0</DocSecurity>
  <Lines>217</Lines>
  <Paragraphs>61</Paragraphs>
  <ScaleCrop>false</ScaleCrop>
  <Company/>
  <LinksUpToDate>false</LinksUpToDate>
  <CharactersWithSpaces>30648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Joeven</dc:creator>
  <cp:lastModifiedBy>qwert</cp:lastModifiedBy>
  <cp:revision>3</cp:revision>
  <dcterms:created xsi:type="dcterms:W3CDTF">2026-04-11T07:37:00Z</dcterms:created>
  <dcterms:modified xsi:type="dcterms:W3CDTF">2026-04-13T07:48:00Z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A186BFDE7CA0487DA174E088542B4F10_11</vt:lpwstr>
  </property>
  <property fmtid="{D5CDD505-2E9C-101B-9397-08002B2CF9AE}" pid="4" name="KSOTemplateDocerSaveRecord">
    <vt:lpwstr>eyJoZGlkIjoiZDM0ODhmODQ5MGYxMmM4N2NmMTk5YTU1ZTI4OWQzMmMiLCJ1c2VySWQiOiI3MDQ5NDE5NzE0NzcifQ==</vt:lpwstr>
  </property>
</Properties>
</file>