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3462E" w14:textId="77777777" w:rsidR="001A3D65" w:rsidRDefault="001A3D65" w:rsidP="004666AA">
      <w:pPr>
        <w:rPr>
          <w:b/>
          <w:bCs/>
        </w:rPr>
      </w:pPr>
    </w:p>
    <w:p w14:paraId="485559A5" w14:textId="77777777" w:rsidR="007E3008" w:rsidRDefault="007E3008" w:rsidP="007E3008">
      <w:pPr>
        <w:jc w:val="center"/>
        <w:rPr>
          <w:b/>
        </w:rPr>
      </w:pPr>
      <w:r w:rsidRPr="007E3008">
        <w:rPr>
          <w:b/>
        </w:rPr>
        <w:t xml:space="preserve">ENHANCED MORPHOLOGICAL VISUALIZATION AND DIAGNOSTIC RELIABILITY OF </w:t>
      </w:r>
      <w:r w:rsidRPr="007E3008">
        <w:rPr>
          <w:b/>
          <w:i/>
          <w:iCs/>
        </w:rPr>
        <w:t>ENTAMOEBA HISTOLYTICA</w:t>
      </w:r>
      <w:r w:rsidRPr="007E3008">
        <w:rPr>
          <w:b/>
        </w:rPr>
        <w:t xml:space="preserve"> USING 0.1% </w:t>
      </w:r>
    </w:p>
    <w:p w14:paraId="4673AA7F" w14:textId="0D5CE809" w:rsidR="001A3D65" w:rsidRDefault="007E3008" w:rsidP="007E3008">
      <w:pPr>
        <w:jc w:val="center"/>
        <w:rPr>
          <w:b/>
        </w:rPr>
      </w:pPr>
      <w:r w:rsidRPr="007E3008">
        <w:rPr>
          <w:b/>
        </w:rPr>
        <w:t>METHYLENE BLUE-GLYCEROL VITAL STAIN</w:t>
      </w:r>
    </w:p>
    <w:p w14:paraId="6B6108E9" w14:textId="049FB362" w:rsidR="007E3008" w:rsidRDefault="007E3008" w:rsidP="007E3008">
      <w:pPr>
        <w:jc w:val="center"/>
        <w:rPr>
          <w:b/>
        </w:rPr>
      </w:pPr>
    </w:p>
    <w:p w14:paraId="1F39E02F" w14:textId="0A5A35A2" w:rsidR="007E3008" w:rsidRDefault="007E3008" w:rsidP="007E3008">
      <w:bookmarkStart w:id="0" w:name="_GoBack"/>
      <w:bookmarkEnd w:id="0"/>
    </w:p>
    <w:p w14:paraId="41C83110" w14:textId="337F7A31" w:rsidR="007E3008" w:rsidRPr="007E3008" w:rsidRDefault="007E3008" w:rsidP="007E3008">
      <w:pPr>
        <w:rPr>
          <w:b/>
        </w:rPr>
      </w:pPr>
      <w:r w:rsidRPr="007E3008">
        <w:rPr>
          <w:b/>
        </w:rPr>
        <w:t>ABSTRACT</w:t>
      </w:r>
    </w:p>
    <w:p w14:paraId="3E6DE940" w14:textId="77777777" w:rsidR="001A3D65" w:rsidRDefault="001A3D65" w:rsidP="004666AA">
      <w:pPr>
        <w:rPr>
          <w:b/>
          <w:bCs/>
        </w:rPr>
      </w:pPr>
    </w:p>
    <w:p w14:paraId="7851A632" w14:textId="00807F0E" w:rsidR="001A3D65" w:rsidRDefault="001A3D65" w:rsidP="007E3008">
      <w:pPr>
        <w:jc w:val="both"/>
      </w:pPr>
      <w:r w:rsidRPr="001A3D65">
        <w:t xml:space="preserve">Microscopic identification of </w:t>
      </w:r>
      <w:r w:rsidRPr="001A3D65">
        <w:rPr>
          <w:i/>
          <w:iCs/>
        </w:rPr>
        <w:t>Entamoeba histolytica</w:t>
      </w:r>
      <w:r w:rsidRPr="001A3D65">
        <w:t xml:space="preserve"> in traditional saline wet mounts is frequently compromised by poor refractive contrast and rapid specimen desiccation. This study evaluated 0.1% Methylene Blue-Glycerol as a specialized vital stain designed to enhance morphological visualization and extend the diagnostic window in resource-limited settings.</w:t>
      </w:r>
      <w:r>
        <w:t xml:space="preserve"> </w:t>
      </w:r>
      <w:r w:rsidRPr="001A3D65">
        <w:t xml:space="preserve">A comparative analysis was conducted on 100 </w:t>
      </w:r>
      <w:r w:rsidRPr="001A3D65">
        <w:rPr>
          <w:i/>
          <w:iCs/>
        </w:rPr>
        <w:t>Entamoeba</w:t>
      </w:r>
      <w:r w:rsidRPr="001A3D65">
        <w:t>-positive fecal specimens. Each sample was evaluated via 0.85% saline wet mount and 0.1% Methylene Blue-Glycerol</w:t>
      </w:r>
      <w:r>
        <w:t xml:space="preserve">. </w:t>
      </w:r>
      <w:r w:rsidRPr="001A3D65">
        <w:t xml:space="preserve">Morphological quality was quantified using a 5-point Likert scale targeting Nuclear Definition, Cytoplasmic Detail, and Contrast Ratio. Statistical significance was determined using the Wilcoxon Signed-Rank Test, while inter-observer reliability among three independent </w:t>
      </w:r>
      <w:r>
        <w:t xml:space="preserve">microscopists </w:t>
      </w:r>
      <w:r w:rsidRPr="001A3D65">
        <w:t xml:space="preserve">was assessed using Fleiss’ Kappa. </w:t>
      </w:r>
      <w:r>
        <w:t xml:space="preserve">The </w:t>
      </w:r>
      <w:r w:rsidRPr="001A3D65">
        <w:t>Methylene Blue-Glycerol</w:t>
      </w:r>
      <w:r>
        <w:t xml:space="preserve"> </w:t>
      </w:r>
      <w:r w:rsidRPr="001A3D65">
        <w:t>method yielded a statistically significant improvement over saline across all parameters. Nuclear definition increased by 148.3%, while the contrast ratio improved by 191.7%. Cytoplasmic detail rose by 87.2%, significantly improving the detection of erythrophagocytosis. Specimen longevity extended from a mean of 12 minutes in saline to over 120 minutes in Methylene Blue-Glycerol. Inter-observer reliability was "Almost Perfect" with an overall Fleiss’ Kappa of 0.84.</w:t>
      </w:r>
      <w:r>
        <w:t xml:space="preserve"> </w:t>
      </w:r>
      <w:r w:rsidRPr="001A3D65">
        <w:t>The 0.1% Methylene Blue-Glycerol</w:t>
      </w:r>
      <w:r>
        <w:t xml:space="preserve"> </w:t>
      </w:r>
      <w:r w:rsidRPr="001A3D65">
        <w:t>reagent provides a superior, low-cost alternative for amebiasis screening. By utilizing the cationic affinity of Methylene Blue for chromatin and the optical clearing properties of glycerol, this method standardizes morphological identification and offers a reliable bridge between traditional microscopy and costly molecular diagnostics.</w:t>
      </w:r>
    </w:p>
    <w:p w14:paraId="277C6173" w14:textId="77777777" w:rsidR="001A3D65" w:rsidRPr="001A3D65" w:rsidRDefault="001A3D65" w:rsidP="001A3D65"/>
    <w:p w14:paraId="321AD700" w14:textId="77777777" w:rsidR="007E3008" w:rsidRDefault="001A3D65" w:rsidP="001A3D65">
      <w:r w:rsidRPr="001A3D65">
        <w:t xml:space="preserve">Keywords: </w:t>
      </w:r>
      <w:r w:rsidRPr="001A3D65">
        <w:rPr>
          <w:i/>
          <w:iCs/>
        </w:rPr>
        <w:t>Entamoeba histolytica</w:t>
      </w:r>
      <w:r w:rsidRPr="001A3D65">
        <w:t xml:space="preserve">, Methylene Blue, Glycerol, Fecal Microscopy, Vital Staining, </w:t>
      </w:r>
    </w:p>
    <w:p w14:paraId="6F61D222" w14:textId="5330A1E8" w:rsidR="001A3D65" w:rsidRPr="001A3D65" w:rsidRDefault="007E3008" w:rsidP="001A3D65">
      <w:r>
        <w:t xml:space="preserve">                   </w:t>
      </w:r>
      <w:r w:rsidR="001A3D65" w:rsidRPr="001A3D65">
        <w:t>Fleiss’ Kappa.</w:t>
      </w:r>
    </w:p>
    <w:p w14:paraId="4695AD92" w14:textId="77777777" w:rsidR="001A3D65" w:rsidRDefault="001A3D65" w:rsidP="004666AA">
      <w:pPr>
        <w:rPr>
          <w:b/>
          <w:bCs/>
        </w:rPr>
      </w:pPr>
    </w:p>
    <w:p w14:paraId="1DFC2C88" w14:textId="77777777" w:rsidR="001A3D65" w:rsidRDefault="001A3D65" w:rsidP="004666AA">
      <w:pPr>
        <w:rPr>
          <w:b/>
          <w:bCs/>
        </w:rPr>
      </w:pPr>
    </w:p>
    <w:p w14:paraId="6F0C4D13" w14:textId="77777777" w:rsidR="001A3D65" w:rsidRDefault="001A3D65" w:rsidP="004666AA">
      <w:pPr>
        <w:rPr>
          <w:b/>
          <w:bCs/>
        </w:rPr>
      </w:pPr>
    </w:p>
    <w:p w14:paraId="2F367417" w14:textId="44E7B739" w:rsidR="004666AA" w:rsidRDefault="007E3008" w:rsidP="004666AA">
      <w:pPr>
        <w:rPr>
          <w:b/>
          <w:bCs/>
        </w:rPr>
      </w:pPr>
      <w:r>
        <w:rPr>
          <w:b/>
          <w:bCs/>
        </w:rPr>
        <w:t>I</w:t>
      </w:r>
      <w:r w:rsidRPr="004666AA">
        <w:rPr>
          <w:b/>
          <w:bCs/>
        </w:rPr>
        <w:t>NTRODUCTION</w:t>
      </w:r>
    </w:p>
    <w:p w14:paraId="571061CF" w14:textId="77777777" w:rsidR="00DA6F53" w:rsidRDefault="00DA6F53" w:rsidP="004666AA">
      <w:pPr>
        <w:rPr>
          <w:b/>
          <w:bCs/>
        </w:rPr>
      </w:pPr>
    </w:p>
    <w:p w14:paraId="2A8518AB" w14:textId="3F4C01C8" w:rsidR="00DA6F53" w:rsidRDefault="00DA6F53" w:rsidP="007E3008">
      <w:pPr>
        <w:jc w:val="both"/>
      </w:pPr>
      <w:r w:rsidRPr="00DA6F53">
        <w:t xml:space="preserve">The scientific understanding of intestinal protozoa has evolved significantly since Fedor Lösch provided the first detailed description of intestinal amebiasis in St. Petersburg in 1875. The subsequent classification and naming of </w:t>
      </w:r>
      <w:r w:rsidRPr="00DA6F53">
        <w:rPr>
          <w:i/>
          <w:iCs/>
        </w:rPr>
        <w:t>Entamoeba histolytica</w:t>
      </w:r>
      <w:r w:rsidRPr="00DA6F53">
        <w:t xml:space="preserve"> by Fritz Schaudinn in 1903 established a critical clinical distinction that remains a cornerstone of modern tropical medicine </w:t>
      </w:r>
      <w:r w:rsidR="00735300">
        <w:t>[1,2]</w:t>
      </w:r>
      <w:r w:rsidRPr="00DA6F53">
        <w:t xml:space="preserve">. Within the </w:t>
      </w:r>
      <w:r w:rsidRPr="00DA6F53">
        <w:rPr>
          <w:i/>
          <w:iCs/>
        </w:rPr>
        <w:t>Entamoeba</w:t>
      </w:r>
      <w:r w:rsidRPr="00DA6F53">
        <w:t xml:space="preserve"> genus, six species typically inhabit the human intestinal lumen; however, </w:t>
      </w:r>
      <w:r w:rsidRPr="00DA6F53">
        <w:rPr>
          <w:i/>
          <w:iCs/>
        </w:rPr>
        <w:t>E. histolytica</w:t>
      </w:r>
      <w:r w:rsidRPr="00DA6F53">
        <w:t xml:space="preserve"> is uniquely pathogenic. It is distinguished from its morphologically identical but nonpathogenic counterparts, such as </w:t>
      </w:r>
      <w:r w:rsidRPr="00DA6F53">
        <w:rPr>
          <w:i/>
          <w:iCs/>
        </w:rPr>
        <w:t>E. dispar</w:t>
      </w:r>
      <w:r w:rsidRPr="00DA6F53">
        <w:t xml:space="preserve"> and </w:t>
      </w:r>
      <w:r w:rsidRPr="00DA6F53">
        <w:rPr>
          <w:i/>
          <w:iCs/>
        </w:rPr>
        <w:t xml:space="preserve">E. </w:t>
      </w:r>
      <w:proofErr w:type="spellStart"/>
      <w:r w:rsidRPr="00DA6F53">
        <w:rPr>
          <w:i/>
          <w:iCs/>
        </w:rPr>
        <w:t>moshkovskii</w:t>
      </w:r>
      <w:proofErr w:type="spellEnd"/>
      <w:r w:rsidRPr="00DA6F53">
        <w:t xml:space="preserve">, by its inherent invasive potential and ability to cause severe tissue destruction </w:t>
      </w:r>
      <w:r w:rsidR="00735300">
        <w:t>[3,4,5]</w:t>
      </w:r>
      <w:r w:rsidRPr="00DA6F53">
        <w:t>.</w:t>
      </w:r>
    </w:p>
    <w:p w14:paraId="4F102320" w14:textId="77777777" w:rsidR="00DA6F53" w:rsidRPr="00DA6F53" w:rsidRDefault="00DA6F53" w:rsidP="007E3008">
      <w:pPr>
        <w:jc w:val="both"/>
      </w:pPr>
    </w:p>
    <w:p w14:paraId="392055A5" w14:textId="52FBC8F6" w:rsidR="00DA6F53" w:rsidRDefault="00DA6F53" w:rsidP="007E3008">
      <w:pPr>
        <w:jc w:val="both"/>
      </w:pPr>
      <w:r w:rsidRPr="00DA6F53">
        <w:t xml:space="preserve">Despite more than a century of intensive research, amebiasis remains a leading parasitic cause of human mortality on a global scale. Current estimates suggest that </w:t>
      </w:r>
      <w:r w:rsidRPr="00DA6F53">
        <w:rPr>
          <w:i/>
          <w:iCs/>
        </w:rPr>
        <w:t>E. histolytica</w:t>
      </w:r>
      <w:r w:rsidRPr="00DA6F53">
        <w:t xml:space="preserve"> infects </w:t>
      </w:r>
      <w:r w:rsidRPr="00DA6F53">
        <w:lastRenderedPageBreak/>
        <w:t xml:space="preserve">approximately 50 million people annually, resulting in roughly 100,000 deaths </w:t>
      </w:r>
      <w:r w:rsidR="00735300">
        <w:t>[6,7]</w:t>
      </w:r>
      <w:r w:rsidRPr="00DA6F53">
        <w:t xml:space="preserve">. While </w:t>
      </w:r>
      <w:r w:rsidRPr="00DA6F53">
        <w:rPr>
          <w:i/>
          <w:iCs/>
        </w:rPr>
        <w:t>E. histolytica</w:t>
      </w:r>
      <w:r w:rsidRPr="00DA6F53">
        <w:t xml:space="preserve"> and the commensal </w:t>
      </w:r>
      <w:r w:rsidRPr="00DA6F53">
        <w:rPr>
          <w:i/>
          <w:iCs/>
        </w:rPr>
        <w:t>E. dispar</w:t>
      </w:r>
      <w:r w:rsidRPr="00DA6F53">
        <w:t xml:space="preserve"> collectively infect approximately 12% of the global population, </w:t>
      </w:r>
      <w:r w:rsidRPr="00DA6F53">
        <w:rPr>
          <w:i/>
          <w:iCs/>
        </w:rPr>
        <w:t>E. histolytica</w:t>
      </w:r>
      <w:r w:rsidRPr="00DA6F53">
        <w:t xml:space="preserve"> is estimated to account for only about 1% of these total infections </w:t>
      </w:r>
      <w:r w:rsidR="00735300">
        <w:t>[3]</w:t>
      </w:r>
      <w:r w:rsidRPr="00DA6F53">
        <w:t>. The burden of pathogenic amebiasis is most acute in developing regions, where prevalence rates often exceed 10% due to inadequate sanitation and compromised water supplies</w:t>
      </w:r>
      <w:r w:rsidR="00365DBE">
        <w:t xml:space="preserve"> </w:t>
      </w:r>
      <w:r w:rsidR="00735300">
        <w:t>[4,8]</w:t>
      </w:r>
      <w:r w:rsidRPr="00DA6F53">
        <w:t xml:space="preserve">. </w:t>
      </w:r>
    </w:p>
    <w:p w14:paraId="28827EAC" w14:textId="77777777" w:rsidR="00DA6F53" w:rsidRPr="00DA6F53" w:rsidRDefault="00DA6F53" w:rsidP="007E3008">
      <w:pPr>
        <w:jc w:val="both"/>
      </w:pPr>
    </w:p>
    <w:p w14:paraId="4C61BF6E" w14:textId="7F66CEB7" w:rsidR="00B768AB" w:rsidRDefault="00B768AB" w:rsidP="007E3008">
      <w:pPr>
        <w:jc w:val="both"/>
      </w:pPr>
      <w:r>
        <w:t xml:space="preserve">The transmission and survival of E. histolytica depend upon a biphasic life cycle consisting of the infective cyst and the motile trophozoite </w:t>
      </w:r>
      <w:r w:rsidR="00BA04D2">
        <w:t>[9,10]</w:t>
      </w:r>
      <w:r>
        <w:t xml:space="preserve">. Infection is typically acquired via the fecal-oral route through the ingestion of mature, </w:t>
      </w:r>
      <w:proofErr w:type="spellStart"/>
      <w:r>
        <w:t>quadrinucleate</w:t>
      </w:r>
      <w:proofErr w:type="spellEnd"/>
      <w:r>
        <w:t xml:space="preserve"> cysts in contaminated food or water </w:t>
      </w:r>
      <w:r w:rsidR="00E275F6">
        <w:t>[4,7]</w:t>
      </w:r>
      <w:r>
        <w:t xml:space="preserve">. Upon ingestion, cysts undergo excystation in the host's small intestine—a process triggered by exposure to gastric acid and pancreatic proteases—releasing active, invasive trophozoites </w:t>
      </w:r>
      <w:r w:rsidR="00E275F6">
        <w:t>[9,11]</w:t>
      </w:r>
      <w:r>
        <w:t xml:space="preserve">. These vegetative forms then colonize the mucosal layer of the colon, utilizing the Gal/GalNAc lectin to adhere to host epithelial cells and moving via the rapid extension of hyaline ectoplasm to form characteristic blunt-ended pseudopodia </w:t>
      </w:r>
      <w:r w:rsidR="00E275F6">
        <w:t>[9,12]</w:t>
      </w:r>
      <w:r>
        <w:t>.</w:t>
      </w:r>
    </w:p>
    <w:p w14:paraId="5CF9C589" w14:textId="77777777" w:rsidR="00B768AB" w:rsidRDefault="00B768AB" w:rsidP="007E3008">
      <w:pPr>
        <w:jc w:val="both"/>
      </w:pPr>
    </w:p>
    <w:p w14:paraId="13B72596" w14:textId="69BA461C" w:rsidR="00B768AB" w:rsidRDefault="00B768AB" w:rsidP="007E3008">
      <w:pPr>
        <w:jc w:val="both"/>
      </w:pPr>
      <w:r>
        <w:t>The parasite’s capacity to transition from asymptomatic commensalism to invasive colitis or extraintestinal complications, such as amebic liver abscesses</w:t>
      </w:r>
      <w:r w:rsidR="00E275F6">
        <w:t>,</w:t>
      </w:r>
      <w:r>
        <w:t xml:space="preserve"> is driven by a complex interplay of host immunity and parasite virulence factors, rendering it a high priority for contemporary parasitological research </w:t>
      </w:r>
      <w:r w:rsidR="00E275F6">
        <w:t>[4,13]</w:t>
      </w:r>
      <w:r>
        <w:t xml:space="preserve">. While trophozoites are the primary agents of tissue destruction and pathognomonic erythrophagocytosis, they are highly sensitive to environmental stressors and degenerate rapidly outside the host </w:t>
      </w:r>
      <w:r w:rsidR="00E275F6">
        <w:t>[10]</w:t>
      </w:r>
      <w:r>
        <w:t xml:space="preserve">. Conversely, the cyst stage exhibits remarkable resilience due to a chitinous cell wall, surviving in moist soil or water for approximately 30 days, which facilitates sustained transmission in endemic regions </w:t>
      </w:r>
      <w:r w:rsidR="00E275F6">
        <w:t>[7,14]</w:t>
      </w:r>
      <w:r>
        <w:t>.</w:t>
      </w:r>
    </w:p>
    <w:p w14:paraId="7E32E285" w14:textId="77777777" w:rsidR="0016237E" w:rsidRDefault="0016237E" w:rsidP="007E3008">
      <w:pPr>
        <w:jc w:val="both"/>
      </w:pPr>
    </w:p>
    <w:p w14:paraId="1AB4F09F" w14:textId="2D77D881" w:rsidR="0016237E" w:rsidRDefault="0016237E" w:rsidP="007E3008">
      <w:pPr>
        <w:jc w:val="both"/>
      </w:pPr>
      <w:r w:rsidRPr="0016237E">
        <w:t xml:space="preserve">Clinically, amebiasis presents as a broad spectrum ranging from asymptomatic cyst passage to fulminant, life-threatening colitis </w:t>
      </w:r>
      <w:r w:rsidR="00E275F6">
        <w:t>[9,10]</w:t>
      </w:r>
      <w:r w:rsidRPr="0016237E">
        <w:t xml:space="preserve">. Approximately 90% of infections remain asymptomatic; however, longitudinal studies indicate that untreated carriers face a 4% to 10% risk of progressing to invasive disease within a single year </w:t>
      </w:r>
      <w:r w:rsidR="00E275F6">
        <w:t>[4,7].</w:t>
      </w:r>
      <w:r w:rsidRPr="0016237E">
        <w:t xml:space="preserve"> Invasive amebic colitis is characterized by localized abdominal tenderness and the passage of bloody, mucous-laden "currant jelly" stools. This pathology typically results from the formation of hallmark "flask-shaped" ulcers, created when trophozoites penetrate the intestinal epithelium and undergo lateral expansion within the submucosa </w:t>
      </w:r>
      <w:r w:rsidR="00E275F6">
        <w:t>[10,15].</w:t>
      </w:r>
    </w:p>
    <w:p w14:paraId="00801E05" w14:textId="77777777" w:rsidR="0016237E" w:rsidRDefault="0016237E" w:rsidP="007E3008">
      <w:pPr>
        <w:jc w:val="both"/>
      </w:pPr>
    </w:p>
    <w:p w14:paraId="33EE79BE" w14:textId="5E8A2C6C" w:rsidR="0016237E" w:rsidRDefault="0016237E" w:rsidP="007E3008">
      <w:pPr>
        <w:jc w:val="both"/>
      </w:pPr>
      <w:r w:rsidRPr="0016237E">
        <w:t xml:space="preserve">If the parasite enters the portal circulatory system, it may migrate to distal organs, most commonly leading to extraintestinal manifestations such as amebic liver abscesses (ALA), and more rarely, pulmonary or cerebral involvement </w:t>
      </w:r>
      <w:r w:rsidR="00B56D91">
        <w:t>[4,9].</w:t>
      </w:r>
      <w:r w:rsidRPr="0016237E">
        <w:t xml:space="preserve"> Microscopic diagnosis during these acute stages often reveals Charcot-Leyden crystals—slender, bipyramidal structures formed from eosinophil-derived </w:t>
      </w:r>
      <w:proofErr w:type="spellStart"/>
      <w:r w:rsidRPr="0016237E">
        <w:t>lysophospholipase</w:t>
      </w:r>
      <w:proofErr w:type="spellEnd"/>
      <w:r w:rsidRPr="0016237E">
        <w:t xml:space="preserve">—and clumped red blood cells (RBCs), both of which serve as critical markers for active mucosal hemorrhage and intense eosinophilic degeneration </w:t>
      </w:r>
      <w:r w:rsidR="00B56D91">
        <w:t>[9,10,15].</w:t>
      </w:r>
    </w:p>
    <w:p w14:paraId="35AFD4D3" w14:textId="77777777" w:rsidR="0016237E" w:rsidRDefault="0016237E" w:rsidP="007E3008">
      <w:pPr>
        <w:jc w:val="both"/>
      </w:pPr>
    </w:p>
    <w:p w14:paraId="57C12AAF" w14:textId="42E3249E" w:rsidR="00DA6F53" w:rsidRDefault="00DA6F53" w:rsidP="007E3008">
      <w:pPr>
        <w:jc w:val="both"/>
      </w:pPr>
      <w:r w:rsidRPr="00DA6F53">
        <w:t xml:space="preserve">Diagnostic performance for </w:t>
      </w:r>
      <w:r w:rsidRPr="00DA6F53">
        <w:rPr>
          <w:i/>
          <w:iCs/>
        </w:rPr>
        <w:t>E. histolytica</w:t>
      </w:r>
      <w:r w:rsidRPr="00DA6F53">
        <w:t xml:space="preserve"> varies significantly across different modalities. Traditional microscopy generally exhibits a sensitivity of approximately 60% and specificity ranging from 10% to 50%, with the presence of ingested RBCs being the only definitive microscopic feature to differentiate </w:t>
      </w:r>
      <w:r w:rsidRPr="00DA6F53">
        <w:rPr>
          <w:i/>
          <w:iCs/>
        </w:rPr>
        <w:t>E. histolytica</w:t>
      </w:r>
      <w:r w:rsidRPr="00DA6F53">
        <w:t xml:space="preserve"> from </w:t>
      </w:r>
      <w:r w:rsidRPr="00DA6F53">
        <w:rPr>
          <w:i/>
          <w:iCs/>
        </w:rPr>
        <w:t xml:space="preserve">E. </w:t>
      </w:r>
      <w:proofErr w:type="spellStart"/>
      <w:r w:rsidRPr="00DA6F53">
        <w:rPr>
          <w:i/>
          <w:iCs/>
        </w:rPr>
        <w:t>dispar</w:t>
      </w:r>
      <w:proofErr w:type="spellEnd"/>
      <w:r w:rsidRPr="00DA6F53">
        <w:t xml:space="preserve"> </w:t>
      </w:r>
      <w:r w:rsidR="00B56D91">
        <w:t>[3,16]</w:t>
      </w:r>
      <w:r w:rsidRPr="00DA6F53">
        <w:t xml:space="preserve">. Identification traditionally relies on wet preparations, concentration methods, and permanently stained smears </w:t>
      </w:r>
      <w:r w:rsidR="005D4528">
        <w:lastRenderedPageBreak/>
        <w:t>[17].</w:t>
      </w:r>
      <w:r w:rsidRPr="00DA6F53">
        <w:t xml:space="preserve"> However, direct saline mounts of fresh specimens typically exhibit low sensitivity (approx. 10%). To maximize the detection of motile trophozoites, samples must be analyzed within one hour of collection </w:t>
      </w:r>
      <w:r w:rsidR="005D4528">
        <w:t>[18]</w:t>
      </w:r>
      <w:r w:rsidRPr="00DA6F53">
        <w:t xml:space="preserve">. While concentration techniques effectively identify cysts, permanently stained smears remain essential for definitive species differentiation </w:t>
      </w:r>
      <w:r w:rsidR="005D4528">
        <w:t>[19]</w:t>
      </w:r>
      <w:r w:rsidRPr="00DA6F53">
        <w:t>.</w:t>
      </w:r>
    </w:p>
    <w:p w14:paraId="288F71D0" w14:textId="77777777" w:rsidR="00DA6F53" w:rsidRPr="00DA6F53" w:rsidRDefault="00DA6F53" w:rsidP="007E3008">
      <w:pPr>
        <w:jc w:val="both"/>
      </w:pPr>
    </w:p>
    <w:p w14:paraId="220E042B" w14:textId="189813CE" w:rsidR="00DA6F53" w:rsidRDefault="00DA6F53" w:rsidP="007E3008">
      <w:pPr>
        <w:jc w:val="both"/>
      </w:pPr>
      <w:r w:rsidRPr="00DA6F53">
        <w:t>Various staining techniques are employed for fecal and tissue samples. Wright-</w:t>
      </w:r>
      <w:proofErr w:type="spellStart"/>
      <w:r w:rsidRPr="00DA6F53">
        <w:t>Giemsa</w:t>
      </w:r>
      <w:proofErr w:type="spellEnd"/>
      <w:r w:rsidRPr="00DA6F53">
        <w:t xml:space="preserve"> and modified </w:t>
      </w:r>
      <w:proofErr w:type="spellStart"/>
      <w:r w:rsidRPr="00DA6F53">
        <w:t>Ziehl-Neelsen</w:t>
      </w:r>
      <w:proofErr w:type="spellEnd"/>
      <w:r w:rsidRPr="00DA6F53">
        <w:t xml:space="preserve"> stains are common for stool and blood smears, while acid-fast stains are frequently applied to fecal samples </w:t>
      </w:r>
      <w:r w:rsidR="005D4528">
        <w:t>[20]</w:t>
      </w:r>
      <w:r w:rsidRPr="00DA6F53">
        <w:t xml:space="preserve">. Research has indicated that D'Antoni's iodine may be superior to saline or buffered methylene blue for detecting cysts, though they appear equally effective for trophozoites. In liver tissue, while haematoxylin and eosin (H&amp;E) and periodic-acid Schiff (PAS) are standard, immunohistochemistry (IHC) has been found superior due to its ability to clearly identify brown-stained amoebae within the host tissue matrix </w:t>
      </w:r>
      <w:r w:rsidR="005D4528">
        <w:t>[20,21]</w:t>
      </w:r>
      <w:r w:rsidRPr="00DA6F53">
        <w:t>.</w:t>
      </w:r>
    </w:p>
    <w:p w14:paraId="0EC2A3AA" w14:textId="77777777" w:rsidR="00DA6F53" w:rsidRPr="00DA6F53" w:rsidRDefault="00DA6F53" w:rsidP="007E3008">
      <w:pPr>
        <w:jc w:val="both"/>
      </w:pPr>
    </w:p>
    <w:p w14:paraId="5C0D7384" w14:textId="4F873F47" w:rsidR="00DA6F53" w:rsidRDefault="00DA6F53" w:rsidP="007E3008">
      <w:pPr>
        <w:jc w:val="both"/>
      </w:pPr>
      <w:r w:rsidRPr="00DA6F53">
        <w:t>The role of Methylene blue (MB) in diagnostics is particularly noteworthy for its application in rapid viability assessment. Living cells possess enzymes that decolorize MB, whereas dead cells remain stained blue</w:t>
      </w:r>
      <w:r w:rsidR="003457D8">
        <w:t xml:space="preserve"> </w:t>
      </w:r>
      <w:r w:rsidR="005F643D">
        <w:t>[22,23].</w:t>
      </w:r>
      <w:r w:rsidRPr="00DA6F53">
        <w:t xml:space="preserve"> Historically, dyes such as Methylene blue, Nile blue, and neutral red have been used as "vital dyes," allowing for the staining of amoebae while they remain alive for morphological study. Conversely, dyes like crystal violet and safranin are lethal to the parasites and only produce staining post-mortem </w:t>
      </w:r>
      <w:r w:rsidR="005F643D">
        <w:t>[24].</w:t>
      </w:r>
      <w:r w:rsidRPr="00DA6F53">
        <w:t xml:space="preserve"> While immunological tests like ELISA and IHA show high specificity, they often fail to distinguish between past and current infections in endemic areas </w:t>
      </w:r>
      <w:r w:rsidR="00CA2AC6">
        <w:t>[7]</w:t>
      </w:r>
      <w:r w:rsidRPr="00DA6F53">
        <w:t>.</w:t>
      </w:r>
    </w:p>
    <w:p w14:paraId="0B158917" w14:textId="77777777" w:rsidR="00DA6F53" w:rsidRPr="00DA6F53" w:rsidRDefault="00DA6F53" w:rsidP="007E3008">
      <w:pPr>
        <w:jc w:val="both"/>
      </w:pPr>
    </w:p>
    <w:p w14:paraId="5438EDAD" w14:textId="55A19CC3" w:rsidR="00DA6F53" w:rsidRDefault="00DA6F53" w:rsidP="007E3008">
      <w:pPr>
        <w:jc w:val="both"/>
      </w:pPr>
      <w:r w:rsidRPr="00DA6F53">
        <w:t xml:space="preserve">Molecular DNA-based methods are increasingly preferred due to their superior sensitivity. Despite the presence of PCR inhibitors in fecal matter, PCR targeting the small-subunit rRNA gene is estimated to be 100 times more sensitive than current ELISA kits </w:t>
      </w:r>
      <w:r w:rsidR="00CA2AC6">
        <w:t>[25].</w:t>
      </w:r>
      <w:r w:rsidRPr="00DA6F53">
        <w:t xml:space="preserve"> Real-time PCR further enhances diagnostic accuracy by detecting as little as 0.1 cell per gram of feces. The necessity of molecular confirmation was highlighted by a Philippine study where initial microscopy suggested a 1.703% infection rate, but subsequent PCR analysis revealed that only 0.358% were actually infected with pathogenic </w:t>
      </w:r>
      <w:r w:rsidRPr="00DA6F53">
        <w:rPr>
          <w:i/>
          <w:iCs/>
        </w:rPr>
        <w:t>E. histolytica</w:t>
      </w:r>
      <w:r w:rsidRPr="00DA6F53">
        <w:t xml:space="preserve"> </w:t>
      </w:r>
      <w:r w:rsidR="00CA2AC6">
        <w:t>[26]</w:t>
      </w:r>
      <w:r w:rsidRPr="00DA6F53">
        <w:t>.</w:t>
      </w:r>
    </w:p>
    <w:p w14:paraId="2702FA23" w14:textId="77777777" w:rsidR="00DA6F53" w:rsidRPr="00DA6F53" w:rsidRDefault="00DA6F53" w:rsidP="007E3008">
      <w:pPr>
        <w:jc w:val="both"/>
      </w:pPr>
    </w:p>
    <w:p w14:paraId="3842E6F5" w14:textId="46B3FF24" w:rsidR="00DA6F53" w:rsidRPr="00DA6F53" w:rsidRDefault="00DA6F53" w:rsidP="007E3008">
      <w:pPr>
        <w:jc w:val="both"/>
      </w:pPr>
      <w:r w:rsidRPr="00DA6F53">
        <w:t>The purpose of this study was to explore the utility of Methylene blue in the study of amoeba trophozoites. As a cationic stain, Methylene blue binds to negatively charged cellular components such as the nucleus and nucleic acids. This application may enhance the visualization of trophozoite morphology under standard light microscopy and facilitate differentiation based on staining patterns</w:t>
      </w:r>
      <w:r w:rsidR="00A80856" w:rsidRPr="00A80856">
        <w:t xml:space="preserve"> </w:t>
      </w:r>
      <w:r w:rsidR="00CA2AC6">
        <w:t>[20,27].</w:t>
      </w:r>
      <w:r w:rsidRPr="00DA6F53">
        <w:t xml:space="preserve"> The use of a common, accessible stain like Methylene blue could prove invaluable in basic research, educational settings, and resource-limited diagnostic environments where more advanced molecular techniques are unavailable.</w:t>
      </w:r>
    </w:p>
    <w:p w14:paraId="79A32176" w14:textId="77777777" w:rsidR="00DA6F53" w:rsidRPr="00DA6F53" w:rsidRDefault="00DA6F53" w:rsidP="004666AA"/>
    <w:p w14:paraId="0247B19E" w14:textId="77777777" w:rsidR="00DA6F53" w:rsidRPr="00DA6F53" w:rsidRDefault="00DA6F53" w:rsidP="004666AA"/>
    <w:p w14:paraId="2EE85289" w14:textId="77777777" w:rsidR="004666AA" w:rsidRPr="004666AA" w:rsidRDefault="004666AA" w:rsidP="004666AA">
      <w:pPr>
        <w:rPr>
          <w:b/>
          <w:bCs/>
        </w:rPr>
      </w:pPr>
      <w:r w:rsidRPr="004666AA">
        <w:rPr>
          <w:b/>
          <w:bCs/>
        </w:rPr>
        <w:t>Research Gap</w:t>
      </w:r>
    </w:p>
    <w:p w14:paraId="21B32564" w14:textId="77777777" w:rsidR="004666AA" w:rsidRDefault="004666AA" w:rsidP="007E3008">
      <w:pPr>
        <w:jc w:val="both"/>
      </w:pPr>
      <w:r w:rsidRPr="004666AA">
        <w:t xml:space="preserve">While molecular diagnostics (PCR) and specialized immunological tests have revolutionized the identification of </w:t>
      </w:r>
      <w:r w:rsidRPr="004666AA">
        <w:rPr>
          <w:i/>
          <w:iCs/>
        </w:rPr>
        <w:t>Entamoeba histolytica</w:t>
      </w:r>
      <w:r w:rsidRPr="004666AA">
        <w:t>, a significant gap remains in the practical application of these technologies within resource-limited or educational settings. High costs, the presence of PCR inhibitors in fecal samples (such as heme and bile salts), and the requirement for specialized equipment often render modern techniques inaccessible in the very regions where the disease burden is highest.</w:t>
      </w:r>
    </w:p>
    <w:p w14:paraId="70AE3C13" w14:textId="77777777" w:rsidR="004666AA" w:rsidRPr="004666AA" w:rsidRDefault="004666AA" w:rsidP="007E3008">
      <w:pPr>
        <w:jc w:val="both"/>
      </w:pPr>
    </w:p>
    <w:p w14:paraId="6743A16E" w14:textId="77777777" w:rsidR="004666AA" w:rsidRDefault="004666AA" w:rsidP="007E3008">
      <w:pPr>
        <w:jc w:val="both"/>
      </w:pPr>
      <w:r w:rsidRPr="004666AA">
        <w:t xml:space="preserve">Furthermore, although Methylene blue is a well-known laboratory reagent, there is a lack of contemporary research (post-2015) specifically evaluating its efficacy as a primary diagnostic or educational aid for </w:t>
      </w:r>
      <w:r w:rsidRPr="004666AA">
        <w:rPr>
          <w:i/>
          <w:iCs/>
        </w:rPr>
        <w:t>E. histolytica</w:t>
      </w:r>
      <w:r w:rsidRPr="004666AA">
        <w:t xml:space="preserve"> trophozoites compared to traditional iodine or saline mounts. Most recent studies focus exclusively on DNA-based detection, neglecting the refinement of low-cost staining techniques that could improve the sensitivity of basic microscopy. There is an urgent need to investigate whether Methylene blue can provide a reliable, rapid, and inexpensive method for visualizing internal trophozoite morphology and determining cellular viability in real-time. This study addresses this need by exploring the utility of Methylene blue in protozoan morphology, potentially offering a simplified diagnostic alternative for basic research and clinical screening.</w:t>
      </w:r>
    </w:p>
    <w:p w14:paraId="2894F4F8" w14:textId="77777777" w:rsidR="004666AA" w:rsidRDefault="004666AA" w:rsidP="004666AA"/>
    <w:p w14:paraId="7586992B" w14:textId="77777777" w:rsidR="004666AA" w:rsidRDefault="004666AA" w:rsidP="004666AA"/>
    <w:p w14:paraId="47AF06F9" w14:textId="46DBEC67" w:rsidR="000B61D5" w:rsidRDefault="009D5EE6" w:rsidP="000B61D5">
      <w:pPr>
        <w:rPr>
          <w:b/>
          <w:bCs/>
        </w:rPr>
      </w:pPr>
      <w:r w:rsidRPr="000B61D5">
        <w:rPr>
          <w:b/>
          <w:bCs/>
        </w:rPr>
        <w:t>METHODOLOGY</w:t>
      </w:r>
    </w:p>
    <w:p w14:paraId="20AB5E25" w14:textId="77777777" w:rsidR="000B61D5" w:rsidRDefault="000B61D5" w:rsidP="000B61D5">
      <w:pPr>
        <w:rPr>
          <w:b/>
          <w:bCs/>
        </w:rPr>
      </w:pPr>
    </w:p>
    <w:p w14:paraId="72B54004" w14:textId="086CF13C" w:rsidR="002A05B6" w:rsidRDefault="000B61D5" w:rsidP="007E3008">
      <w:pPr>
        <w:jc w:val="both"/>
        <w:rPr>
          <w:b/>
          <w:bCs/>
        </w:rPr>
      </w:pPr>
      <w:r>
        <w:rPr>
          <w:b/>
          <w:bCs/>
        </w:rPr>
        <w:t>Research Design</w:t>
      </w:r>
    </w:p>
    <w:p w14:paraId="2E65C4E7" w14:textId="465CDF47" w:rsidR="008A691B" w:rsidRDefault="008A691B" w:rsidP="007E3008">
      <w:pPr>
        <w:jc w:val="both"/>
      </w:pPr>
      <w:r w:rsidRPr="008A691B">
        <w:t>The research followed a comparative, cross-sectional design to evaluate the diagnostic efficacy of a 0.1% Methylene Blue-Glycerol stain against traditional saline wet mounts. A total of 1</w:t>
      </w:r>
      <w:r w:rsidR="00EA5260">
        <w:t>0</w:t>
      </w:r>
      <w:r w:rsidRPr="008A691B">
        <w:t xml:space="preserve">0 fresh fecal specimens, which </w:t>
      </w:r>
      <w:r w:rsidR="00EA5260">
        <w:t>were</w:t>
      </w:r>
      <w:r w:rsidRPr="008A691B">
        <w:t xml:space="preserve"> confirmed positive for the </w:t>
      </w:r>
      <w:r w:rsidRPr="008A691B">
        <w:rPr>
          <w:i/>
          <w:iCs/>
        </w:rPr>
        <w:t>Entamoeba histolytica/E. dispar</w:t>
      </w:r>
      <w:r w:rsidRPr="008A691B">
        <w:t xml:space="preserve"> complex via real-time PCR, were utilized for the study. </w:t>
      </w:r>
    </w:p>
    <w:p w14:paraId="113F97AE" w14:textId="77777777" w:rsidR="008A691B" w:rsidRDefault="008A691B" w:rsidP="007E3008">
      <w:pPr>
        <w:jc w:val="both"/>
      </w:pPr>
    </w:p>
    <w:p w14:paraId="4FAAA5CF" w14:textId="77777777" w:rsidR="008A691B" w:rsidRDefault="008A691B" w:rsidP="007E3008">
      <w:pPr>
        <w:jc w:val="both"/>
      </w:pPr>
      <w:r w:rsidRPr="008A691B">
        <w:rPr>
          <w:b/>
          <w:bCs/>
        </w:rPr>
        <w:t>Sample Collection and Preparation</w:t>
      </w:r>
    </w:p>
    <w:p w14:paraId="60A7C77F" w14:textId="77777777" w:rsidR="008A691B" w:rsidRDefault="008A691B" w:rsidP="007E3008">
      <w:pPr>
        <w:jc w:val="both"/>
      </w:pPr>
      <w:r w:rsidRPr="008A691B">
        <w:t xml:space="preserve">To ensure the preservation of delicate trophozoite morphology and metabolic activity, each specimen was processed and analyzed within 30 minutes of passage. The specimens were divided into two primary experimental aliquots: </w:t>
      </w:r>
    </w:p>
    <w:p w14:paraId="1F9D300D" w14:textId="77777777" w:rsidR="008A691B" w:rsidRDefault="008A691B" w:rsidP="007E3008">
      <w:pPr>
        <w:jc w:val="both"/>
      </w:pPr>
      <w:r w:rsidRPr="008A691B">
        <w:t>Group A served as the control, consisting of a direct saline wet mount prepared by mixing 2 mg of feces with 0.85% NaCl</w:t>
      </w:r>
      <w:r>
        <w:t>.</w:t>
      </w:r>
    </w:p>
    <w:p w14:paraId="6C491F30" w14:textId="77777777" w:rsidR="008A691B" w:rsidRDefault="008A691B" w:rsidP="007E3008">
      <w:pPr>
        <w:jc w:val="both"/>
      </w:pPr>
      <w:r w:rsidRPr="008A691B">
        <w:t>Group B served as the experimental group using the optimized 0.1% Methylene Blue-Glycerol solution.</w:t>
      </w:r>
    </w:p>
    <w:p w14:paraId="4C3E64AE" w14:textId="77777777" w:rsidR="008A691B" w:rsidRDefault="008A691B" w:rsidP="007E3008">
      <w:pPr>
        <w:jc w:val="both"/>
        <w:rPr>
          <w:b/>
          <w:bCs/>
        </w:rPr>
      </w:pPr>
    </w:p>
    <w:p w14:paraId="10A944F3" w14:textId="77777777" w:rsidR="008A691B" w:rsidRPr="008A691B" w:rsidRDefault="008A691B" w:rsidP="007E3008">
      <w:pPr>
        <w:jc w:val="both"/>
      </w:pPr>
      <w:r w:rsidRPr="008A691B">
        <w:rPr>
          <w:b/>
          <w:bCs/>
        </w:rPr>
        <w:t>Reagent Formulation</w:t>
      </w:r>
      <w:r>
        <w:rPr>
          <w:b/>
          <w:bCs/>
        </w:rPr>
        <w:t>, Staining and Mounting</w:t>
      </w:r>
    </w:p>
    <w:p w14:paraId="608E08AB" w14:textId="77777777" w:rsidR="0051397E" w:rsidRDefault="008A691B" w:rsidP="007E3008">
      <w:pPr>
        <w:jc w:val="both"/>
      </w:pPr>
      <w:r w:rsidRPr="008A691B">
        <w:t xml:space="preserve">The experimental staining reagent was formulated by first dissolving 0.1 g of Methylene Blue powder in 100 mL of distilled water to create a stock solution. This was then combined with pure anhydrous glycerol in a 1:1 ratio to produce the final working solution. The incorporation of glycerol was specifically intended to serve as a clearing agent to increase the refractive index of the mount, thereby optimizing the visualization of internal organelles. </w:t>
      </w:r>
    </w:p>
    <w:p w14:paraId="55F4B958" w14:textId="77777777" w:rsidR="0051397E" w:rsidRDefault="0051397E" w:rsidP="007E3008">
      <w:pPr>
        <w:jc w:val="both"/>
      </w:pPr>
    </w:p>
    <w:p w14:paraId="48C6DAAB" w14:textId="43EF7F55" w:rsidR="008A691B" w:rsidRDefault="008A691B" w:rsidP="007E3008">
      <w:pPr>
        <w:jc w:val="both"/>
      </w:pPr>
      <w:r w:rsidRPr="008A691B">
        <w:t>During the staining protocol, approximately 2 mg of the fecal specimen was placed onto a clean glass slide, followed by the addition of one drop of the M</w:t>
      </w:r>
      <w:r w:rsidR="0051397E">
        <w:t>ethylene blue</w:t>
      </w:r>
      <w:r w:rsidRPr="008A691B">
        <w:t>-Glycerol solution. The mixture was homogenized using a sterile applicator stick to ensure uniform dye distribution before a coverslip was applied.</w:t>
      </w:r>
    </w:p>
    <w:p w14:paraId="0FBFBB66" w14:textId="77777777" w:rsidR="004E0E05" w:rsidRDefault="004E0E05" w:rsidP="008A691B"/>
    <w:p w14:paraId="02B80BFF" w14:textId="77777777" w:rsidR="007E3008" w:rsidRDefault="007E3008" w:rsidP="008A691B">
      <w:pPr>
        <w:rPr>
          <w:b/>
          <w:bCs/>
        </w:rPr>
      </w:pPr>
    </w:p>
    <w:p w14:paraId="42EEAF15" w14:textId="77777777" w:rsidR="007E3008" w:rsidRDefault="007E3008" w:rsidP="008A691B">
      <w:pPr>
        <w:rPr>
          <w:b/>
          <w:bCs/>
        </w:rPr>
      </w:pPr>
    </w:p>
    <w:p w14:paraId="226639AB" w14:textId="77777777" w:rsidR="007E3008" w:rsidRDefault="007E3008" w:rsidP="008A691B">
      <w:pPr>
        <w:rPr>
          <w:b/>
          <w:bCs/>
        </w:rPr>
      </w:pPr>
    </w:p>
    <w:p w14:paraId="5CF9B0A4" w14:textId="46BF1E2D" w:rsidR="00952793" w:rsidRDefault="004E0E05" w:rsidP="008A691B">
      <w:r w:rsidRPr="008A691B">
        <w:rPr>
          <w:b/>
          <w:bCs/>
        </w:rPr>
        <w:t>Evaluation Criteria</w:t>
      </w:r>
    </w:p>
    <w:p w14:paraId="0166044E" w14:textId="77777777" w:rsidR="00952793" w:rsidRPr="002A05B6" w:rsidRDefault="00952793" w:rsidP="00952793">
      <w:r w:rsidRPr="008A691B">
        <w:lastRenderedPageBreak/>
        <w:t>Three independent, blinded microscopists assessed the specimens based on a Visual Clarity Index (VCI) that measured nuclear definition, cytoplasmic detail, and the contrast ratio between the parasite and the background</w:t>
      </w:r>
      <w:r>
        <w:t>:</w:t>
      </w:r>
    </w:p>
    <w:p w14:paraId="41BFD6D6" w14:textId="77777777" w:rsidR="00952793" w:rsidRPr="0051397E" w:rsidRDefault="00952793" w:rsidP="00952793">
      <w:pPr>
        <w:numPr>
          <w:ilvl w:val="0"/>
          <w:numId w:val="3"/>
        </w:numPr>
      </w:pPr>
      <w:r w:rsidRPr="0051397E">
        <w:t xml:space="preserve">Nuclear Definition: Clarity of the peripheral chromatin and the central </w:t>
      </w:r>
      <w:proofErr w:type="spellStart"/>
      <w:r w:rsidRPr="0051397E">
        <w:t>karyosome</w:t>
      </w:r>
      <w:proofErr w:type="spellEnd"/>
      <w:r w:rsidRPr="0051397E">
        <w:t>.</w:t>
      </w:r>
    </w:p>
    <w:p w14:paraId="77A1B9EA" w14:textId="77777777" w:rsidR="00952793" w:rsidRPr="0051397E" w:rsidRDefault="00952793" w:rsidP="00952793">
      <w:pPr>
        <w:numPr>
          <w:ilvl w:val="0"/>
          <w:numId w:val="3"/>
        </w:numPr>
      </w:pPr>
      <w:r w:rsidRPr="0051397E">
        <w:t>Cytoplasmic Detail: Visibility of pseudopodia and ingested RBCs.</w:t>
      </w:r>
    </w:p>
    <w:p w14:paraId="12663A13" w14:textId="77777777" w:rsidR="00952793" w:rsidRDefault="00952793" w:rsidP="00952793">
      <w:pPr>
        <w:numPr>
          <w:ilvl w:val="0"/>
          <w:numId w:val="3"/>
        </w:numPr>
      </w:pPr>
      <w:r w:rsidRPr="0051397E">
        <w:t>Contrast Ratio</w:t>
      </w:r>
      <w:r w:rsidRPr="002A05B6">
        <w:rPr>
          <w:b/>
          <w:bCs/>
        </w:rPr>
        <w:t>:</w:t>
      </w:r>
      <w:r w:rsidRPr="002A05B6">
        <w:t xml:space="preserve"> The degree of differentiation between the parasite and fecal debris.</w:t>
      </w:r>
    </w:p>
    <w:p w14:paraId="71B568DA" w14:textId="77777777" w:rsidR="00952793" w:rsidRDefault="00952793" w:rsidP="008A691B"/>
    <w:p w14:paraId="0C7A6481" w14:textId="604192D6" w:rsidR="008A691B" w:rsidRDefault="008A691B" w:rsidP="008A691B">
      <w:r w:rsidRPr="008A691B">
        <w:t xml:space="preserve">Microscopic observations were conducted at intervals of 1, 5, and 15 minutes to monitor the maturation of the stain and the duration of morphological integrity. </w:t>
      </w:r>
      <w:r w:rsidR="00952793">
        <w:t>Th</w:t>
      </w:r>
      <w:r w:rsidR="00952793" w:rsidRPr="008A691B">
        <w:t xml:space="preserve">e longevity of the specimens was </w:t>
      </w:r>
      <w:r w:rsidR="00A864C1">
        <w:t xml:space="preserve">observed up to more than 2 hours (120 mins) </w:t>
      </w:r>
      <w:r w:rsidR="00952793" w:rsidRPr="008A691B">
        <w:t>to determine how long the trophozoites maintained their characteristic ameboid shape.</w:t>
      </w:r>
    </w:p>
    <w:p w14:paraId="4E6E512D" w14:textId="77777777" w:rsidR="004E0E05" w:rsidRDefault="004E0E05" w:rsidP="008A691B"/>
    <w:p w14:paraId="792CFA8B" w14:textId="0C419E58" w:rsidR="004E0E05" w:rsidRPr="002A05B6" w:rsidRDefault="004E0E05" w:rsidP="004E0E05">
      <w:r w:rsidRPr="002A05B6">
        <w:t>A Likert scale (1–5) w</w:t>
      </w:r>
      <w:r>
        <w:t xml:space="preserve">as </w:t>
      </w:r>
      <w:r w:rsidRPr="002A05B6">
        <w:t xml:space="preserve">used by three independent microscopists to grade the </w:t>
      </w:r>
      <w:r w:rsidR="00952793">
        <w:t xml:space="preserve"> r</w:t>
      </w:r>
      <w:r w:rsidRPr="002A05B6">
        <w:t>eadability</w:t>
      </w:r>
      <w:r w:rsidR="00952793">
        <w:t xml:space="preserve"> </w:t>
      </w:r>
      <w:r w:rsidRPr="002A05B6">
        <w:t>of the morphological features across the different staining methods.</w:t>
      </w:r>
    </w:p>
    <w:p w14:paraId="4D94A679" w14:textId="77777777" w:rsidR="004E0E05" w:rsidRDefault="004E0E05" w:rsidP="004E0E05"/>
    <w:tbl>
      <w:tblPr>
        <w:tblStyle w:val="TableGrid"/>
        <w:tblW w:w="0" w:type="auto"/>
        <w:tblLook w:val="04A0" w:firstRow="1" w:lastRow="0" w:firstColumn="1" w:lastColumn="0" w:noHBand="0" w:noVBand="1"/>
      </w:tblPr>
      <w:tblGrid>
        <w:gridCol w:w="672"/>
        <w:gridCol w:w="1087"/>
        <w:gridCol w:w="7817"/>
      </w:tblGrid>
      <w:tr w:rsidR="004E0E05" w:rsidRPr="006A0A40" w14:paraId="29BFE5BB" w14:textId="77777777" w:rsidTr="009D5EE6">
        <w:trPr>
          <w:trHeight w:val="20"/>
        </w:trPr>
        <w:tc>
          <w:tcPr>
            <w:tcW w:w="0" w:type="auto"/>
            <w:shd w:val="clear" w:color="auto" w:fill="BDD6EE" w:themeFill="accent5" w:themeFillTint="66"/>
            <w:hideMark/>
          </w:tcPr>
          <w:p w14:paraId="5AC35316" w14:textId="77777777" w:rsidR="004E0E05" w:rsidRPr="007E3008" w:rsidRDefault="004E0E05" w:rsidP="00CB7543">
            <w:pPr>
              <w:rPr>
                <w:sz w:val="20"/>
                <w:szCs w:val="20"/>
              </w:rPr>
            </w:pPr>
            <w:r w:rsidRPr="007E3008">
              <w:rPr>
                <w:bCs/>
                <w:sz w:val="20"/>
                <w:szCs w:val="20"/>
              </w:rPr>
              <w:t>Score</w:t>
            </w:r>
          </w:p>
        </w:tc>
        <w:tc>
          <w:tcPr>
            <w:tcW w:w="0" w:type="auto"/>
            <w:shd w:val="clear" w:color="auto" w:fill="BDD6EE" w:themeFill="accent5" w:themeFillTint="66"/>
            <w:hideMark/>
          </w:tcPr>
          <w:p w14:paraId="125758BF" w14:textId="77777777" w:rsidR="004E0E05" w:rsidRPr="007E3008" w:rsidRDefault="004E0E05" w:rsidP="00CB7543">
            <w:pPr>
              <w:rPr>
                <w:sz w:val="20"/>
                <w:szCs w:val="20"/>
              </w:rPr>
            </w:pPr>
            <w:r w:rsidRPr="007E3008">
              <w:rPr>
                <w:bCs/>
                <w:sz w:val="20"/>
                <w:szCs w:val="20"/>
              </w:rPr>
              <w:t>Descriptor</w:t>
            </w:r>
          </w:p>
        </w:tc>
        <w:tc>
          <w:tcPr>
            <w:tcW w:w="0" w:type="auto"/>
            <w:shd w:val="clear" w:color="auto" w:fill="BDD6EE" w:themeFill="accent5" w:themeFillTint="66"/>
            <w:hideMark/>
          </w:tcPr>
          <w:p w14:paraId="3BF4647D" w14:textId="77777777" w:rsidR="004E0E05" w:rsidRPr="007E3008" w:rsidRDefault="004E0E05" w:rsidP="00CB7543">
            <w:pPr>
              <w:rPr>
                <w:sz w:val="20"/>
                <w:szCs w:val="20"/>
              </w:rPr>
            </w:pPr>
            <w:r w:rsidRPr="007E3008">
              <w:rPr>
                <w:bCs/>
                <w:sz w:val="20"/>
                <w:szCs w:val="20"/>
              </w:rPr>
              <w:t>Detailed Morphological Criteria</w:t>
            </w:r>
          </w:p>
        </w:tc>
      </w:tr>
      <w:tr w:rsidR="004E0E05" w:rsidRPr="006A0A40" w14:paraId="7D52F19A" w14:textId="77777777" w:rsidTr="009D5EE6">
        <w:trPr>
          <w:trHeight w:val="32"/>
        </w:trPr>
        <w:tc>
          <w:tcPr>
            <w:tcW w:w="0" w:type="auto"/>
            <w:shd w:val="clear" w:color="auto" w:fill="FFF2CC" w:themeFill="accent4" w:themeFillTint="33"/>
            <w:hideMark/>
          </w:tcPr>
          <w:p w14:paraId="41DCF400" w14:textId="77777777" w:rsidR="004E0E05" w:rsidRPr="007E3008" w:rsidRDefault="004E0E05" w:rsidP="00CB7543">
            <w:pPr>
              <w:rPr>
                <w:sz w:val="20"/>
                <w:szCs w:val="20"/>
              </w:rPr>
            </w:pPr>
            <w:r w:rsidRPr="007E3008">
              <w:rPr>
                <w:bCs/>
                <w:sz w:val="20"/>
                <w:szCs w:val="20"/>
              </w:rPr>
              <w:t>1</w:t>
            </w:r>
          </w:p>
        </w:tc>
        <w:tc>
          <w:tcPr>
            <w:tcW w:w="0" w:type="auto"/>
            <w:shd w:val="clear" w:color="auto" w:fill="FFF2CC" w:themeFill="accent4" w:themeFillTint="33"/>
            <w:hideMark/>
          </w:tcPr>
          <w:p w14:paraId="54897F43" w14:textId="77777777" w:rsidR="004E0E05" w:rsidRPr="007E3008" w:rsidRDefault="004E0E05" w:rsidP="00CB7543">
            <w:pPr>
              <w:rPr>
                <w:sz w:val="20"/>
                <w:szCs w:val="20"/>
              </w:rPr>
            </w:pPr>
            <w:r w:rsidRPr="007E3008">
              <w:rPr>
                <w:bCs/>
                <w:sz w:val="20"/>
                <w:szCs w:val="20"/>
              </w:rPr>
              <w:t>Poor</w:t>
            </w:r>
          </w:p>
        </w:tc>
        <w:tc>
          <w:tcPr>
            <w:tcW w:w="0" w:type="auto"/>
            <w:shd w:val="clear" w:color="auto" w:fill="FFF2CC" w:themeFill="accent4" w:themeFillTint="33"/>
            <w:hideMark/>
          </w:tcPr>
          <w:p w14:paraId="39E41052" w14:textId="77777777" w:rsidR="004E0E05" w:rsidRPr="007E3008" w:rsidRDefault="004E0E05" w:rsidP="00CB7543">
            <w:pPr>
              <w:rPr>
                <w:sz w:val="20"/>
                <w:szCs w:val="20"/>
              </w:rPr>
            </w:pPr>
            <w:r w:rsidRPr="007E3008">
              <w:rPr>
                <w:sz w:val="20"/>
                <w:szCs w:val="20"/>
              </w:rPr>
              <w:t>Internal structures are completely obscured. No nucleus or organelles are visible. Parasite is indistinguishable from fecal debris.</w:t>
            </w:r>
          </w:p>
        </w:tc>
      </w:tr>
      <w:tr w:rsidR="004E0E05" w:rsidRPr="006A0A40" w14:paraId="69058EEF" w14:textId="77777777" w:rsidTr="009D5EE6">
        <w:tc>
          <w:tcPr>
            <w:tcW w:w="0" w:type="auto"/>
            <w:shd w:val="clear" w:color="auto" w:fill="FFF2CC" w:themeFill="accent4" w:themeFillTint="33"/>
            <w:hideMark/>
          </w:tcPr>
          <w:p w14:paraId="720B9CA6" w14:textId="77777777" w:rsidR="004E0E05" w:rsidRPr="007E3008" w:rsidRDefault="004E0E05" w:rsidP="00CB7543">
            <w:pPr>
              <w:rPr>
                <w:sz w:val="20"/>
                <w:szCs w:val="20"/>
              </w:rPr>
            </w:pPr>
            <w:r w:rsidRPr="007E3008">
              <w:rPr>
                <w:bCs/>
                <w:sz w:val="20"/>
                <w:szCs w:val="20"/>
              </w:rPr>
              <w:t>2</w:t>
            </w:r>
          </w:p>
        </w:tc>
        <w:tc>
          <w:tcPr>
            <w:tcW w:w="0" w:type="auto"/>
            <w:shd w:val="clear" w:color="auto" w:fill="FFF2CC" w:themeFill="accent4" w:themeFillTint="33"/>
            <w:hideMark/>
          </w:tcPr>
          <w:p w14:paraId="42858850" w14:textId="77777777" w:rsidR="004E0E05" w:rsidRPr="007E3008" w:rsidRDefault="004E0E05" w:rsidP="00CB7543">
            <w:pPr>
              <w:rPr>
                <w:sz w:val="20"/>
                <w:szCs w:val="20"/>
              </w:rPr>
            </w:pPr>
            <w:r w:rsidRPr="007E3008">
              <w:rPr>
                <w:bCs/>
                <w:sz w:val="20"/>
                <w:szCs w:val="20"/>
              </w:rPr>
              <w:t>Fair</w:t>
            </w:r>
          </w:p>
        </w:tc>
        <w:tc>
          <w:tcPr>
            <w:tcW w:w="0" w:type="auto"/>
            <w:shd w:val="clear" w:color="auto" w:fill="FFF2CC" w:themeFill="accent4" w:themeFillTint="33"/>
            <w:hideMark/>
          </w:tcPr>
          <w:p w14:paraId="17CB3038" w14:textId="77777777" w:rsidR="004E0E05" w:rsidRPr="007E3008" w:rsidRDefault="004E0E05" w:rsidP="00CB7543">
            <w:pPr>
              <w:rPr>
                <w:sz w:val="20"/>
                <w:szCs w:val="20"/>
              </w:rPr>
            </w:pPr>
            <w:r w:rsidRPr="007E3008">
              <w:rPr>
                <w:sz w:val="20"/>
                <w:szCs w:val="20"/>
              </w:rPr>
              <w:t>Outline of the parasite is visible, but internal detail is faint. The nucleus is seen only as a vague shadow with no distinct chromatin or karyosome.</w:t>
            </w:r>
          </w:p>
        </w:tc>
      </w:tr>
      <w:tr w:rsidR="004E0E05" w:rsidRPr="006A0A40" w14:paraId="206D9B33" w14:textId="77777777" w:rsidTr="009D5EE6">
        <w:tc>
          <w:tcPr>
            <w:tcW w:w="0" w:type="auto"/>
            <w:shd w:val="clear" w:color="auto" w:fill="FFF2CC" w:themeFill="accent4" w:themeFillTint="33"/>
            <w:hideMark/>
          </w:tcPr>
          <w:p w14:paraId="154968AE" w14:textId="77777777" w:rsidR="004E0E05" w:rsidRPr="007E3008" w:rsidRDefault="004E0E05" w:rsidP="00CB7543">
            <w:pPr>
              <w:rPr>
                <w:sz w:val="20"/>
                <w:szCs w:val="20"/>
              </w:rPr>
            </w:pPr>
            <w:r w:rsidRPr="007E3008">
              <w:rPr>
                <w:bCs/>
                <w:sz w:val="20"/>
                <w:szCs w:val="20"/>
              </w:rPr>
              <w:t>3</w:t>
            </w:r>
          </w:p>
        </w:tc>
        <w:tc>
          <w:tcPr>
            <w:tcW w:w="0" w:type="auto"/>
            <w:shd w:val="clear" w:color="auto" w:fill="FFF2CC" w:themeFill="accent4" w:themeFillTint="33"/>
            <w:hideMark/>
          </w:tcPr>
          <w:p w14:paraId="3C41865F" w14:textId="77777777" w:rsidR="004E0E05" w:rsidRPr="007E3008" w:rsidRDefault="004E0E05" w:rsidP="00CB7543">
            <w:pPr>
              <w:rPr>
                <w:sz w:val="20"/>
                <w:szCs w:val="20"/>
              </w:rPr>
            </w:pPr>
            <w:r w:rsidRPr="007E3008">
              <w:rPr>
                <w:bCs/>
                <w:sz w:val="20"/>
                <w:szCs w:val="20"/>
              </w:rPr>
              <w:t>Good</w:t>
            </w:r>
          </w:p>
        </w:tc>
        <w:tc>
          <w:tcPr>
            <w:tcW w:w="0" w:type="auto"/>
            <w:shd w:val="clear" w:color="auto" w:fill="FFF2CC" w:themeFill="accent4" w:themeFillTint="33"/>
            <w:hideMark/>
          </w:tcPr>
          <w:p w14:paraId="38CCB5F7" w14:textId="77777777" w:rsidR="004E0E05" w:rsidRPr="007E3008" w:rsidRDefault="004E0E05" w:rsidP="00CB7543">
            <w:pPr>
              <w:rPr>
                <w:sz w:val="20"/>
                <w:szCs w:val="20"/>
              </w:rPr>
            </w:pPr>
            <w:r w:rsidRPr="007E3008">
              <w:rPr>
                <w:sz w:val="20"/>
                <w:szCs w:val="20"/>
              </w:rPr>
              <w:t>Parasite is clearly identifiable. The nucleus is visible; peripheral chromatin can be seen but may be slightly blurred. Useful for screening but lacks high-definition detail.</w:t>
            </w:r>
          </w:p>
        </w:tc>
      </w:tr>
      <w:tr w:rsidR="004E0E05" w:rsidRPr="006A0A40" w14:paraId="5599A64A" w14:textId="77777777" w:rsidTr="009D5EE6">
        <w:tc>
          <w:tcPr>
            <w:tcW w:w="0" w:type="auto"/>
            <w:shd w:val="clear" w:color="auto" w:fill="FFF2CC" w:themeFill="accent4" w:themeFillTint="33"/>
            <w:hideMark/>
          </w:tcPr>
          <w:p w14:paraId="27E7BE88" w14:textId="77777777" w:rsidR="004E0E05" w:rsidRPr="007E3008" w:rsidRDefault="004E0E05" w:rsidP="00CB7543">
            <w:pPr>
              <w:rPr>
                <w:sz w:val="20"/>
                <w:szCs w:val="20"/>
              </w:rPr>
            </w:pPr>
            <w:r w:rsidRPr="007E3008">
              <w:rPr>
                <w:bCs/>
                <w:sz w:val="20"/>
                <w:szCs w:val="20"/>
              </w:rPr>
              <w:t>4</w:t>
            </w:r>
          </w:p>
        </w:tc>
        <w:tc>
          <w:tcPr>
            <w:tcW w:w="0" w:type="auto"/>
            <w:shd w:val="clear" w:color="auto" w:fill="FFF2CC" w:themeFill="accent4" w:themeFillTint="33"/>
            <w:hideMark/>
          </w:tcPr>
          <w:p w14:paraId="00853A6E" w14:textId="77777777" w:rsidR="004E0E05" w:rsidRPr="007E3008" w:rsidRDefault="004E0E05" w:rsidP="00CB7543">
            <w:pPr>
              <w:rPr>
                <w:sz w:val="20"/>
                <w:szCs w:val="20"/>
              </w:rPr>
            </w:pPr>
            <w:r w:rsidRPr="007E3008">
              <w:rPr>
                <w:bCs/>
                <w:sz w:val="20"/>
                <w:szCs w:val="20"/>
              </w:rPr>
              <w:t>Very Good</w:t>
            </w:r>
          </w:p>
        </w:tc>
        <w:tc>
          <w:tcPr>
            <w:tcW w:w="0" w:type="auto"/>
            <w:shd w:val="clear" w:color="auto" w:fill="FFF2CC" w:themeFill="accent4" w:themeFillTint="33"/>
            <w:hideMark/>
          </w:tcPr>
          <w:p w14:paraId="121F4B55" w14:textId="77777777" w:rsidR="004E0E05" w:rsidRPr="007E3008" w:rsidRDefault="004E0E05" w:rsidP="00CB7543">
            <w:pPr>
              <w:rPr>
                <w:sz w:val="20"/>
                <w:szCs w:val="20"/>
              </w:rPr>
            </w:pPr>
            <w:r w:rsidRPr="007E3008">
              <w:rPr>
                <w:sz w:val="20"/>
                <w:szCs w:val="20"/>
              </w:rPr>
              <w:t>High contrast. Nuclear features (karyosome and peripheral chromatin) are distinct and sharp. Pseudopodia and cytoplasmic inclusions (e.g., RBCs) are clearly defined.</w:t>
            </w:r>
          </w:p>
        </w:tc>
      </w:tr>
      <w:tr w:rsidR="004E0E05" w:rsidRPr="006A0A40" w14:paraId="4899AC69" w14:textId="77777777" w:rsidTr="009D5EE6">
        <w:tc>
          <w:tcPr>
            <w:tcW w:w="0" w:type="auto"/>
            <w:shd w:val="clear" w:color="auto" w:fill="FFF2CC" w:themeFill="accent4" w:themeFillTint="33"/>
            <w:hideMark/>
          </w:tcPr>
          <w:p w14:paraId="028D42E2" w14:textId="77777777" w:rsidR="004E0E05" w:rsidRPr="007E3008" w:rsidRDefault="004E0E05" w:rsidP="00CB7543">
            <w:pPr>
              <w:rPr>
                <w:sz w:val="20"/>
                <w:szCs w:val="20"/>
              </w:rPr>
            </w:pPr>
            <w:r w:rsidRPr="007E3008">
              <w:rPr>
                <w:bCs/>
                <w:sz w:val="20"/>
                <w:szCs w:val="20"/>
              </w:rPr>
              <w:t>5</w:t>
            </w:r>
          </w:p>
        </w:tc>
        <w:tc>
          <w:tcPr>
            <w:tcW w:w="0" w:type="auto"/>
            <w:shd w:val="clear" w:color="auto" w:fill="FFF2CC" w:themeFill="accent4" w:themeFillTint="33"/>
            <w:hideMark/>
          </w:tcPr>
          <w:p w14:paraId="004B99BE" w14:textId="77777777" w:rsidR="004E0E05" w:rsidRPr="007E3008" w:rsidRDefault="004E0E05" w:rsidP="00CB7543">
            <w:pPr>
              <w:rPr>
                <w:sz w:val="20"/>
                <w:szCs w:val="20"/>
              </w:rPr>
            </w:pPr>
            <w:r w:rsidRPr="007E3008">
              <w:rPr>
                <w:bCs/>
                <w:sz w:val="20"/>
                <w:szCs w:val="20"/>
              </w:rPr>
              <w:t>Excellent</w:t>
            </w:r>
          </w:p>
        </w:tc>
        <w:tc>
          <w:tcPr>
            <w:tcW w:w="0" w:type="auto"/>
            <w:shd w:val="clear" w:color="auto" w:fill="FFF2CC" w:themeFill="accent4" w:themeFillTint="33"/>
            <w:hideMark/>
          </w:tcPr>
          <w:p w14:paraId="6F55C5FF" w14:textId="0996897C" w:rsidR="004E0E05" w:rsidRPr="007E3008" w:rsidRDefault="004E0E05" w:rsidP="00CB7543">
            <w:pPr>
              <w:rPr>
                <w:sz w:val="20"/>
                <w:szCs w:val="20"/>
              </w:rPr>
            </w:pPr>
            <w:r w:rsidRPr="007E3008">
              <w:rPr>
                <w:sz w:val="20"/>
                <w:szCs w:val="20"/>
              </w:rPr>
              <w:t xml:space="preserve">Superior clarity equivalent to permanent staining. All diagnostic features are sharply delineated with a high contrast-to-background ratio. No </w:t>
            </w:r>
            <w:r w:rsidR="00952793" w:rsidRPr="007E3008">
              <w:rPr>
                <w:sz w:val="20"/>
                <w:szCs w:val="20"/>
              </w:rPr>
              <w:t>r</w:t>
            </w:r>
            <w:r w:rsidRPr="007E3008">
              <w:rPr>
                <w:sz w:val="20"/>
                <w:szCs w:val="20"/>
              </w:rPr>
              <w:t>efractive masking.</w:t>
            </w:r>
          </w:p>
        </w:tc>
      </w:tr>
    </w:tbl>
    <w:p w14:paraId="4A780DA3" w14:textId="77777777" w:rsidR="004E0E05" w:rsidRDefault="004E0E05" w:rsidP="004E0E05"/>
    <w:p w14:paraId="1CCAD80B" w14:textId="77777777" w:rsidR="004E0E05" w:rsidRDefault="004E0E05" w:rsidP="008A691B"/>
    <w:p w14:paraId="6F2C4DC2" w14:textId="357ACB3A" w:rsidR="00B45E5B" w:rsidRPr="00B45E5B" w:rsidRDefault="00B45E5B" w:rsidP="008A691B">
      <w:pPr>
        <w:rPr>
          <w:b/>
          <w:bCs/>
        </w:rPr>
      </w:pPr>
      <w:r w:rsidRPr="00B45E5B">
        <w:rPr>
          <w:b/>
          <w:bCs/>
        </w:rPr>
        <w:t>Statistical Treatment</w:t>
      </w:r>
    </w:p>
    <w:p w14:paraId="2CCEE794" w14:textId="41A0910F" w:rsidR="008A691B" w:rsidRPr="008A691B" w:rsidRDefault="008A691B" w:rsidP="007E3008">
      <w:pPr>
        <w:jc w:val="both"/>
      </w:pPr>
      <w:r w:rsidRPr="008A691B">
        <w:t xml:space="preserve">Statistical analysis was performed to validate the microscopic findings against the PCR gold standard. Diagnostic sensitivity and specificity were calculated for both the saline and MB-Glycerol groups. To compare the median Likert scores between the two methods, a Wilcoxon Signed-Rank Test was employed, while inter-rater reliability among the three microscopists was determined using Fleiss’ Kappa. All statistical tests were conducted with a significance threshold of p &lt; 0.05. This methodological approach allowed for a rigorous assessment of whether the chemical properties of Methylene Blue and the optical advantages of glycerol provided a superior diagnostic alternative for the identification of </w:t>
      </w:r>
      <w:r w:rsidRPr="008A691B">
        <w:rPr>
          <w:i/>
          <w:iCs/>
        </w:rPr>
        <w:t>E. histolytica</w:t>
      </w:r>
      <w:r w:rsidRPr="008A691B">
        <w:t>.</w:t>
      </w:r>
    </w:p>
    <w:p w14:paraId="1896DA7B" w14:textId="77777777" w:rsidR="008A691B" w:rsidRPr="008A691B" w:rsidRDefault="008A691B" w:rsidP="000B61D5"/>
    <w:p w14:paraId="51C86E09" w14:textId="6B522CE0" w:rsidR="00595525" w:rsidRDefault="007E3008" w:rsidP="00595525">
      <w:pPr>
        <w:rPr>
          <w:b/>
          <w:bCs/>
        </w:rPr>
      </w:pPr>
      <w:r w:rsidRPr="00595525">
        <w:rPr>
          <w:b/>
          <w:bCs/>
        </w:rPr>
        <w:t>RESULTS</w:t>
      </w:r>
      <w:r>
        <w:rPr>
          <w:b/>
          <w:bCs/>
        </w:rPr>
        <w:t xml:space="preserve"> AND DISCUSSION</w:t>
      </w:r>
    </w:p>
    <w:p w14:paraId="72E9EC76" w14:textId="77777777" w:rsidR="00CA73DA" w:rsidRPr="00595525" w:rsidRDefault="00CA73DA" w:rsidP="00595525">
      <w:pPr>
        <w:rPr>
          <w:b/>
          <w:bCs/>
        </w:rPr>
      </w:pPr>
    </w:p>
    <w:p w14:paraId="113225BD" w14:textId="2BB646EB" w:rsidR="00595525" w:rsidRDefault="00595525" w:rsidP="007E3008">
      <w:pPr>
        <w:jc w:val="both"/>
      </w:pPr>
      <w:r w:rsidRPr="00595525">
        <w:t xml:space="preserve">The microscopic evaluation of 100 fecal specimens, confirmed positive for the </w:t>
      </w:r>
      <w:r w:rsidRPr="00595525">
        <w:rPr>
          <w:i/>
          <w:iCs/>
        </w:rPr>
        <w:t>Entamoeba histolytica/E. dispar</w:t>
      </w:r>
      <w:r w:rsidRPr="00595525">
        <w:t xml:space="preserve"> complex via real-time PCR, demonstrated a statistically significant superiority of the 0.1% Methylene Blue-Glycerol (MB-G) stain over traditional saline wet mounts. Descriptive statistics revealed that the mean Likert scores for all diagnostic parameters more than doubled with the introduction of the MB-G reagent. Specifically, </w:t>
      </w:r>
      <w:r w:rsidRPr="00981F6E">
        <w:t>Nuclear Definition</w:t>
      </w:r>
      <w:r w:rsidRPr="00595525">
        <w:t xml:space="preserve"> improved from a mean of 1.74 in saline to 4.32 in the MB-G group.</w:t>
      </w:r>
      <w:r w:rsidR="00981F6E">
        <w:t xml:space="preserve"> The cytoplasmic detail improved from 2.19 to 4.10 from saline to MB-G. </w:t>
      </w:r>
      <w:r w:rsidRPr="00595525">
        <w:t xml:space="preserve">Similarly, </w:t>
      </w:r>
      <w:r w:rsidRPr="00981F6E">
        <w:t>Contrast Ratio</w:t>
      </w:r>
      <w:r w:rsidRPr="00595525">
        <w:t xml:space="preserve"> scores rose from 1.44 to 4.20 representing a 191</w:t>
      </w:r>
      <w:r w:rsidR="00981F6E">
        <w:t>.7</w:t>
      </w:r>
      <w:r w:rsidRPr="00595525">
        <w:t xml:space="preserve">% increase in visual clarity. A Wilcoxon Signed-Rank Test </w:t>
      </w:r>
      <w:r w:rsidRPr="00595525">
        <w:lastRenderedPageBreak/>
        <w:t>confirmed that these improvements were not due to chance (p &lt; 0.0001).</w:t>
      </w:r>
      <w:r w:rsidR="00B45E5B">
        <w:t xml:space="preserve"> </w:t>
      </w:r>
      <w:r w:rsidR="00B45E5B" w:rsidRPr="00B45E5B">
        <w:t xml:space="preserve">In medical research, it is the standard alternative to the paired t-test when the data does not follow a normal distribution </w:t>
      </w:r>
      <w:r w:rsidR="002B03FB">
        <w:t>[28,29].</w:t>
      </w:r>
    </w:p>
    <w:p w14:paraId="3554AAB2" w14:textId="77777777" w:rsidR="00CA73DA" w:rsidRDefault="00CA73DA" w:rsidP="00595525"/>
    <w:p w14:paraId="599C82EF" w14:textId="6DB8AA36" w:rsidR="00CA73DA" w:rsidRPr="00595525" w:rsidRDefault="00981F6E" w:rsidP="00CA73DA">
      <w:r>
        <w:t xml:space="preserve">                 </w:t>
      </w:r>
      <w:r w:rsidR="00CA73DA" w:rsidRPr="007E3008">
        <w:rPr>
          <w:b/>
        </w:rPr>
        <w:t>Table 1</w:t>
      </w:r>
      <w:r w:rsidR="00CA73DA" w:rsidRPr="00B3663C">
        <w:t xml:space="preserve">: </w:t>
      </w:r>
      <w:r w:rsidR="00CA73DA" w:rsidRPr="007E3008">
        <w:rPr>
          <w:i/>
        </w:rPr>
        <w:t>Statistical Summary of Comparative Metrics (N=100)</w:t>
      </w:r>
    </w:p>
    <w:p w14:paraId="7E931DEA" w14:textId="77777777" w:rsidR="00CA73DA" w:rsidRDefault="00CA73DA" w:rsidP="00595525"/>
    <w:tbl>
      <w:tblPr>
        <w:tblStyle w:val="TableGrid"/>
        <w:tblW w:w="9350" w:type="dxa"/>
        <w:tblLook w:val="04A0" w:firstRow="1" w:lastRow="0" w:firstColumn="1" w:lastColumn="0" w:noHBand="0" w:noVBand="1"/>
      </w:tblPr>
      <w:tblGrid>
        <w:gridCol w:w="2128"/>
        <w:gridCol w:w="1304"/>
        <w:gridCol w:w="1666"/>
        <w:gridCol w:w="1536"/>
        <w:gridCol w:w="1342"/>
        <w:gridCol w:w="1374"/>
      </w:tblGrid>
      <w:tr w:rsidR="00981F6E" w:rsidRPr="00CA73DA" w14:paraId="137C0D62" w14:textId="77777777" w:rsidTr="009D5EE6">
        <w:trPr>
          <w:trHeight w:val="20"/>
        </w:trPr>
        <w:tc>
          <w:tcPr>
            <w:tcW w:w="2134" w:type="dxa"/>
            <w:shd w:val="clear" w:color="auto" w:fill="BDD6EE" w:themeFill="accent5" w:themeFillTint="66"/>
            <w:hideMark/>
          </w:tcPr>
          <w:p w14:paraId="79C3AB8E" w14:textId="77777777" w:rsidR="00981F6E" w:rsidRPr="007E3008" w:rsidRDefault="00981F6E" w:rsidP="00CA73DA">
            <w:pPr>
              <w:rPr>
                <w:rFonts w:ascii="Arial" w:hAnsi="Arial" w:cs="Arial"/>
                <w:b/>
                <w:color w:val="1F1F1F"/>
                <w:sz w:val="22"/>
                <w:szCs w:val="22"/>
              </w:rPr>
            </w:pPr>
            <w:r w:rsidRPr="007E3008">
              <w:rPr>
                <w:rStyle w:val="Strong"/>
                <w:rFonts w:ascii="Arial" w:hAnsi="Arial" w:cs="Arial"/>
                <w:b w:val="0"/>
                <w:color w:val="1F1F1F"/>
                <w:sz w:val="22"/>
                <w:szCs w:val="22"/>
                <w:bdr w:val="none" w:sz="0" w:space="0" w:color="auto" w:frame="1"/>
              </w:rPr>
              <w:t>Parameter</w:t>
            </w:r>
          </w:p>
        </w:tc>
        <w:tc>
          <w:tcPr>
            <w:tcW w:w="1307" w:type="dxa"/>
            <w:shd w:val="clear" w:color="auto" w:fill="BDD6EE" w:themeFill="accent5" w:themeFillTint="66"/>
            <w:hideMark/>
          </w:tcPr>
          <w:p w14:paraId="6299727A" w14:textId="3922A748" w:rsidR="00981F6E" w:rsidRPr="007E3008" w:rsidRDefault="00981F6E" w:rsidP="00CA73DA">
            <w:pPr>
              <w:rPr>
                <w:rFonts w:ascii="Arial" w:hAnsi="Arial" w:cs="Arial"/>
                <w:b/>
                <w:bCs/>
                <w:color w:val="1F1F1F"/>
                <w:sz w:val="22"/>
                <w:szCs w:val="22"/>
                <w:bdr w:val="none" w:sz="0" w:space="0" w:color="auto" w:frame="1"/>
              </w:rPr>
            </w:pPr>
            <w:r w:rsidRPr="007E3008">
              <w:rPr>
                <w:rStyle w:val="Strong"/>
                <w:rFonts w:ascii="Arial" w:hAnsi="Arial" w:cs="Arial"/>
                <w:b w:val="0"/>
                <w:color w:val="1F1F1F"/>
                <w:sz w:val="22"/>
                <w:szCs w:val="22"/>
                <w:bdr w:val="none" w:sz="0" w:space="0" w:color="auto" w:frame="1"/>
              </w:rPr>
              <w:t xml:space="preserve">Saline </w:t>
            </w:r>
          </w:p>
        </w:tc>
        <w:tc>
          <w:tcPr>
            <w:tcW w:w="1669" w:type="dxa"/>
            <w:shd w:val="clear" w:color="auto" w:fill="BDD6EE" w:themeFill="accent5" w:themeFillTint="66"/>
            <w:hideMark/>
          </w:tcPr>
          <w:p w14:paraId="33C990F5" w14:textId="4E11279E" w:rsidR="00981F6E" w:rsidRPr="007E3008" w:rsidRDefault="00981F6E" w:rsidP="00CA73DA">
            <w:pPr>
              <w:rPr>
                <w:rFonts w:ascii="Arial" w:hAnsi="Arial" w:cs="Arial"/>
                <w:b/>
                <w:bCs/>
                <w:color w:val="1F1F1F"/>
                <w:sz w:val="22"/>
                <w:szCs w:val="22"/>
                <w:bdr w:val="none" w:sz="0" w:space="0" w:color="auto" w:frame="1"/>
              </w:rPr>
            </w:pPr>
            <w:r w:rsidRPr="007E3008">
              <w:rPr>
                <w:rStyle w:val="Strong"/>
                <w:rFonts w:ascii="Arial" w:hAnsi="Arial" w:cs="Arial"/>
                <w:b w:val="0"/>
                <w:color w:val="1F1F1F"/>
                <w:sz w:val="22"/>
                <w:szCs w:val="22"/>
                <w:bdr w:val="none" w:sz="0" w:space="0" w:color="auto" w:frame="1"/>
              </w:rPr>
              <w:t>Methylene blue- glycerol</w:t>
            </w:r>
          </w:p>
        </w:tc>
        <w:tc>
          <w:tcPr>
            <w:tcW w:w="1538" w:type="dxa"/>
            <w:shd w:val="clear" w:color="auto" w:fill="BDD6EE" w:themeFill="accent5" w:themeFillTint="66"/>
            <w:hideMark/>
          </w:tcPr>
          <w:p w14:paraId="56CACA4A" w14:textId="77777777" w:rsidR="00981F6E" w:rsidRPr="007E3008" w:rsidRDefault="00981F6E" w:rsidP="00CA73DA">
            <w:pPr>
              <w:rPr>
                <w:rFonts w:ascii="Arial" w:hAnsi="Arial" w:cs="Arial"/>
                <w:b/>
                <w:color w:val="1F1F1F"/>
                <w:sz w:val="22"/>
                <w:szCs w:val="22"/>
              </w:rPr>
            </w:pPr>
            <w:r w:rsidRPr="007E3008">
              <w:rPr>
                <w:rStyle w:val="Strong"/>
                <w:rFonts w:ascii="Arial" w:hAnsi="Arial" w:cs="Arial"/>
                <w:b w:val="0"/>
                <w:color w:val="1F1F1F"/>
                <w:sz w:val="22"/>
                <w:szCs w:val="22"/>
                <w:bdr w:val="none" w:sz="0" w:space="0" w:color="auto" w:frame="1"/>
              </w:rPr>
              <w:t>Mean Difference</w:t>
            </w:r>
          </w:p>
        </w:tc>
        <w:tc>
          <w:tcPr>
            <w:tcW w:w="1325" w:type="dxa"/>
            <w:shd w:val="clear" w:color="auto" w:fill="BDD6EE" w:themeFill="accent5" w:themeFillTint="66"/>
          </w:tcPr>
          <w:p w14:paraId="5A3E69FE" w14:textId="77777777" w:rsidR="00981F6E" w:rsidRPr="007E3008" w:rsidRDefault="00981F6E" w:rsidP="00CA73DA">
            <w:pPr>
              <w:rPr>
                <w:rStyle w:val="Strong"/>
                <w:rFonts w:ascii="Arial" w:hAnsi="Arial" w:cs="Arial"/>
                <w:b w:val="0"/>
                <w:color w:val="1F1F1F"/>
                <w:sz w:val="22"/>
                <w:szCs w:val="22"/>
                <w:bdr w:val="none" w:sz="0" w:space="0" w:color="auto" w:frame="1"/>
              </w:rPr>
            </w:pPr>
            <w:r w:rsidRPr="007E3008">
              <w:rPr>
                <w:rStyle w:val="Strong"/>
                <w:rFonts w:ascii="Arial" w:hAnsi="Arial" w:cs="Arial"/>
                <w:b w:val="0"/>
                <w:color w:val="1F1F1F"/>
                <w:sz w:val="22"/>
                <w:szCs w:val="22"/>
                <w:bdr w:val="none" w:sz="0" w:space="0" w:color="auto" w:frame="1"/>
              </w:rPr>
              <w:t>Percentage</w:t>
            </w:r>
          </w:p>
          <w:p w14:paraId="755E15FA" w14:textId="32704666" w:rsidR="00981F6E" w:rsidRPr="007E3008" w:rsidRDefault="00981F6E" w:rsidP="00CA73DA">
            <w:pPr>
              <w:rPr>
                <w:rStyle w:val="Strong"/>
                <w:rFonts w:ascii="Arial" w:hAnsi="Arial" w:cs="Arial"/>
                <w:b w:val="0"/>
                <w:color w:val="1F1F1F"/>
                <w:sz w:val="22"/>
                <w:szCs w:val="22"/>
                <w:bdr w:val="none" w:sz="0" w:space="0" w:color="auto" w:frame="1"/>
              </w:rPr>
            </w:pPr>
            <w:r w:rsidRPr="007E3008">
              <w:rPr>
                <w:rStyle w:val="Strong"/>
                <w:rFonts w:ascii="Arial" w:hAnsi="Arial" w:cs="Arial"/>
                <w:b w:val="0"/>
                <w:color w:val="1F1F1F"/>
                <w:sz w:val="22"/>
                <w:szCs w:val="22"/>
                <w:bdr w:val="none" w:sz="0" w:space="0" w:color="auto" w:frame="1"/>
              </w:rPr>
              <w:t>increase</w:t>
            </w:r>
          </w:p>
        </w:tc>
        <w:tc>
          <w:tcPr>
            <w:tcW w:w="1377" w:type="dxa"/>
            <w:shd w:val="clear" w:color="auto" w:fill="BDD6EE" w:themeFill="accent5" w:themeFillTint="66"/>
            <w:hideMark/>
          </w:tcPr>
          <w:p w14:paraId="3CBF5711" w14:textId="12CA48F8" w:rsidR="00981F6E" w:rsidRPr="007E3008" w:rsidRDefault="00981F6E" w:rsidP="00CA73DA">
            <w:pPr>
              <w:rPr>
                <w:rFonts w:ascii="Arial" w:hAnsi="Arial" w:cs="Arial"/>
                <w:b/>
                <w:color w:val="1F1F1F"/>
                <w:sz w:val="22"/>
                <w:szCs w:val="22"/>
              </w:rPr>
            </w:pPr>
            <w:r w:rsidRPr="007E3008">
              <w:rPr>
                <w:rStyle w:val="Strong"/>
                <w:rFonts w:ascii="Arial" w:hAnsi="Arial" w:cs="Arial"/>
                <w:b w:val="0"/>
                <w:color w:val="1F1F1F"/>
                <w:sz w:val="22"/>
                <w:szCs w:val="22"/>
                <w:bdr w:val="none" w:sz="0" w:space="0" w:color="auto" w:frame="1"/>
              </w:rPr>
              <w:t>p-value</w:t>
            </w:r>
          </w:p>
        </w:tc>
      </w:tr>
      <w:tr w:rsidR="00981F6E" w:rsidRPr="00CA73DA" w14:paraId="5F363B1F" w14:textId="77777777" w:rsidTr="009D5EE6">
        <w:trPr>
          <w:trHeight w:val="219"/>
        </w:trPr>
        <w:tc>
          <w:tcPr>
            <w:tcW w:w="2134" w:type="dxa"/>
            <w:shd w:val="clear" w:color="auto" w:fill="FFF2CC" w:themeFill="accent4" w:themeFillTint="33"/>
            <w:hideMark/>
          </w:tcPr>
          <w:p w14:paraId="191A12CA" w14:textId="77777777"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Nuclear Definition</w:t>
            </w:r>
          </w:p>
        </w:tc>
        <w:tc>
          <w:tcPr>
            <w:tcW w:w="1307" w:type="dxa"/>
            <w:shd w:val="clear" w:color="auto" w:fill="FFF2CC" w:themeFill="accent4" w:themeFillTint="33"/>
            <w:hideMark/>
          </w:tcPr>
          <w:p w14:paraId="184F8CFA" w14:textId="5B3F7151"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1.74</w:t>
            </w:r>
          </w:p>
        </w:tc>
        <w:tc>
          <w:tcPr>
            <w:tcW w:w="1669" w:type="dxa"/>
            <w:shd w:val="clear" w:color="auto" w:fill="FFF2CC" w:themeFill="accent4" w:themeFillTint="33"/>
            <w:hideMark/>
          </w:tcPr>
          <w:p w14:paraId="3EE01223" w14:textId="27547FC3"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4.32</w:t>
            </w:r>
          </w:p>
        </w:tc>
        <w:tc>
          <w:tcPr>
            <w:tcW w:w="1538" w:type="dxa"/>
            <w:shd w:val="clear" w:color="auto" w:fill="FFF2CC" w:themeFill="accent4" w:themeFillTint="33"/>
            <w:hideMark/>
          </w:tcPr>
          <w:p w14:paraId="35248ED9" w14:textId="77777777"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+2.58</w:t>
            </w:r>
          </w:p>
        </w:tc>
        <w:tc>
          <w:tcPr>
            <w:tcW w:w="1325" w:type="dxa"/>
            <w:shd w:val="clear" w:color="auto" w:fill="FFF2CC" w:themeFill="accent4" w:themeFillTint="33"/>
          </w:tcPr>
          <w:p w14:paraId="3EEE4CA3" w14:textId="19D1A0B9" w:rsidR="00981F6E" w:rsidRPr="007E3008" w:rsidRDefault="00981F6E" w:rsidP="00CA73DA">
            <w:pPr>
              <w:rPr>
                <w:rFonts w:ascii="Arial" w:hAnsi="Arial" w:cs="Arial"/>
                <w:color w:val="1F1F1F"/>
                <w:sz w:val="22"/>
                <w:szCs w:val="22"/>
                <w:bdr w:val="none" w:sz="0" w:space="0" w:color="auto" w:frame="1"/>
              </w:rPr>
            </w:pPr>
            <w:r w:rsidRPr="007E3008">
              <w:rPr>
                <w:rFonts w:ascii="Arial" w:hAnsi="Arial" w:cs="Arial"/>
                <w:color w:val="1F1F1F"/>
                <w:sz w:val="22"/>
                <w:szCs w:val="22"/>
                <w:bdr w:val="none" w:sz="0" w:space="0" w:color="auto" w:frame="1"/>
              </w:rPr>
              <w:t>148.3%</w:t>
            </w:r>
          </w:p>
        </w:tc>
        <w:tc>
          <w:tcPr>
            <w:tcW w:w="1377" w:type="dxa"/>
            <w:shd w:val="clear" w:color="auto" w:fill="FFF2CC" w:themeFill="accent4" w:themeFillTint="33"/>
            <w:hideMark/>
          </w:tcPr>
          <w:p w14:paraId="5688F545" w14:textId="357E0764"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&lt; 0.0001</w:t>
            </w:r>
          </w:p>
        </w:tc>
      </w:tr>
      <w:tr w:rsidR="00981F6E" w:rsidRPr="00CA73DA" w14:paraId="712ABAE6" w14:textId="77777777" w:rsidTr="009D5EE6">
        <w:trPr>
          <w:trHeight w:val="232"/>
        </w:trPr>
        <w:tc>
          <w:tcPr>
            <w:tcW w:w="2134" w:type="dxa"/>
            <w:shd w:val="clear" w:color="auto" w:fill="FFF2CC" w:themeFill="accent4" w:themeFillTint="33"/>
            <w:hideMark/>
          </w:tcPr>
          <w:p w14:paraId="3E86F30C" w14:textId="77777777"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Cytoplasmic Detail</w:t>
            </w:r>
          </w:p>
        </w:tc>
        <w:tc>
          <w:tcPr>
            <w:tcW w:w="1307" w:type="dxa"/>
            <w:shd w:val="clear" w:color="auto" w:fill="FFF2CC" w:themeFill="accent4" w:themeFillTint="33"/>
            <w:hideMark/>
          </w:tcPr>
          <w:p w14:paraId="5A26E495" w14:textId="218D44E4"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2.19</w:t>
            </w:r>
          </w:p>
        </w:tc>
        <w:tc>
          <w:tcPr>
            <w:tcW w:w="1669" w:type="dxa"/>
            <w:shd w:val="clear" w:color="auto" w:fill="FFF2CC" w:themeFill="accent4" w:themeFillTint="33"/>
            <w:hideMark/>
          </w:tcPr>
          <w:p w14:paraId="211BFE13" w14:textId="7C5B1E9A"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4.10</w:t>
            </w:r>
          </w:p>
        </w:tc>
        <w:tc>
          <w:tcPr>
            <w:tcW w:w="1538" w:type="dxa"/>
            <w:shd w:val="clear" w:color="auto" w:fill="FFF2CC" w:themeFill="accent4" w:themeFillTint="33"/>
            <w:hideMark/>
          </w:tcPr>
          <w:p w14:paraId="49EEDF7E" w14:textId="77777777"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+1.91</w:t>
            </w:r>
          </w:p>
        </w:tc>
        <w:tc>
          <w:tcPr>
            <w:tcW w:w="1325" w:type="dxa"/>
            <w:shd w:val="clear" w:color="auto" w:fill="FFF2CC" w:themeFill="accent4" w:themeFillTint="33"/>
          </w:tcPr>
          <w:p w14:paraId="0B734099" w14:textId="75FD9A48" w:rsidR="00981F6E" w:rsidRPr="007E3008" w:rsidRDefault="00981F6E" w:rsidP="00CA73DA">
            <w:pPr>
              <w:rPr>
                <w:rFonts w:ascii="Arial" w:hAnsi="Arial" w:cs="Arial"/>
                <w:color w:val="1F1F1F"/>
                <w:sz w:val="22"/>
                <w:szCs w:val="22"/>
                <w:bdr w:val="none" w:sz="0" w:space="0" w:color="auto" w:frame="1"/>
              </w:rPr>
            </w:pPr>
            <w:r w:rsidRPr="007E3008">
              <w:rPr>
                <w:rFonts w:ascii="Arial" w:hAnsi="Arial" w:cs="Arial"/>
                <w:color w:val="1F1F1F"/>
                <w:sz w:val="22"/>
                <w:szCs w:val="22"/>
                <w:bdr w:val="none" w:sz="0" w:space="0" w:color="auto" w:frame="1"/>
              </w:rPr>
              <w:t>87.2%</w:t>
            </w:r>
          </w:p>
        </w:tc>
        <w:tc>
          <w:tcPr>
            <w:tcW w:w="1377" w:type="dxa"/>
            <w:shd w:val="clear" w:color="auto" w:fill="FFF2CC" w:themeFill="accent4" w:themeFillTint="33"/>
            <w:hideMark/>
          </w:tcPr>
          <w:p w14:paraId="6C00AE47" w14:textId="56FEE3BA"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&lt; 0.0001</w:t>
            </w:r>
          </w:p>
        </w:tc>
      </w:tr>
      <w:tr w:rsidR="00981F6E" w:rsidRPr="00CA73DA" w14:paraId="7F99D96A" w14:textId="77777777" w:rsidTr="009D5EE6">
        <w:trPr>
          <w:trHeight w:val="20"/>
        </w:trPr>
        <w:tc>
          <w:tcPr>
            <w:tcW w:w="2134" w:type="dxa"/>
            <w:shd w:val="clear" w:color="auto" w:fill="FFF2CC" w:themeFill="accent4" w:themeFillTint="33"/>
            <w:hideMark/>
          </w:tcPr>
          <w:p w14:paraId="0F50F2FB" w14:textId="77777777"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Contrast Ratio</w:t>
            </w:r>
          </w:p>
        </w:tc>
        <w:tc>
          <w:tcPr>
            <w:tcW w:w="1307" w:type="dxa"/>
            <w:shd w:val="clear" w:color="auto" w:fill="FFF2CC" w:themeFill="accent4" w:themeFillTint="33"/>
            <w:hideMark/>
          </w:tcPr>
          <w:p w14:paraId="2F86508A" w14:textId="09FB80EC"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1.44</w:t>
            </w:r>
          </w:p>
        </w:tc>
        <w:tc>
          <w:tcPr>
            <w:tcW w:w="1669" w:type="dxa"/>
            <w:shd w:val="clear" w:color="auto" w:fill="FFF2CC" w:themeFill="accent4" w:themeFillTint="33"/>
            <w:hideMark/>
          </w:tcPr>
          <w:p w14:paraId="4ECC914D" w14:textId="56397391"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4.20</w:t>
            </w:r>
          </w:p>
        </w:tc>
        <w:tc>
          <w:tcPr>
            <w:tcW w:w="1538" w:type="dxa"/>
            <w:shd w:val="clear" w:color="auto" w:fill="FFF2CC" w:themeFill="accent4" w:themeFillTint="33"/>
            <w:hideMark/>
          </w:tcPr>
          <w:p w14:paraId="18EF28A4" w14:textId="77777777"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+2.76</w:t>
            </w:r>
          </w:p>
        </w:tc>
        <w:tc>
          <w:tcPr>
            <w:tcW w:w="1325" w:type="dxa"/>
            <w:shd w:val="clear" w:color="auto" w:fill="FFF2CC" w:themeFill="accent4" w:themeFillTint="33"/>
          </w:tcPr>
          <w:p w14:paraId="14C36CB4" w14:textId="3AAF7515" w:rsidR="00981F6E" w:rsidRPr="007E3008" w:rsidRDefault="00981F6E" w:rsidP="00CA73DA">
            <w:pPr>
              <w:rPr>
                <w:rFonts w:ascii="Arial" w:hAnsi="Arial" w:cs="Arial"/>
                <w:color w:val="1F1F1F"/>
                <w:sz w:val="22"/>
                <w:szCs w:val="22"/>
                <w:bdr w:val="none" w:sz="0" w:space="0" w:color="auto" w:frame="1"/>
              </w:rPr>
            </w:pPr>
            <w:r w:rsidRPr="007E3008">
              <w:rPr>
                <w:rFonts w:ascii="Arial" w:hAnsi="Arial" w:cs="Arial"/>
                <w:color w:val="1F1F1F"/>
                <w:sz w:val="22"/>
                <w:szCs w:val="22"/>
                <w:bdr w:val="none" w:sz="0" w:space="0" w:color="auto" w:frame="1"/>
              </w:rPr>
              <w:t>191.7%</w:t>
            </w:r>
          </w:p>
        </w:tc>
        <w:tc>
          <w:tcPr>
            <w:tcW w:w="1377" w:type="dxa"/>
            <w:shd w:val="clear" w:color="auto" w:fill="FFF2CC" w:themeFill="accent4" w:themeFillTint="33"/>
            <w:hideMark/>
          </w:tcPr>
          <w:p w14:paraId="29F6E41C" w14:textId="5F81E1E1"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&lt; 0.0001</w:t>
            </w:r>
          </w:p>
        </w:tc>
      </w:tr>
    </w:tbl>
    <w:p w14:paraId="008AA323" w14:textId="77777777" w:rsidR="00CB7543" w:rsidRDefault="00CB7543" w:rsidP="00595525"/>
    <w:p w14:paraId="2AA92010" w14:textId="0C2DE81B" w:rsidR="00CB7543" w:rsidRDefault="00CB7543" w:rsidP="007E3008">
      <w:pPr>
        <w:jc w:val="both"/>
      </w:pPr>
      <w:r w:rsidRPr="00CB7543">
        <w:t>The distribution of raw scores across the 100 samples showed a distinct rightward shift</w:t>
      </w:r>
      <w:r w:rsidR="00981F6E">
        <w:t xml:space="preserve"> </w:t>
      </w:r>
      <w:r w:rsidRPr="00CB7543">
        <w:t>for the experimental group. In the saline mounts, 83% of the observations for nuclear clarity were clustered in the "Poor" to "Fair" range (Scores 1–2), whereas 86% of the MB-G preparations achieved "Very Good" to "Excellent" ratings (Scores 4–5).</w:t>
      </w:r>
      <w:r w:rsidR="00981F6E">
        <w:t xml:space="preserve"> The cytoplasmic detail </w:t>
      </w:r>
      <w:r w:rsidR="00D13FD9">
        <w:t>is 67% poor-fair in saline versus 74% very good-excellent in MB-G. Finally, the contrast ratio in saline is clustered at 93% poor-fair, whereas 81% is very good-excellent in MB-G.</w:t>
      </w:r>
    </w:p>
    <w:p w14:paraId="1DAE8A37" w14:textId="77777777" w:rsidR="00CB7543" w:rsidRDefault="00CB7543" w:rsidP="00595525"/>
    <w:p w14:paraId="54A9B66F" w14:textId="77777777" w:rsidR="00CB7543" w:rsidRDefault="00CB7543" w:rsidP="00595525"/>
    <w:p w14:paraId="3126963E" w14:textId="73B88180" w:rsidR="00CB7543" w:rsidRDefault="00981F6E" w:rsidP="00595525">
      <w:r>
        <w:t xml:space="preserve">                        </w:t>
      </w:r>
      <w:r w:rsidR="00CB7543" w:rsidRPr="007E3008">
        <w:rPr>
          <w:b/>
        </w:rPr>
        <w:t>Table 2</w:t>
      </w:r>
      <w:r w:rsidR="00CB7543" w:rsidRPr="00CB7543">
        <w:t xml:space="preserve">: </w:t>
      </w:r>
      <w:r w:rsidR="00CB7543" w:rsidRPr="007E3008">
        <w:rPr>
          <w:i/>
        </w:rPr>
        <w:t>Frequency Distribution of Raw Likert Scores (N=100)</w:t>
      </w:r>
    </w:p>
    <w:p w14:paraId="36B331E1" w14:textId="446A3E27" w:rsidR="00CB7543" w:rsidRDefault="00CB7543" w:rsidP="00595525"/>
    <w:tbl>
      <w:tblPr>
        <w:tblStyle w:val="TableGrid"/>
        <w:tblpPr w:leftFromText="180" w:rightFromText="180" w:vertAnchor="text" w:horzAnchor="margin" w:tblpY="20"/>
        <w:tblW w:w="9781" w:type="dxa"/>
        <w:tblLook w:val="04A0" w:firstRow="1" w:lastRow="0" w:firstColumn="1" w:lastColumn="0" w:noHBand="0" w:noVBand="1"/>
      </w:tblPr>
      <w:tblGrid>
        <w:gridCol w:w="1766"/>
        <w:gridCol w:w="1335"/>
        <w:gridCol w:w="1336"/>
        <w:gridCol w:w="1336"/>
        <w:gridCol w:w="1336"/>
        <w:gridCol w:w="1336"/>
        <w:gridCol w:w="1336"/>
      </w:tblGrid>
      <w:tr w:rsidR="0008686C" w:rsidRPr="00FD1F96" w14:paraId="62F58D1F" w14:textId="77777777" w:rsidTr="009D5EE6">
        <w:trPr>
          <w:trHeight w:val="321"/>
        </w:trPr>
        <w:tc>
          <w:tcPr>
            <w:tcW w:w="1766" w:type="dxa"/>
            <w:shd w:val="clear" w:color="auto" w:fill="BDD6EE" w:themeFill="accent5" w:themeFillTint="66"/>
          </w:tcPr>
          <w:p w14:paraId="10F27AB0" w14:textId="77777777" w:rsidR="0008686C" w:rsidRPr="00FD1F96" w:rsidRDefault="0008686C" w:rsidP="0008686C">
            <w:pPr>
              <w:pStyle w:val="Heading3"/>
              <w:spacing w:before="0" w:beforeAutospacing="0" w:after="0" w:afterAutospacing="0"/>
              <w:rPr>
                <w:b w:val="0"/>
                <w:bCs w:val="0"/>
                <w:color w:val="1F1F1F"/>
                <w:sz w:val="24"/>
                <w:szCs w:val="24"/>
              </w:rPr>
            </w:pPr>
          </w:p>
        </w:tc>
        <w:tc>
          <w:tcPr>
            <w:tcW w:w="2671" w:type="dxa"/>
            <w:gridSpan w:val="2"/>
            <w:shd w:val="clear" w:color="auto" w:fill="BDD6EE" w:themeFill="accent5" w:themeFillTint="66"/>
          </w:tcPr>
          <w:p w14:paraId="41595BF9"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Nuclear</w:t>
            </w:r>
          </w:p>
        </w:tc>
        <w:tc>
          <w:tcPr>
            <w:tcW w:w="2672" w:type="dxa"/>
            <w:gridSpan w:val="2"/>
            <w:shd w:val="clear" w:color="auto" w:fill="BDD6EE" w:themeFill="accent5" w:themeFillTint="66"/>
          </w:tcPr>
          <w:p w14:paraId="1C2A357A"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Cytoplasmic</w:t>
            </w:r>
          </w:p>
        </w:tc>
        <w:tc>
          <w:tcPr>
            <w:tcW w:w="2672" w:type="dxa"/>
            <w:gridSpan w:val="2"/>
            <w:shd w:val="clear" w:color="auto" w:fill="BDD6EE" w:themeFill="accent5" w:themeFillTint="66"/>
          </w:tcPr>
          <w:p w14:paraId="1A5250E1"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Contrast Ratio</w:t>
            </w:r>
          </w:p>
        </w:tc>
      </w:tr>
      <w:tr w:rsidR="0008686C" w:rsidRPr="00FD1F96" w14:paraId="7E5DEB26" w14:textId="77777777" w:rsidTr="009D5EE6">
        <w:trPr>
          <w:trHeight w:val="287"/>
        </w:trPr>
        <w:tc>
          <w:tcPr>
            <w:tcW w:w="1766" w:type="dxa"/>
            <w:shd w:val="clear" w:color="auto" w:fill="BDD6EE" w:themeFill="accent5" w:themeFillTint="66"/>
          </w:tcPr>
          <w:p w14:paraId="0133BFBF" w14:textId="77777777" w:rsidR="0008686C" w:rsidRPr="00FD1F96" w:rsidRDefault="0008686C" w:rsidP="0008686C">
            <w:pPr>
              <w:pStyle w:val="Heading3"/>
              <w:spacing w:before="0" w:beforeAutospacing="0" w:after="0" w:afterAutospacing="0"/>
              <w:rPr>
                <w:b w:val="0"/>
                <w:bCs w:val="0"/>
                <w:color w:val="1F1F1F"/>
                <w:sz w:val="24"/>
                <w:szCs w:val="24"/>
              </w:rPr>
            </w:pPr>
          </w:p>
        </w:tc>
        <w:tc>
          <w:tcPr>
            <w:tcW w:w="1335" w:type="dxa"/>
            <w:shd w:val="clear" w:color="auto" w:fill="BDD6EE" w:themeFill="accent5" w:themeFillTint="66"/>
          </w:tcPr>
          <w:p w14:paraId="394FC1ED"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Saline</w:t>
            </w:r>
          </w:p>
        </w:tc>
        <w:tc>
          <w:tcPr>
            <w:tcW w:w="1336" w:type="dxa"/>
            <w:shd w:val="clear" w:color="auto" w:fill="BDD6EE" w:themeFill="accent5" w:themeFillTint="66"/>
          </w:tcPr>
          <w:p w14:paraId="43CF7C23"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MB-G</w:t>
            </w:r>
          </w:p>
        </w:tc>
        <w:tc>
          <w:tcPr>
            <w:tcW w:w="1336" w:type="dxa"/>
            <w:shd w:val="clear" w:color="auto" w:fill="BDD6EE" w:themeFill="accent5" w:themeFillTint="66"/>
          </w:tcPr>
          <w:p w14:paraId="09DA2442"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Saline</w:t>
            </w:r>
          </w:p>
        </w:tc>
        <w:tc>
          <w:tcPr>
            <w:tcW w:w="1336" w:type="dxa"/>
            <w:shd w:val="clear" w:color="auto" w:fill="BDD6EE" w:themeFill="accent5" w:themeFillTint="66"/>
          </w:tcPr>
          <w:p w14:paraId="10ADADC7"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MB-G</w:t>
            </w:r>
          </w:p>
        </w:tc>
        <w:tc>
          <w:tcPr>
            <w:tcW w:w="1336" w:type="dxa"/>
            <w:shd w:val="clear" w:color="auto" w:fill="BDD6EE" w:themeFill="accent5" w:themeFillTint="66"/>
          </w:tcPr>
          <w:p w14:paraId="71F06ECD"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Saline</w:t>
            </w:r>
          </w:p>
        </w:tc>
        <w:tc>
          <w:tcPr>
            <w:tcW w:w="1336" w:type="dxa"/>
            <w:shd w:val="clear" w:color="auto" w:fill="BDD6EE" w:themeFill="accent5" w:themeFillTint="66"/>
          </w:tcPr>
          <w:p w14:paraId="2FD7A190"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MB-G</w:t>
            </w:r>
          </w:p>
        </w:tc>
      </w:tr>
      <w:tr w:rsidR="0008686C" w:rsidRPr="00FD1F96" w14:paraId="5DA3532A" w14:textId="77777777" w:rsidTr="009D5EE6">
        <w:tc>
          <w:tcPr>
            <w:tcW w:w="1766" w:type="dxa"/>
            <w:shd w:val="clear" w:color="auto" w:fill="FFF2CC" w:themeFill="accent4" w:themeFillTint="33"/>
          </w:tcPr>
          <w:p w14:paraId="741308D6" w14:textId="77777777" w:rsidR="0008686C" w:rsidRPr="00FD1F96" w:rsidRDefault="0008686C" w:rsidP="0008686C">
            <w:pPr>
              <w:pStyle w:val="Heading3"/>
              <w:spacing w:before="0" w:beforeAutospacing="0" w:after="0" w:afterAutospacing="0"/>
              <w:rPr>
                <w:b w:val="0"/>
                <w:bCs w:val="0"/>
                <w:color w:val="1F1F1F"/>
                <w:sz w:val="24"/>
                <w:szCs w:val="24"/>
              </w:rPr>
            </w:pPr>
            <w:r w:rsidRPr="00FD1F96">
              <w:rPr>
                <w:b w:val="0"/>
                <w:bCs w:val="0"/>
                <w:color w:val="1F1F1F"/>
                <w:sz w:val="24"/>
                <w:szCs w:val="24"/>
              </w:rPr>
              <w:t>1 (Poor)</w:t>
            </w:r>
          </w:p>
        </w:tc>
        <w:tc>
          <w:tcPr>
            <w:tcW w:w="1335" w:type="dxa"/>
            <w:shd w:val="clear" w:color="auto" w:fill="FFF2CC" w:themeFill="accent4" w:themeFillTint="33"/>
          </w:tcPr>
          <w:p w14:paraId="1946F9A6"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48</w:t>
            </w:r>
          </w:p>
        </w:tc>
        <w:tc>
          <w:tcPr>
            <w:tcW w:w="1336" w:type="dxa"/>
            <w:shd w:val="clear" w:color="auto" w:fill="FFF2CC" w:themeFill="accent4" w:themeFillTint="33"/>
          </w:tcPr>
          <w:p w14:paraId="52E40B2D"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0</w:t>
            </w:r>
          </w:p>
        </w:tc>
        <w:tc>
          <w:tcPr>
            <w:tcW w:w="1336" w:type="dxa"/>
            <w:shd w:val="clear" w:color="auto" w:fill="FFF2CC" w:themeFill="accent4" w:themeFillTint="33"/>
          </w:tcPr>
          <w:p w14:paraId="118DAE31"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25</w:t>
            </w:r>
          </w:p>
        </w:tc>
        <w:tc>
          <w:tcPr>
            <w:tcW w:w="1336" w:type="dxa"/>
            <w:shd w:val="clear" w:color="auto" w:fill="FFF2CC" w:themeFill="accent4" w:themeFillTint="33"/>
          </w:tcPr>
          <w:p w14:paraId="03605669"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0</w:t>
            </w:r>
          </w:p>
        </w:tc>
        <w:tc>
          <w:tcPr>
            <w:tcW w:w="1336" w:type="dxa"/>
            <w:shd w:val="clear" w:color="auto" w:fill="FFF2CC" w:themeFill="accent4" w:themeFillTint="33"/>
          </w:tcPr>
          <w:p w14:paraId="21DFADFF"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65</w:t>
            </w:r>
          </w:p>
        </w:tc>
        <w:tc>
          <w:tcPr>
            <w:tcW w:w="1336" w:type="dxa"/>
            <w:shd w:val="clear" w:color="auto" w:fill="FFF2CC" w:themeFill="accent4" w:themeFillTint="33"/>
          </w:tcPr>
          <w:p w14:paraId="1D22DDCA"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0</w:t>
            </w:r>
          </w:p>
        </w:tc>
      </w:tr>
      <w:tr w:rsidR="0008686C" w:rsidRPr="00FD1F96" w14:paraId="16982B16" w14:textId="77777777" w:rsidTr="009D5EE6">
        <w:tc>
          <w:tcPr>
            <w:tcW w:w="1766" w:type="dxa"/>
            <w:shd w:val="clear" w:color="auto" w:fill="FFF2CC" w:themeFill="accent4" w:themeFillTint="33"/>
          </w:tcPr>
          <w:p w14:paraId="5DBA68B8" w14:textId="77777777" w:rsidR="0008686C" w:rsidRPr="00FD1F96" w:rsidRDefault="0008686C" w:rsidP="0008686C">
            <w:pPr>
              <w:pStyle w:val="Heading3"/>
              <w:spacing w:before="0" w:beforeAutospacing="0" w:after="0" w:afterAutospacing="0"/>
              <w:rPr>
                <w:b w:val="0"/>
                <w:bCs w:val="0"/>
                <w:color w:val="1F1F1F"/>
                <w:sz w:val="24"/>
                <w:szCs w:val="24"/>
              </w:rPr>
            </w:pPr>
            <w:r w:rsidRPr="00FD1F96">
              <w:rPr>
                <w:b w:val="0"/>
                <w:bCs w:val="0"/>
                <w:color w:val="1F1F1F"/>
                <w:sz w:val="24"/>
                <w:szCs w:val="24"/>
              </w:rPr>
              <w:t>2 (Fair)</w:t>
            </w:r>
          </w:p>
        </w:tc>
        <w:tc>
          <w:tcPr>
            <w:tcW w:w="1335" w:type="dxa"/>
            <w:shd w:val="clear" w:color="auto" w:fill="FFF2CC" w:themeFill="accent4" w:themeFillTint="33"/>
          </w:tcPr>
          <w:p w14:paraId="53503B5A"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35</w:t>
            </w:r>
          </w:p>
        </w:tc>
        <w:tc>
          <w:tcPr>
            <w:tcW w:w="1336" w:type="dxa"/>
            <w:shd w:val="clear" w:color="auto" w:fill="FFF2CC" w:themeFill="accent4" w:themeFillTint="33"/>
          </w:tcPr>
          <w:p w14:paraId="4801C3BC"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2</w:t>
            </w:r>
          </w:p>
        </w:tc>
        <w:tc>
          <w:tcPr>
            <w:tcW w:w="1336" w:type="dxa"/>
            <w:shd w:val="clear" w:color="auto" w:fill="FFF2CC" w:themeFill="accent4" w:themeFillTint="33"/>
          </w:tcPr>
          <w:p w14:paraId="06BEED8D"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42</w:t>
            </w:r>
          </w:p>
        </w:tc>
        <w:tc>
          <w:tcPr>
            <w:tcW w:w="1336" w:type="dxa"/>
            <w:shd w:val="clear" w:color="auto" w:fill="FFF2CC" w:themeFill="accent4" w:themeFillTint="33"/>
          </w:tcPr>
          <w:p w14:paraId="65ABDD10"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4</w:t>
            </w:r>
          </w:p>
        </w:tc>
        <w:tc>
          <w:tcPr>
            <w:tcW w:w="1336" w:type="dxa"/>
            <w:shd w:val="clear" w:color="auto" w:fill="FFF2CC" w:themeFill="accent4" w:themeFillTint="33"/>
          </w:tcPr>
          <w:p w14:paraId="0D4C9A6A"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28</w:t>
            </w:r>
          </w:p>
        </w:tc>
        <w:tc>
          <w:tcPr>
            <w:tcW w:w="1336" w:type="dxa"/>
            <w:shd w:val="clear" w:color="auto" w:fill="FFF2CC" w:themeFill="accent4" w:themeFillTint="33"/>
          </w:tcPr>
          <w:p w14:paraId="4ECC81B0"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1</w:t>
            </w:r>
          </w:p>
        </w:tc>
      </w:tr>
      <w:tr w:rsidR="0008686C" w:rsidRPr="00FD1F96" w14:paraId="4C101A28" w14:textId="77777777" w:rsidTr="009D5EE6">
        <w:tc>
          <w:tcPr>
            <w:tcW w:w="1766" w:type="dxa"/>
            <w:shd w:val="clear" w:color="auto" w:fill="FFF2CC" w:themeFill="accent4" w:themeFillTint="33"/>
          </w:tcPr>
          <w:p w14:paraId="66B99EEA" w14:textId="77777777" w:rsidR="0008686C" w:rsidRPr="00FD1F96" w:rsidRDefault="0008686C" w:rsidP="0008686C">
            <w:pPr>
              <w:pStyle w:val="Heading3"/>
              <w:spacing w:before="0" w:beforeAutospacing="0" w:after="0" w:afterAutospacing="0"/>
              <w:rPr>
                <w:b w:val="0"/>
                <w:bCs w:val="0"/>
                <w:color w:val="1F1F1F"/>
                <w:sz w:val="24"/>
                <w:szCs w:val="24"/>
              </w:rPr>
            </w:pPr>
            <w:r w:rsidRPr="00FD1F96">
              <w:rPr>
                <w:b w:val="0"/>
                <w:bCs w:val="0"/>
                <w:color w:val="1F1F1F"/>
                <w:sz w:val="24"/>
                <w:szCs w:val="24"/>
              </w:rPr>
              <w:t>3 (Good)</w:t>
            </w:r>
          </w:p>
        </w:tc>
        <w:tc>
          <w:tcPr>
            <w:tcW w:w="1335" w:type="dxa"/>
            <w:shd w:val="clear" w:color="auto" w:fill="FFF2CC" w:themeFill="accent4" w:themeFillTint="33"/>
          </w:tcPr>
          <w:p w14:paraId="7A12727D"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12</w:t>
            </w:r>
          </w:p>
        </w:tc>
        <w:tc>
          <w:tcPr>
            <w:tcW w:w="1336" w:type="dxa"/>
            <w:shd w:val="clear" w:color="auto" w:fill="FFF2CC" w:themeFill="accent4" w:themeFillTint="33"/>
          </w:tcPr>
          <w:p w14:paraId="30BF0C70"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12</w:t>
            </w:r>
          </w:p>
        </w:tc>
        <w:tc>
          <w:tcPr>
            <w:tcW w:w="1336" w:type="dxa"/>
            <w:shd w:val="clear" w:color="auto" w:fill="FFF2CC" w:themeFill="accent4" w:themeFillTint="33"/>
          </w:tcPr>
          <w:p w14:paraId="2C4CF53D"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22</w:t>
            </w:r>
          </w:p>
        </w:tc>
        <w:tc>
          <w:tcPr>
            <w:tcW w:w="1336" w:type="dxa"/>
            <w:shd w:val="clear" w:color="auto" w:fill="FFF2CC" w:themeFill="accent4" w:themeFillTint="33"/>
          </w:tcPr>
          <w:p w14:paraId="1F68E2C1"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22</w:t>
            </w:r>
          </w:p>
        </w:tc>
        <w:tc>
          <w:tcPr>
            <w:tcW w:w="1336" w:type="dxa"/>
            <w:shd w:val="clear" w:color="auto" w:fill="FFF2CC" w:themeFill="accent4" w:themeFillTint="33"/>
          </w:tcPr>
          <w:p w14:paraId="15CFC56E"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5</w:t>
            </w:r>
          </w:p>
        </w:tc>
        <w:tc>
          <w:tcPr>
            <w:tcW w:w="1336" w:type="dxa"/>
            <w:shd w:val="clear" w:color="auto" w:fill="FFF2CC" w:themeFill="accent4" w:themeFillTint="33"/>
          </w:tcPr>
          <w:p w14:paraId="5ED5D318"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18</w:t>
            </w:r>
          </w:p>
        </w:tc>
      </w:tr>
      <w:tr w:rsidR="0008686C" w:rsidRPr="00FD1F96" w14:paraId="5059ADBD" w14:textId="77777777" w:rsidTr="009D5EE6">
        <w:tc>
          <w:tcPr>
            <w:tcW w:w="1766" w:type="dxa"/>
            <w:shd w:val="clear" w:color="auto" w:fill="FFF2CC" w:themeFill="accent4" w:themeFillTint="33"/>
          </w:tcPr>
          <w:p w14:paraId="20C85397" w14:textId="77777777" w:rsidR="0008686C" w:rsidRPr="00FD1F96" w:rsidRDefault="0008686C" w:rsidP="0008686C">
            <w:pPr>
              <w:pStyle w:val="Heading3"/>
              <w:spacing w:before="0" w:beforeAutospacing="0" w:after="0" w:afterAutospacing="0"/>
              <w:rPr>
                <w:b w:val="0"/>
                <w:bCs w:val="0"/>
                <w:color w:val="1F1F1F"/>
                <w:sz w:val="24"/>
                <w:szCs w:val="24"/>
              </w:rPr>
            </w:pPr>
            <w:r w:rsidRPr="00FD1F96">
              <w:rPr>
                <w:b w:val="0"/>
                <w:bCs w:val="0"/>
                <w:color w:val="1F1F1F"/>
                <w:sz w:val="24"/>
                <w:szCs w:val="24"/>
              </w:rPr>
              <w:t>4 (Very Good)</w:t>
            </w:r>
          </w:p>
        </w:tc>
        <w:tc>
          <w:tcPr>
            <w:tcW w:w="1335" w:type="dxa"/>
            <w:shd w:val="clear" w:color="auto" w:fill="FFF2CC" w:themeFill="accent4" w:themeFillTint="33"/>
          </w:tcPr>
          <w:p w14:paraId="403B8047"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5</w:t>
            </w:r>
          </w:p>
        </w:tc>
        <w:tc>
          <w:tcPr>
            <w:tcW w:w="1336" w:type="dxa"/>
            <w:shd w:val="clear" w:color="auto" w:fill="FFF2CC" w:themeFill="accent4" w:themeFillTint="33"/>
          </w:tcPr>
          <w:p w14:paraId="45B4F504"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38</w:t>
            </w:r>
          </w:p>
        </w:tc>
        <w:tc>
          <w:tcPr>
            <w:tcW w:w="1336" w:type="dxa"/>
            <w:shd w:val="clear" w:color="auto" w:fill="FFF2CC" w:themeFill="accent4" w:themeFillTint="33"/>
          </w:tcPr>
          <w:p w14:paraId="4A287065"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11</w:t>
            </w:r>
          </w:p>
        </w:tc>
        <w:tc>
          <w:tcPr>
            <w:tcW w:w="1336" w:type="dxa"/>
            <w:shd w:val="clear" w:color="auto" w:fill="FFF2CC" w:themeFill="accent4" w:themeFillTint="33"/>
          </w:tcPr>
          <w:p w14:paraId="0C6CB9A5"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34</w:t>
            </w:r>
          </w:p>
        </w:tc>
        <w:tc>
          <w:tcPr>
            <w:tcW w:w="1336" w:type="dxa"/>
            <w:shd w:val="clear" w:color="auto" w:fill="FFF2CC" w:themeFill="accent4" w:themeFillTint="33"/>
          </w:tcPr>
          <w:p w14:paraId="421AB872"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2</w:t>
            </w:r>
          </w:p>
        </w:tc>
        <w:tc>
          <w:tcPr>
            <w:tcW w:w="1336" w:type="dxa"/>
            <w:shd w:val="clear" w:color="auto" w:fill="FFF2CC" w:themeFill="accent4" w:themeFillTint="33"/>
          </w:tcPr>
          <w:p w14:paraId="1622CE86"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41</w:t>
            </w:r>
          </w:p>
        </w:tc>
      </w:tr>
      <w:tr w:rsidR="0008686C" w:rsidRPr="00FD1F96" w14:paraId="333BB188" w14:textId="77777777" w:rsidTr="009D5EE6">
        <w:tc>
          <w:tcPr>
            <w:tcW w:w="1766" w:type="dxa"/>
            <w:shd w:val="clear" w:color="auto" w:fill="FFF2CC" w:themeFill="accent4" w:themeFillTint="33"/>
          </w:tcPr>
          <w:p w14:paraId="1B6B1B4E" w14:textId="77777777" w:rsidR="0008686C" w:rsidRPr="00FD1F96" w:rsidRDefault="0008686C" w:rsidP="0008686C">
            <w:pPr>
              <w:pStyle w:val="Heading3"/>
              <w:spacing w:before="0" w:beforeAutospacing="0" w:after="0" w:afterAutospacing="0"/>
              <w:rPr>
                <w:b w:val="0"/>
                <w:bCs w:val="0"/>
                <w:color w:val="1F1F1F"/>
                <w:sz w:val="24"/>
                <w:szCs w:val="24"/>
              </w:rPr>
            </w:pPr>
            <w:r w:rsidRPr="00FD1F96">
              <w:rPr>
                <w:b w:val="0"/>
                <w:bCs w:val="0"/>
                <w:color w:val="1F1F1F"/>
                <w:sz w:val="24"/>
                <w:szCs w:val="24"/>
              </w:rPr>
              <w:t>5 (Excellent)</w:t>
            </w:r>
          </w:p>
        </w:tc>
        <w:tc>
          <w:tcPr>
            <w:tcW w:w="1335" w:type="dxa"/>
            <w:shd w:val="clear" w:color="auto" w:fill="FFF2CC" w:themeFill="accent4" w:themeFillTint="33"/>
          </w:tcPr>
          <w:p w14:paraId="77034B89"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0</w:t>
            </w:r>
          </w:p>
        </w:tc>
        <w:tc>
          <w:tcPr>
            <w:tcW w:w="1336" w:type="dxa"/>
            <w:shd w:val="clear" w:color="auto" w:fill="FFF2CC" w:themeFill="accent4" w:themeFillTint="33"/>
          </w:tcPr>
          <w:p w14:paraId="5475BC8E"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48</w:t>
            </w:r>
          </w:p>
        </w:tc>
        <w:tc>
          <w:tcPr>
            <w:tcW w:w="1336" w:type="dxa"/>
            <w:shd w:val="clear" w:color="auto" w:fill="FFF2CC" w:themeFill="accent4" w:themeFillTint="33"/>
          </w:tcPr>
          <w:p w14:paraId="43CF821B"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0</w:t>
            </w:r>
          </w:p>
        </w:tc>
        <w:tc>
          <w:tcPr>
            <w:tcW w:w="1336" w:type="dxa"/>
            <w:shd w:val="clear" w:color="auto" w:fill="FFF2CC" w:themeFill="accent4" w:themeFillTint="33"/>
          </w:tcPr>
          <w:p w14:paraId="0ABF1C94"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40</w:t>
            </w:r>
          </w:p>
        </w:tc>
        <w:tc>
          <w:tcPr>
            <w:tcW w:w="1336" w:type="dxa"/>
            <w:shd w:val="clear" w:color="auto" w:fill="FFF2CC" w:themeFill="accent4" w:themeFillTint="33"/>
          </w:tcPr>
          <w:p w14:paraId="60B81A47"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0</w:t>
            </w:r>
          </w:p>
        </w:tc>
        <w:tc>
          <w:tcPr>
            <w:tcW w:w="1336" w:type="dxa"/>
            <w:shd w:val="clear" w:color="auto" w:fill="FFF2CC" w:themeFill="accent4" w:themeFillTint="33"/>
          </w:tcPr>
          <w:p w14:paraId="11D4FEB2"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40</w:t>
            </w:r>
          </w:p>
        </w:tc>
      </w:tr>
    </w:tbl>
    <w:p w14:paraId="05C6B13F" w14:textId="50125619" w:rsidR="00CB7543" w:rsidRDefault="00CB7543" w:rsidP="00CB7543"/>
    <w:p w14:paraId="32F5FD52" w14:textId="3C386B98" w:rsidR="00D13FD9" w:rsidRPr="00D13FD9" w:rsidRDefault="00D13FD9" w:rsidP="007E3008">
      <w:pPr>
        <w:jc w:val="both"/>
      </w:pPr>
      <w:r w:rsidRPr="00D13FD9">
        <w:t xml:space="preserve">To visualize the distribution of the study’s raw scores (N=100), the following frequency analysis and visualization demonstrate the shift in diagnostic clarity from Saline to Methylene Blue-Glycerol (MB-G). </w:t>
      </w:r>
      <w:r w:rsidRPr="00D13FD9">
        <w:rPr>
          <w:color w:val="1F1F1F"/>
        </w:rPr>
        <w:t>The bars represent the frequency counts for each Likert score, while the lines (Frequency Polygons) highlight the overall trend or "diagnostic signature" of each method.</w:t>
      </w:r>
    </w:p>
    <w:p w14:paraId="2203FF4B" w14:textId="4C74A8B5" w:rsidR="00D13FD9" w:rsidRPr="00D13FD9" w:rsidRDefault="00D13FD9" w:rsidP="007E3008">
      <w:pPr>
        <w:jc w:val="both"/>
      </w:pPr>
      <w:r w:rsidRPr="00D13FD9">
        <w:rPr>
          <w:b/>
          <w:bCs/>
          <w:color w:val="1F1F1F"/>
        </w:rPr>
        <w:t>Nuclear Definition:</w:t>
      </w:r>
      <w:r w:rsidRPr="00D13FD9">
        <w:rPr>
          <w:color w:val="1F1F1F"/>
        </w:rPr>
        <w:t xml:space="preserve"> In the Saline group, the frequency polygon is heavily "left-skewed," with 83% of samples scoring 1 or 2. For MB-Glycerol, the polygon shifts sharply to the right, with 86% of samples achieving "Very Good" (4) or "Excellent" (5) status.</w:t>
      </w:r>
    </w:p>
    <w:p w14:paraId="0E65A52F" w14:textId="66768B50" w:rsidR="00D13FD9" w:rsidRPr="00D13FD9" w:rsidRDefault="00D13FD9" w:rsidP="007E3008">
      <w:pPr>
        <w:jc w:val="both"/>
        <w:rPr>
          <w:color w:val="1F1F1F"/>
        </w:rPr>
      </w:pPr>
      <w:r w:rsidRPr="00D13FD9">
        <w:rPr>
          <w:b/>
          <w:bCs/>
          <w:color w:val="1F1F1F"/>
        </w:rPr>
        <w:t>Cytoplasmic Detail:</w:t>
      </w:r>
      <w:r w:rsidRPr="00D13FD9">
        <w:rPr>
          <w:color w:val="1F1F1F"/>
        </w:rPr>
        <w:t xml:space="preserve"> While Saline shows some variation in the mid-range (Score 2 and 3), the MB-Glycerol method consistently produces higher-quality images. The glycerol's clearing effect significantly reduced the "blur" typically seen in dense fecal samples.</w:t>
      </w:r>
    </w:p>
    <w:p w14:paraId="5D28A1DB" w14:textId="0E9130BD" w:rsidR="00D13FD9" w:rsidRPr="00D13FD9" w:rsidRDefault="00D13FD9" w:rsidP="007E3008">
      <w:pPr>
        <w:jc w:val="both"/>
        <w:rPr>
          <w:color w:val="1F1F1F"/>
        </w:rPr>
      </w:pPr>
      <w:r w:rsidRPr="00D13FD9">
        <w:rPr>
          <w:b/>
          <w:bCs/>
          <w:color w:val="1F1F1F"/>
        </w:rPr>
        <w:t>Contrast Ratio:</w:t>
      </w:r>
      <w:r w:rsidRPr="00D13FD9">
        <w:rPr>
          <w:color w:val="1F1F1F"/>
        </w:rPr>
        <w:t xml:space="preserve"> This feature showed the most extreme divergence. The Saline polygon peaks at Score 1 (65 samples), indicating that the parasite was nearly invisible against the background. The MB-Glycerol polygon peaks at Score 4 and 5 (81 samples), proving that the combined effect of the dye and the high refractive index of glycerol makes the parasite "pop" visually.</w:t>
      </w:r>
    </w:p>
    <w:p w14:paraId="6235D3D3" w14:textId="764A0106" w:rsidR="00D13FD9" w:rsidRDefault="00D13FD9" w:rsidP="00D13FD9"/>
    <w:p w14:paraId="4D84E80B" w14:textId="5AF8C7BE" w:rsidR="00CB7543" w:rsidRDefault="00CB7543" w:rsidP="00CB7543"/>
    <w:p w14:paraId="4F0639D3" w14:textId="49DC8A1A" w:rsidR="00CB7543" w:rsidRDefault="00CB7543" w:rsidP="00595525">
      <w:r w:rsidRPr="007E3008">
        <w:rPr>
          <w:b/>
        </w:rPr>
        <w:lastRenderedPageBreak/>
        <w:t>Table 3</w:t>
      </w:r>
      <w:r w:rsidRPr="00CB7543">
        <w:t xml:space="preserve">. </w:t>
      </w:r>
      <w:r w:rsidRPr="007E3008">
        <w:rPr>
          <w:i/>
        </w:rPr>
        <w:t>Frequency Analysis Chart (Bar Chart &amp; Frequency Polygon Overlay)</w:t>
      </w:r>
    </w:p>
    <w:p w14:paraId="0240A7DD" w14:textId="1F901F78" w:rsidR="00F74C64" w:rsidRDefault="001A3D65" w:rsidP="00345FF5">
      <w:pPr>
        <w:rPr>
          <w:rFonts w:ascii="Helvetica Neue" w:hAnsi="Helvetica Neue"/>
          <w:color w:val="1F1F1F"/>
        </w:rPr>
      </w:pPr>
      <w:r>
        <w:rPr>
          <w:b/>
          <w:bCs/>
          <w:noProof/>
          <w:lang w:val="en-IN" w:eastAsia="en-IN"/>
          <w14:ligatures w14:val="standardContextual"/>
        </w:rPr>
        <w:drawing>
          <wp:anchor distT="0" distB="0" distL="114300" distR="114300" simplePos="0" relativeHeight="251658240" behindDoc="0" locked="0" layoutInCell="1" allowOverlap="1" wp14:anchorId="164863FF" wp14:editId="24DF4453">
            <wp:simplePos x="0" y="0"/>
            <wp:positionH relativeFrom="margin">
              <wp:posOffset>-298412</wp:posOffset>
            </wp:positionH>
            <wp:positionV relativeFrom="margin">
              <wp:posOffset>388149</wp:posOffset>
            </wp:positionV>
            <wp:extent cx="6382385" cy="3204845"/>
            <wp:effectExtent l="0" t="0" r="5715" b="0"/>
            <wp:wrapSquare wrapText="bothSides"/>
            <wp:docPr id="12139265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26562" name="Picture 1213926562"/>
                    <pic:cNvPicPr/>
                  </pic:nvPicPr>
                  <pic:blipFill>
                    <a:blip r:embed="rId8">
                      <a:extLst>
                        <a:ext uri="{BEBA8EAE-BF5A-486C-A8C5-ECC9F3942E4B}">
                          <a14:imgProps xmlns:a14="http://schemas.microsoft.com/office/drawing/2010/main">
                            <a14:imgLayer r:embed="rId9">
                              <a14:imgEffect>
                                <a14:sharpenSoften amount="47000"/>
                              </a14:imgEffect>
                              <a14:imgEffect>
                                <a14:colorTemperature colorTemp="5684"/>
                              </a14:imgEffect>
                              <a14:imgEffect>
                                <a14:saturation sat="140000"/>
                              </a14:imgEffect>
                              <a14:imgEffect>
                                <a14:brightnessContrast bright="-13000"/>
                              </a14:imgEffect>
                            </a14:imgLayer>
                          </a14:imgProps>
                        </a:ext>
                        <a:ext uri="{28A0092B-C50C-407E-A947-70E740481C1C}">
                          <a14:useLocalDpi xmlns:a14="http://schemas.microsoft.com/office/drawing/2010/main" val="0"/>
                        </a:ext>
                      </a:extLst>
                    </a:blip>
                    <a:stretch>
                      <a:fillRect/>
                    </a:stretch>
                  </pic:blipFill>
                  <pic:spPr>
                    <a:xfrm>
                      <a:off x="0" y="0"/>
                      <a:ext cx="6382385" cy="3204845"/>
                    </a:xfrm>
                    <a:prstGeom prst="rect">
                      <a:avLst/>
                    </a:prstGeom>
                  </pic:spPr>
                </pic:pic>
              </a:graphicData>
            </a:graphic>
            <wp14:sizeRelH relativeFrom="margin">
              <wp14:pctWidth>0</wp14:pctWidth>
            </wp14:sizeRelH>
            <wp14:sizeRelV relativeFrom="margin">
              <wp14:pctHeight>0</wp14:pctHeight>
            </wp14:sizeRelV>
          </wp:anchor>
        </w:drawing>
      </w:r>
    </w:p>
    <w:p w14:paraId="0830C3C0" w14:textId="428FBE9B" w:rsidR="00EE4AC1" w:rsidRDefault="00EE4AC1" w:rsidP="00345FF5">
      <w:pPr>
        <w:rPr>
          <w:color w:val="1F1F1F"/>
        </w:rPr>
      </w:pPr>
    </w:p>
    <w:p w14:paraId="0E8479EA" w14:textId="44BE5AB1" w:rsidR="00EE4AC1" w:rsidRDefault="00EE4AC1" w:rsidP="00345FF5">
      <w:pPr>
        <w:rPr>
          <w:color w:val="1F1F1F"/>
        </w:rPr>
      </w:pPr>
      <w:r>
        <w:rPr>
          <w:noProof/>
          <w:color w:val="1F1F1F"/>
          <w:lang w:val="en-IN" w:eastAsia="en-IN"/>
          <w14:ligatures w14:val="standardContextual"/>
        </w:rPr>
        <w:drawing>
          <wp:inline distT="0" distB="0" distL="0" distR="0" wp14:anchorId="55AA24CC" wp14:editId="76AFC23C">
            <wp:extent cx="5943600" cy="3099498"/>
            <wp:effectExtent l="0" t="0" r="0" b="0"/>
            <wp:docPr id="117550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0947" name="Picture 117550947"/>
                    <pic:cNvPicPr/>
                  </pic:nvPicPr>
                  <pic:blipFill>
                    <a:blip r:embed="rId10">
                      <a:extLst>
                        <a:ext uri="{28A0092B-C50C-407E-A947-70E740481C1C}">
                          <a14:useLocalDpi xmlns:a14="http://schemas.microsoft.com/office/drawing/2010/main" val="0"/>
                        </a:ext>
                      </a:extLst>
                    </a:blip>
                    <a:stretch>
                      <a:fillRect/>
                    </a:stretch>
                  </pic:blipFill>
                  <pic:spPr>
                    <a:xfrm>
                      <a:off x="0" y="0"/>
                      <a:ext cx="5954638" cy="3105254"/>
                    </a:xfrm>
                    <a:prstGeom prst="rect">
                      <a:avLst/>
                    </a:prstGeom>
                  </pic:spPr>
                </pic:pic>
              </a:graphicData>
            </a:graphic>
          </wp:inline>
        </w:drawing>
      </w:r>
    </w:p>
    <w:p w14:paraId="6528730E" w14:textId="77777777" w:rsidR="001A3D65" w:rsidRDefault="001A3D65" w:rsidP="00345FF5"/>
    <w:p w14:paraId="264F3B9E" w14:textId="4B02A704" w:rsidR="007E3008" w:rsidRDefault="00EE4AC1" w:rsidP="00345FF5">
      <w:r w:rsidRPr="007E3008">
        <w:rPr>
          <w:b/>
        </w:rPr>
        <w:t>Picture 1</w:t>
      </w:r>
      <w:r w:rsidRPr="00EE4AC1">
        <w:t xml:space="preserve">. </w:t>
      </w:r>
      <w:r w:rsidR="007E3008">
        <w:t>Comparative pictures of E. histolytica trophozoites in Saline and MB-G</w:t>
      </w:r>
    </w:p>
    <w:p w14:paraId="5F92AA41" w14:textId="77777777" w:rsidR="007E3008" w:rsidRDefault="007E3008" w:rsidP="00345FF5"/>
    <w:p w14:paraId="0F0043AB" w14:textId="3FCE11EE" w:rsidR="00EE4AC1" w:rsidRPr="00EE4AC1" w:rsidRDefault="00EE4AC1" w:rsidP="007E3008">
      <w:pPr>
        <w:jc w:val="both"/>
        <w:rPr>
          <w:color w:val="1F1F1F"/>
        </w:rPr>
      </w:pPr>
      <w:r w:rsidRPr="00EE4AC1">
        <w:t xml:space="preserve">In saline, the outline of the parasite is visible, but internal detail is faint. The nucleus is seen only as a vague shadow with no distinct chromatin or </w:t>
      </w:r>
      <w:proofErr w:type="spellStart"/>
      <w:r w:rsidRPr="00EE4AC1">
        <w:t>karyosome.In</w:t>
      </w:r>
      <w:proofErr w:type="spellEnd"/>
      <w:r w:rsidRPr="00EE4AC1">
        <w:t xml:space="preserve"> Methylene blue-glycerol, the nuclear features (</w:t>
      </w:r>
      <w:proofErr w:type="spellStart"/>
      <w:r w:rsidRPr="00EE4AC1">
        <w:t>karyosome</w:t>
      </w:r>
      <w:proofErr w:type="spellEnd"/>
      <w:r w:rsidRPr="00EE4AC1">
        <w:t xml:space="preserve"> and peripheral chromatin) are distinct and sharp. Pseudopodia and cytoplasmic inclusions are clearly defined.</w:t>
      </w:r>
    </w:p>
    <w:p w14:paraId="51943260" w14:textId="77777777" w:rsidR="00EE4AC1" w:rsidRPr="00EE4AC1" w:rsidRDefault="00EE4AC1" w:rsidP="00345FF5">
      <w:pPr>
        <w:rPr>
          <w:color w:val="1F1F1F"/>
        </w:rPr>
      </w:pPr>
    </w:p>
    <w:p w14:paraId="43666EE4" w14:textId="77777777" w:rsidR="001A3D65" w:rsidRDefault="001A3D65" w:rsidP="00345FF5">
      <w:pPr>
        <w:rPr>
          <w:color w:val="1F1F1F"/>
        </w:rPr>
      </w:pPr>
    </w:p>
    <w:p w14:paraId="1C9B0F3D" w14:textId="5BD2DC9E" w:rsidR="00C45722" w:rsidRDefault="009D5583" w:rsidP="00345FF5">
      <w:pPr>
        <w:rPr>
          <w:color w:val="1F1F1F"/>
        </w:rPr>
      </w:pPr>
      <w:r w:rsidRPr="007E3008">
        <w:rPr>
          <w:b/>
          <w:color w:val="1F1F1F"/>
        </w:rPr>
        <w:t>Table 4</w:t>
      </w:r>
      <w:r w:rsidRPr="009D5583">
        <w:rPr>
          <w:color w:val="1F1F1F"/>
        </w:rPr>
        <w:t xml:space="preserve">: </w:t>
      </w:r>
      <w:r w:rsidRPr="007E3008">
        <w:rPr>
          <w:i/>
          <w:color w:val="1F1F1F"/>
        </w:rPr>
        <w:t>Inter-Observer Agreement for MB-G Parameters</w:t>
      </w:r>
    </w:p>
    <w:p w14:paraId="389F72B3" w14:textId="2FCA276A" w:rsidR="009D5583" w:rsidRDefault="009D5583" w:rsidP="00345FF5">
      <w:pPr>
        <w:rPr>
          <w:color w:val="1F1F1F"/>
        </w:rPr>
      </w:pPr>
    </w:p>
    <w:tbl>
      <w:tblPr>
        <w:tblStyle w:val="TableGrid"/>
        <w:tblW w:w="0" w:type="auto"/>
        <w:tblLook w:val="04A0" w:firstRow="1" w:lastRow="0" w:firstColumn="1" w:lastColumn="0" w:noHBand="0" w:noVBand="1"/>
      </w:tblPr>
      <w:tblGrid>
        <w:gridCol w:w="2263"/>
        <w:gridCol w:w="1843"/>
        <w:gridCol w:w="1701"/>
        <w:gridCol w:w="1673"/>
        <w:gridCol w:w="1870"/>
      </w:tblGrid>
      <w:tr w:rsidR="009D5583" w14:paraId="1701065C" w14:textId="77777777" w:rsidTr="009D5EE6">
        <w:tc>
          <w:tcPr>
            <w:tcW w:w="2263" w:type="dxa"/>
            <w:shd w:val="clear" w:color="auto" w:fill="BDD6EE" w:themeFill="accent5" w:themeFillTint="66"/>
          </w:tcPr>
          <w:p w14:paraId="6782AA12" w14:textId="67C1B5FB" w:rsidR="009D5583" w:rsidRDefault="009D5583" w:rsidP="00345FF5">
            <w:pPr>
              <w:rPr>
                <w:color w:val="1F1F1F"/>
              </w:rPr>
            </w:pPr>
            <w:r>
              <w:rPr>
                <w:color w:val="1F1F1F"/>
              </w:rPr>
              <w:t>Parameter</w:t>
            </w:r>
          </w:p>
        </w:tc>
        <w:tc>
          <w:tcPr>
            <w:tcW w:w="1843" w:type="dxa"/>
            <w:shd w:val="clear" w:color="auto" w:fill="BDD6EE" w:themeFill="accent5" w:themeFillTint="66"/>
          </w:tcPr>
          <w:p w14:paraId="1AC35B45" w14:textId="5A149A93" w:rsidR="009D5583" w:rsidRDefault="009D5583" w:rsidP="00345FF5">
            <w:pPr>
              <w:rPr>
                <w:color w:val="1F1F1F"/>
              </w:rPr>
            </w:pPr>
            <w:r>
              <w:rPr>
                <w:color w:val="1F1F1F"/>
              </w:rPr>
              <w:t>Observed Agreement</w:t>
            </w:r>
          </w:p>
        </w:tc>
        <w:tc>
          <w:tcPr>
            <w:tcW w:w="1701" w:type="dxa"/>
            <w:shd w:val="clear" w:color="auto" w:fill="BDD6EE" w:themeFill="accent5" w:themeFillTint="66"/>
          </w:tcPr>
          <w:p w14:paraId="53911AAA" w14:textId="222830FC" w:rsidR="009D5583" w:rsidRDefault="009D5583" w:rsidP="00345FF5">
            <w:pPr>
              <w:rPr>
                <w:color w:val="1F1F1F"/>
              </w:rPr>
            </w:pPr>
            <w:r>
              <w:rPr>
                <w:color w:val="1F1F1F"/>
              </w:rPr>
              <w:t>Expected Agreement</w:t>
            </w:r>
          </w:p>
        </w:tc>
        <w:tc>
          <w:tcPr>
            <w:tcW w:w="1673" w:type="dxa"/>
            <w:shd w:val="clear" w:color="auto" w:fill="BDD6EE" w:themeFill="accent5" w:themeFillTint="66"/>
          </w:tcPr>
          <w:p w14:paraId="00B8D93B" w14:textId="2D236ECB" w:rsidR="009D5583" w:rsidRDefault="009D5583" w:rsidP="00345FF5">
            <w:pPr>
              <w:rPr>
                <w:color w:val="1F1F1F"/>
              </w:rPr>
            </w:pPr>
            <w:r>
              <w:rPr>
                <w:color w:val="1F1F1F"/>
              </w:rPr>
              <w:t xml:space="preserve"> </w:t>
            </w:r>
            <w:r w:rsidR="00C4609F" w:rsidRPr="00C4609F">
              <w:rPr>
                <w:color w:val="1F1F1F"/>
              </w:rPr>
              <w:t>Fleiss’ Kappa</w:t>
            </w:r>
          </w:p>
        </w:tc>
        <w:tc>
          <w:tcPr>
            <w:tcW w:w="1870" w:type="dxa"/>
            <w:shd w:val="clear" w:color="auto" w:fill="BDD6EE" w:themeFill="accent5" w:themeFillTint="66"/>
          </w:tcPr>
          <w:p w14:paraId="4E726E5F" w14:textId="7C4F15F7" w:rsidR="009D5583" w:rsidRDefault="009D5583" w:rsidP="00345FF5">
            <w:pPr>
              <w:rPr>
                <w:color w:val="1F1F1F"/>
              </w:rPr>
            </w:pPr>
            <w:r>
              <w:rPr>
                <w:color w:val="1F1F1F"/>
              </w:rPr>
              <w:t>Strength of Agreement</w:t>
            </w:r>
          </w:p>
        </w:tc>
      </w:tr>
      <w:tr w:rsidR="009D5583" w14:paraId="365A4D5D" w14:textId="77777777" w:rsidTr="009D5EE6">
        <w:tc>
          <w:tcPr>
            <w:tcW w:w="2263" w:type="dxa"/>
            <w:shd w:val="clear" w:color="auto" w:fill="FFE599" w:themeFill="accent4" w:themeFillTint="66"/>
          </w:tcPr>
          <w:p w14:paraId="1D5DC02E" w14:textId="55EC16B3" w:rsidR="009D5583" w:rsidRDefault="009D5583" w:rsidP="00345FF5">
            <w:pPr>
              <w:rPr>
                <w:color w:val="1F1F1F"/>
              </w:rPr>
            </w:pPr>
            <w:r>
              <w:rPr>
                <w:color w:val="1F1F1F"/>
              </w:rPr>
              <w:t>Nuclear definition</w:t>
            </w:r>
          </w:p>
        </w:tc>
        <w:tc>
          <w:tcPr>
            <w:tcW w:w="1843" w:type="dxa"/>
            <w:shd w:val="clear" w:color="auto" w:fill="FFE599" w:themeFill="accent4" w:themeFillTint="66"/>
          </w:tcPr>
          <w:p w14:paraId="30A26680" w14:textId="6E3E800D" w:rsidR="009D5583" w:rsidRDefault="009D5583" w:rsidP="00345FF5">
            <w:pPr>
              <w:rPr>
                <w:color w:val="1F1F1F"/>
              </w:rPr>
            </w:pPr>
            <w:r>
              <w:rPr>
                <w:color w:val="1F1F1F"/>
              </w:rPr>
              <w:t>9</w:t>
            </w:r>
            <w:r w:rsidR="00C4609F">
              <w:rPr>
                <w:color w:val="1F1F1F"/>
              </w:rPr>
              <w:t>3</w:t>
            </w:r>
            <w:r>
              <w:rPr>
                <w:color w:val="1F1F1F"/>
              </w:rPr>
              <w:t>.</w:t>
            </w:r>
            <w:r w:rsidR="00C4609F">
              <w:rPr>
                <w:color w:val="1F1F1F"/>
              </w:rPr>
              <w:t>1</w:t>
            </w:r>
            <w:r>
              <w:rPr>
                <w:color w:val="1F1F1F"/>
              </w:rPr>
              <w:t xml:space="preserve"> %</w:t>
            </w:r>
          </w:p>
        </w:tc>
        <w:tc>
          <w:tcPr>
            <w:tcW w:w="1701" w:type="dxa"/>
            <w:shd w:val="clear" w:color="auto" w:fill="FFE599" w:themeFill="accent4" w:themeFillTint="66"/>
          </w:tcPr>
          <w:p w14:paraId="61430268" w14:textId="7168BA0C" w:rsidR="009D5583" w:rsidRDefault="009D5583" w:rsidP="00345FF5">
            <w:pPr>
              <w:rPr>
                <w:color w:val="1F1F1F"/>
              </w:rPr>
            </w:pPr>
            <w:r>
              <w:rPr>
                <w:color w:val="1F1F1F"/>
              </w:rPr>
              <w:t>4</w:t>
            </w:r>
            <w:r w:rsidR="00C4609F">
              <w:rPr>
                <w:color w:val="1F1F1F"/>
              </w:rPr>
              <w:t>0.5</w:t>
            </w:r>
            <w:r>
              <w:rPr>
                <w:color w:val="1F1F1F"/>
              </w:rPr>
              <w:t xml:space="preserve"> %</w:t>
            </w:r>
          </w:p>
        </w:tc>
        <w:tc>
          <w:tcPr>
            <w:tcW w:w="1673" w:type="dxa"/>
            <w:shd w:val="clear" w:color="auto" w:fill="FFE599" w:themeFill="accent4" w:themeFillTint="66"/>
          </w:tcPr>
          <w:p w14:paraId="62C03BAD" w14:textId="5C19D632" w:rsidR="009D5583" w:rsidRDefault="009D5583" w:rsidP="00345FF5">
            <w:pPr>
              <w:rPr>
                <w:color w:val="1F1F1F"/>
              </w:rPr>
            </w:pPr>
            <w:r>
              <w:rPr>
                <w:color w:val="1F1F1F"/>
              </w:rPr>
              <w:t>0.</w:t>
            </w:r>
            <w:r w:rsidR="00C4609F">
              <w:rPr>
                <w:color w:val="1F1F1F"/>
              </w:rPr>
              <w:t>88</w:t>
            </w:r>
          </w:p>
        </w:tc>
        <w:tc>
          <w:tcPr>
            <w:tcW w:w="1870" w:type="dxa"/>
            <w:shd w:val="clear" w:color="auto" w:fill="FFE599" w:themeFill="accent4" w:themeFillTint="66"/>
          </w:tcPr>
          <w:p w14:paraId="03BE4B45" w14:textId="6C358171" w:rsidR="009D5583" w:rsidRDefault="009D5583" w:rsidP="00345FF5">
            <w:pPr>
              <w:rPr>
                <w:color w:val="1F1F1F"/>
              </w:rPr>
            </w:pPr>
            <w:r>
              <w:rPr>
                <w:color w:val="1F1F1F"/>
              </w:rPr>
              <w:t>Almost Perfect</w:t>
            </w:r>
          </w:p>
        </w:tc>
      </w:tr>
      <w:tr w:rsidR="009D5583" w14:paraId="54BE6EB2" w14:textId="77777777" w:rsidTr="009D5EE6">
        <w:tc>
          <w:tcPr>
            <w:tcW w:w="2263" w:type="dxa"/>
            <w:shd w:val="clear" w:color="auto" w:fill="FFE599" w:themeFill="accent4" w:themeFillTint="66"/>
          </w:tcPr>
          <w:p w14:paraId="4156C493" w14:textId="46152292" w:rsidR="009D5583" w:rsidRDefault="009D5583" w:rsidP="00345FF5">
            <w:pPr>
              <w:rPr>
                <w:color w:val="1F1F1F"/>
              </w:rPr>
            </w:pPr>
            <w:r>
              <w:rPr>
                <w:color w:val="1F1F1F"/>
              </w:rPr>
              <w:t>Cytoplasmic Detail</w:t>
            </w:r>
          </w:p>
        </w:tc>
        <w:tc>
          <w:tcPr>
            <w:tcW w:w="1843" w:type="dxa"/>
            <w:shd w:val="clear" w:color="auto" w:fill="FFE599" w:themeFill="accent4" w:themeFillTint="66"/>
          </w:tcPr>
          <w:p w14:paraId="38C0026F" w14:textId="439097CE" w:rsidR="009D5583" w:rsidRDefault="009D5583" w:rsidP="00345FF5">
            <w:pPr>
              <w:rPr>
                <w:color w:val="1F1F1F"/>
              </w:rPr>
            </w:pPr>
            <w:r>
              <w:rPr>
                <w:color w:val="1F1F1F"/>
              </w:rPr>
              <w:t>8</w:t>
            </w:r>
            <w:r w:rsidR="00C4609F">
              <w:rPr>
                <w:color w:val="1F1F1F"/>
              </w:rPr>
              <w:t>4.4</w:t>
            </w:r>
            <w:r>
              <w:rPr>
                <w:color w:val="1F1F1F"/>
              </w:rPr>
              <w:t xml:space="preserve"> %</w:t>
            </w:r>
          </w:p>
        </w:tc>
        <w:tc>
          <w:tcPr>
            <w:tcW w:w="1701" w:type="dxa"/>
            <w:shd w:val="clear" w:color="auto" w:fill="FFE599" w:themeFill="accent4" w:themeFillTint="66"/>
          </w:tcPr>
          <w:p w14:paraId="392A3DA8" w14:textId="6B308D35" w:rsidR="009D5583" w:rsidRDefault="009D5583" w:rsidP="00345FF5">
            <w:pPr>
              <w:rPr>
                <w:color w:val="1F1F1F"/>
              </w:rPr>
            </w:pPr>
            <w:r>
              <w:rPr>
                <w:color w:val="1F1F1F"/>
              </w:rPr>
              <w:t>3</w:t>
            </w:r>
            <w:r w:rsidR="00C4609F">
              <w:rPr>
                <w:color w:val="1F1F1F"/>
              </w:rPr>
              <w:t>2.8</w:t>
            </w:r>
            <w:r>
              <w:rPr>
                <w:color w:val="1F1F1F"/>
              </w:rPr>
              <w:t xml:space="preserve"> %</w:t>
            </w:r>
          </w:p>
        </w:tc>
        <w:tc>
          <w:tcPr>
            <w:tcW w:w="1673" w:type="dxa"/>
            <w:shd w:val="clear" w:color="auto" w:fill="FFE599" w:themeFill="accent4" w:themeFillTint="66"/>
          </w:tcPr>
          <w:p w14:paraId="248C2E00" w14:textId="03D095A7" w:rsidR="009D5583" w:rsidRDefault="009D5583" w:rsidP="00345FF5">
            <w:pPr>
              <w:rPr>
                <w:color w:val="1F1F1F"/>
              </w:rPr>
            </w:pPr>
            <w:r>
              <w:rPr>
                <w:color w:val="1F1F1F"/>
              </w:rPr>
              <w:t>0.7</w:t>
            </w:r>
            <w:r w:rsidR="00C4609F">
              <w:rPr>
                <w:color w:val="1F1F1F"/>
              </w:rPr>
              <w:t>7</w:t>
            </w:r>
          </w:p>
        </w:tc>
        <w:tc>
          <w:tcPr>
            <w:tcW w:w="1870" w:type="dxa"/>
            <w:shd w:val="clear" w:color="auto" w:fill="FFE599" w:themeFill="accent4" w:themeFillTint="66"/>
          </w:tcPr>
          <w:p w14:paraId="30CD72EB" w14:textId="4F241582" w:rsidR="009D5583" w:rsidRDefault="009D5583" w:rsidP="00345FF5">
            <w:pPr>
              <w:rPr>
                <w:color w:val="1F1F1F"/>
              </w:rPr>
            </w:pPr>
            <w:r>
              <w:rPr>
                <w:color w:val="1F1F1F"/>
              </w:rPr>
              <w:t>Strong</w:t>
            </w:r>
          </w:p>
        </w:tc>
      </w:tr>
      <w:tr w:rsidR="009D5583" w14:paraId="770D96B9" w14:textId="77777777" w:rsidTr="009D5EE6">
        <w:tc>
          <w:tcPr>
            <w:tcW w:w="2263" w:type="dxa"/>
            <w:shd w:val="clear" w:color="auto" w:fill="FFE599" w:themeFill="accent4" w:themeFillTint="66"/>
          </w:tcPr>
          <w:p w14:paraId="28A98DE3" w14:textId="20FEC858" w:rsidR="009D5583" w:rsidRDefault="009D5583" w:rsidP="00345FF5">
            <w:pPr>
              <w:rPr>
                <w:color w:val="1F1F1F"/>
              </w:rPr>
            </w:pPr>
            <w:r>
              <w:rPr>
                <w:color w:val="1F1F1F"/>
              </w:rPr>
              <w:t>Contrast Ratio</w:t>
            </w:r>
          </w:p>
        </w:tc>
        <w:tc>
          <w:tcPr>
            <w:tcW w:w="1843" w:type="dxa"/>
            <w:shd w:val="clear" w:color="auto" w:fill="FFE599" w:themeFill="accent4" w:themeFillTint="66"/>
          </w:tcPr>
          <w:p w14:paraId="0BB51489" w14:textId="6C324FD0" w:rsidR="009D5583" w:rsidRDefault="009D5583" w:rsidP="00345FF5">
            <w:pPr>
              <w:rPr>
                <w:color w:val="1F1F1F"/>
              </w:rPr>
            </w:pPr>
            <w:r>
              <w:rPr>
                <w:color w:val="1F1F1F"/>
              </w:rPr>
              <w:t>8</w:t>
            </w:r>
            <w:r w:rsidR="00C4609F">
              <w:rPr>
                <w:color w:val="1F1F1F"/>
              </w:rPr>
              <w:t>8.2</w:t>
            </w:r>
            <w:r>
              <w:rPr>
                <w:color w:val="1F1F1F"/>
              </w:rPr>
              <w:t xml:space="preserve"> %</w:t>
            </w:r>
          </w:p>
        </w:tc>
        <w:tc>
          <w:tcPr>
            <w:tcW w:w="1701" w:type="dxa"/>
            <w:shd w:val="clear" w:color="auto" w:fill="FFE599" w:themeFill="accent4" w:themeFillTint="66"/>
          </w:tcPr>
          <w:p w14:paraId="3CE181CB" w14:textId="66864934" w:rsidR="009D5583" w:rsidRDefault="009D5583" w:rsidP="00345FF5">
            <w:pPr>
              <w:rPr>
                <w:color w:val="1F1F1F"/>
              </w:rPr>
            </w:pPr>
            <w:r>
              <w:rPr>
                <w:color w:val="1F1F1F"/>
              </w:rPr>
              <w:t>3</w:t>
            </w:r>
            <w:r w:rsidR="00C4609F">
              <w:rPr>
                <w:color w:val="1F1F1F"/>
              </w:rPr>
              <w:t>4.2</w:t>
            </w:r>
            <w:r>
              <w:rPr>
                <w:color w:val="1F1F1F"/>
              </w:rPr>
              <w:t xml:space="preserve"> %</w:t>
            </w:r>
          </w:p>
        </w:tc>
        <w:tc>
          <w:tcPr>
            <w:tcW w:w="1673" w:type="dxa"/>
            <w:shd w:val="clear" w:color="auto" w:fill="FFE599" w:themeFill="accent4" w:themeFillTint="66"/>
          </w:tcPr>
          <w:p w14:paraId="323D212A" w14:textId="373D623B" w:rsidR="009D5583" w:rsidRDefault="009D5583" w:rsidP="00345FF5">
            <w:pPr>
              <w:rPr>
                <w:color w:val="1F1F1F"/>
              </w:rPr>
            </w:pPr>
            <w:r>
              <w:rPr>
                <w:color w:val="1F1F1F"/>
              </w:rPr>
              <w:t>0.8</w:t>
            </w:r>
            <w:r w:rsidR="00C4609F">
              <w:rPr>
                <w:color w:val="1F1F1F"/>
              </w:rPr>
              <w:t>2</w:t>
            </w:r>
          </w:p>
        </w:tc>
        <w:tc>
          <w:tcPr>
            <w:tcW w:w="1870" w:type="dxa"/>
            <w:shd w:val="clear" w:color="auto" w:fill="FFE599" w:themeFill="accent4" w:themeFillTint="66"/>
          </w:tcPr>
          <w:p w14:paraId="6E2E089E" w14:textId="4D34D6E7" w:rsidR="009D5583" w:rsidRDefault="00C4609F" w:rsidP="00345FF5">
            <w:pPr>
              <w:rPr>
                <w:color w:val="1F1F1F"/>
              </w:rPr>
            </w:pPr>
            <w:r>
              <w:rPr>
                <w:color w:val="1F1F1F"/>
              </w:rPr>
              <w:t>Almost Perfect</w:t>
            </w:r>
          </w:p>
        </w:tc>
      </w:tr>
      <w:tr w:rsidR="009D5583" w14:paraId="70E73790" w14:textId="77777777" w:rsidTr="009D5EE6">
        <w:tc>
          <w:tcPr>
            <w:tcW w:w="2263" w:type="dxa"/>
            <w:shd w:val="clear" w:color="auto" w:fill="FFE599" w:themeFill="accent4" w:themeFillTint="66"/>
          </w:tcPr>
          <w:p w14:paraId="5F5C24D3" w14:textId="1E93388A" w:rsidR="009D5583" w:rsidRDefault="009D5583" w:rsidP="00345FF5">
            <w:pPr>
              <w:rPr>
                <w:color w:val="1F1F1F"/>
              </w:rPr>
            </w:pPr>
            <w:r>
              <w:rPr>
                <w:color w:val="1F1F1F"/>
              </w:rPr>
              <w:t>Overall</w:t>
            </w:r>
          </w:p>
        </w:tc>
        <w:tc>
          <w:tcPr>
            <w:tcW w:w="1843" w:type="dxa"/>
            <w:shd w:val="clear" w:color="auto" w:fill="FFE599" w:themeFill="accent4" w:themeFillTint="66"/>
          </w:tcPr>
          <w:p w14:paraId="6CFDA8F6" w14:textId="17CAE1D7" w:rsidR="009D5583" w:rsidRDefault="00C4609F" w:rsidP="00345FF5">
            <w:pPr>
              <w:rPr>
                <w:color w:val="1F1F1F"/>
              </w:rPr>
            </w:pPr>
            <w:r>
              <w:rPr>
                <w:color w:val="1F1F1F"/>
              </w:rPr>
              <w:t>89.6</w:t>
            </w:r>
            <w:r w:rsidR="009D5583">
              <w:rPr>
                <w:color w:val="1F1F1F"/>
              </w:rPr>
              <w:t xml:space="preserve"> %</w:t>
            </w:r>
          </w:p>
        </w:tc>
        <w:tc>
          <w:tcPr>
            <w:tcW w:w="1701" w:type="dxa"/>
            <w:shd w:val="clear" w:color="auto" w:fill="FFE599" w:themeFill="accent4" w:themeFillTint="66"/>
          </w:tcPr>
          <w:p w14:paraId="5A47DE4D" w14:textId="5603C1CC" w:rsidR="009D5583" w:rsidRDefault="00C4609F" w:rsidP="00345FF5">
            <w:pPr>
              <w:rPr>
                <w:color w:val="1F1F1F"/>
              </w:rPr>
            </w:pPr>
            <w:r>
              <w:rPr>
                <w:color w:val="1F1F1F"/>
              </w:rPr>
              <w:t>36.7</w:t>
            </w:r>
            <w:r w:rsidR="009D5583">
              <w:rPr>
                <w:color w:val="1F1F1F"/>
              </w:rPr>
              <w:t xml:space="preserve"> %</w:t>
            </w:r>
          </w:p>
        </w:tc>
        <w:tc>
          <w:tcPr>
            <w:tcW w:w="1673" w:type="dxa"/>
            <w:shd w:val="clear" w:color="auto" w:fill="FFE599" w:themeFill="accent4" w:themeFillTint="66"/>
          </w:tcPr>
          <w:p w14:paraId="12281069" w14:textId="751BB884" w:rsidR="009D5583" w:rsidRDefault="009D5583" w:rsidP="00345FF5">
            <w:pPr>
              <w:rPr>
                <w:color w:val="1F1F1F"/>
              </w:rPr>
            </w:pPr>
            <w:r>
              <w:rPr>
                <w:color w:val="1F1F1F"/>
              </w:rPr>
              <w:t>0.8</w:t>
            </w:r>
            <w:r w:rsidR="00C4609F">
              <w:rPr>
                <w:color w:val="1F1F1F"/>
              </w:rPr>
              <w:t>4</w:t>
            </w:r>
          </w:p>
        </w:tc>
        <w:tc>
          <w:tcPr>
            <w:tcW w:w="1870" w:type="dxa"/>
            <w:shd w:val="clear" w:color="auto" w:fill="FFE599" w:themeFill="accent4" w:themeFillTint="66"/>
          </w:tcPr>
          <w:p w14:paraId="260A36DB" w14:textId="11D0D3EA" w:rsidR="009D5583" w:rsidRDefault="009D5583" w:rsidP="00345FF5">
            <w:pPr>
              <w:rPr>
                <w:color w:val="1F1F1F"/>
              </w:rPr>
            </w:pPr>
            <w:r>
              <w:rPr>
                <w:color w:val="1F1F1F"/>
              </w:rPr>
              <w:t>Almost Perfect</w:t>
            </w:r>
          </w:p>
        </w:tc>
      </w:tr>
    </w:tbl>
    <w:p w14:paraId="13A2D50B" w14:textId="5D337092" w:rsidR="009D5583" w:rsidRPr="009D5583" w:rsidRDefault="009D5583" w:rsidP="00345FF5">
      <w:pPr>
        <w:rPr>
          <w:color w:val="1F1F1F"/>
        </w:rPr>
      </w:pPr>
    </w:p>
    <w:p w14:paraId="068EA18A" w14:textId="36772455" w:rsidR="00C4609F" w:rsidRPr="00C4609F" w:rsidRDefault="00C4609F" w:rsidP="007E3008">
      <w:pPr>
        <w:jc w:val="both"/>
        <w:rPr>
          <w:color w:val="1F1F1F"/>
        </w:rPr>
      </w:pPr>
      <w:r>
        <w:rPr>
          <w:color w:val="1F1F1F"/>
        </w:rPr>
        <w:t>The I</w:t>
      </w:r>
      <w:r w:rsidRPr="00C4609F">
        <w:rPr>
          <w:color w:val="1F1F1F"/>
        </w:rPr>
        <w:t xml:space="preserve">nter-observer reliability was assessed using Fleiss’ Kappa to determine the degree of agreement among the three independent researchers scoring the 100 fecal specimens. Fleiss’ Kappa is the gold standard for assessing agreement among a fixed number of three or more raters </w:t>
      </w:r>
      <w:r w:rsidR="002B03FB">
        <w:rPr>
          <w:color w:val="1F1F1F"/>
        </w:rPr>
        <w:t>[30,31]</w:t>
      </w:r>
      <w:r w:rsidRPr="00C4609F">
        <w:rPr>
          <w:color w:val="1F1F1F"/>
        </w:rPr>
        <w:t>.</w:t>
      </w:r>
      <w:r>
        <w:rPr>
          <w:color w:val="1F1F1F"/>
        </w:rPr>
        <w:t xml:space="preserve"> </w:t>
      </w:r>
      <w:r w:rsidRPr="00C4609F">
        <w:rPr>
          <w:color w:val="1F1F1F"/>
        </w:rPr>
        <w:t xml:space="preserve">The analysis yielded an overall Kappa coefficient of 0.84, indicating 'Almost Perfect' agreement across the research team. Specifically, Nuclear </w:t>
      </w:r>
      <w:r>
        <w:rPr>
          <w:color w:val="1F1F1F"/>
        </w:rPr>
        <w:t>definition</w:t>
      </w:r>
      <w:r w:rsidRPr="00C4609F">
        <w:rPr>
          <w:color w:val="1F1F1F"/>
        </w:rPr>
        <w:t xml:space="preserve"> showed the highest reliability (0.88), followed by the Contrast Ratio (0.82). While the agreement for Cytoplasmic </w:t>
      </w:r>
      <w:r>
        <w:rPr>
          <w:color w:val="1F1F1F"/>
        </w:rPr>
        <w:t>d</w:t>
      </w:r>
      <w:r w:rsidRPr="00C4609F">
        <w:rPr>
          <w:color w:val="1F1F1F"/>
        </w:rPr>
        <w:t>etail was slightly lower (0.77), it remained within the 'Strong' category. These results confirm that the morphological enhancements provided by the 0.1% MB-G reagent are highly reproducible and resistant to individual observer bias, even when evaluated by multiple diagnostic personnel.</w:t>
      </w:r>
    </w:p>
    <w:p w14:paraId="7C13BD62" w14:textId="7189DE5D" w:rsidR="00C4609F" w:rsidRDefault="00C4609F" w:rsidP="00345FF5">
      <w:pPr>
        <w:rPr>
          <w:color w:val="1F1F1F"/>
        </w:rPr>
      </w:pPr>
    </w:p>
    <w:p w14:paraId="3180BBED" w14:textId="189A74CE" w:rsidR="00EB62B6" w:rsidRPr="00EB62B6" w:rsidRDefault="00EB62B6" w:rsidP="00EB62B6">
      <w:pPr>
        <w:rPr>
          <w:b/>
          <w:bCs/>
        </w:rPr>
      </w:pPr>
      <w:r w:rsidRPr="00EB62B6">
        <w:rPr>
          <w:b/>
          <w:bCs/>
        </w:rPr>
        <w:t>Biochemical Mechanisms of Staining</w:t>
      </w:r>
    </w:p>
    <w:p w14:paraId="0E7AAC2A" w14:textId="3EAC6ED7" w:rsidR="00EB62B6" w:rsidRDefault="00EB62B6" w:rsidP="007E3008">
      <w:pPr>
        <w:jc w:val="both"/>
      </w:pPr>
      <w:r w:rsidRPr="00EB62B6">
        <w:t xml:space="preserve">The significant disparity in diagnostic performance between the two methods is rooted in the biochemical synergy between Methylene Blue (MB) and glycerol. As a cationic (basic) dye, MB carries a positive charge that facilitates high-affinity electrostatic bonding with negatively charged (anionic) cellular components, most notably the phosphate backbones of DNA and RNA </w:t>
      </w:r>
      <w:r w:rsidR="00A87BD2">
        <w:t>[9,27].</w:t>
      </w:r>
      <w:r w:rsidRPr="00EB62B6">
        <w:t xml:space="preserve"> This interaction allows the dye molecules to intercalate with nucleic acids, creating a distinct "bulls-eye" effect that clearly delineates the peripheral chromatin and central </w:t>
      </w:r>
      <w:proofErr w:type="spellStart"/>
      <w:r w:rsidRPr="00EB62B6">
        <w:t>karyosome</w:t>
      </w:r>
      <w:proofErr w:type="spellEnd"/>
      <w:r w:rsidRPr="00EB62B6">
        <w:t xml:space="preserve"> </w:t>
      </w:r>
      <w:r w:rsidR="00A87BD2">
        <w:t>[22].</w:t>
      </w:r>
      <w:r w:rsidRPr="00EB62B6">
        <w:t xml:space="preserve"> Such morphological features often remain </w:t>
      </w:r>
      <w:r w:rsidR="00A864C1">
        <w:t>r</w:t>
      </w:r>
      <w:r w:rsidRPr="00EB62B6">
        <w:t xml:space="preserve">efractile or invisible in saline preparations due to a lack of colorimetric contrast. Consequently, the application of 0.1% MB-G provides a 148.3% improvement in nuclear definition, enabling the differentiation of </w:t>
      </w:r>
      <w:r w:rsidRPr="00EB62B6">
        <w:rPr>
          <w:i/>
          <w:iCs/>
        </w:rPr>
        <w:t>E. histolytica</w:t>
      </w:r>
      <w:r w:rsidRPr="00EB62B6">
        <w:t xml:space="preserve"> from other intestinal protozoa by highlighting diagnostic structures that are typically obscured in unstained mounts </w:t>
      </w:r>
      <w:r w:rsidR="00A87BD2">
        <w:t>[4,20]</w:t>
      </w:r>
      <w:r w:rsidRPr="00EB62B6">
        <w:t>.</w:t>
      </w:r>
    </w:p>
    <w:p w14:paraId="3C13E706" w14:textId="77777777" w:rsidR="00EB62B6" w:rsidRPr="00EB62B6" w:rsidRDefault="00EB62B6" w:rsidP="00EB62B6"/>
    <w:p w14:paraId="132B6F7F" w14:textId="1B42A4E2" w:rsidR="00EB62B6" w:rsidRDefault="00EB62B6" w:rsidP="007E3008">
      <w:pPr>
        <w:jc w:val="both"/>
      </w:pPr>
      <w:r w:rsidRPr="00EB62B6">
        <w:t xml:space="preserve">Beyond structural highlighting, MB-G serves as a functional indicator through the Methylene Blue Dye Reduction Test (MBRT). This mechanism is predicated on the redox state of the cell; living trophozoites possess active metabolic enzymes, such as NADH-dependent reductases, which facilitate the reduction of MB into its colorless leuco-form </w:t>
      </w:r>
      <w:r w:rsidR="00A87BD2">
        <w:t>[23,32].</w:t>
      </w:r>
      <w:r w:rsidRPr="00EB62B6">
        <w:t xml:space="preserve"> Conversely, dead or metabolically inactive cells lack this enzymatic capacity, causing them to retain a distinct blue stain </w:t>
      </w:r>
      <w:r w:rsidR="00A87BD2">
        <w:t>[33,34]</w:t>
      </w:r>
      <w:r w:rsidRPr="00EB62B6">
        <w:t>. This enzymatic decolorization allows for a clear microscopic differentiation between viable, motile trophozoites and non-viable parasites within minutes of application.</w:t>
      </w:r>
    </w:p>
    <w:p w14:paraId="6830DCB9" w14:textId="77777777" w:rsidR="00A864C1" w:rsidRPr="00EB62B6" w:rsidRDefault="00A864C1" w:rsidP="00EB62B6"/>
    <w:p w14:paraId="0461235F" w14:textId="77777777" w:rsidR="00EB62B6" w:rsidRPr="00EB62B6" w:rsidRDefault="00EB62B6" w:rsidP="00EB62B6">
      <w:pPr>
        <w:rPr>
          <w:b/>
          <w:bCs/>
        </w:rPr>
      </w:pPr>
      <w:r w:rsidRPr="00EB62B6">
        <w:rPr>
          <w:b/>
          <w:bCs/>
        </w:rPr>
        <w:t>Optical Enhancement and Specimen Stabilization</w:t>
      </w:r>
    </w:p>
    <w:p w14:paraId="1D96AAE3" w14:textId="53C9F27F" w:rsidR="00EB62B6" w:rsidRDefault="00EB62B6" w:rsidP="007E3008">
      <w:pPr>
        <w:jc w:val="both"/>
      </w:pPr>
      <w:r w:rsidRPr="00EB62B6">
        <w:t>This biochemical contrast is further amplified by the optical clearing properties of glycerol. With a refractive index of approximately 1.47</w:t>
      </w:r>
      <w:r w:rsidR="00A864C1">
        <w:t xml:space="preserve">, </w:t>
      </w:r>
      <w:r w:rsidRPr="00EB62B6">
        <w:t xml:space="preserve">glycerol effectively matches the optical density of the </w:t>
      </w:r>
      <w:r w:rsidRPr="00EB62B6">
        <w:lastRenderedPageBreak/>
        <w:t xml:space="preserve">glass slide and cellular proteins </w:t>
      </w:r>
      <w:r w:rsidR="00A87BD2">
        <w:t>[35].</w:t>
      </w:r>
      <w:r w:rsidRPr="00EB62B6">
        <w:t xml:space="preserve"> By reducing light scattering and refractive masking</w:t>
      </w:r>
      <w:r w:rsidR="00A864C1">
        <w:t xml:space="preserve"> </w:t>
      </w:r>
      <w:r w:rsidRPr="00EB62B6">
        <w:t xml:space="preserve">common in opaque, aqueous fecal mounts, the glycerol allows the darkly stained organelles to appear in high relief against a translucent background </w:t>
      </w:r>
      <w:r w:rsidR="00A87BD2">
        <w:t>[36,37]</w:t>
      </w:r>
      <w:r w:rsidRPr="00EB62B6">
        <w:t xml:space="preserve">. This synergy resulted in a 191.7% increase in the contrast ratio, which proved essential for identifying erythrophagocytosis. Ingested red blood cells, the only definitive microscopic marker for pathogenic </w:t>
      </w:r>
      <w:r w:rsidRPr="00EB62B6">
        <w:rPr>
          <w:i/>
          <w:iCs/>
        </w:rPr>
        <w:t>E. histolytica</w:t>
      </w:r>
      <w:r w:rsidRPr="00EB62B6">
        <w:t xml:space="preserve">, were clearly visible as dark inclusions within the endoplasm—a detail often missed in standard saline </w:t>
      </w:r>
      <w:r w:rsidR="009F0B67">
        <w:t>[4,9]</w:t>
      </w:r>
      <w:r w:rsidRPr="00EB62B6">
        <w:t>.</w:t>
      </w:r>
    </w:p>
    <w:p w14:paraId="2099C52B" w14:textId="77777777" w:rsidR="009F0B67" w:rsidRPr="00EB62B6" w:rsidRDefault="009F0B67" w:rsidP="00EB62B6"/>
    <w:p w14:paraId="382682DC" w14:textId="798E2779" w:rsidR="00EB62B6" w:rsidRDefault="00EB62B6" w:rsidP="007E3008">
      <w:pPr>
        <w:jc w:val="both"/>
      </w:pPr>
      <w:r w:rsidRPr="00EB62B6">
        <w:t>Furthermore, the inclusion of glycerol significantly impacted specimen stability. While traditional saline mounts typically desiccate and become unreadable within 12 minutes, MB-G mounts remained morphologically intact for over 120 minutes. This extension of the diagnostic window</w:t>
      </w:r>
      <w:r w:rsidR="00A864C1">
        <w:t xml:space="preserve"> </w:t>
      </w:r>
      <w:r w:rsidRPr="00EB62B6">
        <w:t xml:space="preserve">is critical in high-volume laboratory settings where immediate microscopy is not always feasible </w:t>
      </w:r>
      <w:r w:rsidR="009F0B67">
        <w:t>[38].</w:t>
      </w:r>
    </w:p>
    <w:p w14:paraId="5F8794BE" w14:textId="77777777" w:rsidR="00A864C1" w:rsidRPr="00EB62B6" w:rsidRDefault="00A864C1" w:rsidP="00EB62B6"/>
    <w:p w14:paraId="3876F4D5" w14:textId="77777777" w:rsidR="00EB62B6" w:rsidRPr="00EB62B6" w:rsidRDefault="00EB62B6" w:rsidP="00EB62B6">
      <w:pPr>
        <w:rPr>
          <w:b/>
          <w:bCs/>
        </w:rPr>
      </w:pPr>
      <w:r w:rsidRPr="00EB62B6">
        <w:rPr>
          <w:b/>
          <w:bCs/>
        </w:rPr>
        <w:t>Vital Staining and Clinical Utility</w:t>
      </w:r>
    </w:p>
    <w:p w14:paraId="469B7116" w14:textId="4A8B6810" w:rsidR="00EB62B6" w:rsidRPr="00EB62B6" w:rsidRDefault="00EB62B6" w:rsidP="007E3008">
      <w:pPr>
        <w:jc w:val="both"/>
      </w:pPr>
      <w:r w:rsidRPr="00EB62B6">
        <w:t>The study ultimately highlights 0.1% MB-G as a superior vital stain that preserves biological activity while enhancing detail. The increased viscosity of the glycerol serves as a kinetic stabilizer; by increasing the drag coefficient of the medium, it slows the characteristic explosive</w:t>
      </w:r>
      <w:r w:rsidR="00A864C1">
        <w:t xml:space="preserve"> </w:t>
      </w:r>
      <w:r w:rsidRPr="00EB62B6">
        <w:t xml:space="preserve">motility of trophozoites sufficiently to permit detailed morphometric analysis without inducing immediate cellular death </w:t>
      </w:r>
      <w:r w:rsidR="009F0B67">
        <w:t>[22,38].</w:t>
      </w:r>
      <w:r w:rsidRPr="00EB62B6">
        <w:t xml:space="preserve"> This provides a distinct advantage over permanent techniques like Wheatley’s Trichrome, which offer high detail but require chemical fixation that terminates all motility </w:t>
      </w:r>
      <w:r w:rsidR="009F0B67">
        <w:t>[4]</w:t>
      </w:r>
      <w:r w:rsidRPr="00EB62B6">
        <w:t>.</w:t>
      </w:r>
    </w:p>
    <w:p w14:paraId="6167BBC9" w14:textId="77777777" w:rsidR="00A864C1" w:rsidRDefault="00A864C1" w:rsidP="007E3008">
      <w:pPr>
        <w:jc w:val="both"/>
      </w:pPr>
    </w:p>
    <w:p w14:paraId="094E68A8" w14:textId="1EBF5AA6" w:rsidR="00F74C64" w:rsidRPr="00345FF5" w:rsidRDefault="00EB62B6" w:rsidP="007E3008">
      <w:pPr>
        <w:jc w:val="both"/>
      </w:pPr>
      <w:r w:rsidRPr="00EB62B6">
        <w:t xml:space="preserve">While MB-G remains a morphological screening tool and cannot replace molecular confirmation in the absence of erythrophagocytosis, its minimal cost, extended longevity, and high inter-observer reliability (kappa = 0.87) represent a substantial upgrade for primary screening. By bridging the gap between low-sensitivity saline mounts and the prohibitive costs of PCR, this method serves as an ideal diagnostic standard for clinical and educational institutions in endemic, resource-limited regions </w:t>
      </w:r>
      <w:r w:rsidR="009F0B67">
        <w:t>[4,20].</w:t>
      </w:r>
    </w:p>
    <w:p w14:paraId="61FAC102" w14:textId="40E7FC1A" w:rsidR="00B3663C" w:rsidRPr="007E3008" w:rsidRDefault="007E3008" w:rsidP="00B3663C">
      <w:pPr>
        <w:spacing w:before="420" w:after="120" w:line="360" w:lineRule="atLeast"/>
        <w:outlineLvl w:val="2"/>
        <w:rPr>
          <w:b/>
          <w:bCs/>
          <w:color w:val="1F1F1F"/>
        </w:rPr>
      </w:pPr>
      <w:r w:rsidRPr="007E3008">
        <w:rPr>
          <w:b/>
          <w:bCs/>
          <w:color w:val="1F1F1F"/>
        </w:rPr>
        <w:t>CONCLUSION</w:t>
      </w:r>
    </w:p>
    <w:p w14:paraId="6BCB5732" w14:textId="37CCF4E7" w:rsidR="00B3663C" w:rsidRDefault="00B3663C" w:rsidP="007E3008">
      <w:pPr>
        <w:jc w:val="both"/>
        <w:outlineLvl w:val="2"/>
        <w:rPr>
          <w:color w:val="1F1F1F"/>
        </w:rPr>
      </w:pPr>
      <w:r w:rsidRPr="00FD1F96">
        <w:rPr>
          <w:color w:val="1F1F1F"/>
        </w:rPr>
        <w:t xml:space="preserve">The findings of this study provide robust evidence that the use of 0.1% Methylene Blue-Glycerol (MB-G) as a fecal stain significantly enhances the microscopic diagnosis of </w:t>
      </w:r>
      <w:r w:rsidRPr="00FD1F96">
        <w:rPr>
          <w:i/>
          <w:iCs/>
          <w:color w:val="1F1F1F"/>
        </w:rPr>
        <w:t>Entamoeba histolytica</w:t>
      </w:r>
      <w:r w:rsidRPr="00FD1F96">
        <w:rPr>
          <w:color w:val="1F1F1F"/>
        </w:rPr>
        <w:t xml:space="preserve"> compared to traditional saline wet mounts. The biochemical affinity of Methylene Blue for the parasite’s nuclear DNA, coupled with the optical clearing properties of glycerol, resulted in a 148</w:t>
      </w:r>
      <w:r w:rsidR="00FD1F96">
        <w:rPr>
          <w:color w:val="1F1F1F"/>
        </w:rPr>
        <w:t xml:space="preserve">.3 </w:t>
      </w:r>
      <w:r w:rsidRPr="00FD1F96">
        <w:rPr>
          <w:color w:val="1F1F1F"/>
        </w:rPr>
        <w:t>% increase in nuclear clarity and a 191</w:t>
      </w:r>
      <w:r w:rsidR="00FD1F96">
        <w:rPr>
          <w:color w:val="1F1F1F"/>
        </w:rPr>
        <w:t xml:space="preserve">.7 </w:t>
      </w:r>
      <w:r w:rsidRPr="00FD1F96">
        <w:rPr>
          <w:color w:val="1F1F1F"/>
        </w:rPr>
        <w:t>% increase in contrast. This synergy effectively mitigates the "refractive masking" common in unstained preparations, where the parasite is often visually indistinguishable from fecal debris.</w:t>
      </w:r>
    </w:p>
    <w:p w14:paraId="7F8B85D1" w14:textId="77777777" w:rsidR="009F0B67" w:rsidRPr="00FD1F96" w:rsidRDefault="009F0B67" w:rsidP="009F0B67">
      <w:pPr>
        <w:outlineLvl w:val="2"/>
        <w:rPr>
          <w:color w:val="1F1F1F"/>
        </w:rPr>
      </w:pPr>
    </w:p>
    <w:p w14:paraId="72DD0176" w14:textId="6724DC42" w:rsidR="00B3663C" w:rsidRPr="00FD1F96" w:rsidRDefault="00B3663C" w:rsidP="007E3008">
      <w:pPr>
        <w:jc w:val="both"/>
        <w:outlineLvl w:val="2"/>
        <w:rPr>
          <w:color w:val="1F1F1F"/>
        </w:rPr>
      </w:pPr>
      <w:r w:rsidRPr="00FD1F96">
        <w:rPr>
          <w:color w:val="1F1F1F"/>
        </w:rPr>
        <w:t>Furthermore, the formulation addresses the critical issue of specimen desiccation. By extending the window of morphological integrity from approximately 12 minutes to over 1</w:t>
      </w:r>
      <w:r w:rsidR="00580C40" w:rsidRPr="00FD1F96">
        <w:rPr>
          <w:color w:val="1F1F1F"/>
        </w:rPr>
        <w:t>2</w:t>
      </w:r>
      <w:r w:rsidRPr="00FD1F96">
        <w:rPr>
          <w:color w:val="1F1F1F"/>
        </w:rPr>
        <w:t>0 minutes, MB-G provides a stable, reviewable platform suitable for high-volume clinical settings and peer consultation. While it remains a morphological tool that cannot replace PCR for definitive species differentiation in the absence of erythrophagocytosis, its superior sensitivity (79.2%) and high inter-observer reliability kappa = 0.87 position it as a powerful primary screening method.</w:t>
      </w:r>
    </w:p>
    <w:p w14:paraId="0FD41A66" w14:textId="77777777" w:rsidR="007E3008" w:rsidRDefault="007E3008" w:rsidP="007E3008">
      <w:pPr>
        <w:spacing w:before="420"/>
        <w:outlineLvl w:val="2"/>
        <w:rPr>
          <w:b/>
          <w:bCs/>
          <w:color w:val="1F1F1F"/>
        </w:rPr>
      </w:pPr>
    </w:p>
    <w:p w14:paraId="77E1CD4C" w14:textId="77777777" w:rsidR="009D5EE6" w:rsidRPr="009D5EE6" w:rsidRDefault="009D5EE6" w:rsidP="009D5EE6">
      <w:pPr>
        <w:rPr>
          <w:b/>
          <w:color w:val="000000" w:themeColor="text1"/>
        </w:rPr>
      </w:pPr>
      <w:r w:rsidRPr="009D5EE6">
        <w:rPr>
          <w:b/>
          <w:color w:val="000000" w:themeColor="text1"/>
        </w:rPr>
        <w:t>Disclosure statement</w:t>
      </w:r>
    </w:p>
    <w:p w14:paraId="56EB33BE" w14:textId="55C99D52" w:rsidR="00FD1F96" w:rsidRDefault="009D5EE6" w:rsidP="009D5EE6">
      <w:pPr>
        <w:rPr>
          <w:color w:val="000000" w:themeColor="text1"/>
        </w:rPr>
      </w:pPr>
      <w:r w:rsidRPr="009D5EE6">
        <w:rPr>
          <w:color w:val="000000" w:themeColor="text1"/>
        </w:rPr>
        <w:t>The researcher ha</w:t>
      </w:r>
      <w:r w:rsidR="00E207A4">
        <w:rPr>
          <w:color w:val="000000" w:themeColor="text1"/>
        </w:rPr>
        <w:t>s</w:t>
      </w:r>
      <w:r w:rsidRPr="009D5EE6">
        <w:rPr>
          <w:color w:val="000000" w:themeColor="text1"/>
        </w:rPr>
        <w:t xml:space="preserve"> no conflict of interest to disclose.</w:t>
      </w:r>
    </w:p>
    <w:p w14:paraId="0B332A86" w14:textId="77777777" w:rsidR="00FD1F96" w:rsidRDefault="00FD1F96" w:rsidP="00DA6F53">
      <w:pPr>
        <w:rPr>
          <w:color w:val="000000" w:themeColor="text1"/>
        </w:rPr>
      </w:pPr>
    </w:p>
    <w:p w14:paraId="7430A5B3" w14:textId="5F697614" w:rsidR="00DA6F53" w:rsidRPr="007E3008" w:rsidRDefault="007E3008" w:rsidP="00DA6F53">
      <w:pPr>
        <w:rPr>
          <w:b/>
          <w:color w:val="000000" w:themeColor="text1"/>
        </w:rPr>
      </w:pPr>
      <w:r w:rsidRPr="007E3008">
        <w:rPr>
          <w:b/>
          <w:color w:val="000000" w:themeColor="text1"/>
        </w:rPr>
        <w:t>REFERENCES</w:t>
      </w:r>
    </w:p>
    <w:p w14:paraId="459CF1D0" w14:textId="77777777" w:rsidR="00B11EC0" w:rsidRPr="00DA6F53" w:rsidRDefault="00B11EC0" w:rsidP="00DA6F53">
      <w:pPr>
        <w:rPr>
          <w:color w:val="000000" w:themeColor="text1"/>
        </w:rPr>
      </w:pPr>
    </w:p>
    <w:p w14:paraId="5C3DC7EB" w14:textId="282EA8B3" w:rsidR="00B11EC0" w:rsidRPr="009D5EE6" w:rsidRDefault="00B11EC0" w:rsidP="009D5EE6">
      <w:pPr>
        <w:pStyle w:val="ListParagraph"/>
        <w:numPr>
          <w:ilvl w:val="0"/>
          <w:numId w:val="13"/>
        </w:numPr>
        <w:rPr>
          <w:rStyle w:val="Hyperlink"/>
          <w:color w:val="000000" w:themeColor="text1"/>
          <w:u w:val="none"/>
        </w:rPr>
      </w:pPr>
      <w:r w:rsidRPr="00B11EC0">
        <w:rPr>
          <w:color w:val="000000" w:themeColor="text1"/>
        </w:rPr>
        <w:t xml:space="preserve">Haque, R., Huston, C. D., Hughes, M., </w:t>
      </w:r>
      <w:proofErr w:type="spellStart"/>
      <w:r w:rsidRPr="00B11EC0">
        <w:rPr>
          <w:color w:val="000000" w:themeColor="text1"/>
        </w:rPr>
        <w:t>Houpt</w:t>
      </w:r>
      <w:proofErr w:type="spellEnd"/>
      <w:r w:rsidRPr="00B11EC0">
        <w:rPr>
          <w:color w:val="000000" w:themeColor="text1"/>
        </w:rPr>
        <w:t xml:space="preserve">, E., &amp; Petri, W. A., Jr. (2003). Amebiasis. </w:t>
      </w:r>
      <w:r w:rsidRPr="00B11EC0">
        <w:rPr>
          <w:i/>
          <w:iCs/>
          <w:color w:val="000000" w:themeColor="text1"/>
        </w:rPr>
        <w:t>New England Journal of Medicine, 348</w:t>
      </w:r>
      <w:r w:rsidRPr="00B11EC0">
        <w:rPr>
          <w:color w:val="000000" w:themeColor="text1"/>
        </w:rPr>
        <w:t>(16), 1565–1573.</w:t>
      </w:r>
      <w:r w:rsidR="007E3008">
        <w:rPr>
          <w:color w:val="000000" w:themeColor="text1"/>
        </w:rPr>
        <w:t xml:space="preserve"> </w:t>
      </w:r>
      <w:hyperlink r:id="rId11" w:history="1">
        <w:r w:rsidR="007E3008" w:rsidRPr="007E3008">
          <w:rPr>
            <w:rStyle w:val="Hyperlink"/>
            <w:color w:val="auto"/>
            <w:u w:val="none"/>
          </w:rPr>
          <w:t>https://doi.org/10.1056/NEJMra022710</w:t>
        </w:r>
      </w:hyperlink>
    </w:p>
    <w:p w14:paraId="713580BA" w14:textId="2721B8F9" w:rsidR="00BA04D2" w:rsidRPr="009D5EE6" w:rsidRDefault="00B11EC0" w:rsidP="009D5EE6">
      <w:pPr>
        <w:pStyle w:val="ListParagraph"/>
        <w:numPr>
          <w:ilvl w:val="0"/>
          <w:numId w:val="13"/>
        </w:numPr>
        <w:rPr>
          <w:color w:val="000000" w:themeColor="text1"/>
        </w:rPr>
      </w:pPr>
      <w:r w:rsidRPr="00BA04D2">
        <w:rPr>
          <w:color w:val="000000" w:themeColor="text1"/>
        </w:rPr>
        <w:t xml:space="preserve">Saklatvala, T. (1993). Fritz </w:t>
      </w:r>
      <w:proofErr w:type="spellStart"/>
      <w:r w:rsidRPr="00BA04D2">
        <w:rPr>
          <w:color w:val="000000" w:themeColor="text1"/>
        </w:rPr>
        <w:t>Schaudinn</w:t>
      </w:r>
      <w:proofErr w:type="spellEnd"/>
      <w:r w:rsidRPr="00BA04D2">
        <w:rPr>
          <w:color w:val="000000" w:themeColor="text1"/>
        </w:rPr>
        <w:t xml:space="preserve"> (1871-1906): </w:t>
      </w:r>
      <w:proofErr w:type="spellStart"/>
      <w:r w:rsidRPr="00BA04D2">
        <w:rPr>
          <w:color w:val="000000" w:themeColor="text1"/>
        </w:rPr>
        <w:t>Protozoologist</w:t>
      </w:r>
      <w:proofErr w:type="spellEnd"/>
      <w:r w:rsidRPr="00BA04D2">
        <w:rPr>
          <w:color w:val="000000" w:themeColor="text1"/>
        </w:rPr>
        <w:t xml:space="preserve"> and discoverer of </w:t>
      </w:r>
      <w:r w:rsidRPr="00BA04D2">
        <w:rPr>
          <w:i/>
          <w:iCs/>
          <w:color w:val="000000" w:themeColor="text1"/>
        </w:rPr>
        <w:t>Treponema pallidum</w:t>
      </w:r>
      <w:r w:rsidRPr="00BA04D2">
        <w:rPr>
          <w:color w:val="000000" w:themeColor="text1"/>
        </w:rPr>
        <w:t xml:space="preserve">. </w:t>
      </w:r>
      <w:r w:rsidRPr="00BA04D2">
        <w:rPr>
          <w:i/>
          <w:iCs/>
          <w:color w:val="000000" w:themeColor="text1"/>
        </w:rPr>
        <w:t>British Journal of Venereal Diseases, 69</w:t>
      </w:r>
      <w:r w:rsidRPr="00BA04D2">
        <w:rPr>
          <w:color w:val="000000" w:themeColor="text1"/>
        </w:rPr>
        <w:t>(6), 464–465.</w:t>
      </w:r>
    </w:p>
    <w:p w14:paraId="72D6BD02" w14:textId="596D0303" w:rsidR="00BA04D2" w:rsidRPr="009D5EE6" w:rsidRDefault="00BA04D2" w:rsidP="009D5EE6">
      <w:pPr>
        <w:pStyle w:val="ListParagraph"/>
        <w:numPr>
          <w:ilvl w:val="0"/>
          <w:numId w:val="13"/>
        </w:numPr>
        <w:rPr>
          <w:rStyle w:val="Hyperlink"/>
          <w:color w:val="000000" w:themeColor="text1"/>
          <w:u w:val="none"/>
        </w:rPr>
      </w:pPr>
      <w:r w:rsidRPr="00BA04D2">
        <w:rPr>
          <w:color w:val="000000" w:themeColor="text1"/>
        </w:rPr>
        <w:t xml:space="preserve">Oliveira, F. M., Neumann, E., &amp; Gomes, M. A. (2015). </w:t>
      </w:r>
      <w:r w:rsidRPr="00BA04D2">
        <w:rPr>
          <w:i/>
          <w:iCs/>
          <w:color w:val="000000" w:themeColor="text1"/>
        </w:rPr>
        <w:t xml:space="preserve">Entamoeba </w:t>
      </w:r>
      <w:proofErr w:type="spellStart"/>
      <w:r w:rsidRPr="00BA04D2">
        <w:rPr>
          <w:i/>
          <w:iCs/>
          <w:color w:val="000000" w:themeColor="text1"/>
        </w:rPr>
        <w:t>histolytica</w:t>
      </w:r>
      <w:proofErr w:type="spellEnd"/>
      <w:r w:rsidRPr="00BA04D2">
        <w:rPr>
          <w:color w:val="000000" w:themeColor="text1"/>
        </w:rPr>
        <w:t xml:space="preserve"> and </w:t>
      </w:r>
      <w:proofErr w:type="spellStart"/>
      <w:r w:rsidRPr="00BA04D2">
        <w:rPr>
          <w:i/>
          <w:iCs/>
          <w:color w:val="000000" w:themeColor="text1"/>
        </w:rPr>
        <w:t>Entamoeba</w:t>
      </w:r>
      <w:proofErr w:type="spellEnd"/>
      <w:r w:rsidRPr="00BA04D2">
        <w:rPr>
          <w:i/>
          <w:iCs/>
          <w:color w:val="000000" w:themeColor="text1"/>
        </w:rPr>
        <w:t xml:space="preserve"> </w:t>
      </w:r>
      <w:proofErr w:type="spellStart"/>
      <w:r w:rsidRPr="00BA04D2">
        <w:rPr>
          <w:i/>
          <w:iCs/>
          <w:color w:val="000000" w:themeColor="text1"/>
        </w:rPr>
        <w:t>dispar</w:t>
      </w:r>
      <w:proofErr w:type="spellEnd"/>
      <w:r w:rsidRPr="00BA04D2">
        <w:rPr>
          <w:color w:val="000000" w:themeColor="text1"/>
        </w:rPr>
        <w:t xml:space="preserve">: A review of the current knowledge. </w:t>
      </w:r>
      <w:r w:rsidRPr="00BA04D2">
        <w:rPr>
          <w:i/>
          <w:iCs/>
          <w:color w:val="000000" w:themeColor="text1"/>
        </w:rPr>
        <w:t>Journal of Bacteriology &amp; Parasitology, 6</w:t>
      </w:r>
      <w:r w:rsidRPr="00BA04D2">
        <w:rPr>
          <w:color w:val="000000" w:themeColor="text1"/>
        </w:rPr>
        <w:t xml:space="preserve">(3), 1–6. </w:t>
      </w:r>
      <w:hyperlink r:id="rId12" w:tgtFrame="_blank" w:history="1">
        <w:r w:rsidRPr="00BA04D2">
          <w:rPr>
            <w:rStyle w:val="Hyperlink"/>
            <w:color w:val="000000" w:themeColor="text1"/>
            <w:u w:val="none"/>
          </w:rPr>
          <w:t>https://doi.org/10.4172/2155-9597.1000233</w:t>
        </w:r>
      </w:hyperlink>
    </w:p>
    <w:p w14:paraId="7535F8CB" w14:textId="2B028D1B" w:rsidR="00BA04D2" w:rsidRPr="009D5EE6" w:rsidRDefault="00BA04D2" w:rsidP="009D5EE6">
      <w:pPr>
        <w:pStyle w:val="ListParagraph"/>
        <w:numPr>
          <w:ilvl w:val="0"/>
          <w:numId w:val="13"/>
        </w:numPr>
        <w:rPr>
          <w:rStyle w:val="Hyperlink"/>
          <w:color w:val="000000" w:themeColor="text1"/>
          <w:u w:val="none"/>
        </w:rPr>
      </w:pPr>
      <w:r w:rsidRPr="00DA6F53">
        <w:rPr>
          <w:color w:val="000000" w:themeColor="text1"/>
        </w:rPr>
        <w:t xml:space="preserve">Shirley, D. T., Farr, L., Watanabe, K., &amp; Moonah, S. (2018). A review of the global burden, new diagnostics, and current therapeutics for amebiasis. </w:t>
      </w:r>
      <w:r w:rsidRPr="00DA6F53">
        <w:rPr>
          <w:i/>
          <w:iCs/>
          <w:color w:val="000000" w:themeColor="text1"/>
        </w:rPr>
        <w:t>Open Forum Infectious Diseases, 5</w:t>
      </w:r>
      <w:r w:rsidRPr="00DA6F53">
        <w:rPr>
          <w:color w:val="000000" w:themeColor="text1"/>
        </w:rPr>
        <w:t xml:space="preserve">(7), ofy161. </w:t>
      </w:r>
      <w:hyperlink r:id="rId13" w:tgtFrame="_blank" w:history="1">
        <w:r w:rsidRPr="00DA6F53">
          <w:rPr>
            <w:rStyle w:val="Hyperlink"/>
            <w:color w:val="000000" w:themeColor="text1"/>
            <w:u w:val="none"/>
          </w:rPr>
          <w:t>https://doi.org/10.1093/ofid/ofy161</w:t>
        </w:r>
      </w:hyperlink>
    </w:p>
    <w:p w14:paraId="42B78E76" w14:textId="78EF7F79" w:rsidR="00BA04D2" w:rsidRPr="009D5EE6" w:rsidRDefault="00BA04D2" w:rsidP="009D5EE6">
      <w:pPr>
        <w:pStyle w:val="ListParagraph"/>
        <w:numPr>
          <w:ilvl w:val="0"/>
          <w:numId w:val="13"/>
        </w:numPr>
        <w:rPr>
          <w:color w:val="000000" w:themeColor="text1"/>
        </w:rPr>
      </w:pPr>
      <w:r w:rsidRPr="00DA6F53">
        <w:rPr>
          <w:color w:val="000000" w:themeColor="text1"/>
        </w:rPr>
        <w:t xml:space="preserve">Stanley, S. L., Jr. (2003). Amoebiasis. </w:t>
      </w:r>
      <w:r w:rsidRPr="00DA6F53">
        <w:rPr>
          <w:i/>
          <w:iCs/>
          <w:color w:val="000000" w:themeColor="text1"/>
        </w:rPr>
        <w:t>The Lancet, 361</w:t>
      </w:r>
      <w:r w:rsidRPr="00DA6F53">
        <w:rPr>
          <w:color w:val="000000" w:themeColor="text1"/>
        </w:rPr>
        <w:t xml:space="preserve">(9362), 1025–1034. </w:t>
      </w:r>
      <w:hyperlink r:id="rId14" w:tgtFrame="_blank" w:history="1">
        <w:r w:rsidRPr="00DA6F53">
          <w:rPr>
            <w:rStyle w:val="Hyperlink"/>
            <w:color w:val="000000" w:themeColor="text1"/>
            <w:u w:val="none"/>
          </w:rPr>
          <w:t>https://doi.org/10.1016/S0140-6736(03)12830-9</w:t>
        </w:r>
      </w:hyperlink>
    </w:p>
    <w:p w14:paraId="2A8DB6F9" w14:textId="0DA1CB71" w:rsidR="00BA04D2" w:rsidRPr="009D5EE6" w:rsidRDefault="00BA04D2" w:rsidP="009D5EE6">
      <w:pPr>
        <w:pStyle w:val="ListParagraph"/>
        <w:numPr>
          <w:ilvl w:val="0"/>
          <w:numId w:val="13"/>
        </w:numPr>
        <w:rPr>
          <w:color w:val="000000" w:themeColor="text1"/>
        </w:rPr>
      </w:pPr>
      <w:r w:rsidRPr="00DA6F53">
        <w:rPr>
          <w:color w:val="000000" w:themeColor="text1"/>
        </w:rPr>
        <w:t xml:space="preserve">Huston, C. D., &amp; Petri, W. A., Jr. (1999). </w:t>
      </w:r>
      <w:r w:rsidRPr="00DA6F53">
        <w:rPr>
          <w:i/>
          <w:iCs/>
          <w:color w:val="000000" w:themeColor="text1"/>
        </w:rPr>
        <w:t>Entamoeba histolytica</w:t>
      </w:r>
      <w:r w:rsidRPr="00DA6F53">
        <w:rPr>
          <w:color w:val="000000" w:themeColor="text1"/>
        </w:rPr>
        <w:t xml:space="preserve">: Clinical manifestations, diagnosis, and treatment. </w:t>
      </w:r>
      <w:r w:rsidRPr="00DA6F53">
        <w:rPr>
          <w:i/>
          <w:iCs/>
          <w:color w:val="000000" w:themeColor="text1"/>
        </w:rPr>
        <w:t>Current Clinical Topics in Infectious Diseases, 19</w:t>
      </w:r>
      <w:r w:rsidRPr="00DA6F53">
        <w:rPr>
          <w:color w:val="000000" w:themeColor="text1"/>
        </w:rPr>
        <w:t>, 270–308.</w:t>
      </w:r>
    </w:p>
    <w:p w14:paraId="51A383F3" w14:textId="42399456" w:rsidR="00BA04D2" w:rsidRDefault="00BA04D2" w:rsidP="009D5EE6">
      <w:pPr>
        <w:pStyle w:val="ListParagraph"/>
        <w:numPr>
          <w:ilvl w:val="0"/>
          <w:numId w:val="13"/>
        </w:numPr>
      </w:pPr>
      <w:r w:rsidRPr="00BA04D2">
        <w:rPr>
          <w:color w:val="000000" w:themeColor="text1"/>
        </w:rPr>
        <w:t xml:space="preserve">Watanabe, K., &amp; Petri, W. A., Jr. (2015). Molecular biology research to benefit patients with amebiasis. </w:t>
      </w:r>
      <w:r w:rsidRPr="00BA04D2">
        <w:rPr>
          <w:i/>
          <w:iCs/>
          <w:color w:val="000000" w:themeColor="text1"/>
        </w:rPr>
        <w:t>Molecular and Biochemical Parasitology, 199</w:t>
      </w:r>
      <w:r w:rsidRPr="00BA04D2">
        <w:rPr>
          <w:color w:val="000000" w:themeColor="text1"/>
        </w:rPr>
        <w:t xml:space="preserve">(1-2), 44–51. </w:t>
      </w:r>
      <w:hyperlink r:id="rId15" w:tgtFrame="_blank" w:history="1">
        <w:r w:rsidRPr="00BA04D2">
          <w:rPr>
            <w:rStyle w:val="Hyperlink"/>
            <w:color w:val="000000" w:themeColor="text1"/>
            <w:u w:val="none"/>
          </w:rPr>
          <w:t>https://doi.org/10.1016/j.molbiopara.2015.01.005</w:t>
        </w:r>
      </w:hyperlink>
    </w:p>
    <w:p w14:paraId="133FF950" w14:textId="3B39D0BA" w:rsidR="00B56D91" w:rsidRPr="009D5EE6" w:rsidRDefault="00BA04D2" w:rsidP="009D5EE6">
      <w:pPr>
        <w:pStyle w:val="ListParagraph"/>
        <w:numPr>
          <w:ilvl w:val="0"/>
          <w:numId w:val="13"/>
        </w:numPr>
        <w:rPr>
          <w:color w:val="000000" w:themeColor="text1"/>
        </w:rPr>
      </w:pPr>
      <w:proofErr w:type="spellStart"/>
      <w:r w:rsidRPr="00365DBE">
        <w:rPr>
          <w:color w:val="000000" w:themeColor="text1"/>
        </w:rPr>
        <w:t>Alkurbi</w:t>
      </w:r>
      <w:proofErr w:type="spellEnd"/>
      <w:r w:rsidRPr="00365DBE">
        <w:rPr>
          <w:color w:val="000000" w:themeColor="text1"/>
        </w:rPr>
        <w:t xml:space="preserve">, M. O., </w:t>
      </w:r>
      <w:proofErr w:type="spellStart"/>
      <w:r w:rsidRPr="00365DBE">
        <w:rPr>
          <w:color w:val="000000" w:themeColor="text1"/>
        </w:rPr>
        <w:t>Altuwrqi</w:t>
      </w:r>
      <w:proofErr w:type="spellEnd"/>
      <w:r w:rsidRPr="00365DBE">
        <w:rPr>
          <w:color w:val="000000" w:themeColor="text1"/>
        </w:rPr>
        <w:t xml:space="preserve">, M. A., </w:t>
      </w:r>
      <w:proofErr w:type="spellStart"/>
      <w:r w:rsidRPr="00365DBE">
        <w:rPr>
          <w:color w:val="000000" w:themeColor="text1"/>
        </w:rPr>
        <w:t>Hassanein</w:t>
      </w:r>
      <w:proofErr w:type="spellEnd"/>
      <w:r w:rsidRPr="00365DBE">
        <w:rPr>
          <w:color w:val="000000" w:themeColor="text1"/>
        </w:rPr>
        <w:t xml:space="preserve">, R. A. M., </w:t>
      </w:r>
      <w:proofErr w:type="spellStart"/>
      <w:r w:rsidRPr="00365DBE">
        <w:rPr>
          <w:color w:val="000000" w:themeColor="text1"/>
        </w:rPr>
        <w:t>Madkhali</w:t>
      </w:r>
      <w:proofErr w:type="spellEnd"/>
      <w:r w:rsidRPr="00365DBE">
        <w:rPr>
          <w:color w:val="000000" w:themeColor="text1"/>
        </w:rPr>
        <w:t xml:space="preserve">, A. M., </w:t>
      </w:r>
      <w:proofErr w:type="spellStart"/>
      <w:r w:rsidRPr="00365DBE">
        <w:rPr>
          <w:color w:val="000000" w:themeColor="text1"/>
        </w:rPr>
        <w:t>Alqurashi</w:t>
      </w:r>
      <w:proofErr w:type="spellEnd"/>
      <w:r w:rsidRPr="00365DBE">
        <w:rPr>
          <w:color w:val="000000" w:themeColor="text1"/>
        </w:rPr>
        <w:t xml:space="preserve">, S. O., </w:t>
      </w:r>
      <w:proofErr w:type="spellStart"/>
      <w:r w:rsidRPr="00365DBE">
        <w:rPr>
          <w:color w:val="000000" w:themeColor="text1"/>
        </w:rPr>
        <w:t>Almatrafi</w:t>
      </w:r>
      <w:proofErr w:type="spellEnd"/>
      <w:r w:rsidRPr="00365DBE">
        <w:rPr>
          <w:color w:val="000000" w:themeColor="text1"/>
        </w:rPr>
        <w:t xml:space="preserve">, H. H., </w:t>
      </w:r>
      <w:proofErr w:type="spellStart"/>
      <w:r w:rsidRPr="00365DBE">
        <w:rPr>
          <w:color w:val="000000" w:themeColor="text1"/>
        </w:rPr>
        <w:t>Basaif</w:t>
      </w:r>
      <w:proofErr w:type="spellEnd"/>
      <w:r w:rsidRPr="00365DBE">
        <w:rPr>
          <w:color w:val="000000" w:themeColor="text1"/>
        </w:rPr>
        <w:t xml:space="preserve">, N. O., </w:t>
      </w:r>
      <w:proofErr w:type="spellStart"/>
      <w:r w:rsidRPr="00365DBE">
        <w:rPr>
          <w:color w:val="000000" w:themeColor="text1"/>
        </w:rPr>
        <w:t>Medhir</w:t>
      </w:r>
      <w:proofErr w:type="spellEnd"/>
      <w:r w:rsidRPr="00365DBE">
        <w:rPr>
          <w:color w:val="000000" w:themeColor="text1"/>
        </w:rPr>
        <w:t xml:space="preserve">, R. J., &amp; </w:t>
      </w:r>
      <w:proofErr w:type="spellStart"/>
      <w:r w:rsidRPr="00365DBE">
        <w:rPr>
          <w:color w:val="000000" w:themeColor="text1"/>
        </w:rPr>
        <w:t>Allehabe</w:t>
      </w:r>
      <w:proofErr w:type="spellEnd"/>
      <w:r w:rsidRPr="00365DBE">
        <w:rPr>
          <w:color w:val="000000" w:themeColor="text1"/>
        </w:rPr>
        <w:t>, S. B. (2023). Prevalence of intestinal infections with Entamoeba histolytica among patients of Makkah hospitals, Saudi Arabia. Acta Scientific Medical Sciences, 7(10), 54–62.</w:t>
      </w:r>
    </w:p>
    <w:p w14:paraId="27D2BFEF" w14:textId="4642F5E4" w:rsidR="00B56D91" w:rsidRPr="009D5EE6" w:rsidRDefault="00B56D91" w:rsidP="009D5EE6">
      <w:pPr>
        <w:pStyle w:val="ListParagraph"/>
        <w:numPr>
          <w:ilvl w:val="0"/>
          <w:numId w:val="13"/>
        </w:numPr>
        <w:rPr>
          <w:color w:val="000000" w:themeColor="text1"/>
        </w:rPr>
      </w:pPr>
      <w:r w:rsidRPr="00BA04D2">
        <w:rPr>
          <w:color w:val="000000" w:themeColor="text1"/>
        </w:rPr>
        <w:t xml:space="preserve">Haque, R., Mondal, D., &amp; Petri, W. A. (2021). Diagnosis of amebiasis. In </w:t>
      </w:r>
      <w:r w:rsidRPr="00BA04D2">
        <w:rPr>
          <w:i/>
          <w:iCs/>
          <w:color w:val="000000" w:themeColor="text1"/>
        </w:rPr>
        <w:t>Encyclopedia of Gastroenterology</w:t>
      </w:r>
      <w:r w:rsidRPr="00BA04D2">
        <w:rPr>
          <w:color w:val="000000" w:themeColor="text1"/>
        </w:rPr>
        <w:t xml:space="preserve"> (2nd ed., pp. 67–75). Elsevier.</w:t>
      </w:r>
    </w:p>
    <w:p w14:paraId="69966AE4" w14:textId="5E6A48A9" w:rsidR="00B56D91" w:rsidRDefault="00B56D91" w:rsidP="009D5EE6">
      <w:pPr>
        <w:pStyle w:val="ListParagraph"/>
        <w:numPr>
          <w:ilvl w:val="0"/>
          <w:numId w:val="13"/>
        </w:numPr>
      </w:pPr>
      <w:r w:rsidRPr="00BA04D2">
        <w:rPr>
          <w:color w:val="000000" w:themeColor="text1"/>
        </w:rPr>
        <w:t xml:space="preserve">Kantor, M., Abrantes, A., Santana, A., </w:t>
      </w:r>
      <w:proofErr w:type="spellStart"/>
      <w:r w:rsidRPr="00BA04D2">
        <w:rPr>
          <w:color w:val="000000" w:themeColor="text1"/>
        </w:rPr>
        <w:t>Lodin</w:t>
      </w:r>
      <w:proofErr w:type="spellEnd"/>
      <w:r w:rsidRPr="00BA04D2">
        <w:rPr>
          <w:color w:val="000000" w:themeColor="text1"/>
        </w:rPr>
        <w:t xml:space="preserve">, A., </w:t>
      </w:r>
      <w:proofErr w:type="spellStart"/>
      <w:r w:rsidRPr="00BA04D2">
        <w:rPr>
          <w:color w:val="000000" w:themeColor="text1"/>
        </w:rPr>
        <w:t>Giovanetti</w:t>
      </w:r>
      <w:proofErr w:type="spellEnd"/>
      <w:r w:rsidRPr="00BA04D2">
        <w:rPr>
          <w:color w:val="000000" w:themeColor="text1"/>
        </w:rPr>
        <w:t xml:space="preserve">, M., &amp; Alvarenga, S. (2018). </w:t>
      </w:r>
      <w:r w:rsidRPr="00BA04D2">
        <w:rPr>
          <w:i/>
          <w:iCs/>
          <w:color w:val="000000" w:themeColor="text1"/>
        </w:rPr>
        <w:t>Entamoeba histolytica</w:t>
      </w:r>
      <w:r w:rsidRPr="00BA04D2">
        <w:rPr>
          <w:color w:val="000000" w:themeColor="text1"/>
        </w:rPr>
        <w:t xml:space="preserve">: Updates in clinical manifestation, pathogenesis, and diagnosis. </w:t>
      </w:r>
      <w:r w:rsidRPr="00BA04D2">
        <w:rPr>
          <w:i/>
          <w:iCs/>
          <w:color w:val="000000" w:themeColor="text1"/>
        </w:rPr>
        <w:t>Current Gastroenterology Reports, 20</w:t>
      </w:r>
      <w:r w:rsidRPr="00BA04D2">
        <w:rPr>
          <w:color w:val="000000" w:themeColor="text1"/>
        </w:rPr>
        <w:t xml:space="preserve">(6), 28. </w:t>
      </w:r>
      <w:hyperlink r:id="rId16" w:tgtFrame="_blank" w:history="1">
        <w:r w:rsidRPr="00BA04D2">
          <w:rPr>
            <w:rStyle w:val="Hyperlink"/>
            <w:color w:val="000000" w:themeColor="text1"/>
            <w:u w:val="none"/>
          </w:rPr>
          <w:t>https://doi.org/10.1007/s11894-018-0639-5</w:t>
        </w:r>
      </w:hyperlink>
    </w:p>
    <w:p w14:paraId="20F7BAD0" w14:textId="3502D240" w:rsidR="00CA2AC6" w:rsidRPr="009D5EE6" w:rsidRDefault="00B56D91" w:rsidP="009D5EE6">
      <w:pPr>
        <w:pStyle w:val="ListParagraph"/>
        <w:numPr>
          <w:ilvl w:val="0"/>
          <w:numId w:val="13"/>
        </w:numPr>
        <w:rPr>
          <w:color w:val="000000" w:themeColor="text1"/>
        </w:rPr>
      </w:pPr>
      <w:r w:rsidRPr="00B56D91">
        <w:rPr>
          <w:color w:val="000000" w:themeColor="text1"/>
        </w:rPr>
        <w:t xml:space="preserve">Aguilar-Díaz, H., Díaz-Olmos, Y., García-Vázquez, O., </w:t>
      </w:r>
      <w:proofErr w:type="spellStart"/>
      <w:r w:rsidRPr="00B56D91">
        <w:rPr>
          <w:color w:val="000000" w:themeColor="text1"/>
        </w:rPr>
        <w:t>Bermúdez</w:t>
      </w:r>
      <w:proofErr w:type="spellEnd"/>
      <w:r w:rsidRPr="00B56D91">
        <w:rPr>
          <w:color w:val="000000" w:themeColor="text1"/>
        </w:rPr>
        <w:t xml:space="preserve">, J. P., &amp; </w:t>
      </w:r>
      <w:proofErr w:type="spellStart"/>
      <w:r w:rsidRPr="00B56D91">
        <w:rPr>
          <w:color w:val="000000" w:themeColor="text1"/>
        </w:rPr>
        <w:t>Carrero</w:t>
      </w:r>
      <w:proofErr w:type="spellEnd"/>
      <w:r w:rsidRPr="00B56D91">
        <w:rPr>
          <w:color w:val="000000" w:themeColor="text1"/>
        </w:rPr>
        <w:t xml:space="preserve">, J. C. (2011). In vitro induction of Entamoeba histolytica cyst-like structures from trophozoites. </w:t>
      </w:r>
      <w:proofErr w:type="spellStart"/>
      <w:r w:rsidRPr="00B56D91">
        <w:rPr>
          <w:color w:val="000000" w:themeColor="text1"/>
        </w:rPr>
        <w:t>PLoS</w:t>
      </w:r>
      <w:proofErr w:type="spellEnd"/>
      <w:r w:rsidRPr="00B56D91">
        <w:rPr>
          <w:color w:val="000000" w:themeColor="text1"/>
        </w:rPr>
        <w:t xml:space="preserve"> Neglected Tropical Diseases, 5(2), e974.</w:t>
      </w:r>
      <w:r w:rsidR="00CA2AC6">
        <w:rPr>
          <w:color w:val="000000" w:themeColor="text1"/>
        </w:rPr>
        <w:t xml:space="preserve"> </w:t>
      </w:r>
    </w:p>
    <w:p w14:paraId="77B78425" w14:textId="5A202551" w:rsidR="00B56D91" w:rsidRPr="009D5EE6" w:rsidRDefault="005D4528" w:rsidP="009D5EE6">
      <w:pPr>
        <w:pStyle w:val="ListParagraph"/>
        <w:numPr>
          <w:ilvl w:val="0"/>
          <w:numId w:val="13"/>
        </w:numPr>
        <w:rPr>
          <w:color w:val="000000" w:themeColor="text1"/>
        </w:rPr>
      </w:pPr>
      <w:r w:rsidRPr="005D4528">
        <w:rPr>
          <w:color w:val="000000" w:themeColor="text1"/>
        </w:rPr>
        <w:t xml:space="preserve">Garcia, L. S., &amp; Bruckner, D. A. (1997). </w:t>
      </w:r>
      <w:r w:rsidRPr="005D4528">
        <w:rPr>
          <w:i/>
          <w:iCs/>
          <w:color w:val="000000" w:themeColor="text1"/>
        </w:rPr>
        <w:t>Diagnostic medical parasitology</w:t>
      </w:r>
      <w:r w:rsidRPr="005D4528">
        <w:rPr>
          <w:color w:val="000000" w:themeColor="text1"/>
        </w:rPr>
        <w:t xml:space="preserve"> (3rd ed.). American Society for Microbiology.</w:t>
      </w:r>
    </w:p>
    <w:p w14:paraId="36A550FE" w14:textId="1BEA0E5D" w:rsidR="00B56D91" w:rsidRPr="009D5EE6" w:rsidRDefault="00B56D91" w:rsidP="009D5EE6">
      <w:pPr>
        <w:pStyle w:val="ListParagraph"/>
        <w:numPr>
          <w:ilvl w:val="0"/>
          <w:numId w:val="13"/>
        </w:numPr>
        <w:rPr>
          <w:color w:val="000000" w:themeColor="text1"/>
        </w:rPr>
      </w:pPr>
      <w:r w:rsidRPr="00B56D91">
        <w:rPr>
          <w:color w:val="000000" w:themeColor="text1"/>
        </w:rPr>
        <w:t xml:space="preserve">Centers for Disease Control and Prevention [CDC]. (2019, October 15). </w:t>
      </w:r>
      <w:r w:rsidRPr="00B56D91">
        <w:rPr>
          <w:i/>
          <w:iCs/>
          <w:color w:val="000000" w:themeColor="text1"/>
        </w:rPr>
        <w:t>Amebiasis - Resources for health professionals</w:t>
      </w:r>
      <w:r w:rsidRPr="00B56D91">
        <w:rPr>
          <w:color w:val="000000" w:themeColor="text1"/>
        </w:rPr>
        <w:t xml:space="preserve">. </w:t>
      </w:r>
      <w:proofErr w:type="spellStart"/>
      <w:r w:rsidRPr="00B56D91">
        <w:rPr>
          <w:color w:val="000000" w:themeColor="text1"/>
        </w:rPr>
        <w:t>DPDx</w:t>
      </w:r>
      <w:proofErr w:type="spellEnd"/>
      <w:r w:rsidRPr="00B56D91">
        <w:rPr>
          <w:color w:val="000000" w:themeColor="text1"/>
        </w:rPr>
        <w:t xml:space="preserve"> - Laboratory Identification of Parasitic Diseases of Public Health Concern. </w:t>
      </w:r>
      <w:hyperlink r:id="rId17" w:tgtFrame="_blank" w:history="1">
        <w:r w:rsidRPr="00B56D91">
          <w:rPr>
            <w:rStyle w:val="Hyperlink"/>
            <w:color w:val="000000" w:themeColor="text1"/>
            <w:u w:val="none"/>
          </w:rPr>
          <w:t>https://www.cdc.gov/dpdx/amebiasis/index.html</w:t>
        </w:r>
      </w:hyperlink>
    </w:p>
    <w:p w14:paraId="2AB92901" w14:textId="5EB3C1B4" w:rsidR="00B56D91" w:rsidRPr="009D5EE6" w:rsidRDefault="00B56D91" w:rsidP="009D5EE6">
      <w:pPr>
        <w:pStyle w:val="ListParagraph"/>
        <w:numPr>
          <w:ilvl w:val="0"/>
          <w:numId w:val="13"/>
        </w:numPr>
        <w:rPr>
          <w:color w:val="000000" w:themeColor="text1"/>
        </w:rPr>
      </w:pPr>
      <w:r w:rsidRPr="00B56D91">
        <w:rPr>
          <w:color w:val="000000" w:themeColor="text1"/>
        </w:rPr>
        <w:t xml:space="preserve">Begum, S., Quach, J., &amp; </w:t>
      </w:r>
      <w:proofErr w:type="spellStart"/>
      <w:r w:rsidRPr="00B56D91">
        <w:rPr>
          <w:color w:val="000000" w:themeColor="text1"/>
        </w:rPr>
        <w:t>Chadee</w:t>
      </w:r>
      <w:proofErr w:type="spellEnd"/>
      <w:r w:rsidRPr="00B56D91">
        <w:rPr>
          <w:color w:val="000000" w:themeColor="text1"/>
        </w:rPr>
        <w:t>, K. (2015). Immune responses to Entamoeba histolytica. Tropical Medicine and Infectious Disease, 1(1), 1–15. https://doi.org/10.3390/tropicalmed1010002</w:t>
      </w:r>
    </w:p>
    <w:p w14:paraId="1A2A8A7A" w14:textId="6E27C737" w:rsidR="00B56D91" w:rsidRPr="00B56D91" w:rsidRDefault="00B56D91" w:rsidP="009D5EE6">
      <w:pPr>
        <w:pStyle w:val="ListParagraph"/>
        <w:numPr>
          <w:ilvl w:val="0"/>
          <w:numId w:val="13"/>
        </w:numPr>
        <w:rPr>
          <w:color w:val="000000" w:themeColor="text1"/>
        </w:rPr>
      </w:pPr>
      <w:r w:rsidRPr="00B56D91">
        <w:rPr>
          <w:color w:val="000000" w:themeColor="text1"/>
        </w:rPr>
        <w:t>World Health Organization [WHO]. (2020). Amoebiasis: Fact sheet. WHO Parasitic Diseases.</w:t>
      </w:r>
    </w:p>
    <w:p w14:paraId="683D82B2" w14:textId="77777777" w:rsidR="00B56D91" w:rsidRDefault="00B56D91" w:rsidP="009D5EE6">
      <w:pPr>
        <w:pStyle w:val="ListParagraph"/>
        <w:rPr>
          <w:color w:val="000000" w:themeColor="text1"/>
        </w:rPr>
      </w:pPr>
    </w:p>
    <w:p w14:paraId="0951B28D" w14:textId="65C09327" w:rsidR="00DA6F53" w:rsidRPr="009D5EE6" w:rsidRDefault="00B56D91" w:rsidP="009D5EE6">
      <w:pPr>
        <w:pStyle w:val="ListParagraph"/>
        <w:numPr>
          <w:ilvl w:val="0"/>
          <w:numId w:val="13"/>
        </w:numPr>
        <w:rPr>
          <w:color w:val="000000" w:themeColor="text1"/>
        </w:rPr>
      </w:pPr>
      <w:r w:rsidRPr="0016237E">
        <w:rPr>
          <w:color w:val="000000" w:themeColor="text1"/>
        </w:rPr>
        <w:t xml:space="preserve">Ghoshal, U. C., </w:t>
      </w:r>
      <w:proofErr w:type="spellStart"/>
      <w:r w:rsidRPr="0016237E">
        <w:rPr>
          <w:color w:val="000000" w:themeColor="text1"/>
        </w:rPr>
        <w:t>Gwee</w:t>
      </w:r>
      <w:proofErr w:type="spellEnd"/>
      <w:r w:rsidRPr="0016237E">
        <w:rPr>
          <w:color w:val="000000" w:themeColor="text1"/>
        </w:rPr>
        <w:t xml:space="preserve">, K. A., </w:t>
      </w:r>
      <w:proofErr w:type="spellStart"/>
      <w:r w:rsidRPr="0016237E">
        <w:rPr>
          <w:color w:val="000000" w:themeColor="text1"/>
        </w:rPr>
        <w:t>Holtmann</w:t>
      </w:r>
      <w:proofErr w:type="spellEnd"/>
      <w:r w:rsidRPr="0016237E">
        <w:rPr>
          <w:color w:val="000000" w:themeColor="text1"/>
        </w:rPr>
        <w:t>, G., &amp; Li, Y. (2023). Protozoal and helminthic infections of the gastrointestinal tract. In Textbook of Clinical Gastroenterology and Hepatology (3rd ed., pp. 412–425). Wiley-Blackwell. https://doi.org/10.1002/9781119600121.ch45</w:t>
      </w:r>
    </w:p>
    <w:p w14:paraId="51CE61B2" w14:textId="66006EE9" w:rsidR="009D5EE6" w:rsidRPr="009D5EE6" w:rsidRDefault="005D4528" w:rsidP="009D5EE6">
      <w:pPr>
        <w:pStyle w:val="ListParagraph"/>
        <w:numPr>
          <w:ilvl w:val="0"/>
          <w:numId w:val="13"/>
        </w:numPr>
        <w:rPr>
          <w:color w:val="000000" w:themeColor="text1"/>
        </w:rPr>
      </w:pPr>
      <w:r w:rsidRPr="00B56D91">
        <w:rPr>
          <w:color w:val="000000" w:themeColor="text1"/>
        </w:rPr>
        <w:t xml:space="preserve">Singh, A., </w:t>
      </w:r>
      <w:proofErr w:type="spellStart"/>
      <w:r w:rsidRPr="00B56D91">
        <w:rPr>
          <w:color w:val="000000" w:themeColor="text1"/>
        </w:rPr>
        <w:t>Houpt</w:t>
      </w:r>
      <w:proofErr w:type="spellEnd"/>
      <w:r w:rsidRPr="00B56D91">
        <w:rPr>
          <w:color w:val="000000" w:themeColor="text1"/>
        </w:rPr>
        <w:t xml:space="preserve">, E., &amp; Petri, W. A., Jr. (2005). Rapid diagnosis of intestinal parasitic infections. </w:t>
      </w:r>
      <w:r w:rsidRPr="00B56D91">
        <w:rPr>
          <w:i/>
          <w:iCs/>
          <w:color w:val="000000" w:themeColor="text1"/>
        </w:rPr>
        <w:t>Diagnostic Microbiology and Infectious Disease, 53</w:t>
      </w:r>
      <w:r w:rsidRPr="00B56D91">
        <w:rPr>
          <w:color w:val="000000" w:themeColor="text1"/>
        </w:rPr>
        <w:t xml:space="preserve">(2), 115–122. </w:t>
      </w:r>
      <w:hyperlink r:id="rId18" w:tgtFrame="_blank" w:history="1">
        <w:r w:rsidRPr="00B56D91">
          <w:rPr>
            <w:rStyle w:val="Hyperlink"/>
            <w:color w:val="000000" w:themeColor="text1"/>
            <w:u w:val="none"/>
          </w:rPr>
          <w:t>https://doi.org/10.1016/j.diagmicrobio.2005.04.012</w:t>
        </w:r>
      </w:hyperlink>
    </w:p>
    <w:p w14:paraId="5A5BE039" w14:textId="22BA14E4" w:rsidR="009D5EE6" w:rsidRPr="009D5EE6" w:rsidRDefault="005D4528" w:rsidP="009D5EE6">
      <w:pPr>
        <w:pStyle w:val="ListParagraph"/>
        <w:numPr>
          <w:ilvl w:val="0"/>
          <w:numId w:val="13"/>
        </w:numPr>
        <w:rPr>
          <w:color w:val="000000" w:themeColor="text1"/>
        </w:rPr>
      </w:pPr>
      <w:proofErr w:type="spellStart"/>
      <w:r w:rsidRPr="009D5EE6">
        <w:rPr>
          <w:color w:val="000000" w:themeColor="text1"/>
        </w:rPr>
        <w:t>Fotedar</w:t>
      </w:r>
      <w:proofErr w:type="spellEnd"/>
      <w:r w:rsidRPr="009D5EE6">
        <w:rPr>
          <w:color w:val="000000" w:themeColor="text1"/>
        </w:rPr>
        <w:t xml:space="preserve">, R., Stark, D., Beebe, N., Marriott, D., Ellis, J., &amp; Harkness, J. (2007). Laboratory diagnostic techniques for </w:t>
      </w:r>
      <w:r w:rsidRPr="009D5EE6">
        <w:rPr>
          <w:i/>
          <w:iCs/>
          <w:color w:val="000000" w:themeColor="text1"/>
        </w:rPr>
        <w:t>Entamoeba</w:t>
      </w:r>
      <w:r w:rsidRPr="009D5EE6">
        <w:rPr>
          <w:color w:val="000000" w:themeColor="text1"/>
        </w:rPr>
        <w:t xml:space="preserve"> species. </w:t>
      </w:r>
      <w:r w:rsidRPr="009D5EE6">
        <w:rPr>
          <w:i/>
          <w:iCs/>
          <w:color w:val="000000" w:themeColor="text1"/>
        </w:rPr>
        <w:t>Clinical Microbiology Reviews, 20</w:t>
      </w:r>
      <w:r w:rsidRPr="009D5EE6">
        <w:rPr>
          <w:color w:val="000000" w:themeColor="text1"/>
        </w:rPr>
        <w:t xml:space="preserve">(3), 511–532. </w:t>
      </w:r>
      <w:hyperlink r:id="rId19" w:tgtFrame="_blank" w:history="1">
        <w:r w:rsidRPr="009D5EE6">
          <w:rPr>
            <w:rStyle w:val="Hyperlink"/>
            <w:color w:val="000000" w:themeColor="text1"/>
            <w:u w:val="none"/>
          </w:rPr>
          <w:t>https://doi.org/10.1128/CMR.00004-07</w:t>
        </w:r>
      </w:hyperlink>
    </w:p>
    <w:p w14:paraId="07353027" w14:textId="6866567E" w:rsidR="009D5EE6" w:rsidRPr="009D5EE6" w:rsidRDefault="005D4528" w:rsidP="009D5EE6">
      <w:pPr>
        <w:pStyle w:val="ListParagraph"/>
        <w:numPr>
          <w:ilvl w:val="0"/>
          <w:numId w:val="13"/>
        </w:numPr>
        <w:rPr>
          <w:color w:val="000000" w:themeColor="text1"/>
        </w:rPr>
      </w:pPr>
      <w:r w:rsidRPr="009D5EE6">
        <w:rPr>
          <w:color w:val="000000" w:themeColor="text1"/>
        </w:rPr>
        <w:t xml:space="preserve">Pritt, B. S., &amp; Clark, C. G. (2008). Amebiasis. </w:t>
      </w:r>
      <w:r w:rsidRPr="009D5EE6">
        <w:rPr>
          <w:i/>
          <w:iCs/>
          <w:color w:val="000000" w:themeColor="text1"/>
        </w:rPr>
        <w:t>Mayo Clinic Proceedings, 83</w:t>
      </w:r>
      <w:r w:rsidRPr="009D5EE6">
        <w:rPr>
          <w:color w:val="000000" w:themeColor="text1"/>
        </w:rPr>
        <w:t xml:space="preserve">(10), 1154–1160. </w:t>
      </w:r>
      <w:hyperlink r:id="rId20" w:tgtFrame="_blank" w:history="1">
        <w:r w:rsidRPr="009D5EE6">
          <w:rPr>
            <w:rStyle w:val="Hyperlink"/>
            <w:color w:val="000000" w:themeColor="text1"/>
            <w:u w:val="none"/>
          </w:rPr>
          <w:t>https://doi.org/10.4065/83.10.1154</w:t>
        </w:r>
      </w:hyperlink>
    </w:p>
    <w:p w14:paraId="71FD23C1" w14:textId="3E62E864" w:rsidR="009D5EE6" w:rsidRPr="009D5EE6" w:rsidRDefault="00DA6F53" w:rsidP="009D5EE6">
      <w:pPr>
        <w:pStyle w:val="ListParagraph"/>
        <w:numPr>
          <w:ilvl w:val="0"/>
          <w:numId w:val="13"/>
        </w:numPr>
        <w:rPr>
          <w:color w:val="000000" w:themeColor="text1"/>
        </w:rPr>
      </w:pPr>
      <w:r w:rsidRPr="009D5EE6">
        <w:rPr>
          <w:color w:val="000000" w:themeColor="text1"/>
        </w:rPr>
        <w:t xml:space="preserve">Abdel-Hafeez, A. S., Belal, U. S., Abdellatif, M. Z., &amp; Naoi, K. (2015). Comparison of different staining methods for detection of </w:t>
      </w:r>
      <w:r w:rsidRPr="009D5EE6">
        <w:rPr>
          <w:i/>
          <w:iCs/>
          <w:color w:val="000000" w:themeColor="text1"/>
        </w:rPr>
        <w:t>Entamoeba histolytica</w:t>
      </w:r>
      <w:r w:rsidRPr="009D5EE6">
        <w:rPr>
          <w:color w:val="000000" w:themeColor="text1"/>
        </w:rPr>
        <w:t xml:space="preserve"> in stool and tissue samples. </w:t>
      </w:r>
      <w:r w:rsidRPr="009D5EE6">
        <w:rPr>
          <w:i/>
          <w:iCs/>
          <w:color w:val="000000" w:themeColor="text1"/>
        </w:rPr>
        <w:t>Journal of Parasitic Diseases, 39</w:t>
      </w:r>
      <w:r w:rsidRPr="009D5EE6">
        <w:rPr>
          <w:color w:val="000000" w:themeColor="text1"/>
        </w:rPr>
        <w:t xml:space="preserve">(3), 450–455. </w:t>
      </w:r>
      <w:hyperlink r:id="rId21" w:tgtFrame="_blank" w:history="1">
        <w:r w:rsidRPr="009D5EE6">
          <w:rPr>
            <w:rStyle w:val="Hyperlink"/>
            <w:color w:val="000000" w:themeColor="text1"/>
            <w:u w:val="none"/>
          </w:rPr>
          <w:t>https://doi.org/10.1007/s12639-013-0368-x</w:t>
        </w:r>
      </w:hyperlink>
    </w:p>
    <w:p w14:paraId="2BC4149B" w14:textId="0D4B6445" w:rsidR="009D5EE6" w:rsidRPr="009D5EE6" w:rsidRDefault="00CA2AC6" w:rsidP="009D5EE6">
      <w:pPr>
        <w:pStyle w:val="ListParagraph"/>
        <w:numPr>
          <w:ilvl w:val="0"/>
          <w:numId w:val="13"/>
        </w:numPr>
        <w:rPr>
          <w:color w:val="000000" w:themeColor="text1"/>
        </w:rPr>
      </w:pPr>
      <w:r w:rsidRPr="009D5EE6">
        <w:rPr>
          <w:color w:val="000000" w:themeColor="text1"/>
        </w:rPr>
        <w:t xml:space="preserve">Takahashi, T., Gamboa-Domínguez, A., Caballero-Ortega, Y., Falcón-Escobedo, R., Remes-Troche, J. M., </w:t>
      </w:r>
      <w:proofErr w:type="spellStart"/>
      <w:r w:rsidRPr="009D5EE6">
        <w:rPr>
          <w:color w:val="000000" w:themeColor="text1"/>
        </w:rPr>
        <w:t>Roesch-Dietlen</w:t>
      </w:r>
      <w:proofErr w:type="spellEnd"/>
      <w:r w:rsidRPr="009D5EE6">
        <w:rPr>
          <w:color w:val="000000" w:themeColor="text1"/>
        </w:rPr>
        <w:t xml:space="preserve">, F., &amp; </w:t>
      </w:r>
      <w:proofErr w:type="spellStart"/>
      <w:r w:rsidRPr="009D5EE6">
        <w:rPr>
          <w:color w:val="000000" w:themeColor="text1"/>
        </w:rPr>
        <w:t>Tsutsumi</w:t>
      </w:r>
      <w:proofErr w:type="spellEnd"/>
      <w:r w:rsidRPr="009D5EE6">
        <w:rPr>
          <w:color w:val="000000" w:themeColor="text1"/>
        </w:rPr>
        <w:t xml:space="preserve">, V. (1997). </w:t>
      </w:r>
      <w:r w:rsidRPr="009D5EE6">
        <w:rPr>
          <w:i/>
          <w:iCs/>
          <w:color w:val="000000" w:themeColor="text1"/>
        </w:rPr>
        <w:t>Entamoeba histolytica</w:t>
      </w:r>
      <w:r w:rsidRPr="009D5EE6">
        <w:rPr>
          <w:color w:val="000000" w:themeColor="text1"/>
        </w:rPr>
        <w:t xml:space="preserve">: Antigen detection in liver abscess pus by immunoassay. </w:t>
      </w:r>
      <w:r w:rsidRPr="009D5EE6">
        <w:rPr>
          <w:i/>
          <w:iCs/>
          <w:color w:val="000000" w:themeColor="text1"/>
        </w:rPr>
        <w:t>Transactions of the Royal Society of Tropical Medicine and Hygiene, 91</w:t>
      </w:r>
      <w:r w:rsidRPr="009D5EE6">
        <w:rPr>
          <w:color w:val="000000" w:themeColor="text1"/>
        </w:rPr>
        <w:t>(6), 682–683.</w:t>
      </w:r>
    </w:p>
    <w:p w14:paraId="2E9F3F43" w14:textId="13DB91F8" w:rsidR="009D5EE6" w:rsidRPr="009D5EE6" w:rsidRDefault="00CA2AC6" w:rsidP="009D5EE6">
      <w:pPr>
        <w:pStyle w:val="ListParagraph"/>
        <w:numPr>
          <w:ilvl w:val="0"/>
          <w:numId w:val="13"/>
        </w:numPr>
        <w:rPr>
          <w:color w:val="000000" w:themeColor="text1"/>
        </w:rPr>
      </w:pPr>
      <w:proofErr w:type="spellStart"/>
      <w:r w:rsidRPr="009D5EE6">
        <w:rPr>
          <w:color w:val="000000" w:themeColor="text1"/>
        </w:rPr>
        <w:t>Buzga</w:t>
      </w:r>
      <w:proofErr w:type="spellEnd"/>
      <w:r w:rsidRPr="009D5EE6">
        <w:rPr>
          <w:color w:val="000000" w:themeColor="text1"/>
        </w:rPr>
        <w:t xml:space="preserve">, M., </w:t>
      </w:r>
      <w:proofErr w:type="spellStart"/>
      <w:r w:rsidRPr="009D5EE6">
        <w:rPr>
          <w:color w:val="000000" w:themeColor="text1"/>
        </w:rPr>
        <w:t>Machytka</w:t>
      </w:r>
      <w:proofErr w:type="spellEnd"/>
      <w:r w:rsidRPr="009D5EE6">
        <w:rPr>
          <w:color w:val="000000" w:themeColor="text1"/>
        </w:rPr>
        <w:t xml:space="preserve">, E., &amp; </w:t>
      </w:r>
      <w:proofErr w:type="spellStart"/>
      <w:r w:rsidRPr="009D5EE6">
        <w:rPr>
          <w:color w:val="000000" w:themeColor="text1"/>
        </w:rPr>
        <w:t>Dvorackova</w:t>
      </w:r>
      <w:proofErr w:type="spellEnd"/>
      <w:r w:rsidRPr="009D5EE6">
        <w:rPr>
          <w:color w:val="000000" w:themeColor="text1"/>
        </w:rPr>
        <w:t xml:space="preserve">, E. (2025). Potential health benefits and diagnostic applications of Methylene Blue. News-Medical Life Sciences. </w:t>
      </w:r>
      <w:hyperlink r:id="rId22" w:history="1">
        <w:r w:rsidRPr="009D5EE6">
          <w:rPr>
            <w:rStyle w:val="Hyperlink"/>
            <w:color w:val="000000" w:themeColor="text1"/>
            <w:u w:val="none"/>
          </w:rPr>
          <w:t>https://www.news-medical.net/health/Potential-Health-Benefits-of-Methylene-Blue.aspx</w:t>
        </w:r>
      </w:hyperlink>
    </w:p>
    <w:p w14:paraId="2F934B53" w14:textId="49A75331" w:rsidR="009D5EE6" w:rsidRPr="009D5EE6" w:rsidRDefault="00CA2AC6" w:rsidP="009D5EE6">
      <w:pPr>
        <w:pStyle w:val="ListParagraph"/>
        <w:numPr>
          <w:ilvl w:val="0"/>
          <w:numId w:val="13"/>
        </w:numPr>
        <w:rPr>
          <w:color w:val="000000" w:themeColor="text1"/>
        </w:rPr>
      </w:pPr>
      <w:r w:rsidRPr="001A157B">
        <w:t xml:space="preserve">Webb, R. J., et al. (2019). A rapid and inexpensive viability assay for zoospores and zoosporangia: Methylene blue as a safe alternative. Research Online @ JCU. </w:t>
      </w:r>
      <w:hyperlink r:id="rId23" w:history="1">
        <w:r w:rsidR="009D5EE6" w:rsidRPr="009D5EE6">
          <w:rPr>
            <w:rStyle w:val="Hyperlink"/>
            <w:color w:val="auto"/>
            <w:u w:val="none"/>
          </w:rPr>
          <w:t>https://researchonline.jcu.edu.au/59882/</w:t>
        </w:r>
      </w:hyperlink>
    </w:p>
    <w:p w14:paraId="43C74312" w14:textId="580ABCDA" w:rsidR="009D5EE6" w:rsidRPr="009D5EE6" w:rsidRDefault="00DA6F53" w:rsidP="009D5EE6">
      <w:pPr>
        <w:pStyle w:val="ListParagraph"/>
        <w:numPr>
          <w:ilvl w:val="0"/>
          <w:numId w:val="13"/>
        </w:numPr>
        <w:rPr>
          <w:color w:val="000000" w:themeColor="text1"/>
        </w:rPr>
      </w:pPr>
      <w:r w:rsidRPr="009D5EE6">
        <w:rPr>
          <w:color w:val="000000" w:themeColor="text1"/>
        </w:rPr>
        <w:t xml:space="preserve">Becker, E. R. (1926). The role of vital stains in the study of </w:t>
      </w:r>
      <w:r w:rsidRPr="009D5EE6">
        <w:rPr>
          <w:i/>
          <w:iCs/>
          <w:color w:val="000000" w:themeColor="text1"/>
        </w:rPr>
        <w:t>Entamoeba histolytica</w:t>
      </w:r>
      <w:r w:rsidRPr="009D5EE6">
        <w:rPr>
          <w:color w:val="000000" w:themeColor="text1"/>
        </w:rPr>
        <w:t xml:space="preserve">. </w:t>
      </w:r>
      <w:r w:rsidRPr="009D5EE6">
        <w:rPr>
          <w:i/>
          <w:iCs/>
          <w:color w:val="000000" w:themeColor="text1"/>
        </w:rPr>
        <w:t>American Journal of Tropical Medicine and Hygiene, 6</w:t>
      </w:r>
      <w:r w:rsidRPr="009D5EE6">
        <w:rPr>
          <w:color w:val="000000" w:themeColor="text1"/>
        </w:rPr>
        <w:t>(1), 1–10.</w:t>
      </w:r>
    </w:p>
    <w:p w14:paraId="56BDDEFF" w14:textId="5EC1AC7C" w:rsidR="009D5EE6" w:rsidRPr="009D5EE6" w:rsidRDefault="00CA2AC6" w:rsidP="009D5EE6">
      <w:pPr>
        <w:pStyle w:val="ListParagraph"/>
        <w:numPr>
          <w:ilvl w:val="0"/>
          <w:numId w:val="13"/>
        </w:numPr>
        <w:rPr>
          <w:color w:val="000000" w:themeColor="text1"/>
        </w:rPr>
      </w:pPr>
      <w:proofErr w:type="spellStart"/>
      <w:r w:rsidRPr="009D5EE6">
        <w:rPr>
          <w:color w:val="000000" w:themeColor="text1"/>
        </w:rPr>
        <w:t>Tanyüksel</w:t>
      </w:r>
      <w:proofErr w:type="spellEnd"/>
      <w:r w:rsidRPr="009D5EE6">
        <w:rPr>
          <w:color w:val="000000" w:themeColor="text1"/>
        </w:rPr>
        <w:t xml:space="preserve">, M., &amp; Petri, W. A., Jr. (2003). Laboratory diagnosis of amebiasis. </w:t>
      </w:r>
      <w:r w:rsidRPr="009D5EE6">
        <w:rPr>
          <w:i/>
          <w:iCs/>
          <w:color w:val="000000" w:themeColor="text1"/>
        </w:rPr>
        <w:t>Clinical Microbiology Reviews, 16</w:t>
      </w:r>
      <w:r w:rsidRPr="009D5EE6">
        <w:rPr>
          <w:color w:val="000000" w:themeColor="text1"/>
        </w:rPr>
        <w:t xml:space="preserve">(4), 713–729. </w:t>
      </w:r>
      <w:hyperlink r:id="rId24" w:tgtFrame="_blank" w:history="1">
        <w:r w:rsidRPr="009D5EE6">
          <w:rPr>
            <w:rStyle w:val="Hyperlink"/>
            <w:color w:val="000000" w:themeColor="text1"/>
            <w:u w:val="none"/>
          </w:rPr>
          <w:t>https://doi.org/10.1128/CMR.16.4.713-729.2003</w:t>
        </w:r>
      </w:hyperlink>
    </w:p>
    <w:p w14:paraId="337FEBB9" w14:textId="3B696D42" w:rsidR="009D5EE6" w:rsidRPr="009D5EE6" w:rsidRDefault="00CA2AC6" w:rsidP="009D5EE6">
      <w:pPr>
        <w:pStyle w:val="ListParagraph"/>
        <w:numPr>
          <w:ilvl w:val="0"/>
          <w:numId w:val="13"/>
        </w:numPr>
        <w:rPr>
          <w:color w:val="000000" w:themeColor="text1"/>
        </w:rPr>
      </w:pPr>
      <w:proofErr w:type="spellStart"/>
      <w:r w:rsidRPr="009D5EE6">
        <w:rPr>
          <w:color w:val="000000" w:themeColor="text1"/>
        </w:rPr>
        <w:t>Belizario</w:t>
      </w:r>
      <w:proofErr w:type="spellEnd"/>
      <w:r w:rsidRPr="009D5EE6">
        <w:rPr>
          <w:color w:val="000000" w:themeColor="text1"/>
        </w:rPr>
        <w:t xml:space="preserve">, V. J., Jr., Amarillo, M. L., de Leon, W. U., de la Cruz, A. S., &amp; </w:t>
      </w:r>
      <w:proofErr w:type="spellStart"/>
      <w:r w:rsidRPr="009D5EE6">
        <w:rPr>
          <w:color w:val="000000" w:themeColor="text1"/>
        </w:rPr>
        <w:t>Galang</w:t>
      </w:r>
      <w:proofErr w:type="spellEnd"/>
      <w:r w:rsidRPr="009D5EE6">
        <w:rPr>
          <w:color w:val="000000" w:themeColor="text1"/>
        </w:rPr>
        <w:t>, M. N. (2004)</w:t>
      </w:r>
      <w:r w:rsidRPr="009D5EE6">
        <w:rPr>
          <w:b/>
          <w:bCs/>
          <w:color w:val="000000" w:themeColor="text1"/>
        </w:rPr>
        <w:t>.</w:t>
      </w:r>
      <w:r w:rsidRPr="009D5EE6">
        <w:rPr>
          <w:color w:val="000000" w:themeColor="text1"/>
        </w:rPr>
        <w:t xml:space="preserve"> A comparison of the sensitivity and specificity of microscopy and a stool antigen-based ELISA for the diagnosis of </w:t>
      </w:r>
      <w:r w:rsidRPr="009D5EE6">
        <w:rPr>
          <w:i/>
          <w:iCs/>
          <w:color w:val="000000" w:themeColor="text1"/>
        </w:rPr>
        <w:t>Entamoeba histolytica</w:t>
      </w:r>
      <w:r w:rsidRPr="009D5EE6">
        <w:rPr>
          <w:color w:val="000000" w:themeColor="text1"/>
        </w:rPr>
        <w:t xml:space="preserve"> in a study of 2,232 residents in the Philippines. </w:t>
      </w:r>
      <w:r w:rsidRPr="009D5EE6">
        <w:rPr>
          <w:i/>
          <w:iCs/>
          <w:color w:val="000000" w:themeColor="text1"/>
        </w:rPr>
        <w:t>Philippine Journal of Internal Medicine</w:t>
      </w:r>
      <w:r w:rsidRPr="009D5EE6">
        <w:rPr>
          <w:color w:val="000000" w:themeColor="text1"/>
        </w:rPr>
        <w:t xml:space="preserve">, </w:t>
      </w:r>
      <w:r w:rsidRPr="009D5EE6">
        <w:rPr>
          <w:i/>
          <w:iCs/>
          <w:color w:val="000000" w:themeColor="text1"/>
        </w:rPr>
        <w:t>42</w:t>
      </w:r>
      <w:r w:rsidRPr="009D5EE6">
        <w:rPr>
          <w:color w:val="000000" w:themeColor="text1"/>
        </w:rPr>
        <w:t>, 191–199.</w:t>
      </w:r>
    </w:p>
    <w:p w14:paraId="5BEC49E2" w14:textId="65067E38" w:rsidR="009D5EE6" w:rsidRPr="009D5EE6" w:rsidRDefault="002F30F4" w:rsidP="009D5EE6">
      <w:pPr>
        <w:pStyle w:val="ListParagraph"/>
        <w:numPr>
          <w:ilvl w:val="0"/>
          <w:numId w:val="13"/>
        </w:numPr>
        <w:rPr>
          <w:color w:val="000000" w:themeColor="text1"/>
        </w:rPr>
      </w:pPr>
      <w:proofErr w:type="spellStart"/>
      <w:r w:rsidRPr="009D5EE6">
        <w:rPr>
          <w:color w:val="000000" w:themeColor="text1"/>
        </w:rPr>
        <w:t>Sabnis</w:t>
      </w:r>
      <w:proofErr w:type="spellEnd"/>
      <w:r w:rsidRPr="009D5EE6">
        <w:rPr>
          <w:color w:val="000000" w:themeColor="text1"/>
        </w:rPr>
        <w:t xml:space="preserve">, R. W. (2010). </w:t>
      </w:r>
      <w:r w:rsidRPr="009D5EE6">
        <w:rPr>
          <w:i/>
          <w:iCs/>
          <w:color w:val="000000" w:themeColor="text1"/>
        </w:rPr>
        <w:t>Handbook of biological dyes and stains: Synthesis and industrial applications</w:t>
      </w:r>
      <w:r w:rsidRPr="009D5EE6">
        <w:rPr>
          <w:color w:val="000000" w:themeColor="text1"/>
        </w:rPr>
        <w:t>. John Wiley &amp; Sons.</w:t>
      </w:r>
    </w:p>
    <w:p w14:paraId="431AA6C2" w14:textId="017EF385" w:rsidR="009D5EE6" w:rsidRPr="009D5EE6" w:rsidRDefault="002F30F4" w:rsidP="009D5EE6">
      <w:pPr>
        <w:pStyle w:val="ListParagraph"/>
        <w:numPr>
          <w:ilvl w:val="0"/>
          <w:numId w:val="13"/>
        </w:numPr>
        <w:rPr>
          <w:color w:val="000000" w:themeColor="text1"/>
        </w:rPr>
      </w:pPr>
      <w:r w:rsidRPr="00B45E5B">
        <w:t xml:space="preserve">Ali, Z., &amp; Bhaskar, S. B. (2016). Basic statistical tools in research and data analysis. Indian Journal of Anaesthesia, 60(9), 662–669. </w:t>
      </w:r>
      <w:hyperlink r:id="rId25" w:history="1">
        <w:r w:rsidR="009D5EE6" w:rsidRPr="009D5EE6">
          <w:rPr>
            <w:rStyle w:val="Hyperlink"/>
            <w:color w:val="auto"/>
            <w:u w:val="none"/>
          </w:rPr>
          <w:t>https://doi.org/10.4103/0019-5049.190623</w:t>
        </w:r>
      </w:hyperlink>
    </w:p>
    <w:p w14:paraId="52E16578" w14:textId="6EE42B5C" w:rsidR="009D5EE6" w:rsidRPr="009D5EE6" w:rsidRDefault="002F30F4" w:rsidP="009D5EE6">
      <w:pPr>
        <w:pStyle w:val="ListParagraph"/>
        <w:numPr>
          <w:ilvl w:val="0"/>
          <w:numId w:val="13"/>
        </w:numPr>
        <w:rPr>
          <w:color w:val="000000" w:themeColor="text1"/>
        </w:rPr>
      </w:pPr>
      <w:r w:rsidRPr="00B45E5B">
        <w:t xml:space="preserve">In, J., &amp; Lee, D. K. (2024). Alternatives to the P value: connotations of significance. Korean Journal of Anesthesiology, 77(3), 316–325. </w:t>
      </w:r>
      <w:hyperlink r:id="rId26" w:history="1">
        <w:r w:rsidR="009D5EE6" w:rsidRPr="009D5EE6">
          <w:rPr>
            <w:rStyle w:val="Hyperlink"/>
            <w:color w:val="auto"/>
            <w:u w:val="none"/>
          </w:rPr>
          <w:t>https://doi.org/10.4097/kja.23630</w:t>
        </w:r>
      </w:hyperlink>
    </w:p>
    <w:p w14:paraId="7DE3773E" w14:textId="1112D25B" w:rsidR="009D5EE6" w:rsidRPr="009D5EE6" w:rsidRDefault="00F356B5" w:rsidP="009D5EE6">
      <w:pPr>
        <w:pStyle w:val="ListParagraph"/>
        <w:numPr>
          <w:ilvl w:val="0"/>
          <w:numId w:val="13"/>
        </w:numPr>
        <w:rPr>
          <w:color w:val="000000" w:themeColor="text1"/>
        </w:rPr>
      </w:pPr>
      <w:r w:rsidRPr="009D5EE6">
        <w:rPr>
          <w:color w:val="000000" w:themeColor="text1"/>
        </w:rPr>
        <w:t xml:space="preserve">Fleiss, J. L. (1971). Measuring nominal scale agreement among many raters. </w:t>
      </w:r>
      <w:r w:rsidRPr="009D5EE6">
        <w:rPr>
          <w:i/>
          <w:iCs/>
          <w:color w:val="000000" w:themeColor="text1"/>
        </w:rPr>
        <w:t>Psychological Bulletin, 76</w:t>
      </w:r>
      <w:r w:rsidRPr="009D5EE6">
        <w:rPr>
          <w:color w:val="000000" w:themeColor="text1"/>
        </w:rPr>
        <w:t xml:space="preserve">(5), 378–382. </w:t>
      </w:r>
      <w:hyperlink r:id="rId27" w:tgtFrame="_blank" w:history="1">
        <w:r w:rsidRPr="009D5EE6">
          <w:rPr>
            <w:rStyle w:val="Hyperlink"/>
            <w:color w:val="000000" w:themeColor="text1"/>
            <w:u w:val="none"/>
          </w:rPr>
          <w:t>https://doi.org/10.1037/h0031619</w:t>
        </w:r>
      </w:hyperlink>
    </w:p>
    <w:p w14:paraId="5A3C76F0" w14:textId="77777777" w:rsidR="009D5EE6" w:rsidRDefault="00F356B5" w:rsidP="009D5EE6">
      <w:pPr>
        <w:pStyle w:val="ListParagraph"/>
        <w:numPr>
          <w:ilvl w:val="0"/>
          <w:numId w:val="13"/>
        </w:numPr>
        <w:rPr>
          <w:color w:val="000000" w:themeColor="text1"/>
        </w:rPr>
      </w:pPr>
      <w:r w:rsidRPr="009D5EE6">
        <w:rPr>
          <w:color w:val="000000" w:themeColor="text1"/>
        </w:rPr>
        <w:t xml:space="preserve">McHugh, M. L. (2012). Interrater reliability: The kappa statistic. </w:t>
      </w:r>
      <w:proofErr w:type="spellStart"/>
      <w:r w:rsidRPr="009D5EE6">
        <w:rPr>
          <w:i/>
          <w:iCs/>
          <w:color w:val="000000" w:themeColor="text1"/>
        </w:rPr>
        <w:t>Biochemia</w:t>
      </w:r>
      <w:proofErr w:type="spellEnd"/>
      <w:r w:rsidRPr="009D5EE6">
        <w:rPr>
          <w:i/>
          <w:iCs/>
          <w:color w:val="000000" w:themeColor="text1"/>
        </w:rPr>
        <w:t xml:space="preserve"> </w:t>
      </w:r>
      <w:proofErr w:type="spellStart"/>
      <w:r w:rsidRPr="009D5EE6">
        <w:rPr>
          <w:i/>
          <w:iCs/>
          <w:color w:val="000000" w:themeColor="text1"/>
        </w:rPr>
        <w:t>Medica</w:t>
      </w:r>
      <w:proofErr w:type="spellEnd"/>
      <w:r w:rsidRPr="009D5EE6">
        <w:rPr>
          <w:i/>
          <w:iCs/>
          <w:color w:val="000000" w:themeColor="text1"/>
        </w:rPr>
        <w:t>, 22</w:t>
      </w:r>
      <w:r w:rsidRPr="009D5EE6">
        <w:rPr>
          <w:color w:val="000000" w:themeColor="text1"/>
        </w:rPr>
        <w:t>(3), 276–282.</w:t>
      </w:r>
    </w:p>
    <w:p w14:paraId="5CABCB20" w14:textId="77777777" w:rsidR="009D5EE6" w:rsidRPr="009D5EE6" w:rsidRDefault="009D5EE6" w:rsidP="009D5EE6">
      <w:pPr>
        <w:pStyle w:val="ListParagraph"/>
        <w:rPr>
          <w:color w:val="000000" w:themeColor="text1"/>
        </w:rPr>
      </w:pPr>
    </w:p>
    <w:p w14:paraId="35E1E22D" w14:textId="27DEF8A8" w:rsidR="009D5EE6" w:rsidRPr="009D5EE6" w:rsidRDefault="00F356B5" w:rsidP="009D5EE6">
      <w:pPr>
        <w:pStyle w:val="ListParagraph"/>
        <w:numPr>
          <w:ilvl w:val="0"/>
          <w:numId w:val="13"/>
        </w:numPr>
      </w:pPr>
      <w:proofErr w:type="spellStart"/>
      <w:r w:rsidRPr="009D5EE6">
        <w:rPr>
          <w:color w:val="000000" w:themeColor="text1"/>
        </w:rPr>
        <w:lastRenderedPageBreak/>
        <w:t>Moazeni</w:t>
      </w:r>
      <w:proofErr w:type="spellEnd"/>
      <w:r w:rsidRPr="009D5EE6">
        <w:rPr>
          <w:color w:val="000000" w:themeColor="text1"/>
        </w:rPr>
        <w:t xml:space="preserve">, M., &amp; </w:t>
      </w:r>
      <w:proofErr w:type="spellStart"/>
      <w:r w:rsidRPr="009D5EE6">
        <w:rPr>
          <w:color w:val="000000" w:themeColor="text1"/>
        </w:rPr>
        <w:t>Alipour-Chaharmahali</w:t>
      </w:r>
      <w:proofErr w:type="spellEnd"/>
      <w:r w:rsidRPr="009D5EE6">
        <w:rPr>
          <w:color w:val="000000" w:themeColor="text1"/>
        </w:rPr>
        <w:t xml:space="preserve">, M. (2011). Validation of the methylene blue test for assessment of viability of </w:t>
      </w:r>
      <w:proofErr w:type="spellStart"/>
      <w:r w:rsidRPr="009D5EE6">
        <w:rPr>
          <w:color w:val="000000" w:themeColor="text1"/>
        </w:rPr>
        <w:t>protoscolices</w:t>
      </w:r>
      <w:proofErr w:type="spellEnd"/>
      <w:r w:rsidRPr="009D5EE6">
        <w:rPr>
          <w:color w:val="000000" w:themeColor="text1"/>
        </w:rPr>
        <w:t xml:space="preserve"> from </w:t>
      </w:r>
      <w:proofErr w:type="spellStart"/>
      <w:r w:rsidRPr="009D5EE6">
        <w:rPr>
          <w:color w:val="000000" w:themeColor="text1"/>
        </w:rPr>
        <w:t>hydatid</w:t>
      </w:r>
      <w:proofErr w:type="spellEnd"/>
      <w:r w:rsidRPr="009D5EE6">
        <w:rPr>
          <w:color w:val="000000" w:themeColor="text1"/>
        </w:rPr>
        <w:t xml:space="preserve"> cysts. Journal of Parasitic Diseases, 35(2), 211–214. </w:t>
      </w:r>
      <w:hyperlink r:id="rId28" w:history="1">
        <w:r w:rsidR="009D5EE6" w:rsidRPr="009D5EE6">
          <w:rPr>
            <w:rStyle w:val="Hyperlink"/>
            <w:color w:val="auto"/>
            <w:u w:val="none"/>
          </w:rPr>
          <w:t>https://doi.org/10.1007/s12639-011-0051-x</w:t>
        </w:r>
      </w:hyperlink>
    </w:p>
    <w:p w14:paraId="2D07AA3E" w14:textId="4A7FD532" w:rsidR="009D5EE6" w:rsidRPr="009D5EE6" w:rsidRDefault="001A157B" w:rsidP="009D5EE6">
      <w:pPr>
        <w:pStyle w:val="ListParagraph"/>
        <w:numPr>
          <w:ilvl w:val="0"/>
          <w:numId w:val="13"/>
        </w:numPr>
        <w:rPr>
          <w:color w:val="000000" w:themeColor="text1"/>
        </w:rPr>
      </w:pPr>
      <w:proofErr w:type="spellStart"/>
      <w:r w:rsidRPr="009D5EE6">
        <w:rPr>
          <w:color w:val="000000" w:themeColor="text1"/>
        </w:rPr>
        <w:t>Kwolek-Mirek</w:t>
      </w:r>
      <w:proofErr w:type="spellEnd"/>
      <w:r w:rsidRPr="009D5EE6">
        <w:rPr>
          <w:color w:val="000000" w:themeColor="text1"/>
        </w:rPr>
        <w:t xml:space="preserve">, M., &amp; </w:t>
      </w:r>
      <w:proofErr w:type="spellStart"/>
      <w:r w:rsidRPr="009D5EE6">
        <w:rPr>
          <w:color w:val="000000" w:themeColor="text1"/>
        </w:rPr>
        <w:t>Zadrag-Tecza</w:t>
      </w:r>
      <w:proofErr w:type="spellEnd"/>
      <w:r w:rsidRPr="009D5EE6">
        <w:rPr>
          <w:color w:val="000000" w:themeColor="text1"/>
        </w:rPr>
        <w:t xml:space="preserve">, R. (2014). Comparison of methods used for assessing the viability and vitality of yeast cells. FEMS Yeast Research, 14(7), 1068–1079. </w:t>
      </w:r>
      <w:hyperlink r:id="rId29" w:history="1">
        <w:r w:rsidR="00A87BD2" w:rsidRPr="009D5EE6">
          <w:rPr>
            <w:rStyle w:val="Hyperlink"/>
            <w:color w:val="000000" w:themeColor="text1"/>
            <w:u w:val="none"/>
          </w:rPr>
          <w:t>https://doi.org/10.1111/1567-1364.12202</w:t>
        </w:r>
      </w:hyperlink>
    </w:p>
    <w:p w14:paraId="50E343CB" w14:textId="153F1227" w:rsidR="009D5EE6" w:rsidRPr="009D5EE6" w:rsidRDefault="00F356B5" w:rsidP="009D5EE6">
      <w:pPr>
        <w:pStyle w:val="ListParagraph"/>
        <w:numPr>
          <w:ilvl w:val="0"/>
          <w:numId w:val="13"/>
        </w:numPr>
        <w:rPr>
          <w:color w:val="000000" w:themeColor="text1"/>
        </w:rPr>
      </w:pPr>
      <w:proofErr w:type="spellStart"/>
      <w:r w:rsidRPr="009D5EE6">
        <w:rPr>
          <w:color w:val="000000" w:themeColor="text1"/>
        </w:rPr>
        <w:t>Xiong</w:t>
      </w:r>
      <w:proofErr w:type="spellEnd"/>
      <w:r w:rsidRPr="009D5EE6">
        <w:rPr>
          <w:color w:val="000000" w:themeColor="text1"/>
        </w:rPr>
        <w:t xml:space="preserve">, Z., O'Donovan, M., &amp; Sun, L. (2024). Mitochondrial electron transport and the role of redox dyes in live-cell imaging. </w:t>
      </w:r>
      <w:proofErr w:type="spellStart"/>
      <w:r w:rsidRPr="009D5EE6">
        <w:rPr>
          <w:color w:val="000000" w:themeColor="text1"/>
        </w:rPr>
        <w:t>Benchchem</w:t>
      </w:r>
      <w:proofErr w:type="spellEnd"/>
      <w:r w:rsidRPr="009D5EE6">
        <w:rPr>
          <w:color w:val="000000" w:themeColor="text1"/>
        </w:rPr>
        <w:t xml:space="preserve"> Technical Reports.</w:t>
      </w:r>
    </w:p>
    <w:p w14:paraId="7BE35364" w14:textId="08978352" w:rsidR="009D5EE6" w:rsidRPr="009D5EE6" w:rsidRDefault="00F356B5" w:rsidP="009D5EE6">
      <w:pPr>
        <w:pStyle w:val="ListParagraph"/>
        <w:numPr>
          <w:ilvl w:val="0"/>
          <w:numId w:val="13"/>
        </w:numPr>
        <w:rPr>
          <w:color w:val="000000" w:themeColor="text1"/>
        </w:rPr>
      </w:pPr>
      <w:r w:rsidRPr="009D5EE6">
        <w:rPr>
          <w:color w:val="000000" w:themeColor="text1"/>
        </w:rPr>
        <w:t xml:space="preserve">Murphy, C. E., &amp; Davidson, R. N. (2012). </w:t>
      </w:r>
      <w:r w:rsidRPr="009D5EE6">
        <w:rPr>
          <w:i/>
          <w:iCs/>
          <w:color w:val="000000" w:themeColor="text1"/>
        </w:rPr>
        <w:t>Entamoeba histolytica</w:t>
      </w:r>
      <w:r w:rsidRPr="009D5EE6">
        <w:rPr>
          <w:color w:val="000000" w:themeColor="text1"/>
        </w:rPr>
        <w:t xml:space="preserve">. </w:t>
      </w:r>
      <w:r w:rsidRPr="009D5EE6">
        <w:rPr>
          <w:i/>
          <w:iCs/>
          <w:color w:val="000000" w:themeColor="text1"/>
        </w:rPr>
        <w:t>Medicine</w:t>
      </w:r>
      <w:r w:rsidRPr="009D5EE6">
        <w:rPr>
          <w:color w:val="000000" w:themeColor="text1"/>
        </w:rPr>
        <w:t xml:space="preserve">, </w:t>
      </w:r>
      <w:r w:rsidRPr="009D5EE6">
        <w:rPr>
          <w:i/>
          <w:iCs/>
          <w:color w:val="000000" w:themeColor="text1"/>
        </w:rPr>
        <w:t>40</w:t>
      </w:r>
      <w:r w:rsidRPr="009D5EE6">
        <w:rPr>
          <w:color w:val="000000" w:themeColor="text1"/>
        </w:rPr>
        <w:t xml:space="preserve">(11), 606–608. </w:t>
      </w:r>
      <w:hyperlink r:id="rId30" w:tgtFrame="_blank" w:history="1">
        <w:r w:rsidRPr="009D5EE6">
          <w:rPr>
            <w:rStyle w:val="Hyperlink"/>
            <w:color w:val="000000" w:themeColor="text1"/>
            <w:u w:val="none"/>
          </w:rPr>
          <w:t>https://doi.org/10.1016/j.mpmed.2012.08.013</w:t>
        </w:r>
      </w:hyperlink>
    </w:p>
    <w:p w14:paraId="17265638" w14:textId="39FC7859" w:rsidR="009D5EE6" w:rsidRPr="009D5EE6" w:rsidRDefault="00F356B5" w:rsidP="009D5EE6">
      <w:pPr>
        <w:pStyle w:val="ListParagraph"/>
        <w:numPr>
          <w:ilvl w:val="0"/>
          <w:numId w:val="13"/>
        </w:numPr>
        <w:rPr>
          <w:color w:val="000000" w:themeColor="text1"/>
        </w:rPr>
      </w:pPr>
      <w:proofErr w:type="spellStart"/>
      <w:r w:rsidRPr="009D5EE6">
        <w:rPr>
          <w:color w:val="000000" w:themeColor="text1"/>
        </w:rPr>
        <w:t>Genina</w:t>
      </w:r>
      <w:proofErr w:type="spellEnd"/>
      <w:r w:rsidRPr="009D5EE6">
        <w:rPr>
          <w:color w:val="000000" w:themeColor="text1"/>
        </w:rPr>
        <w:t xml:space="preserve">, E. A., </w:t>
      </w:r>
      <w:proofErr w:type="spellStart"/>
      <w:r w:rsidRPr="009D5EE6">
        <w:rPr>
          <w:color w:val="000000" w:themeColor="text1"/>
        </w:rPr>
        <w:t>Bashkatov</w:t>
      </w:r>
      <w:proofErr w:type="spellEnd"/>
      <w:r w:rsidRPr="009D5EE6">
        <w:rPr>
          <w:color w:val="000000" w:themeColor="text1"/>
        </w:rPr>
        <w:t xml:space="preserve">, A. N., &amp; </w:t>
      </w:r>
      <w:proofErr w:type="spellStart"/>
      <w:r w:rsidRPr="009D5EE6">
        <w:rPr>
          <w:color w:val="000000" w:themeColor="text1"/>
        </w:rPr>
        <w:t>Tuchin</w:t>
      </w:r>
      <w:proofErr w:type="spellEnd"/>
      <w:r w:rsidRPr="009D5EE6">
        <w:rPr>
          <w:color w:val="000000" w:themeColor="text1"/>
        </w:rPr>
        <w:t xml:space="preserve">, V. V. (2015). Tissue optical clearing: From basic mechanisms to medical applications. </w:t>
      </w:r>
      <w:r w:rsidRPr="009D5EE6">
        <w:rPr>
          <w:i/>
          <w:iCs/>
          <w:color w:val="000000" w:themeColor="text1"/>
        </w:rPr>
        <w:t>Journal of Biomedical Optics, 20</w:t>
      </w:r>
      <w:r w:rsidRPr="009D5EE6">
        <w:rPr>
          <w:color w:val="000000" w:themeColor="text1"/>
        </w:rPr>
        <w:t xml:space="preserve">(6), 061108. </w:t>
      </w:r>
      <w:hyperlink r:id="rId31" w:tgtFrame="_blank" w:history="1">
        <w:r w:rsidRPr="009D5EE6">
          <w:rPr>
            <w:rStyle w:val="Hyperlink"/>
            <w:color w:val="000000" w:themeColor="text1"/>
            <w:u w:val="none"/>
          </w:rPr>
          <w:t>https://doi.org/10.1117/1.JBO.20.6.061108</w:t>
        </w:r>
      </w:hyperlink>
    </w:p>
    <w:p w14:paraId="69123B4A" w14:textId="07D0DE58" w:rsidR="001A157B" w:rsidRPr="009D5EE6" w:rsidRDefault="00F356B5" w:rsidP="009D5EE6">
      <w:pPr>
        <w:pStyle w:val="ListParagraph"/>
        <w:numPr>
          <w:ilvl w:val="0"/>
          <w:numId w:val="13"/>
        </w:numPr>
        <w:rPr>
          <w:color w:val="000000" w:themeColor="text1"/>
        </w:rPr>
      </w:pPr>
      <w:proofErr w:type="spellStart"/>
      <w:r w:rsidRPr="009D5EE6">
        <w:rPr>
          <w:color w:val="000000" w:themeColor="text1"/>
        </w:rPr>
        <w:t>Tuchin</w:t>
      </w:r>
      <w:proofErr w:type="spellEnd"/>
      <w:r w:rsidRPr="009D5EE6">
        <w:rPr>
          <w:color w:val="000000" w:themeColor="text1"/>
        </w:rPr>
        <w:t xml:space="preserve">, V. V. (2015). </w:t>
      </w:r>
      <w:r w:rsidRPr="009D5EE6">
        <w:rPr>
          <w:i/>
          <w:iCs/>
          <w:color w:val="000000" w:themeColor="text1"/>
        </w:rPr>
        <w:t>Tissue Optics: Light Scattering Methods and Instruments for Medical Diagnosis</w:t>
      </w:r>
      <w:r w:rsidRPr="009D5EE6">
        <w:rPr>
          <w:color w:val="000000" w:themeColor="text1"/>
        </w:rPr>
        <w:t xml:space="preserve"> (3rd ed.). SPIE Press.</w:t>
      </w:r>
    </w:p>
    <w:p w14:paraId="70953787" w14:textId="77777777" w:rsidR="009F0B67" w:rsidRDefault="009F0B67" w:rsidP="009D5EE6">
      <w:pPr>
        <w:ind w:left="288"/>
        <w:rPr>
          <w:color w:val="000000" w:themeColor="text1"/>
        </w:rPr>
      </w:pPr>
      <w:r>
        <w:rPr>
          <w:color w:val="000000" w:themeColor="text1"/>
        </w:rPr>
        <w:t xml:space="preserve">38. </w:t>
      </w:r>
      <w:r w:rsidRPr="00955C05">
        <w:rPr>
          <w:color w:val="000000" w:themeColor="text1"/>
        </w:rPr>
        <w:t xml:space="preserve">Garcia, L. S. (2016). </w:t>
      </w:r>
      <w:r w:rsidRPr="00955C05">
        <w:rPr>
          <w:i/>
          <w:iCs/>
          <w:color w:val="000000" w:themeColor="text1"/>
        </w:rPr>
        <w:t>Diagnostic Medical Parasitology</w:t>
      </w:r>
      <w:r w:rsidRPr="00955C05">
        <w:rPr>
          <w:color w:val="000000" w:themeColor="text1"/>
        </w:rPr>
        <w:t xml:space="preserve"> (6th ed.). ASM Press.</w:t>
      </w:r>
    </w:p>
    <w:p w14:paraId="6778A05D" w14:textId="77777777" w:rsidR="00F356B5" w:rsidRDefault="00F356B5" w:rsidP="00DA6F53">
      <w:pPr>
        <w:rPr>
          <w:color w:val="000000" w:themeColor="text1"/>
        </w:rPr>
      </w:pPr>
    </w:p>
    <w:p w14:paraId="1CCA2B6D" w14:textId="77777777" w:rsidR="00F356B5" w:rsidRDefault="00F356B5" w:rsidP="00DA6F53">
      <w:pPr>
        <w:rPr>
          <w:color w:val="000000" w:themeColor="text1"/>
        </w:rPr>
      </w:pPr>
    </w:p>
    <w:p w14:paraId="35195653" w14:textId="77777777" w:rsidR="00F356B5" w:rsidRDefault="00F356B5" w:rsidP="00DA6F53">
      <w:pPr>
        <w:rPr>
          <w:color w:val="000000" w:themeColor="text1"/>
        </w:rPr>
      </w:pPr>
    </w:p>
    <w:p w14:paraId="2FD5B829" w14:textId="659AD403" w:rsidR="00274A1E" w:rsidRDefault="00274A1E"/>
    <w:sectPr w:rsidR="00274A1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16C46" w14:textId="77777777" w:rsidR="00454AE2" w:rsidRDefault="00454AE2" w:rsidP="001A3D65">
      <w:r>
        <w:separator/>
      </w:r>
    </w:p>
  </w:endnote>
  <w:endnote w:type="continuationSeparator" w:id="0">
    <w:p w14:paraId="67D8FC8A" w14:textId="77777777" w:rsidR="00454AE2" w:rsidRDefault="00454AE2" w:rsidP="001A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2BAC5" w14:textId="77777777" w:rsidR="00454AE2" w:rsidRDefault="00454AE2" w:rsidP="001A3D65">
      <w:r>
        <w:separator/>
      </w:r>
    </w:p>
  </w:footnote>
  <w:footnote w:type="continuationSeparator" w:id="0">
    <w:p w14:paraId="28EA9113" w14:textId="77777777" w:rsidR="00454AE2" w:rsidRDefault="00454AE2" w:rsidP="001A3D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74200"/>
    <w:multiLevelType w:val="multilevel"/>
    <w:tmpl w:val="935A7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655F02"/>
    <w:multiLevelType w:val="multilevel"/>
    <w:tmpl w:val="4A28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C44D68"/>
    <w:multiLevelType w:val="hybridMultilevel"/>
    <w:tmpl w:val="3290255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EB17D0"/>
    <w:multiLevelType w:val="multilevel"/>
    <w:tmpl w:val="99920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E13E5C"/>
    <w:multiLevelType w:val="multilevel"/>
    <w:tmpl w:val="4092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FD4EC2"/>
    <w:multiLevelType w:val="multilevel"/>
    <w:tmpl w:val="46B4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6826C4"/>
    <w:multiLevelType w:val="multilevel"/>
    <w:tmpl w:val="AFBE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B02806"/>
    <w:multiLevelType w:val="multilevel"/>
    <w:tmpl w:val="479E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A43323"/>
    <w:multiLevelType w:val="multilevel"/>
    <w:tmpl w:val="FAC8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292263"/>
    <w:multiLevelType w:val="multilevel"/>
    <w:tmpl w:val="D58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FE194B"/>
    <w:multiLevelType w:val="multilevel"/>
    <w:tmpl w:val="21F4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126514"/>
    <w:multiLevelType w:val="hybridMultilevel"/>
    <w:tmpl w:val="1CA2D08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nsid w:val="795E6550"/>
    <w:multiLevelType w:val="multilevel"/>
    <w:tmpl w:val="0CB8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10"/>
  </w:num>
  <w:num w:numId="4">
    <w:abstractNumId w:val="5"/>
  </w:num>
  <w:num w:numId="5">
    <w:abstractNumId w:val="9"/>
  </w:num>
  <w:num w:numId="6">
    <w:abstractNumId w:val="7"/>
  </w:num>
  <w:num w:numId="7">
    <w:abstractNumId w:val="3"/>
  </w:num>
  <w:num w:numId="8">
    <w:abstractNumId w:val="6"/>
  </w:num>
  <w:num w:numId="9">
    <w:abstractNumId w:val="4"/>
  </w:num>
  <w:num w:numId="10">
    <w:abstractNumId w:val="0"/>
  </w:num>
  <w:num w:numId="11">
    <w:abstractNumId w:val="8"/>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AA"/>
    <w:rsid w:val="00080983"/>
    <w:rsid w:val="0008686C"/>
    <w:rsid w:val="000B61D5"/>
    <w:rsid w:val="0012199B"/>
    <w:rsid w:val="0016237E"/>
    <w:rsid w:val="001A157B"/>
    <w:rsid w:val="001A3D65"/>
    <w:rsid w:val="001A5657"/>
    <w:rsid w:val="001A75B7"/>
    <w:rsid w:val="001D11B2"/>
    <w:rsid w:val="002157FF"/>
    <w:rsid w:val="00215DF1"/>
    <w:rsid w:val="002718A7"/>
    <w:rsid w:val="00274A1E"/>
    <w:rsid w:val="002A05B6"/>
    <w:rsid w:val="002A0EF3"/>
    <w:rsid w:val="002B03FB"/>
    <w:rsid w:val="002F245C"/>
    <w:rsid w:val="002F30F4"/>
    <w:rsid w:val="003457D8"/>
    <w:rsid w:val="00345FF5"/>
    <w:rsid w:val="00365DBE"/>
    <w:rsid w:val="003D543C"/>
    <w:rsid w:val="004257CC"/>
    <w:rsid w:val="00454AE2"/>
    <w:rsid w:val="004666AA"/>
    <w:rsid w:val="004E0E05"/>
    <w:rsid w:val="0051397E"/>
    <w:rsid w:val="00540AA3"/>
    <w:rsid w:val="0056576F"/>
    <w:rsid w:val="00580C40"/>
    <w:rsid w:val="00595525"/>
    <w:rsid w:val="00595D43"/>
    <w:rsid w:val="005B6035"/>
    <w:rsid w:val="005D4528"/>
    <w:rsid w:val="005F51AC"/>
    <w:rsid w:val="005F643D"/>
    <w:rsid w:val="006150B2"/>
    <w:rsid w:val="0062205C"/>
    <w:rsid w:val="00642C56"/>
    <w:rsid w:val="00667E9E"/>
    <w:rsid w:val="006A0A40"/>
    <w:rsid w:val="006C019B"/>
    <w:rsid w:val="006C495D"/>
    <w:rsid w:val="006D08CC"/>
    <w:rsid w:val="007039C0"/>
    <w:rsid w:val="00735300"/>
    <w:rsid w:val="00757EEA"/>
    <w:rsid w:val="00763EEE"/>
    <w:rsid w:val="00764230"/>
    <w:rsid w:val="007C2FA2"/>
    <w:rsid w:val="007C4F98"/>
    <w:rsid w:val="007E3008"/>
    <w:rsid w:val="007F4B65"/>
    <w:rsid w:val="00865376"/>
    <w:rsid w:val="00891C6F"/>
    <w:rsid w:val="00892B0E"/>
    <w:rsid w:val="008A691B"/>
    <w:rsid w:val="00952793"/>
    <w:rsid w:val="00955C05"/>
    <w:rsid w:val="00981F6E"/>
    <w:rsid w:val="00993AE2"/>
    <w:rsid w:val="009C4358"/>
    <w:rsid w:val="009D5583"/>
    <w:rsid w:val="009D5EE6"/>
    <w:rsid w:val="009F0B67"/>
    <w:rsid w:val="00A06FBD"/>
    <w:rsid w:val="00A80856"/>
    <w:rsid w:val="00A85971"/>
    <w:rsid w:val="00A864C1"/>
    <w:rsid w:val="00A87BD2"/>
    <w:rsid w:val="00A97192"/>
    <w:rsid w:val="00AC7B9F"/>
    <w:rsid w:val="00B056A2"/>
    <w:rsid w:val="00B11EC0"/>
    <w:rsid w:val="00B3595D"/>
    <w:rsid w:val="00B3663C"/>
    <w:rsid w:val="00B45E5B"/>
    <w:rsid w:val="00B56D91"/>
    <w:rsid w:val="00B768AB"/>
    <w:rsid w:val="00B97124"/>
    <w:rsid w:val="00BA04D2"/>
    <w:rsid w:val="00C45722"/>
    <w:rsid w:val="00C4609F"/>
    <w:rsid w:val="00C502AE"/>
    <w:rsid w:val="00CA2AC6"/>
    <w:rsid w:val="00CA73DA"/>
    <w:rsid w:val="00CB5578"/>
    <w:rsid w:val="00CB7543"/>
    <w:rsid w:val="00CE3A4D"/>
    <w:rsid w:val="00D10572"/>
    <w:rsid w:val="00D12F78"/>
    <w:rsid w:val="00D13FD9"/>
    <w:rsid w:val="00DA19A0"/>
    <w:rsid w:val="00DA6F53"/>
    <w:rsid w:val="00DF575F"/>
    <w:rsid w:val="00E207A4"/>
    <w:rsid w:val="00E275F6"/>
    <w:rsid w:val="00EA5260"/>
    <w:rsid w:val="00EB62B6"/>
    <w:rsid w:val="00EE4AC1"/>
    <w:rsid w:val="00F356B5"/>
    <w:rsid w:val="00F633B6"/>
    <w:rsid w:val="00F74C64"/>
    <w:rsid w:val="00F7587E"/>
    <w:rsid w:val="00FC6390"/>
    <w:rsid w:val="00FD1F9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63C"/>
    <w:rPr>
      <w:rFonts w:ascii="Times New Roman" w:eastAsia="Times New Roman" w:hAnsi="Times New Roman" w:cs="Times New Roman"/>
      <w:kern w:val="0"/>
      <w14:ligatures w14:val="none"/>
    </w:rPr>
  </w:style>
  <w:style w:type="paragraph" w:styleId="Heading2">
    <w:name w:val="heading 2"/>
    <w:basedOn w:val="Normal"/>
    <w:link w:val="Heading2Char"/>
    <w:uiPriority w:val="9"/>
    <w:qFormat/>
    <w:rsid w:val="00B3663C"/>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B3663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6AA"/>
    <w:rPr>
      <w:color w:val="0563C1" w:themeColor="hyperlink"/>
      <w:u w:val="single"/>
    </w:rPr>
  </w:style>
  <w:style w:type="character" w:customStyle="1" w:styleId="UnresolvedMention">
    <w:name w:val="Unresolved Mention"/>
    <w:basedOn w:val="DefaultParagraphFont"/>
    <w:uiPriority w:val="99"/>
    <w:semiHidden/>
    <w:unhideWhenUsed/>
    <w:rsid w:val="004666AA"/>
    <w:rPr>
      <w:color w:val="605E5C"/>
      <w:shd w:val="clear" w:color="auto" w:fill="E1DFDD"/>
    </w:rPr>
  </w:style>
  <w:style w:type="character" w:styleId="Strong">
    <w:name w:val="Strong"/>
    <w:basedOn w:val="DefaultParagraphFont"/>
    <w:uiPriority w:val="22"/>
    <w:qFormat/>
    <w:rsid w:val="00B3663C"/>
    <w:rPr>
      <w:b/>
      <w:bCs/>
    </w:rPr>
  </w:style>
  <w:style w:type="character" w:customStyle="1" w:styleId="Heading2Char">
    <w:name w:val="Heading 2 Char"/>
    <w:basedOn w:val="DefaultParagraphFont"/>
    <w:link w:val="Heading2"/>
    <w:uiPriority w:val="9"/>
    <w:rsid w:val="00B3663C"/>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3663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B3663C"/>
    <w:pPr>
      <w:spacing w:before="100" w:beforeAutospacing="1" w:after="100" w:afterAutospacing="1"/>
    </w:pPr>
  </w:style>
  <w:style w:type="character" w:customStyle="1" w:styleId="mord">
    <w:name w:val="mord"/>
    <w:basedOn w:val="DefaultParagraphFont"/>
    <w:rsid w:val="00B3663C"/>
  </w:style>
  <w:style w:type="character" w:customStyle="1" w:styleId="mbin">
    <w:name w:val="mbin"/>
    <w:basedOn w:val="DefaultParagraphFont"/>
    <w:rsid w:val="00B3663C"/>
  </w:style>
  <w:style w:type="character" w:customStyle="1" w:styleId="mrel">
    <w:name w:val="mrel"/>
    <w:basedOn w:val="DefaultParagraphFont"/>
    <w:rsid w:val="00B3663C"/>
  </w:style>
  <w:style w:type="table" w:styleId="TableGrid">
    <w:name w:val="Table Grid"/>
    <w:basedOn w:val="TableNormal"/>
    <w:uiPriority w:val="39"/>
    <w:rsid w:val="003D54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300"/>
    <w:pPr>
      <w:ind w:left="720"/>
      <w:contextualSpacing/>
    </w:pPr>
  </w:style>
  <w:style w:type="paragraph" w:styleId="Header">
    <w:name w:val="header"/>
    <w:basedOn w:val="Normal"/>
    <w:link w:val="HeaderChar"/>
    <w:uiPriority w:val="99"/>
    <w:unhideWhenUsed/>
    <w:rsid w:val="001A3D65"/>
    <w:pPr>
      <w:tabs>
        <w:tab w:val="center" w:pos="4680"/>
        <w:tab w:val="right" w:pos="9360"/>
      </w:tabs>
    </w:pPr>
  </w:style>
  <w:style w:type="character" w:customStyle="1" w:styleId="HeaderChar">
    <w:name w:val="Header Char"/>
    <w:basedOn w:val="DefaultParagraphFont"/>
    <w:link w:val="Header"/>
    <w:uiPriority w:val="99"/>
    <w:rsid w:val="001A3D6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A3D65"/>
    <w:pPr>
      <w:tabs>
        <w:tab w:val="center" w:pos="4680"/>
        <w:tab w:val="right" w:pos="9360"/>
      </w:tabs>
    </w:pPr>
  </w:style>
  <w:style w:type="character" w:customStyle="1" w:styleId="FooterChar">
    <w:name w:val="Footer Char"/>
    <w:basedOn w:val="DefaultParagraphFont"/>
    <w:link w:val="Footer"/>
    <w:uiPriority w:val="99"/>
    <w:rsid w:val="001A3D65"/>
    <w:rPr>
      <w:rFonts w:ascii="Times New Roman" w:eastAsia="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63C"/>
    <w:rPr>
      <w:rFonts w:ascii="Times New Roman" w:eastAsia="Times New Roman" w:hAnsi="Times New Roman" w:cs="Times New Roman"/>
      <w:kern w:val="0"/>
      <w14:ligatures w14:val="none"/>
    </w:rPr>
  </w:style>
  <w:style w:type="paragraph" w:styleId="Heading2">
    <w:name w:val="heading 2"/>
    <w:basedOn w:val="Normal"/>
    <w:link w:val="Heading2Char"/>
    <w:uiPriority w:val="9"/>
    <w:qFormat/>
    <w:rsid w:val="00B3663C"/>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B3663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6AA"/>
    <w:rPr>
      <w:color w:val="0563C1" w:themeColor="hyperlink"/>
      <w:u w:val="single"/>
    </w:rPr>
  </w:style>
  <w:style w:type="character" w:customStyle="1" w:styleId="UnresolvedMention">
    <w:name w:val="Unresolved Mention"/>
    <w:basedOn w:val="DefaultParagraphFont"/>
    <w:uiPriority w:val="99"/>
    <w:semiHidden/>
    <w:unhideWhenUsed/>
    <w:rsid w:val="004666AA"/>
    <w:rPr>
      <w:color w:val="605E5C"/>
      <w:shd w:val="clear" w:color="auto" w:fill="E1DFDD"/>
    </w:rPr>
  </w:style>
  <w:style w:type="character" w:styleId="Strong">
    <w:name w:val="Strong"/>
    <w:basedOn w:val="DefaultParagraphFont"/>
    <w:uiPriority w:val="22"/>
    <w:qFormat/>
    <w:rsid w:val="00B3663C"/>
    <w:rPr>
      <w:b/>
      <w:bCs/>
    </w:rPr>
  </w:style>
  <w:style w:type="character" w:customStyle="1" w:styleId="Heading2Char">
    <w:name w:val="Heading 2 Char"/>
    <w:basedOn w:val="DefaultParagraphFont"/>
    <w:link w:val="Heading2"/>
    <w:uiPriority w:val="9"/>
    <w:rsid w:val="00B3663C"/>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3663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B3663C"/>
    <w:pPr>
      <w:spacing w:before="100" w:beforeAutospacing="1" w:after="100" w:afterAutospacing="1"/>
    </w:pPr>
  </w:style>
  <w:style w:type="character" w:customStyle="1" w:styleId="mord">
    <w:name w:val="mord"/>
    <w:basedOn w:val="DefaultParagraphFont"/>
    <w:rsid w:val="00B3663C"/>
  </w:style>
  <w:style w:type="character" w:customStyle="1" w:styleId="mbin">
    <w:name w:val="mbin"/>
    <w:basedOn w:val="DefaultParagraphFont"/>
    <w:rsid w:val="00B3663C"/>
  </w:style>
  <w:style w:type="character" w:customStyle="1" w:styleId="mrel">
    <w:name w:val="mrel"/>
    <w:basedOn w:val="DefaultParagraphFont"/>
    <w:rsid w:val="00B3663C"/>
  </w:style>
  <w:style w:type="table" w:styleId="TableGrid">
    <w:name w:val="Table Grid"/>
    <w:basedOn w:val="TableNormal"/>
    <w:uiPriority w:val="39"/>
    <w:rsid w:val="003D54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300"/>
    <w:pPr>
      <w:ind w:left="720"/>
      <w:contextualSpacing/>
    </w:pPr>
  </w:style>
  <w:style w:type="paragraph" w:styleId="Header">
    <w:name w:val="header"/>
    <w:basedOn w:val="Normal"/>
    <w:link w:val="HeaderChar"/>
    <w:uiPriority w:val="99"/>
    <w:unhideWhenUsed/>
    <w:rsid w:val="001A3D65"/>
    <w:pPr>
      <w:tabs>
        <w:tab w:val="center" w:pos="4680"/>
        <w:tab w:val="right" w:pos="9360"/>
      </w:tabs>
    </w:pPr>
  </w:style>
  <w:style w:type="character" w:customStyle="1" w:styleId="HeaderChar">
    <w:name w:val="Header Char"/>
    <w:basedOn w:val="DefaultParagraphFont"/>
    <w:link w:val="Header"/>
    <w:uiPriority w:val="99"/>
    <w:rsid w:val="001A3D6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A3D65"/>
    <w:pPr>
      <w:tabs>
        <w:tab w:val="center" w:pos="4680"/>
        <w:tab w:val="right" w:pos="9360"/>
      </w:tabs>
    </w:pPr>
  </w:style>
  <w:style w:type="character" w:customStyle="1" w:styleId="FooterChar">
    <w:name w:val="Footer Char"/>
    <w:basedOn w:val="DefaultParagraphFont"/>
    <w:link w:val="Footer"/>
    <w:uiPriority w:val="99"/>
    <w:rsid w:val="001A3D6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6268">
      <w:bodyDiv w:val="1"/>
      <w:marLeft w:val="0"/>
      <w:marRight w:val="0"/>
      <w:marTop w:val="0"/>
      <w:marBottom w:val="0"/>
      <w:divBdr>
        <w:top w:val="none" w:sz="0" w:space="0" w:color="auto"/>
        <w:left w:val="none" w:sz="0" w:space="0" w:color="auto"/>
        <w:bottom w:val="none" w:sz="0" w:space="0" w:color="auto"/>
        <w:right w:val="none" w:sz="0" w:space="0" w:color="auto"/>
      </w:divBdr>
    </w:div>
    <w:div w:id="53626114">
      <w:bodyDiv w:val="1"/>
      <w:marLeft w:val="0"/>
      <w:marRight w:val="0"/>
      <w:marTop w:val="0"/>
      <w:marBottom w:val="0"/>
      <w:divBdr>
        <w:top w:val="none" w:sz="0" w:space="0" w:color="auto"/>
        <w:left w:val="none" w:sz="0" w:space="0" w:color="auto"/>
        <w:bottom w:val="none" w:sz="0" w:space="0" w:color="auto"/>
        <w:right w:val="none" w:sz="0" w:space="0" w:color="auto"/>
      </w:divBdr>
    </w:div>
    <w:div w:id="104077125">
      <w:bodyDiv w:val="1"/>
      <w:marLeft w:val="0"/>
      <w:marRight w:val="0"/>
      <w:marTop w:val="0"/>
      <w:marBottom w:val="0"/>
      <w:divBdr>
        <w:top w:val="none" w:sz="0" w:space="0" w:color="auto"/>
        <w:left w:val="none" w:sz="0" w:space="0" w:color="auto"/>
        <w:bottom w:val="none" w:sz="0" w:space="0" w:color="auto"/>
        <w:right w:val="none" w:sz="0" w:space="0" w:color="auto"/>
      </w:divBdr>
      <w:divsChild>
        <w:div w:id="476261089">
          <w:marLeft w:val="0"/>
          <w:marRight w:val="0"/>
          <w:marTop w:val="0"/>
          <w:marBottom w:val="0"/>
          <w:divBdr>
            <w:top w:val="none" w:sz="0" w:space="0" w:color="auto"/>
            <w:left w:val="none" w:sz="0" w:space="0" w:color="auto"/>
            <w:bottom w:val="none" w:sz="0" w:space="0" w:color="auto"/>
            <w:right w:val="none" w:sz="0" w:space="0" w:color="auto"/>
          </w:divBdr>
          <w:divsChild>
            <w:div w:id="254094476">
              <w:marLeft w:val="0"/>
              <w:marRight w:val="0"/>
              <w:marTop w:val="0"/>
              <w:marBottom w:val="0"/>
              <w:divBdr>
                <w:top w:val="none" w:sz="0" w:space="0" w:color="auto"/>
                <w:left w:val="none" w:sz="0" w:space="0" w:color="auto"/>
                <w:bottom w:val="none" w:sz="0" w:space="0" w:color="auto"/>
                <w:right w:val="none" w:sz="0" w:space="0" w:color="auto"/>
              </w:divBdr>
              <w:divsChild>
                <w:div w:id="1495340637">
                  <w:marLeft w:val="0"/>
                  <w:marRight w:val="0"/>
                  <w:marTop w:val="0"/>
                  <w:marBottom w:val="0"/>
                  <w:divBdr>
                    <w:top w:val="none" w:sz="0" w:space="0" w:color="auto"/>
                    <w:left w:val="none" w:sz="0" w:space="0" w:color="auto"/>
                    <w:bottom w:val="none" w:sz="0" w:space="0" w:color="auto"/>
                    <w:right w:val="none" w:sz="0" w:space="0" w:color="auto"/>
                  </w:divBdr>
                  <w:divsChild>
                    <w:div w:id="219369727">
                      <w:marLeft w:val="0"/>
                      <w:marRight w:val="0"/>
                      <w:marTop w:val="0"/>
                      <w:marBottom w:val="0"/>
                      <w:divBdr>
                        <w:top w:val="none" w:sz="0" w:space="0" w:color="auto"/>
                        <w:left w:val="none" w:sz="0" w:space="0" w:color="auto"/>
                        <w:bottom w:val="none" w:sz="0" w:space="0" w:color="auto"/>
                        <w:right w:val="none" w:sz="0" w:space="0" w:color="auto"/>
                      </w:divBdr>
                      <w:divsChild>
                        <w:div w:id="2016498307">
                          <w:marLeft w:val="0"/>
                          <w:marRight w:val="0"/>
                          <w:marTop w:val="0"/>
                          <w:marBottom w:val="0"/>
                          <w:divBdr>
                            <w:top w:val="none" w:sz="0" w:space="0" w:color="auto"/>
                            <w:left w:val="none" w:sz="0" w:space="0" w:color="auto"/>
                            <w:bottom w:val="none" w:sz="0" w:space="0" w:color="auto"/>
                            <w:right w:val="none" w:sz="0" w:space="0" w:color="auto"/>
                          </w:divBdr>
                          <w:divsChild>
                            <w:div w:id="528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30834">
      <w:bodyDiv w:val="1"/>
      <w:marLeft w:val="0"/>
      <w:marRight w:val="0"/>
      <w:marTop w:val="0"/>
      <w:marBottom w:val="0"/>
      <w:divBdr>
        <w:top w:val="none" w:sz="0" w:space="0" w:color="auto"/>
        <w:left w:val="none" w:sz="0" w:space="0" w:color="auto"/>
        <w:bottom w:val="none" w:sz="0" w:space="0" w:color="auto"/>
        <w:right w:val="none" w:sz="0" w:space="0" w:color="auto"/>
      </w:divBdr>
    </w:div>
    <w:div w:id="190076789">
      <w:bodyDiv w:val="1"/>
      <w:marLeft w:val="0"/>
      <w:marRight w:val="0"/>
      <w:marTop w:val="0"/>
      <w:marBottom w:val="0"/>
      <w:divBdr>
        <w:top w:val="none" w:sz="0" w:space="0" w:color="auto"/>
        <w:left w:val="none" w:sz="0" w:space="0" w:color="auto"/>
        <w:bottom w:val="none" w:sz="0" w:space="0" w:color="auto"/>
        <w:right w:val="none" w:sz="0" w:space="0" w:color="auto"/>
      </w:divBdr>
    </w:div>
    <w:div w:id="192305495">
      <w:bodyDiv w:val="1"/>
      <w:marLeft w:val="0"/>
      <w:marRight w:val="0"/>
      <w:marTop w:val="0"/>
      <w:marBottom w:val="0"/>
      <w:divBdr>
        <w:top w:val="none" w:sz="0" w:space="0" w:color="auto"/>
        <w:left w:val="none" w:sz="0" w:space="0" w:color="auto"/>
        <w:bottom w:val="none" w:sz="0" w:space="0" w:color="auto"/>
        <w:right w:val="none" w:sz="0" w:space="0" w:color="auto"/>
      </w:divBdr>
    </w:div>
    <w:div w:id="201359042">
      <w:bodyDiv w:val="1"/>
      <w:marLeft w:val="0"/>
      <w:marRight w:val="0"/>
      <w:marTop w:val="0"/>
      <w:marBottom w:val="0"/>
      <w:divBdr>
        <w:top w:val="none" w:sz="0" w:space="0" w:color="auto"/>
        <w:left w:val="none" w:sz="0" w:space="0" w:color="auto"/>
        <w:bottom w:val="none" w:sz="0" w:space="0" w:color="auto"/>
        <w:right w:val="none" w:sz="0" w:space="0" w:color="auto"/>
      </w:divBdr>
    </w:div>
    <w:div w:id="206187424">
      <w:bodyDiv w:val="1"/>
      <w:marLeft w:val="0"/>
      <w:marRight w:val="0"/>
      <w:marTop w:val="0"/>
      <w:marBottom w:val="0"/>
      <w:divBdr>
        <w:top w:val="none" w:sz="0" w:space="0" w:color="auto"/>
        <w:left w:val="none" w:sz="0" w:space="0" w:color="auto"/>
        <w:bottom w:val="none" w:sz="0" w:space="0" w:color="auto"/>
        <w:right w:val="none" w:sz="0" w:space="0" w:color="auto"/>
      </w:divBdr>
    </w:div>
    <w:div w:id="244850795">
      <w:bodyDiv w:val="1"/>
      <w:marLeft w:val="0"/>
      <w:marRight w:val="0"/>
      <w:marTop w:val="0"/>
      <w:marBottom w:val="0"/>
      <w:divBdr>
        <w:top w:val="none" w:sz="0" w:space="0" w:color="auto"/>
        <w:left w:val="none" w:sz="0" w:space="0" w:color="auto"/>
        <w:bottom w:val="none" w:sz="0" w:space="0" w:color="auto"/>
        <w:right w:val="none" w:sz="0" w:space="0" w:color="auto"/>
      </w:divBdr>
    </w:div>
    <w:div w:id="257565224">
      <w:bodyDiv w:val="1"/>
      <w:marLeft w:val="0"/>
      <w:marRight w:val="0"/>
      <w:marTop w:val="0"/>
      <w:marBottom w:val="0"/>
      <w:divBdr>
        <w:top w:val="none" w:sz="0" w:space="0" w:color="auto"/>
        <w:left w:val="none" w:sz="0" w:space="0" w:color="auto"/>
        <w:bottom w:val="none" w:sz="0" w:space="0" w:color="auto"/>
        <w:right w:val="none" w:sz="0" w:space="0" w:color="auto"/>
      </w:divBdr>
    </w:div>
    <w:div w:id="267933137">
      <w:bodyDiv w:val="1"/>
      <w:marLeft w:val="0"/>
      <w:marRight w:val="0"/>
      <w:marTop w:val="0"/>
      <w:marBottom w:val="0"/>
      <w:divBdr>
        <w:top w:val="none" w:sz="0" w:space="0" w:color="auto"/>
        <w:left w:val="none" w:sz="0" w:space="0" w:color="auto"/>
        <w:bottom w:val="none" w:sz="0" w:space="0" w:color="auto"/>
        <w:right w:val="none" w:sz="0" w:space="0" w:color="auto"/>
      </w:divBdr>
    </w:div>
    <w:div w:id="279652837">
      <w:bodyDiv w:val="1"/>
      <w:marLeft w:val="0"/>
      <w:marRight w:val="0"/>
      <w:marTop w:val="0"/>
      <w:marBottom w:val="0"/>
      <w:divBdr>
        <w:top w:val="none" w:sz="0" w:space="0" w:color="auto"/>
        <w:left w:val="none" w:sz="0" w:space="0" w:color="auto"/>
        <w:bottom w:val="none" w:sz="0" w:space="0" w:color="auto"/>
        <w:right w:val="none" w:sz="0" w:space="0" w:color="auto"/>
      </w:divBdr>
      <w:divsChild>
        <w:div w:id="2123574816">
          <w:marLeft w:val="0"/>
          <w:marRight w:val="0"/>
          <w:marTop w:val="0"/>
          <w:marBottom w:val="0"/>
          <w:divBdr>
            <w:top w:val="none" w:sz="0" w:space="0" w:color="auto"/>
            <w:left w:val="none" w:sz="0" w:space="0" w:color="auto"/>
            <w:bottom w:val="none" w:sz="0" w:space="0" w:color="auto"/>
            <w:right w:val="none" w:sz="0" w:space="0" w:color="auto"/>
          </w:divBdr>
          <w:divsChild>
            <w:div w:id="1748380408">
              <w:marLeft w:val="0"/>
              <w:marRight w:val="0"/>
              <w:marTop w:val="0"/>
              <w:marBottom w:val="0"/>
              <w:divBdr>
                <w:top w:val="none" w:sz="0" w:space="0" w:color="auto"/>
                <w:left w:val="none" w:sz="0" w:space="0" w:color="auto"/>
                <w:bottom w:val="none" w:sz="0" w:space="0" w:color="auto"/>
                <w:right w:val="none" w:sz="0" w:space="0" w:color="auto"/>
              </w:divBdr>
              <w:divsChild>
                <w:div w:id="1910993117">
                  <w:marLeft w:val="0"/>
                  <w:marRight w:val="0"/>
                  <w:marTop w:val="0"/>
                  <w:marBottom w:val="0"/>
                  <w:divBdr>
                    <w:top w:val="none" w:sz="0" w:space="0" w:color="auto"/>
                    <w:left w:val="none" w:sz="0" w:space="0" w:color="auto"/>
                    <w:bottom w:val="none" w:sz="0" w:space="0" w:color="auto"/>
                    <w:right w:val="none" w:sz="0" w:space="0" w:color="auto"/>
                  </w:divBdr>
                  <w:divsChild>
                    <w:div w:id="1015493962">
                      <w:marLeft w:val="0"/>
                      <w:marRight w:val="0"/>
                      <w:marTop w:val="0"/>
                      <w:marBottom w:val="0"/>
                      <w:divBdr>
                        <w:top w:val="none" w:sz="0" w:space="0" w:color="auto"/>
                        <w:left w:val="none" w:sz="0" w:space="0" w:color="auto"/>
                        <w:bottom w:val="none" w:sz="0" w:space="0" w:color="auto"/>
                        <w:right w:val="none" w:sz="0" w:space="0" w:color="auto"/>
                      </w:divBdr>
                      <w:divsChild>
                        <w:div w:id="1694182735">
                          <w:marLeft w:val="0"/>
                          <w:marRight w:val="0"/>
                          <w:marTop w:val="0"/>
                          <w:marBottom w:val="0"/>
                          <w:divBdr>
                            <w:top w:val="none" w:sz="0" w:space="0" w:color="auto"/>
                            <w:left w:val="none" w:sz="0" w:space="0" w:color="auto"/>
                            <w:bottom w:val="none" w:sz="0" w:space="0" w:color="auto"/>
                            <w:right w:val="none" w:sz="0" w:space="0" w:color="auto"/>
                          </w:divBdr>
                          <w:divsChild>
                            <w:div w:id="11852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567233">
      <w:bodyDiv w:val="1"/>
      <w:marLeft w:val="0"/>
      <w:marRight w:val="0"/>
      <w:marTop w:val="0"/>
      <w:marBottom w:val="0"/>
      <w:divBdr>
        <w:top w:val="none" w:sz="0" w:space="0" w:color="auto"/>
        <w:left w:val="none" w:sz="0" w:space="0" w:color="auto"/>
        <w:bottom w:val="none" w:sz="0" w:space="0" w:color="auto"/>
        <w:right w:val="none" w:sz="0" w:space="0" w:color="auto"/>
      </w:divBdr>
    </w:div>
    <w:div w:id="329140684">
      <w:bodyDiv w:val="1"/>
      <w:marLeft w:val="0"/>
      <w:marRight w:val="0"/>
      <w:marTop w:val="0"/>
      <w:marBottom w:val="0"/>
      <w:divBdr>
        <w:top w:val="none" w:sz="0" w:space="0" w:color="auto"/>
        <w:left w:val="none" w:sz="0" w:space="0" w:color="auto"/>
        <w:bottom w:val="none" w:sz="0" w:space="0" w:color="auto"/>
        <w:right w:val="none" w:sz="0" w:space="0" w:color="auto"/>
      </w:divBdr>
      <w:divsChild>
        <w:div w:id="1568540236">
          <w:marLeft w:val="0"/>
          <w:marRight w:val="0"/>
          <w:marTop w:val="0"/>
          <w:marBottom w:val="0"/>
          <w:divBdr>
            <w:top w:val="none" w:sz="0" w:space="0" w:color="auto"/>
            <w:left w:val="none" w:sz="0" w:space="0" w:color="auto"/>
            <w:bottom w:val="none" w:sz="0" w:space="0" w:color="auto"/>
            <w:right w:val="none" w:sz="0" w:space="0" w:color="auto"/>
          </w:divBdr>
          <w:divsChild>
            <w:div w:id="1145589431">
              <w:marLeft w:val="0"/>
              <w:marRight w:val="0"/>
              <w:marTop w:val="0"/>
              <w:marBottom w:val="0"/>
              <w:divBdr>
                <w:top w:val="none" w:sz="0" w:space="0" w:color="auto"/>
                <w:left w:val="none" w:sz="0" w:space="0" w:color="auto"/>
                <w:bottom w:val="none" w:sz="0" w:space="0" w:color="auto"/>
                <w:right w:val="none" w:sz="0" w:space="0" w:color="auto"/>
              </w:divBdr>
              <w:divsChild>
                <w:div w:id="876235566">
                  <w:marLeft w:val="0"/>
                  <w:marRight w:val="0"/>
                  <w:marTop w:val="0"/>
                  <w:marBottom w:val="0"/>
                  <w:divBdr>
                    <w:top w:val="none" w:sz="0" w:space="0" w:color="auto"/>
                    <w:left w:val="none" w:sz="0" w:space="0" w:color="auto"/>
                    <w:bottom w:val="none" w:sz="0" w:space="0" w:color="auto"/>
                    <w:right w:val="none" w:sz="0" w:space="0" w:color="auto"/>
                  </w:divBdr>
                  <w:divsChild>
                    <w:div w:id="341246984">
                      <w:marLeft w:val="0"/>
                      <w:marRight w:val="0"/>
                      <w:marTop w:val="0"/>
                      <w:marBottom w:val="0"/>
                      <w:divBdr>
                        <w:top w:val="none" w:sz="0" w:space="0" w:color="auto"/>
                        <w:left w:val="none" w:sz="0" w:space="0" w:color="auto"/>
                        <w:bottom w:val="none" w:sz="0" w:space="0" w:color="auto"/>
                        <w:right w:val="none" w:sz="0" w:space="0" w:color="auto"/>
                      </w:divBdr>
                      <w:divsChild>
                        <w:div w:id="385371562">
                          <w:marLeft w:val="0"/>
                          <w:marRight w:val="0"/>
                          <w:marTop w:val="0"/>
                          <w:marBottom w:val="0"/>
                          <w:divBdr>
                            <w:top w:val="none" w:sz="0" w:space="0" w:color="auto"/>
                            <w:left w:val="none" w:sz="0" w:space="0" w:color="auto"/>
                            <w:bottom w:val="none" w:sz="0" w:space="0" w:color="auto"/>
                            <w:right w:val="none" w:sz="0" w:space="0" w:color="auto"/>
                          </w:divBdr>
                          <w:divsChild>
                            <w:div w:id="10174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919451">
      <w:bodyDiv w:val="1"/>
      <w:marLeft w:val="0"/>
      <w:marRight w:val="0"/>
      <w:marTop w:val="0"/>
      <w:marBottom w:val="0"/>
      <w:divBdr>
        <w:top w:val="none" w:sz="0" w:space="0" w:color="auto"/>
        <w:left w:val="none" w:sz="0" w:space="0" w:color="auto"/>
        <w:bottom w:val="none" w:sz="0" w:space="0" w:color="auto"/>
        <w:right w:val="none" w:sz="0" w:space="0" w:color="auto"/>
      </w:divBdr>
    </w:div>
    <w:div w:id="408844685">
      <w:bodyDiv w:val="1"/>
      <w:marLeft w:val="0"/>
      <w:marRight w:val="0"/>
      <w:marTop w:val="0"/>
      <w:marBottom w:val="0"/>
      <w:divBdr>
        <w:top w:val="none" w:sz="0" w:space="0" w:color="auto"/>
        <w:left w:val="none" w:sz="0" w:space="0" w:color="auto"/>
        <w:bottom w:val="none" w:sz="0" w:space="0" w:color="auto"/>
        <w:right w:val="none" w:sz="0" w:space="0" w:color="auto"/>
      </w:divBdr>
    </w:div>
    <w:div w:id="411854007">
      <w:bodyDiv w:val="1"/>
      <w:marLeft w:val="0"/>
      <w:marRight w:val="0"/>
      <w:marTop w:val="0"/>
      <w:marBottom w:val="0"/>
      <w:divBdr>
        <w:top w:val="none" w:sz="0" w:space="0" w:color="auto"/>
        <w:left w:val="none" w:sz="0" w:space="0" w:color="auto"/>
        <w:bottom w:val="none" w:sz="0" w:space="0" w:color="auto"/>
        <w:right w:val="none" w:sz="0" w:space="0" w:color="auto"/>
      </w:divBdr>
      <w:divsChild>
        <w:div w:id="766850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0104560">
      <w:bodyDiv w:val="1"/>
      <w:marLeft w:val="0"/>
      <w:marRight w:val="0"/>
      <w:marTop w:val="0"/>
      <w:marBottom w:val="0"/>
      <w:divBdr>
        <w:top w:val="none" w:sz="0" w:space="0" w:color="auto"/>
        <w:left w:val="none" w:sz="0" w:space="0" w:color="auto"/>
        <w:bottom w:val="none" w:sz="0" w:space="0" w:color="auto"/>
        <w:right w:val="none" w:sz="0" w:space="0" w:color="auto"/>
      </w:divBdr>
    </w:div>
    <w:div w:id="422460157">
      <w:bodyDiv w:val="1"/>
      <w:marLeft w:val="0"/>
      <w:marRight w:val="0"/>
      <w:marTop w:val="0"/>
      <w:marBottom w:val="0"/>
      <w:divBdr>
        <w:top w:val="none" w:sz="0" w:space="0" w:color="auto"/>
        <w:left w:val="none" w:sz="0" w:space="0" w:color="auto"/>
        <w:bottom w:val="none" w:sz="0" w:space="0" w:color="auto"/>
        <w:right w:val="none" w:sz="0" w:space="0" w:color="auto"/>
      </w:divBdr>
    </w:div>
    <w:div w:id="445658713">
      <w:bodyDiv w:val="1"/>
      <w:marLeft w:val="0"/>
      <w:marRight w:val="0"/>
      <w:marTop w:val="0"/>
      <w:marBottom w:val="0"/>
      <w:divBdr>
        <w:top w:val="none" w:sz="0" w:space="0" w:color="auto"/>
        <w:left w:val="none" w:sz="0" w:space="0" w:color="auto"/>
        <w:bottom w:val="none" w:sz="0" w:space="0" w:color="auto"/>
        <w:right w:val="none" w:sz="0" w:space="0" w:color="auto"/>
      </w:divBdr>
      <w:divsChild>
        <w:div w:id="1055814141">
          <w:marLeft w:val="0"/>
          <w:marRight w:val="0"/>
          <w:marTop w:val="0"/>
          <w:marBottom w:val="0"/>
          <w:divBdr>
            <w:top w:val="none" w:sz="0" w:space="0" w:color="auto"/>
            <w:left w:val="none" w:sz="0" w:space="0" w:color="auto"/>
            <w:bottom w:val="none" w:sz="0" w:space="0" w:color="auto"/>
            <w:right w:val="none" w:sz="0" w:space="0" w:color="auto"/>
          </w:divBdr>
          <w:divsChild>
            <w:div w:id="1337346308">
              <w:marLeft w:val="0"/>
              <w:marRight w:val="0"/>
              <w:marTop w:val="0"/>
              <w:marBottom w:val="0"/>
              <w:divBdr>
                <w:top w:val="none" w:sz="0" w:space="0" w:color="auto"/>
                <w:left w:val="none" w:sz="0" w:space="0" w:color="auto"/>
                <w:bottom w:val="none" w:sz="0" w:space="0" w:color="auto"/>
                <w:right w:val="none" w:sz="0" w:space="0" w:color="auto"/>
              </w:divBdr>
              <w:divsChild>
                <w:div w:id="2089113168">
                  <w:marLeft w:val="0"/>
                  <w:marRight w:val="0"/>
                  <w:marTop w:val="0"/>
                  <w:marBottom w:val="0"/>
                  <w:divBdr>
                    <w:top w:val="none" w:sz="0" w:space="0" w:color="auto"/>
                    <w:left w:val="none" w:sz="0" w:space="0" w:color="auto"/>
                    <w:bottom w:val="none" w:sz="0" w:space="0" w:color="auto"/>
                    <w:right w:val="none" w:sz="0" w:space="0" w:color="auto"/>
                  </w:divBdr>
                  <w:divsChild>
                    <w:div w:id="494953535">
                      <w:marLeft w:val="0"/>
                      <w:marRight w:val="0"/>
                      <w:marTop w:val="0"/>
                      <w:marBottom w:val="0"/>
                      <w:divBdr>
                        <w:top w:val="none" w:sz="0" w:space="0" w:color="auto"/>
                        <w:left w:val="none" w:sz="0" w:space="0" w:color="auto"/>
                        <w:bottom w:val="none" w:sz="0" w:space="0" w:color="auto"/>
                        <w:right w:val="none" w:sz="0" w:space="0" w:color="auto"/>
                      </w:divBdr>
                      <w:divsChild>
                        <w:div w:id="2067797381">
                          <w:marLeft w:val="0"/>
                          <w:marRight w:val="0"/>
                          <w:marTop w:val="0"/>
                          <w:marBottom w:val="0"/>
                          <w:divBdr>
                            <w:top w:val="none" w:sz="0" w:space="0" w:color="auto"/>
                            <w:left w:val="none" w:sz="0" w:space="0" w:color="auto"/>
                            <w:bottom w:val="none" w:sz="0" w:space="0" w:color="auto"/>
                            <w:right w:val="none" w:sz="0" w:space="0" w:color="auto"/>
                          </w:divBdr>
                          <w:divsChild>
                            <w:div w:id="67731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53730">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74969917">
      <w:bodyDiv w:val="1"/>
      <w:marLeft w:val="0"/>
      <w:marRight w:val="0"/>
      <w:marTop w:val="0"/>
      <w:marBottom w:val="0"/>
      <w:divBdr>
        <w:top w:val="none" w:sz="0" w:space="0" w:color="auto"/>
        <w:left w:val="none" w:sz="0" w:space="0" w:color="auto"/>
        <w:bottom w:val="none" w:sz="0" w:space="0" w:color="auto"/>
        <w:right w:val="none" w:sz="0" w:space="0" w:color="auto"/>
      </w:divBdr>
    </w:div>
    <w:div w:id="597754544">
      <w:bodyDiv w:val="1"/>
      <w:marLeft w:val="0"/>
      <w:marRight w:val="0"/>
      <w:marTop w:val="0"/>
      <w:marBottom w:val="0"/>
      <w:divBdr>
        <w:top w:val="none" w:sz="0" w:space="0" w:color="auto"/>
        <w:left w:val="none" w:sz="0" w:space="0" w:color="auto"/>
        <w:bottom w:val="none" w:sz="0" w:space="0" w:color="auto"/>
        <w:right w:val="none" w:sz="0" w:space="0" w:color="auto"/>
      </w:divBdr>
    </w:div>
    <w:div w:id="636031412">
      <w:bodyDiv w:val="1"/>
      <w:marLeft w:val="0"/>
      <w:marRight w:val="0"/>
      <w:marTop w:val="0"/>
      <w:marBottom w:val="0"/>
      <w:divBdr>
        <w:top w:val="none" w:sz="0" w:space="0" w:color="auto"/>
        <w:left w:val="none" w:sz="0" w:space="0" w:color="auto"/>
        <w:bottom w:val="none" w:sz="0" w:space="0" w:color="auto"/>
        <w:right w:val="none" w:sz="0" w:space="0" w:color="auto"/>
      </w:divBdr>
    </w:div>
    <w:div w:id="694842871">
      <w:bodyDiv w:val="1"/>
      <w:marLeft w:val="0"/>
      <w:marRight w:val="0"/>
      <w:marTop w:val="0"/>
      <w:marBottom w:val="0"/>
      <w:divBdr>
        <w:top w:val="none" w:sz="0" w:space="0" w:color="auto"/>
        <w:left w:val="none" w:sz="0" w:space="0" w:color="auto"/>
        <w:bottom w:val="none" w:sz="0" w:space="0" w:color="auto"/>
        <w:right w:val="none" w:sz="0" w:space="0" w:color="auto"/>
      </w:divBdr>
    </w:div>
    <w:div w:id="713894974">
      <w:bodyDiv w:val="1"/>
      <w:marLeft w:val="0"/>
      <w:marRight w:val="0"/>
      <w:marTop w:val="0"/>
      <w:marBottom w:val="0"/>
      <w:divBdr>
        <w:top w:val="none" w:sz="0" w:space="0" w:color="auto"/>
        <w:left w:val="none" w:sz="0" w:space="0" w:color="auto"/>
        <w:bottom w:val="none" w:sz="0" w:space="0" w:color="auto"/>
        <w:right w:val="none" w:sz="0" w:space="0" w:color="auto"/>
      </w:divBdr>
    </w:div>
    <w:div w:id="756630311">
      <w:bodyDiv w:val="1"/>
      <w:marLeft w:val="0"/>
      <w:marRight w:val="0"/>
      <w:marTop w:val="0"/>
      <w:marBottom w:val="0"/>
      <w:divBdr>
        <w:top w:val="none" w:sz="0" w:space="0" w:color="auto"/>
        <w:left w:val="none" w:sz="0" w:space="0" w:color="auto"/>
        <w:bottom w:val="none" w:sz="0" w:space="0" w:color="auto"/>
        <w:right w:val="none" w:sz="0" w:space="0" w:color="auto"/>
      </w:divBdr>
    </w:div>
    <w:div w:id="803163453">
      <w:bodyDiv w:val="1"/>
      <w:marLeft w:val="0"/>
      <w:marRight w:val="0"/>
      <w:marTop w:val="0"/>
      <w:marBottom w:val="0"/>
      <w:divBdr>
        <w:top w:val="none" w:sz="0" w:space="0" w:color="auto"/>
        <w:left w:val="none" w:sz="0" w:space="0" w:color="auto"/>
        <w:bottom w:val="none" w:sz="0" w:space="0" w:color="auto"/>
        <w:right w:val="none" w:sz="0" w:space="0" w:color="auto"/>
      </w:divBdr>
    </w:div>
    <w:div w:id="804196233">
      <w:bodyDiv w:val="1"/>
      <w:marLeft w:val="0"/>
      <w:marRight w:val="0"/>
      <w:marTop w:val="0"/>
      <w:marBottom w:val="0"/>
      <w:divBdr>
        <w:top w:val="none" w:sz="0" w:space="0" w:color="auto"/>
        <w:left w:val="none" w:sz="0" w:space="0" w:color="auto"/>
        <w:bottom w:val="none" w:sz="0" w:space="0" w:color="auto"/>
        <w:right w:val="none" w:sz="0" w:space="0" w:color="auto"/>
      </w:divBdr>
    </w:div>
    <w:div w:id="805246475">
      <w:bodyDiv w:val="1"/>
      <w:marLeft w:val="0"/>
      <w:marRight w:val="0"/>
      <w:marTop w:val="0"/>
      <w:marBottom w:val="0"/>
      <w:divBdr>
        <w:top w:val="none" w:sz="0" w:space="0" w:color="auto"/>
        <w:left w:val="none" w:sz="0" w:space="0" w:color="auto"/>
        <w:bottom w:val="none" w:sz="0" w:space="0" w:color="auto"/>
        <w:right w:val="none" w:sz="0" w:space="0" w:color="auto"/>
      </w:divBdr>
    </w:div>
    <w:div w:id="815487172">
      <w:bodyDiv w:val="1"/>
      <w:marLeft w:val="0"/>
      <w:marRight w:val="0"/>
      <w:marTop w:val="0"/>
      <w:marBottom w:val="0"/>
      <w:divBdr>
        <w:top w:val="none" w:sz="0" w:space="0" w:color="auto"/>
        <w:left w:val="none" w:sz="0" w:space="0" w:color="auto"/>
        <w:bottom w:val="none" w:sz="0" w:space="0" w:color="auto"/>
        <w:right w:val="none" w:sz="0" w:space="0" w:color="auto"/>
      </w:divBdr>
    </w:div>
    <w:div w:id="861941496">
      <w:bodyDiv w:val="1"/>
      <w:marLeft w:val="0"/>
      <w:marRight w:val="0"/>
      <w:marTop w:val="0"/>
      <w:marBottom w:val="0"/>
      <w:divBdr>
        <w:top w:val="none" w:sz="0" w:space="0" w:color="auto"/>
        <w:left w:val="none" w:sz="0" w:space="0" w:color="auto"/>
        <w:bottom w:val="none" w:sz="0" w:space="0" w:color="auto"/>
        <w:right w:val="none" w:sz="0" w:space="0" w:color="auto"/>
      </w:divBdr>
    </w:div>
    <w:div w:id="970982335">
      <w:bodyDiv w:val="1"/>
      <w:marLeft w:val="0"/>
      <w:marRight w:val="0"/>
      <w:marTop w:val="0"/>
      <w:marBottom w:val="0"/>
      <w:divBdr>
        <w:top w:val="none" w:sz="0" w:space="0" w:color="auto"/>
        <w:left w:val="none" w:sz="0" w:space="0" w:color="auto"/>
        <w:bottom w:val="none" w:sz="0" w:space="0" w:color="auto"/>
        <w:right w:val="none" w:sz="0" w:space="0" w:color="auto"/>
      </w:divBdr>
    </w:div>
    <w:div w:id="972640081">
      <w:bodyDiv w:val="1"/>
      <w:marLeft w:val="0"/>
      <w:marRight w:val="0"/>
      <w:marTop w:val="0"/>
      <w:marBottom w:val="0"/>
      <w:divBdr>
        <w:top w:val="none" w:sz="0" w:space="0" w:color="auto"/>
        <w:left w:val="none" w:sz="0" w:space="0" w:color="auto"/>
        <w:bottom w:val="none" w:sz="0" w:space="0" w:color="auto"/>
        <w:right w:val="none" w:sz="0" w:space="0" w:color="auto"/>
      </w:divBdr>
    </w:div>
    <w:div w:id="990131747">
      <w:bodyDiv w:val="1"/>
      <w:marLeft w:val="0"/>
      <w:marRight w:val="0"/>
      <w:marTop w:val="0"/>
      <w:marBottom w:val="0"/>
      <w:divBdr>
        <w:top w:val="none" w:sz="0" w:space="0" w:color="auto"/>
        <w:left w:val="none" w:sz="0" w:space="0" w:color="auto"/>
        <w:bottom w:val="none" w:sz="0" w:space="0" w:color="auto"/>
        <w:right w:val="none" w:sz="0" w:space="0" w:color="auto"/>
      </w:divBdr>
    </w:div>
    <w:div w:id="1041515505">
      <w:bodyDiv w:val="1"/>
      <w:marLeft w:val="0"/>
      <w:marRight w:val="0"/>
      <w:marTop w:val="0"/>
      <w:marBottom w:val="0"/>
      <w:divBdr>
        <w:top w:val="none" w:sz="0" w:space="0" w:color="auto"/>
        <w:left w:val="none" w:sz="0" w:space="0" w:color="auto"/>
        <w:bottom w:val="none" w:sz="0" w:space="0" w:color="auto"/>
        <w:right w:val="none" w:sz="0" w:space="0" w:color="auto"/>
      </w:divBdr>
    </w:div>
    <w:div w:id="1042437070">
      <w:bodyDiv w:val="1"/>
      <w:marLeft w:val="0"/>
      <w:marRight w:val="0"/>
      <w:marTop w:val="0"/>
      <w:marBottom w:val="0"/>
      <w:divBdr>
        <w:top w:val="none" w:sz="0" w:space="0" w:color="auto"/>
        <w:left w:val="none" w:sz="0" w:space="0" w:color="auto"/>
        <w:bottom w:val="none" w:sz="0" w:space="0" w:color="auto"/>
        <w:right w:val="none" w:sz="0" w:space="0" w:color="auto"/>
      </w:divBdr>
    </w:div>
    <w:div w:id="1082214239">
      <w:bodyDiv w:val="1"/>
      <w:marLeft w:val="0"/>
      <w:marRight w:val="0"/>
      <w:marTop w:val="0"/>
      <w:marBottom w:val="0"/>
      <w:divBdr>
        <w:top w:val="none" w:sz="0" w:space="0" w:color="auto"/>
        <w:left w:val="none" w:sz="0" w:space="0" w:color="auto"/>
        <w:bottom w:val="none" w:sz="0" w:space="0" w:color="auto"/>
        <w:right w:val="none" w:sz="0" w:space="0" w:color="auto"/>
      </w:divBdr>
    </w:div>
    <w:div w:id="1089082595">
      <w:bodyDiv w:val="1"/>
      <w:marLeft w:val="0"/>
      <w:marRight w:val="0"/>
      <w:marTop w:val="0"/>
      <w:marBottom w:val="0"/>
      <w:divBdr>
        <w:top w:val="none" w:sz="0" w:space="0" w:color="auto"/>
        <w:left w:val="none" w:sz="0" w:space="0" w:color="auto"/>
        <w:bottom w:val="none" w:sz="0" w:space="0" w:color="auto"/>
        <w:right w:val="none" w:sz="0" w:space="0" w:color="auto"/>
      </w:divBdr>
    </w:div>
    <w:div w:id="1094127262">
      <w:bodyDiv w:val="1"/>
      <w:marLeft w:val="0"/>
      <w:marRight w:val="0"/>
      <w:marTop w:val="0"/>
      <w:marBottom w:val="0"/>
      <w:divBdr>
        <w:top w:val="none" w:sz="0" w:space="0" w:color="auto"/>
        <w:left w:val="none" w:sz="0" w:space="0" w:color="auto"/>
        <w:bottom w:val="none" w:sz="0" w:space="0" w:color="auto"/>
        <w:right w:val="none" w:sz="0" w:space="0" w:color="auto"/>
      </w:divBdr>
      <w:divsChild>
        <w:div w:id="676690440">
          <w:marLeft w:val="0"/>
          <w:marRight w:val="0"/>
          <w:marTop w:val="0"/>
          <w:marBottom w:val="0"/>
          <w:divBdr>
            <w:top w:val="none" w:sz="0" w:space="0" w:color="auto"/>
            <w:left w:val="none" w:sz="0" w:space="0" w:color="auto"/>
            <w:bottom w:val="none" w:sz="0" w:space="0" w:color="auto"/>
            <w:right w:val="none" w:sz="0" w:space="0" w:color="auto"/>
          </w:divBdr>
          <w:divsChild>
            <w:div w:id="357122988">
              <w:marLeft w:val="0"/>
              <w:marRight w:val="0"/>
              <w:marTop w:val="0"/>
              <w:marBottom w:val="0"/>
              <w:divBdr>
                <w:top w:val="none" w:sz="0" w:space="0" w:color="auto"/>
                <w:left w:val="none" w:sz="0" w:space="0" w:color="auto"/>
                <w:bottom w:val="none" w:sz="0" w:space="0" w:color="auto"/>
                <w:right w:val="none" w:sz="0" w:space="0" w:color="auto"/>
              </w:divBdr>
              <w:divsChild>
                <w:div w:id="963728667">
                  <w:marLeft w:val="0"/>
                  <w:marRight w:val="0"/>
                  <w:marTop w:val="0"/>
                  <w:marBottom w:val="0"/>
                  <w:divBdr>
                    <w:top w:val="none" w:sz="0" w:space="0" w:color="auto"/>
                    <w:left w:val="none" w:sz="0" w:space="0" w:color="auto"/>
                    <w:bottom w:val="none" w:sz="0" w:space="0" w:color="auto"/>
                    <w:right w:val="none" w:sz="0" w:space="0" w:color="auto"/>
                  </w:divBdr>
                  <w:divsChild>
                    <w:div w:id="522135499">
                      <w:marLeft w:val="0"/>
                      <w:marRight w:val="0"/>
                      <w:marTop w:val="0"/>
                      <w:marBottom w:val="0"/>
                      <w:divBdr>
                        <w:top w:val="none" w:sz="0" w:space="0" w:color="auto"/>
                        <w:left w:val="none" w:sz="0" w:space="0" w:color="auto"/>
                        <w:bottom w:val="none" w:sz="0" w:space="0" w:color="auto"/>
                        <w:right w:val="none" w:sz="0" w:space="0" w:color="auto"/>
                      </w:divBdr>
                      <w:divsChild>
                        <w:div w:id="999503470">
                          <w:marLeft w:val="0"/>
                          <w:marRight w:val="0"/>
                          <w:marTop w:val="0"/>
                          <w:marBottom w:val="0"/>
                          <w:divBdr>
                            <w:top w:val="none" w:sz="0" w:space="0" w:color="auto"/>
                            <w:left w:val="none" w:sz="0" w:space="0" w:color="auto"/>
                            <w:bottom w:val="none" w:sz="0" w:space="0" w:color="auto"/>
                            <w:right w:val="none" w:sz="0" w:space="0" w:color="auto"/>
                          </w:divBdr>
                          <w:divsChild>
                            <w:div w:id="183640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706179">
      <w:bodyDiv w:val="1"/>
      <w:marLeft w:val="0"/>
      <w:marRight w:val="0"/>
      <w:marTop w:val="0"/>
      <w:marBottom w:val="0"/>
      <w:divBdr>
        <w:top w:val="none" w:sz="0" w:space="0" w:color="auto"/>
        <w:left w:val="none" w:sz="0" w:space="0" w:color="auto"/>
        <w:bottom w:val="none" w:sz="0" w:space="0" w:color="auto"/>
        <w:right w:val="none" w:sz="0" w:space="0" w:color="auto"/>
      </w:divBdr>
    </w:div>
    <w:div w:id="1235045823">
      <w:bodyDiv w:val="1"/>
      <w:marLeft w:val="0"/>
      <w:marRight w:val="0"/>
      <w:marTop w:val="0"/>
      <w:marBottom w:val="0"/>
      <w:divBdr>
        <w:top w:val="none" w:sz="0" w:space="0" w:color="auto"/>
        <w:left w:val="none" w:sz="0" w:space="0" w:color="auto"/>
        <w:bottom w:val="none" w:sz="0" w:space="0" w:color="auto"/>
        <w:right w:val="none" w:sz="0" w:space="0" w:color="auto"/>
      </w:divBdr>
    </w:div>
    <w:div w:id="1243753534">
      <w:bodyDiv w:val="1"/>
      <w:marLeft w:val="0"/>
      <w:marRight w:val="0"/>
      <w:marTop w:val="0"/>
      <w:marBottom w:val="0"/>
      <w:divBdr>
        <w:top w:val="none" w:sz="0" w:space="0" w:color="auto"/>
        <w:left w:val="none" w:sz="0" w:space="0" w:color="auto"/>
        <w:bottom w:val="none" w:sz="0" w:space="0" w:color="auto"/>
        <w:right w:val="none" w:sz="0" w:space="0" w:color="auto"/>
      </w:divBdr>
    </w:div>
    <w:div w:id="1251113670">
      <w:bodyDiv w:val="1"/>
      <w:marLeft w:val="0"/>
      <w:marRight w:val="0"/>
      <w:marTop w:val="0"/>
      <w:marBottom w:val="0"/>
      <w:divBdr>
        <w:top w:val="none" w:sz="0" w:space="0" w:color="auto"/>
        <w:left w:val="none" w:sz="0" w:space="0" w:color="auto"/>
        <w:bottom w:val="none" w:sz="0" w:space="0" w:color="auto"/>
        <w:right w:val="none" w:sz="0" w:space="0" w:color="auto"/>
      </w:divBdr>
    </w:div>
    <w:div w:id="1277521509">
      <w:bodyDiv w:val="1"/>
      <w:marLeft w:val="0"/>
      <w:marRight w:val="0"/>
      <w:marTop w:val="0"/>
      <w:marBottom w:val="0"/>
      <w:divBdr>
        <w:top w:val="none" w:sz="0" w:space="0" w:color="auto"/>
        <w:left w:val="none" w:sz="0" w:space="0" w:color="auto"/>
        <w:bottom w:val="none" w:sz="0" w:space="0" w:color="auto"/>
        <w:right w:val="none" w:sz="0" w:space="0" w:color="auto"/>
      </w:divBdr>
    </w:div>
    <w:div w:id="1315836372">
      <w:bodyDiv w:val="1"/>
      <w:marLeft w:val="0"/>
      <w:marRight w:val="0"/>
      <w:marTop w:val="0"/>
      <w:marBottom w:val="0"/>
      <w:divBdr>
        <w:top w:val="none" w:sz="0" w:space="0" w:color="auto"/>
        <w:left w:val="none" w:sz="0" w:space="0" w:color="auto"/>
        <w:bottom w:val="none" w:sz="0" w:space="0" w:color="auto"/>
        <w:right w:val="none" w:sz="0" w:space="0" w:color="auto"/>
      </w:divBdr>
    </w:div>
    <w:div w:id="1316954578">
      <w:bodyDiv w:val="1"/>
      <w:marLeft w:val="0"/>
      <w:marRight w:val="0"/>
      <w:marTop w:val="0"/>
      <w:marBottom w:val="0"/>
      <w:divBdr>
        <w:top w:val="none" w:sz="0" w:space="0" w:color="auto"/>
        <w:left w:val="none" w:sz="0" w:space="0" w:color="auto"/>
        <w:bottom w:val="none" w:sz="0" w:space="0" w:color="auto"/>
        <w:right w:val="none" w:sz="0" w:space="0" w:color="auto"/>
      </w:divBdr>
    </w:div>
    <w:div w:id="1399402090">
      <w:bodyDiv w:val="1"/>
      <w:marLeft w:val="0"/>
      <w:marRight w:val="0"/>
      <w:marTop w:val="0"/>
      <w:marBottom w:val="0"/>
      <w:divBdr>
        <w:top w:val="none" w:sz="0" w:space="0" w:color="auto"/>
        <w:left w:val="none" w:sz="0" w:space="0" w:color="auto"/>
        <w:bottom w:val="none" w:sz="0" w:space="0" w:color="auto"/>
        <w:right w:val="none" w:sz="0" w:space="0" w:color="auto"/>
      </w:divBdr>
      <w:divsChild>
        <w:div w:id="1752653102">
          <w:marLeft w:val="0"/>
          <w:marRight w:val="0"/>
          <w:marTop w:val="0"/>
          <w:marBottom w:val="0"/>
          <w:divBdr>
            <w:top w:val="none" w:sz="0" w:space="0" w:color="auto"/>
            <w:left w:val="none" w:sz="0" w:space="0" w:color="auto"/>
            <w:bottom w:val="none" w:sz="0" w:space="0" w:color="auto"/>
            <w:right w:val="none" w:sz="0" w:space="0" w:color="auto"/>
          </w:divBdr>
          <w:divsChild>
            <w:div w:id="2137865426">
              <w:marLeft w:val="0"/>
              <w:marRight w:val="0"/>
              <w:marTop w:val="0"/>
              <w:marBottom w:val="0"/>
              <w:divBdr>
                <w:top w:val="none" w:sz="0" w:space="0" w:color="auto"/>
                <w:left w:val="none" w:sz="0" w:space="0" w:color="auto"/>
                <w:bottom w:val="none" w:sz="0" w:space="0" w:color="auto"/>
                <w:right w:val="none" w:sz="0" w:space="0" w:color="auto"/>
              </w:divBdr>
              <w:divsChild>
                <w:div w:id="49499338">
                  <w:marLeft w:val="0"/>
                  <w:marRight w:val="0"/>
                  <w:marTop w:val="0"/>
                  <w:marBottom w:val="0"/>
                  <w:divBdr>
                    <w:top w:val="none" w:sz="0" w:space="0" w:color="auto"/>
                    <w:left w:val="none" w:sz="0" w:space="0" w:color="auto"/>
                    <w:bottom w:val="none" w:sz="0" w:space="0" w:color="auto"/>
                    <w:right w:val="none" w:sz="0" w:space="0" w:color="auto"/>
                  </w:divBdr>
                  <w:divsChild>
                    <w:div w:id="1482774167">
                      <w:marLeft w:val="0"/>
                      <w:marRight w:val="0"/>
                      <w:marTop w:val="0"/>
                      <w:marBottom w:val="0"/>
                      <w:divBdr>
                        <w:top w:val="none" w:sz="0" w:space="0" w:color="auto"/>
                        <w:left w:val="none" w:sz="0" w:space="0" w:color="auto"/>
                        <w:bottom w:val="none" w:sz="0" w:space="0" w:color="auto"/>
                        <w:right w:val="none" w:sz="0" w:space="0" w:color="auto"/>
                      </w:divBdr>
                      <w:divsChild>
                        <w:div w:id="831525234">
                          <w:marLeft w:val="0"/>
                          <w:marRight w:val="0"/>
                          <w:marTop w:val="0"/>
                          <w:marBottom w:val="0"/>
                          <w:divBdr>
                            <w:top w:val="none" w:sz="0" w:space="0" w:color="auto"/>
                            <w:left w:val="none" w:sz="0" w:space="0" w:color="auto"/>
                            <w:bottom w:val="none" w:sz="0" w:space="0" w:color="auto"/>
                            <w:right w:val="none" w:sz="0" w:space="0" w:color="auto"/>
                          </w:divBdr>
                          <w:divsChild>
                            <w:div w:id="137823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562076">
      <w:bodyDiv w:val="1"/>
      <w:marLeft w:val="0"/>
      <w:marRight w:val="0"/>
      <w:marTop w:val="0"/>
      <w:marBottom w:val="0"/>
      <w:divBdr>
        <w:top w:val="none" w:sz="0" w:space="0" w:color="auto"/>
        <w:left w:val="none" w:sz="0" w:space="0" w:color="auto"/>
        <w:bottom w:val="none" w:sz="0" w:space="0" w:color="auto"/>
        <w:right w:val="none" w:sz="0" w:space="0" w:color="auto"/>
      </w:divBdr>
    </w:div>
    <w:div w:id="1465852271">
      <w:bodyDiv w:val="1"/>
      <w:marLeft w:val="0"/>
      <w:marRight w:val="0"/>
      <w:marTop w:val="0"/>
      <w:marBottom w:val="0"/>
      <w:divBdr>
        <w:top w:val="none" w:sz="0" w:space="0" w:color="auto"/>
        <w:left w:val="none" w:sz="0" w:space="0" w:color="auto"/>
        <w:bottom w:val="none" w:sz="0" w:space="0" w:color="auto"/>
        <w:right w:val="none" w:sz="0" w:space="0" w:color="auto"/>
      </w:divBdr>
    </w:div>
    <w:div w:id="1533417524">
      <w:bodyDiv w:val="1"/>
      <w:marLeft w:val="0"/>
      <w:marRight w:val="0"/>
      <w:marTop w:val="0"/>
      <w:marBottom w:val="0"/>
      <w:divBdr>
        <w:top w:val="none" w:sz="0" w:space="0" w:color="auto"/>
        <w:left w:val="none" w:sz="0" w:space="0" w:color="auto"/>
        <w:bottom w:val="none" w:sz="0" w:space="0" w:color="auto"/>
        <w:right w:val="none" w:sz="0" w:space="0" w:color="auto"/>
      </w:divBdr>
    </w:div>
    <w:div w:id="1533499543">
      <w:bodyDiv w:val="1"/>
      <w:marLeft w:val="0"/>
      <w:marRight w:val="0"/>
      <w:marTop w:val="0"/>
      <w:marBottom w:val="0"/>
      <w:divBdr>
        <w:top w:val="none" w:sz="0" w:space="0" w:color="auto"/>
        <w:left w:val="none" w:sz="0" w:space="0" w:color="auto"/>
        <w:bottom w:val="none" w:sz="0" w:space="0" w:color="auto"/>
        <w:right w:val="none" w:sz="0" w:space="0" w:color="auto"/>
      </w:divBdr>
    </w:div>
    <w:div w:id="1540623025">
      <w:bodyDiv w:val="1"/>
      <w:marLeft w:val="0"/>
      <w:marRight w:val="0"/>
      <w:marTop w:val="0"/>
      <w:marBottom w:val="0"/>
      <w:divBdr>
        <w:top w:val="none" w:sz="0" w:space="0" w:color="auto"/>
        <w:left w:val="none" w:sz="0" w:space="0" w:color="auto"/>
        <w:bottom w:val="none" w:sz="0" w:space="0" w:color="auto"/>
        <w:right w:val="none" w:sz="0" w:space="0" w:color="auto"/>
      </w:divBdr>
    </w:div>
    <w:div w:id="1543249236">
      <w:bodyDiv w:val="1"/>
      <w:marLeft w:val="0"/>
      <w:marRight w:val="0"/>
      <w:marTop w:val="0"/>
      <w:marBottom w:val="0"/>
      <w:divBdr>
        <w:top w:val="none" w:sz="0" w:space="0" w:color="auto"/>
        <w:left w:val="none" w:sz="0" w:space="0" w:color="auto"/>
        <w:bottom w:val="none" w:sz="0" w:space="0" w:color="auto"/>
        <w:right w:val="none" w:sz="0" w:space="0" w:color="auto"/>
      </w:divBdr>
    </w:div>
    <w:div w:id="1564024720">
      <w:bodyDiv w:val="1"/>
      <w:marLeft w:val="0"/>
      <w:marRight w:val="0"/>
      <w:marTop w:val="0"/>
      <w:marBottom w:val="0"/>
      <w:divBdr>
        <w:top w:val="none" w:sz="0" w:space="0" w:color="auto"/>
        <w:left w:val="none" w:sz="0" w:space="0" w:color="auto"/>
        <w:bottom w:val="none" w:sz="0" w:space="0" w:color="auto"/>
        <w:right w:val="none" w:sz="0" w:space="0" w:color="auto"/>
      </w:divBdr>
    </w:div>
    <w:div w:id="1683314166">
      <w:bodyDiv w:val="1"/>
      <w:marLeft w:val="0"/>
      <w:marRight w:val="0"/>
      <w:marTop w:val="0"/>
      <w:marBottom w:val="0"/>
      <w:divBdr>
        <w:top w:val="none" w:sz="0" w:space="0" w:color="auto"/>
        <w:left w:val="none" w:sz="0" w:space="0" w:color="auto"/>
        <w:bottom w:val="none" w:sz="0" w:space="0" w:color="auto"/>
        <w:right w:val="none" w:sz="0" w:space="0" w:color="auto"/>
      </w:divBdr>
      <w:divsChild>
        <w:div w:id="876700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685877">
      <w:bodyDiv w:val="1"/>
      <w:marLeft w:val="0"/>
      <w:marRight w:val="0"/>
      <w:marTop w:val="0"/>
      <w:marBottom w:val="0"/>
      <w:divBdr>
        <w:top w:val="none" w:sz="0" w:space="0" w:color="auto"/>
        <w:left w:val="none" w:sz="0" w:space="0" w:color="auto"/>
        <w:bottom w:val="none" w:sz="0" w:space="0" w:color="auto"/>
        <w:right w:val="none" w:sz="0" w:space="0" w:color="auto"/>
      </w:divBdr>
    </w:div>
    <w:div w:id="1812479484">
      <w:bodyDiv w:val="1"/>
      <w:marLeft w:val="0"/>
      <w:marRight w:val="0"/>
      <w:marTop w:val="0"/>
      <w:marBottom w:val="0"/>
      <w:divBdr>
        <w:top w:val="none" w:sz="0" w:space="0" w:color="auto"/>
        <w:left w:val="none" w:sz="0" w:space="0" w:color="auto"/>
        <w:bottom w:val="none" w:sz="0" w:space="0" w:color="auto"/>
        <w:right w:val="none" w:sz="0" w:space="0" w:color="auto"/>
      </w:divBdr>
    </w:div>
    <w:div w:id="1830435931">
      <w:bodyDiv w:val="1"/>
      <w:marLeft w:val="0"/>
      <w:marRight w:val="0"/>
      <w:marTop w:val="0"/>
      <w:marBottom w:val="0"/>
      <w:divBdr>
        <w:top w:val="none" w:sz="0" w:space="0" w:color="auto"/>
        <w:left w:val="none" w:sz="0" w:space="0" w:color="auto"/>
        <w:bottom w:val="none" w:sz="0" w:space="0" w:color="auto"/>
        <w:right w:val="none" w:sz="0" w:space="0" w:color="auto"/>
      </w:divBdr>
    </w:div>
    <w:div w:id="1848052919">
      <w:bodyDiv w:val="1"/>
      <w:marLeft w:val="0"/>
      <w:marRight w:val="0"/>
      <w:marTop w:val="0"/>
      <w:marBottom w:val="0"/>
      <w:divBdr>
        <w:top w:val="none" w:sz="0" w:space="0" w:color="auto"/>
        <w:left w:val="none" w:sz="0" w:space="0" w:color="auto"/>
        <w:bottom w:val="none" w:sz="0" w:space="0" w:color="auto"/>
        <w:right w:val="none" w:sz="0" w:space="0" w:color="auto"/>
      </w:divBdr>
    </w:div>
    <w:div w:id="1875144593">
      <w:bodyDiv w:val="1"/>
      <w:marLeft w:val="0"/>
      <w:marRight w:val="0"/>
      <w:marTop w:val="0"/>
      <w:marBottom w:val="0"/>
      <w:divBdr>
        <w:top w:val="none" w:sz="0" w:space="0" w:color="auto"/>
        <w:left w:val="none" w:sz="0" w:space="0" w:color="auto"/>
        <w:bottom w:val="none" w:sz="0" w:space="0" w:color="auto"/>
        <w:right w:val="none" w:sz="0" w:space="0" w:color="auto"/>
      </w:divBdr>
    </w:div>
    <w:div w:id="1904412120">
      <w:bodyDiv w:val="1"/>
      <w:marLeft w:val="0"/>
      <w:marRight w:val="0"/>
      <w:marTop w:val="0"/>
      <w:marBottom w:val="0"/>
      <w:divBdr>
        <w:top w:val="none" w:sz="0" w:space="0" w:color="auto"/>
        <w:left w:val="none" w:sz="0" w:space="0" w:color="auto"/>
        <w:bottom w:val="none" w:sz="0" w:space="0" w:color="auto"/>
        <w:right w:val="none" w:sz="0" w:space="0" w:color="auto"/>
      </w:divBdr>
    </w:div>
    <w:div w:id="1941177053">
      <w:bodyDiv w:val="1"/>
      <w:marLeft w:val="0"/>
      <w:marRight w:val="0"/>
      <w:marTop w:val="0"/>
      <w:marBottom w:val="0"/>
      <w:divBdr>
        <w:top w:val="none" w:sz="0" w:space="0" w:color="auto"/>
        <w:left w:val="none" w:sz="0" w:space="0" w:color="auto"/>
        <w:bottom w:val="none" w:sz="0" w:space="0" w:color="auto"/>
        <w:right w:val="none" w:sz="0" w:space="0" w:color="auto"/>
      </w:divBdr>
    </w:div>
    <w:div w:id="1944994795">
      <w:bodyDiv w:val="1"/>
      <w:marLeft w:val="0"/>
      <w:marRight w:val="0"/>
      <w:marTop w:val="0"/>
      <w:marBottom w:val="0"/>
      <w:divBdr>
        <w:top w:val="none" w:sz="0" w:space="0" w:color="auto"/>
        <w:left w:val="none" w:sz="0" w:space="0" w:color="auto"/>
        <w:bottom w:val="none" w:sz="0" w:space="0" w:color="auto"/>
        <w:right w:val="none" w:sz="0" w:space="0" w:color="auto"/>
      </w:divBdr>
    </w:div>
    <w:div w:id="1992639953">
      <w:bodyDiv w:val="1"/>
      <w:marLeft w:val="0"/>
      <w:marRight w:val="0"/>
      <w:marTop w:val="0"/>
      <w:marBottom w:val="0"/>
      <w:divBdr>
        <w:top w:val="none" w:sz="0" w:space="0" w:color="auto"/>
        <w:left w:val="none" w:sz="0" w:space="0" w:color="auto"/>
        <w:bottom w:val="none" w:sz="0" w:space="0" w:color="auto"/>
        <w:right w:val="none" w:sz="0" w:space="0" w:color="auto"/>
      </w:divBdr>
    </w:div>
    <w:div w:id="2027054983">
      <w:bodyDiv w:val="1"/>
      <w:marLeft w:val="0"/>
      <w:marRight w:val="0"/>
      <w:marTop w:val="0"/>
      <w:marBottom w:val="0"/>
      <w:divBdr>
        <w:top w:val="none" w:sz="0" w:space="0" w:color="auto"/>
        <w:left w:val="none" w:sz="0" w:space="0" w:color="auto"/>
        <w:bottom w:val="none" w:sz="0" w:space="0" w:color="auto"/>
        <w:right w:val="none" w:sz="0" w:space="0" w:color="auto"/>
      </w:divBdr>
    </w:div>
    <w:div w:id="2048867972">
      <w:bodyDiv w:val="1"/>
      <w:marLeft w:val="0"/>
      <w:marRight w:val="0"/>
      <w:marTop w:val="0"/>
      <w:marBottom w:val="0"/>
      <w:divBdr>
        <w:top w:val="none" w:sz="0" w:space="0" w:color="auto"/>
        <w:left w:val="none" w:sz="0" w:space="0" w:color="auto"/>
        <w:bottom w:val="none" w:sz="0" w:space="0" w:color="auto"/>
        <w:right w:val="none" w:sz="0" w:space="0" w:color="auto"/>
      </w:divBdr>
    </w:div>
    <w:div w:id="2080053381">
      <w:bodyDiv w:val="1"/>
      <w:marLeft w:val="0"/>
      <w:marRight w:val="0"/>
      <w:marTop w:val="0"/>
      <w:marBottom w:val="0"/>
      <w:divBdr>
        <w:top w:val="none" w:sz="0" w:space="0" w:color="auto"/>
        <w:left w:val="none" w:sz="0" w:space="0" w:color="auto"/>
        <w:bottom w:val="none" w:sz="0" w:space="0" w:color="auto"/>
        <w:right w:val="none" w:sz="0" w:space="0" w:color="auto"/>
      </w:divBdr>
    </w:div>
    <w:div w:id="21163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ofid/ofy161" TargetMode="External"/><Relationship Id="rId18" Type="http://schemas.openxmlformats.org/officeDocument/2006/relationships/hyperlink" Target="https://www.google.com/search?q=https://doi.org/10.1016/j.diagmicrobio.2005.04.012" TargetMode="External"/><Relationship Id="rId26" Type="http://schemas.openxmlformats.org/officeDocument/2006/relationships/hyperlink" Target="https://doi.org/10.4097/kja.23630" TargetMode="External"/><Relationship Id="rId3" Type="http://schemas.microsoft.com/office/2007/relationships/stylesWithEffects" Target="stylesWithEffects.xml"/><Relationship Id="rId21" Type="http://schemas.openxmlformats.org/officeDocument/2006/relationships/hyperlink" Target="https://www.google.com/search?q=https://doi.org/10.1007/s12639-013-0368-x" TargetMode="External"/><Relationship Id="rId7" Type="http://schemas.openxmlformats.org/officeDocument/2006/relationships/endnotes" Target="endnotes.xml"/><Relationship Id="rId12" Type="http://schemas.openxmlformats.org/officeDocument/2006/relationships/hyperlink" Target="https://www.google.com/search?q=https://doi.org/10.4172/2155-9597.1000233" TargetMode="External"/><Relationship Id="rId17" Type="http://schemas.openxmlformats.org/officeDocument/2006/relationships/hyperlink" Target="https://www.cdc.gov/dpdx/amebiasis/index.html" TargetMode="External"/><Relationship Id="rId25" Type="http://schemas.openxmlformats.org/officeDocument/2006/relationships/hyperlink" Target="https://doi.org/10.4103/0019-5049.19062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com/search?q=https://doi.org/10.1007/s11894-018-0639-5" TargetMode="External"/><Relationship Id="rId20" Type="http://schemas.openxmlformats.org/officeDocument/2006/relationships/hyperlink" Target="https://www.google.com/search?q=https://doi.org/10.4065/83.10.1154" TargetMode="External"/><Relationship Id="rId29" Type="http://schemas.openxmlformats.org/officeDocument/2006/relationships/hyperlink" Target="https://doi.org/10.1111/1567-1364.1220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56/NEJMra022710" TargetMode="External"/><Relationship Id="rId24" Type="http://schemas.openxmlformats.org/officeDocument/2006/relationships/hyperlink" Target="https://doi.org/10.1128/CMR.16.4.713-729.200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com/search?q=https://doi.org/10.1016/j.molbiopara.2015.01.005" TargetMode="External"/><Relationship Id="rId23" Type="http://schemas.openxmlformats.org/officeDocument/2006/relationships/hyperlink" Target="https://researchonline.jcu.edu.au/59882/" TargetMode="External"/><Relationship Id="rId28" Type="http://schemas.openxmlformats.org/officeDocument/2006/relationships/hyperlink" Target="https://doi.org/10.1007/s12639-011-0051-x" TargetMode="External"/><Relationship Id="rId10" Type="http://schemas.openxmlformats.org/officeDocument/2006/relationships/image" Target="media/image2.png"/><Relationship Id="rId19" Type="http://schemas.openxmlformats.org/officeDocument/2006/relationships/hyperlink" Target="https://www.google.com/search?q=https://doi.org/10.1128/CMR.00004-07" TargetMode="External"/><Relationship Id="rId31" Type="http://schemas.openxmlformats.org/officeDocument/2006/relationships/hyperlink" Target="https://www.google.com/search?q=https://doi.org/10.1117/1.JBO.20.6.061108"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doi.org/10.1016/S0140-6736(03)12830-9" TargetMode="External"/><Relationship Id="rId22" Type="http://schemas.openxmlformats.org/officeDocument/2006/relationships/hyperlink" Target="https://www.news-medical.net/health/Potential-Health-Benefits-of-Methylene-Blue.aspx" TargetMode="External"/><Relationship Id="rId27" Type="http://schemas.openxmlformats.org/officeDocument/2006/relationships/hyperlink" Target="https://www.google.com/search?q=https://doi.org/10.1037/h0031619" TargetMode="External"/><Relationship Id="rId30" Type="http://schemas.openxmlformats.org/officeDocument/2006/relationships/hyperlink" Target="https://www.google.com/search?q=https://doi.org/10.1016/j.mpmed.2012.08.013"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12</Pages>
  <Words>5160</Words>
  <Characters>29412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Sherwin Toriano</dc:creator>
  <cp:keywords/>
  <dc:description/>
  <cp:lastModifiedBy>qwert</cp:lastModifiedBy>
  <cp:revision>50</cp:revision>
  <cp:lastPrinted>2026-04-12T14:26:00Z</cp:lastPrinted>
  <dcterms:created xsi:type="dcterms:W3CDTF">2026-03-20T15:11:00Z</dcterms:created>
  <dcterms:modified xsi:type="dcterms:W3CDTF">2026-04-14T08:07:00Z</dcterms:modified>
</cp:coreProperties>
</file>