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404" w:rsidRPr="00000A64" w:rsidRDefault="00EB1404" w:rsidP="00000A64">
      <w:pPr>
        <w:spacing w:line="240" w:lineRule="auto"/>
        <w:contextualSpacing/>
        <w:jc w:val="center"/>
        <w:rPr>
          <w:rFonts w:ascii="Times New Roman" w:hAnsi="Times New Roman" w:cs="Times New Roman"/>
          <w:sz w:val="36"/>
        </w:rPr>
      </w:pPr>
      <w:r w:rsidRPr="00000A64">
        <w:rPr>
          <w:rFonts w:ascii="Times New Roman" w:hAnsi="Times New Roman" w:cs="Times New Roman"/>
          <w:b/>
          <w:bCs/>
          <w:sz w:val="36"/>
        </w:rPr>
        <w:t xml:space="preserve">Community Perceptions and Traditional Knowledge of </w:t>
      </w:r>
      <w:r w:rsidRPr="00000A64">
        <w:rPr>
          <w:rFonts w:ascii="Times New Roman" w:hAnsi="Times New Roman" w:cs="Times New Roman"/>
          <w:b/>
          <w:bCs/>
          <w:i/>
          <w:iCs/>
          <w:sz w:val="36"/>
        </w:rPr>
        <w:t>Bidens pilosa</w:t>
      </w:r>
      <w:r w:rsidRPr="00000A64">
        <w:rPr>
          <w:rFonts w:ascii="Times New Roman" w:hAnsi="Times New Roman" w:cs="Times New Roman"/>
          <w:b/>
          <w:bCs/>
          <w:sz w:val="36"/>
        </w:rPr>
        <w:t xml:space="preserve"> in Malawi: Nutritional, Medicinal, and Economic Dimensions</w:t>
      </w:r>
    </w:p>
    <w:p w:rsidR="00EB1404" w:rsidRPr="00EB1404" w:rsidRDefault="00EB1404" w:rsidP="004C54E5">
      <w:pPr>
        <w:spacing w:line="240" w:lineRule="auto"/>
        <w:contextualSpacing/>
        <w:rPr>
          <w:rFonts w:ascii="Times New Roman" w:hAnsi="Times New Roman" w:cs="Times New Roman"/>
          <w:sz w:val="24"/>
        </w:rPr>
      </w:pPr>
    </w:p>
    <w:p w:rsidR="007D3ADB" w:rsidRPr="004975F2" w:rsidRDefault="007D3ADB" w:rsidP="007D3ADB">
      <w:pPr>
        <w:spacing w:before="100" w:beforeAutospacing="1" w:after="0" w:line="240" w:lineRule="auto"/>
        <w:contextualSpacing/>
        <w:jc w:val="center"/>
        <w:rPr>
          <w:rFonts w:ascii="Times New Roman" w:eastAsia="Calibri" w:hAnsi="Times New Roman" w:cs="Times New Roman"/>
          <w:kern w:val="2"/>
        </w:rPr>
      </w:pPr>
      <w:bookmarkStart w:id="0" w:name="_GoBack"/>
      <w:bookmarkEnd w:id="0"/>
    </w:p>
    <w:p w:rsidR="004C54E5" w:rsidRDefault="004C54E5" w:rsidP="00EB1404">
      <w:pPr>
        <w:spacing w:line="240" w:lineRule="auto"/>
        <w:contextualSpacing/>
        <w:rPr>
          <w:rFonts w:ascii="Times New Roman" w:hAnsi="Times New Roman" w:cs="Times New Roman"/>
          <w:b/>
          <w:bCs/>
          <w:sz w:val="24"/>
        </w:rPr>
      </w:pPr>
    </w:p>
    <w:p w:rsidR="00EB1404" w:rsidRPr="00EB1404" w:rsidRDefault="00EB1404" w:rsidP="00EB1404">
      <w:pPr>
        <w:spacing w:line="240" w:lineRule="auto"/>
        <w:contextualSpacing/>
        <w:rPr>
          <w:rFonts w:ascii="Times New Roman" w:hAnsi="Times New Roman" w:cs="Times New Roman"/>
          <w:b/>
          <w:bCs/>
          <w:sz w:val="24"/>
        </w:rPr>
      </w:pPr>
      <w:r w:rsidRPr="00EB1404">
        <w:rPr>
          <w:rFonts w:ascii="Times New Roman" w:hAnsi="Times New Roman" w:cs="Times New Roman"/>
          <w:b/>
          <w:bCs/>
          <w:sz w:val="24"/>
        </w:rPr>
        <w:t>Abstract</w:t>
      </w:r>
    </w:p>
    <w:p w:rsidR="00EB1404" w:rsidRPr="00EB1404" w:rsidRDefault="00EB1404" w:rsidP="003625A3">
      <w:pPr>
        <w:spacing w:line="240" w:lineRule="auto"/>
        <w:contextualSpacing/>
        <w:jc w:val="both"/>
        <w:rPr>
          <w:rFonts w:ascii="Times New Roman" w:hAnsi="Times New Roman" w:cs="Times New Roman"/>
          <w:sz w:val="24"/>
        </w:rPr>
      </w:pPr>
      <w:r w:rsidRPr="00EB1404">
        <w:rPr>
          <w:rFonts w:ascii="Times New Roman" w:hAnsi="Times New Roman" w:cs="Times New Roman"/>
          <w:i/>
          <w:iCs/>
          <w:sz w:val="24"/>
        </w:rPr>
        <w:t>Bidens pilosa</w:t>
      </w:r>
      <w:r w:rsidRPr="00EB1404">
        <w:rPr>
          <w:rFonts w:ascii="Times New Roman" w:hAnsi="Times New Roman" w:cs="Times New Roman"/>
          <w:sz w:val="24"/>
        </w:rPr>
        <w:t xml:space="preserve"> L. (Blackjack) is an indigenous plant widely distributed across Sub-Saharan Africa, traditionally valued for its nutritional and medicinal properties yet often dismissed as a weed (FAO, 2012; Pillai et al., 2020). Despite growing scientific evidence of its pharmacological potential (Pillai et al., 2020; Zhang et al., 2019), little is known about how local communities perceive and utilize this plant within their traditional knowledge systems. This study investigated household perceptions and traditional knowledge of </w:t>
      </w:r>
      <w:r w:rsidRPr="00EB1404">
        <w:rPr>
          <w:rFonts w:ascii="Times New Roman" w:hAnsi="Times New Roman" w:cs="Times New Roman"/>
          <w:i/>
          <w:iCs/>
          <w:sz w:val="24"/>
        </w:rPr>
        <w:t>Bidens pilosa</w:t>
      </w:r>
      <w:r w:rsidRPr="00EB1404">
        <w:rPr>
          <w:rFonts w:ascii="Times New Roman" w:hAnsi="Times New Roman" w:cs="Times New Roman"/>
          <w:sz w:val="24"/>
        </w:rPr>
        <w:t xml:space="preserve"> in rural and peri-urban Malawi, employing a mixed-methods design that combined household surveys, in-depth interviews, and focus group discussions. Quantitative data were analyzed using descriptive statistics, chi-square tests, and Principal Component Analysis (PCA), while qualitative data underwent thematic analysis. Findings revealed high awareness and consistently positive perceptions of </w:t>
      </w:r>
      <w:r w:rsidRPr="00EB1404">
        <w:rPr>
          <w:rFonts w:ascii="Times New Roman" w:hAnsi="Times New Roman" w:cs="Times New Roman"/>
          <w:i/>
          <w:iCs/>
          <w:sz w:val="24"/>
        </w:rPr>
        <w:t>Bidens pilosa</w:t>
      </w:r>
      <w:r w:rsidRPr="00EB1404">
        <w:rPr>
          <w:rFonts w:ascii="Times New Roman" w:hAnsi="Times New Roman" w:cs="Times New Roman"/>
          <w:sz w:val="24"/>
        </w:rPr>
        <w:t xml:space="preserve">, particularly regarding its medicinal and nutritional relevance. PCA identified two dominant components—medicinal–health and economic–nutraceutical—explaining 72.2% of the variance. Perceptions varied significantly across gender, education, occupation, and cooperative membership, with women and cooperative members expressing stronger positive views. Qualitative narratives underscored the plant’s cultural integration in food preparation, traditional healing, and income generation. The study concludes that </w:t>
      </w:r>
      <w:r w:rsidRPr="00EB1404">
        <w:rPr>
          <w:rFonts w:ascii="Times New Roman" w:hAnsi="Times New Roman" w:cs="Times New Roman"/>
          <w:i/>
          <w:iCs/>
          <w:sz w:val="24"/>
        </w:rPr>
        <w:t>Bidens pilosa</w:t>
      </w:r>
      <w:r w:rsidRPr="00EB1404">
        <w:rPr>
          <w:rFonts w:ascii="Times New Roman" w:hAnsi="Times New Roman" w:cs="Times New Roman"/>
          <w:sz w:val="24"/>
        </w:rPr>
        <w:t xml:space="preserve"> is deeply embedded in community knowledge and valued for its multifunctional benefits. These insights highlight its potential role in nutrition programs, primary healthcare, conservation initiatives, and smallholder commercialization strategies across Sub-Saharan Africa.</w:t>
      </w:r>
    </w:p>
    <w:p w:rsidR="00EB1404" w:rsidRDefault="00EB1404" w:rsidP="00EB1404">
      <w:pPr>
        <w:spacing w:line="240" w:lineRule="auto"/>
        <w:contextualSpacing/>
        <w:rPr>
          <w:rFonts w:ascii="Times New Roman" w:hAnsi="Times New Roman" w:cs="Times New Roman"/>
          <w:sz w:val="24"/>
        </w:rPr>
      </w:pPr>
    </w:p>
    <w:p w:rsidR="009E4827" w:rsidRDefault="009E4827" w:rsidP="00EB1404">
      <w:pPr>
        <w:spacing w:line="240" w:lineRule="auto"/>
        <w:contextualSpacing/>
        <w:rPr>
          <w:rFonts w:ascii="Times New Roman" w:hAnsi="Times New Roman" w:cs="Times New Roman"/>
          <w:sz w:val="24"/>
        </w:rPr>
      </w:pPr>
      <w:r w:rsidRPr="009E4827">
        <w:rPr>
          <w:rFonts w:ascii="Times New Roman" w:hAnsi="Times New Roman" w:cs="Times New Roman"/>
          <w:b/>
          <w:sz w:val="24"/>
        </w:rPr>
        <w:t xml:space="preserve">Keywords: </w:t>
      </w:r>
      <w:r>
        <w:rPr>
          <w:rFonts w:ascii="Times New Roman" w:hAnsi="Times New Roman" w:cs="Times New Roman"/>
          <w:sz w:val="24"/>
        </w:rPr>
        <w:t>Perception, Knowledge, Nutrition, Medicine, Economic value</w:t>
      </w:r>
    </w:p>
    <w:p w:rsidR="009E4827" w:rsidRPr="009E4827" w:rsidRDefault="009E4827" w:rsidP="00EB1404">
      <w:pPr>
        <w:spacing w:line="240" w:lineRule="auto"/>
        <w:contextualSpacing/>
        <w:rPr>
          <w:rFonts w:ascii="Times New Roman" w:hAnsi="Times New Roman" w:cs="Times New Roman"/>
          <w:sz w:val="24"/>
        </w:rPr>
      </w:pPr>
    </w:p>
    <w:p w:rsidR="00EB1404" w:rsidRPr="00EB1404" w:rsidRDefault="00EB1404" w:rsidP="00EB1404">
      <w:pPr>
        <w:spacing w:line="240" w:lineRule="auto"/>
        <w:contextualSpacing/>
        <w:rPr>
          <w:rFonts w:ascii="Times New Roman" w:hAnsi="Times New Roman" w:cs="Times New Roman"/>
          <w:b/>
          <w:bCs/>
          <w:sz w:val="24"/>
        </w:rPr>
      </w:pPr>
      <w:r w:rsidRPr="00EB1404">
        <w:rPr>
          <w:rFonts w:ascii="Times New Roman" w:hAnsi="Times New Roman" w:cs="Times New Roman"/>
          <w:b/>
          <w:bCs/>
          <w:sz w:val="24"/>
        </w:rPr>
        <w:t>Introduction</w:t>
      </w:r>
    </w:p>
    <w:p w:rsidR="00EB1404" w:rsidRDefault="00EB1404" w:rsidP="00000A64">
      <w:pPr>
        <w:spacing w:line="240" w:lineRule="auto"/>
        <w:contextualSpacing/>
        <w:jc w:val="both"/>
        <w:rPr>
          <w:rFonts w:ascii="Times New Roman" w:hAnsi="Times New Roman" w:cs="Times New Roman"/>
          <w:sz w:val="24"/>
        </w:rPr>
      </w:pPr>
      <w:r w:rsidRPr="00EB1404">
        <w:rPr>
          <w:rFonts w:ascii="Times New Roman" w:hAnsi="Times New Roman" w:cs="Times New Roman"/>
          <w:sz w:val="24"/>
        </w:rPr>
        <w:t xml:space="preserve">Indigenous plants play a critical role in sustaining food security, healthcare, and rural livelihoods across Sub-Saharan Africa (FAO, 2012). Among these, </w:t>
      </w:r>
      <w:r w:rsidRPr="00EB1404">
        <w:rPr>
          <w:rFonts w:ascii="Times New Roman" w:hAnsi="Times New Roman" w:cs="Times New Roman"/>
          <w:i/>
          <w:iCs/>
          <w:sz w:val="24"/>
        </w:rPr>
        <w:t>Bidens pilosa</w:t>
      </w:r>
      <w:r w:rsidRPr="00EB1404">
        <w:rPr>
          <w:rFonts w:ascii="Times New Roman" w:hAnsi="Times New Roman" w:cs="Times New Roman"/>
          <w:sz w:val="24"/>
        </w:rPr>
        <w:t xml:space="preserve"> L.—commonly known as Blackjack—remains paradoxically underutilized despite its resilience, nutritional value, and long-standing medicinal applications (Pillai et al., 2020; Zhang et al., 2019). Belonging to the Asteraceae family, </w:t>
      </w:r>
      <w:r w:rsidRPr="00EB1404">
        <w:rPr>
          <w:rFonts w:ascii="Times New Roman" w:hAnsi="Times New Roman" w:cs="Times New Roman"/>
          <w:i/>
          <w:iCs/>
          <w:sz w:val="24"/>
        </w:rPr>
        <w:t>Bidens pilosa</w:t>
      </w:r>
      <w:r w:rsidRPr="00EB1404">
        <w:rPr>
          <w:rFonts w:ascii="Times New Roman" w:hAnsi="Times New Roman" w:cs="Times New Roman"/>
          <w:sz w:val="24"/>
        </w:rPr>
        <w:t xml:space="preserve"> thrives in diverse climatic conditions and has been recognized by the Food and Agriculture Organisation of the United Nations as both edible and medicinal (FAO, 2012). Across Africa, Asia, and South America, the plant has historically been employed to treat ailments ranging from malaria and respiratory infections to skin conditions, owing to its rich composition of flavonoids, </w:t>
      </w:r>
      <w:proofErr w:type="spellStart"/>
      <w:r w:rsidRPr="00EB1404">
        <w:rPr>
          <w:rFonts w:ascii="Times New Roman" w:hAnsi="Times New Roman" w:cs="Times New Roman"/>
          <w:sz w:val="24"/>
        </w:rPr>
        <w:t>phenolics</w:t>
      </w:r>
      <w:proofErr w:type="spellEnd"/>
      <w:r w:rsidRPr="00EB1404">
        <w:rPr>
          <w:rFonts w:ascii="Times New Roman" w:hAnsi="Times New Roman" w:cs="Times New Roman"/>
          <w:sz w:val="24"/>
        </w:rPr>
        <w:t xml:space="preserve">, alkaloids, and </w:t>
      </w:r>
      <w:proofErr w:type="spellStart"/>
      <w:r w:rsidRPr="00EB1404">
        <w:rPr>
          <w:rFonts w:ascii="Times New Roman" w:hAnsi="Times New Roman" w:cs="Times New Roman"/>
          <w:sz w:val="24"/>
        </w:rPr>
        <w:t>terpenoids</w:t>
      </w:r>
      <w:proofErr w:type="spellEnd"/>
      <w:r w:rsidRPr="00EB1404">
        <w:rPr>
          <w:rFonts w:ascii="Times New Roman" w:hAnsi="Times New Roman" w:cs="Times New Roman"/>
          <w:sz w:val="24"/>
        </w:rPr>
        <w:t xml:space="preserve"> with antioxidant, antimicrobial, and anti-inflammatory properties (Chen et al., 2018; Silva et al., 2014).</w:t>
      </w:r>
    </w:p>
    <w:p w:rsidR="00EB1404" w:rsidRDefault="00EB1404" w:rsidP="00EB1404">
      <w:pPr>
        <w:spacing w:line="240" w:lineRule="auto"/>
        <w:contextualSpacing/>
        <w:rPr>
          <w:rFonts w:ascii="Times New Roman" w:hAnsi="Times New Roman" w:cs="Times New Roman"/>
          <w:sz w:val="24"/>
        </w:rPr>
      </w:pPr>
    </w:p>
    <w:p w:rsidR="005F5696" w:rsidRPr="00EB1404" w:rsidRDefault="005F5696" w:rsidP="00EB1404">
      <w:pPr>
        <w:spacing w:line="240" w:lineRule="auto"/>
        <w:contextualSpacing/>
        <w:rPr>
          <w:rFonts w:ascii="Times New Roman" w:hAnsi="Times New Roman" w:cs="Times New Roman"/>
          <w:sz w:val="24"/>
        </w:rPr>
      </w:pPr>
    </w:p>
    <w:p w:rsidR="00556E88" w:rsidRPr="00556E88" w:rsidRDefault="00556E88" w:rsidP="00556E88">
      <w:pPr>
        <w:spacing w:line="240" w:lineRule="auto"/>
        <w:contextualSpacing/>
        <w:jc w:val="both"/>
        <w:rPr>
          <w:rFonts w:ascii="Times New Roman" w:hAnsi="Times New Roman" w:cs="Times New Roman"/>
          <w:sz w:val="24"/>
        </w:rPr>
      </w:pPr>
      <w:r w:rsidRPr="00556E88">
        <w:rPr>
          <w:rFonts w:ascii="Times New Roman" w:hAnsi="Times New Roman" w:cs="Times New Roman"/>
          <w:sz w:val="24"/>
        </w:rPr>
        <w:t xml:space="preserve">Although laboratory research has demonstrated its pharmacological potential (Chen et al., 2018; Silva et al., 2014), the socio-cultural aspects of </w:t>
      </w:r>
      <w:proofErr w:type="spellStart"/>
      <w:r w:rsidRPr="00091608">
        <w:rPr>
          <w:rFonts w:ascii="Times New Roman" w:hAnsi="Times New Roman" w:cs="Times New Roman"/>
          <w:i/>
          <w:sz w:val="24"/>
        </w:rPr>
        <w:t>Bidens</w:t>
      </w:r>
      <w:proofErr w:type="spellEnd"/>
      <w:r w:rsidRPr="00091608">
        <w:rPr>
          <w:rFonts w:ascii="Times New Roman" w:hAnsi="Times New Roman" w:cs="Times New Roman"/>
          <w:i/>
          <w:sz w:val="24"/>
        </w:rPr>
        <w:t xml:space="preserve"> </w:t>
      </w:r>
      <w:proofErr w:type="spellStart"/>
      <w:r w:rsidRPr="00091608">
        <w:rPr>
          <w:rFonts w:ascii="Times New Roman" w:hAnsi="Times New Roman" w:cs="Times New Roman"/>
          <w:i/>
          <w:sz w:val="24"/>
        </w:rPr>
        <w:t>pilosa</w:t>
      </w:r>
      <w:proofErr w:type="spellEnd"/>
      <w:r w:rsidRPr="00556E88">
        <w:rPr>
          <w:rFonts w:ascii="Times New Roman" w:hAnsi="Times New Roman" w:cs="Times New Roman"/>
          <w:sz w:val="24"/>
        </w:rPr>
        <w:t xml:space="preserve"> have been largely neglected in studies conducted in Sub-Saharan Africa. In particular, there is a lack of understanding regarding </w:t>
      </w:r>
      <w:r w:rsidRPr="00556E88">
        <w:rPr>
          <w:rFonts w:ascii="Times New Roman" w:hAnsi="Times New Roman" w:cs="Times New Roman"/>
          <w:sz w:val="24"/>
        </w:rPr>
        <w:lastRenderedPageBreak/>
        <w:t xml:space="preserve">how rural and </w:t>
      </w:r>
      <w:proofErr w:type="spellStart"/>
      <w:r w:rsidRPr="00556E88">
        <w:rPr>
          <w:rFonts w:ascii="Times New Roman" w:hAnsi="Times New Roman" w:cs="Times New Roman"/>
          <w:sz w:val="24"/>
        </w:rPr>
        <w:t>peri</w:t>
      </w:r>
      <w:proofErr w:type="spellEnd"/>
      <w:r w:rsidRPr="00556E88">
        <w:rPr>
          <w:rFonts w:ascii="Times New Roman" w:hAnsi="Times New Roman" w:cs="Times New Roman"/>
          <w:sz w:val="24"/>
        </w:rPr>
        <w:t xml:space="preserve">-urban households understand and </w:t>
      </w:r>
      <w:r w:rsidR="00091608" w:rsidRPr="00556E88">
        <w:rPr>
          <w:rFonts w:ascii="Times New Roman" w:hAnsi="Times New Roman" w:cs="Times New Roman"/>
          <w:sz w:val="24"/>
        </w:rPr>
        <w:t>perceive</w:t>
      </w:r>
      <w:r w:rsidRPr="00556E88">
        <w:rPr>
          <w:rFonts w:ascii="Times New Roman" w:hAnsi="Times New Roman" w:cs="Times New Roman"/>
          <w:sz w:val="24"/>
        </w:rPr>
        <w:t xml:space="preserve"> its nutritional, medicinal, and economic significance, as well as how traditional knowledge shapes its cultivation, consumption, and commercialization (Pillai et al., 2020). This deficiency hinders the incorporation of </w:t>
      </w:r>
      <w:proofErr w:type="spellStart"/>
      <w:r w:rsidRPr="00091608">
        <w:rPr>
          <w:rFonts w:ascii="Times New Roman" w:hAnsi="Times New Roman" w:cs="Times New Roman"/>
          <w:i/>
          <w:sz w:val="24"/>
        </w:rPr>
        <w:t>Bidens</w:t>
      </w:r>
      <w:proofErr w:type="spellEnd"/>
      <w:r w:rsidRPr="00091608">
        <w:rPr>
          <w:rFonts w:ascii="Times New Roman" w:hAnsi="Times New Roman" w:cs="Times New Roman"/>
          <w:i/>
          <w:sz w:val="24"/>
        </w:rPr>
        <w:t xml:space="preserve"> </w:t>
      </w:r>
      <w:proofErr w:type="spellStart"/>
      <w:r w:rsidRPr="00091608">
        <w:rPr>
          <w:rFonts w:ascii="Times New Roman" w:hAnsi="Times New Roman" w:cs="Times New Roman"/>
          <w:i/>
          <w:sz w:val="24"/>
        </w:rPr>
        <w:t>pilosa</w:t>
      </w:r>
      <w:proofErr w:type="spellEnd"/>
      <w:r w:rsidRPr="00556E88">
        <w:rPr>
          <w:rFonts w:ascii="Times New Roman" w:hAnsi="Times New Roman" w:cs="Times New Roman"/>
          <w:sz w:val="24"/>
        </w:rPr>
        <w:t xml:space="preserve"> into national initiatives aimed at enhancing food and nutrition security, primary healthcare, and rural enterprise development. In Malawi, where indigenous vegetables play a crucial role in household diets and livelihoods, there is a notable scarcity of systematic evidence concerning community perceptions of </w:t>
      </w:r>
      <w:proofErr w:type="spellStart"/>
      <w:r w:rsidRPr="00091608">
        <w:rPr>
          <w:rFonts w:ascii="Times New Roman" w:hAnsi="Times New Roman" w:cs="Times New Roman"/>
          <w:i/>
          <w:sz w:val="24"/>
        </w:rPr>
        <w:t>Bidens</w:t>
      </w:r>
      <w:proofErr w:type="spellEnd"/>
      <w:r w:rsidRPr="00091608">
        <w:rPr>
          <w:rFonts w:ascii="Times New Roman" w:hAnsi="Times New Roman" w:cs="Times New Roman"/>
          <w:i/>
          <w:sz w:val="24"/>
        </w:rPr>
        <w:t xml:space="preserve"> </w:t>
      </w:r>
      <w:proofErr w:type="spellStart"/>
      <w:r w:rsidRPr="00091608">
        <w:rPr>
          <w:rFonts w:ascii="Times New Roman" w:hAnsi="Times New Roman" w:cs="Times New Roman"/>
          <w:i/>
          <w:sz w:val="24"/>
        </w:rPr>
        <w:t>pilosa</w:t>
      </w:r>
      <w:proofErr w:type="spellEnd"/>
      <w:r w:rsidRPr="00556E88">
        <w:rPr>
          <w:rFonts w:ascii="Times New Roman" w:hAnsi="Times New Roman" w:cs="Times New Roman"/>
          <w:sz w:val="24"/>
        </w:rPr>
        <w:t>.</w:t>
      </w:r>
    </w:p>
    <w:p w:rsidR="00EB1404" w:rsidRPr="00EB1404" w:rsidRDefault="00EB1404" w:rsidP="00EB1404">
      <w:pPr>
        <w:spacing w:line="240" w:lineRule="auto"/>
        <w:contextualSpacing/>
        <w:jc w:val="both"/>
        <w:rPr>
          <w:rFonts w:ascii="Times New Roman" w:hAnsi="Times New Roman" w:cs="Times New Roman"/>
          <w:sz w:val="24"/>
        </w:rPr>
      </w:pPr>
    </w:p>
    <w:p w:rsidR="00EB1404" w:rsidRDefault="00EB1404" w:rsidP="00EB1404">
      <w:pPr>
        <w:spacing w:line="240" w:lineRule="auto"/>
        <w:contextualSpacing/>
        <w:jc w:val="both"/>
        <w:rPr>
          <w:rFonts w:ascii="Times New Roman" w:hAnsi="Times New Roman" w:cs="Times New Roman"/>
          <w:sz w:val="24"/>
        </w:rPr>
      </w:pPr>
      <w:r w:rsidRPr="00EB1404">
        <w:rPr>
          <w:rFonts w:ascii="Times New Roman" w:hAnsi="Times New Roman" w:cs="Times New Roman"/>
          <w:sz w:val="24"/>
        </w:rPr>
        <w:t xml:space="preserve">This study addresses this gap by examining traditional knowledge and perceptions of </w:t>
      </w:r>
      <w:proofErr w:type="spellStart"/>
      <w:r w:rsidRPr="00EB1404">
        <w:rPr>
          <w:rFonts w:ascii="Times New Roman" w:hAnsi="Times New Roman" w:cs="Times New Roman"/>
          <w:i/>
          <w:iCs/>
          <w:sz w:val="24"/>
        </w:rPr>
        <w:t>Bidens</w:t>
      </w:r>
      <w:proofErr w:type="spellEnd"/>
      <w:r w:rsidRPr="00EB1404">
        <w:rPr>
          <w:rFonts w:ascii="Times New Roman" w:hAnsi="Times New Roman" w:cs="Times New Roman"/>
          <w:i/>
          <w:iCs/>
          <w:sz w:val="24"/>
        </w:rPr>
        <w:t xml:space="preserve"> </w:t>
      </w:r>
      <w:proofErr w:type="spellStart"/>
      <w:r w:rsidRPr="00EB1404">
        <w:rPr>
          <w:rFonts w:ascii="Times New Roman" w:hAnsi="Times New Roman" w:cs="Times New Roman"/>
          <w:i/>
          <w:iCs/>
          <w:sz w:val="24"/>
        </w:rPr>
        <w:t>pilosa</w:t>
      </w:r>
      <w:proofErr w:type="spellEnd"/>
      <w:r w:rsidRPr="00EB1404">
        <w:rPr>
          <w:rFonts w:ascii="Times New Roman" w:hAnsi="Times New Roman" w:cs="Times New Roman"/>
          <w:sz w:val="24"/>
        </w:rPr>
        <w:t xml:space="preserve"> among farming households in Lilongwe District, Malawi. Guided by a conceptual framework linking knowledge systems, perceptions, and socio-demographic characteristics, the research explores how communities value the plant across nutritional, medicinal, and economic dimensions. By combining quantitative and qualitative approaches, the study provides a nuanced understanding of how perceptions shape utilization and highlights pathways for integrating </w:t>
      </w:r>
      <w:proofErr w:type="spellStart"/>
      <w:r w:rsidRPr="00EB1404">
        <w:rPr>
          <w:rFonts w:ascii="Times New Roman" w:hAnsi="Times New Roman" w:cs="Times New Roman"/>
          <w:i/>
          <w:iCs/>
          <w:sz w:val="24"/>
        </w:rPr>
        <w:t>Bidens</w:t>
      </w:r>
      <w:proofErr w:type="spellEnd"/>
      <w:r w:rsidRPr="00EB1404">
        <w:rPr>
          <w:rFonts w:ascii="Times New Roman" w:hAnsi="Times New Roman" w:cs="Times New Roman"/>
          <w:i/>
          <w:iCs/>
          <w:sz w:val="24"/>
        </w:rPr>
        <w:t xml:space="preserve"> </w:t>
      </w:r>
      <w:proofErr w:type="spellStart"/>
      <w:r w:rsidRPr="00EB1404">
        <w:rPr>
          <w:rFonts w:ascii="Times New Roman" w:hAnsi="Times New Roman" w:cs="Times New Roman"/>
          <w:i/>
          <w:iCs/>
          <w:sz w:val="24"/>
        </w:rPr>
        <w:t>pilosa</w:t>
      </w:r>
      <w:proofErr w:type="spellEnd"/>
      <w:r w:rsidRPr="00EB1404">
        <w:rPr>
          <w:rFonts w:ascii="Times New Roman" w:hAnsi="Times New Roman" w:cs="Times New Roman"/>
          <w:sz w:val="24"/>
        </w:rPr>
        <w:t xml:space="preserve"> into sustainable development initiatives.</w:t>
      </w:r>
      <w:r w:rsidR="00556E88">
        <w:rPr>
          <w:rFonts w:ascii="Times New Roman" w:hAnsi="Times New Roman" w:cs="Times New Roman"/>
          <w:sz w:val="24"/>
        </w:rPr>
        <w:t xml:space="preserve"> </w:t>
      </w:r>
    </w:p>
    <w:p w:rsidR="00BC7CF4" w:rsidRPr="00BC7CF4" w:rsidRDefault="00BC7CF4" w:rsidP="00BC7CF4">
      <w:pPr>
        <w:spacing w:line="240" w:lineRule="auto"/>
        <w:contextualSpacing/>
        <w:jc w:val="both"/>
        <w:rPr>
          <w:rFonts w:ascii="Times New Roman" w:hAnsi="Times New Roman" w:cs="Times New Roman"/>
          <w:sz w:val="24"/>
        </w:rPr>
      </w:pPr>
    </w:p>
    <w:p w:rsidR="00BC7CF4" w:rsidRDefault="00BC7CF4" w:rsidP="00BC7CF4">
      <w:pPr>
        <w:spacing w:line="240" w:lineRule="auto"/>
        <w:contextualSpacing/>
        <w:jc w:val="both"/>
        <w:rPr>
          <w:rFonts w:ascii="Times New Roman" w:hAnsi="Times New Roman" w:cs="Times New Roman"/>
          <w:b/>
          <w:bCs/>
          <w:sz w:val="24"/>
        </w:rPr>
      </w:pPr>
      <w:r w:rsidRPr="00BC7CF4">
        <w:rPr>
          <w:rFonts w:ascii="Times New Roman" w:hAnsi="Times New Roman" w:cs="Times New Roman"/>
          <w:b/>
          <w:bCs/>
          <w:sz w:val="24"/>
        </w:rPr>
        <w:t>Literature Review</w:t>
      </w:r>
    </w:p>
    <w:p w:rsidR="00D54E04" w:rsidRPr="00BC7CF4" w:rsidRDefault="00D54E04" w:rsidP="00BC7CF4">
      <w:pPr>
        <w:spacing w:line="240" w:lineRule="auto"/>
        <w:contextualSpacing/>
        <w:jc w:val="both"/>
        <w:rPr>
          <w:rFonts w:ascii="Times New Roman" w:hAnsi="Times New Roman" w:cs="Times New Roman"/>
          <w:b/>
          <w:bCs/>
          <w:sz w:val="24"/>
        </w:rPr>
      </w:pPr>
    </w:p>
    <w:p w:rsidR="00BC7CF4" w:rsidRPr="006B21D5" w:rsidRDefault="00BC7CF4" w:rsidP="00BC7CF4">
      <w:pPr>
        <w:spacing w:line="240" w:lineRule="auto"/>
        <w:contextualSpacing/>
        <w:jc w:val="both"/>
        <w:rPr>
          <w:rFonts w:ascii="Times New Roman" w:hAnsi="Times New Roman" w:cs="Times New Roman"/>
          <w:b/>
          <w:bCs/>
          <w:i/>
          <w:sz w:val="24"/>
        </w:rPr>
      </w:pPr>
      <w:r w:rsidRPr="006B21D5">
        <w:rPr>
          <w:rFonts w:ascii="Times New Roman" w:hAnsi="Times New Roman" w:cs="Times New Roman"/>
          <w:b/>
          <w:bCs/>
          <w:i/>
          <w:sz w:val="24"/>
        </w:rPr>
        <w:t xml:space="preserve">Nutritional and Medicinal Value of </w:t>
      </w:r>
      <w:proofErr w:type="spellStart"/>
      <w:r w:rsidRPr="006B21D5">
        <w:rPr>
          <w:rFonts w:ascii="Times New Roman" w:hAnsi="Times New Roman" w:cs="Times New Roman"/>
          <w:b/>
          <w:bCs/>
          <w:i/>
          <w:iCs/>
          <w:sz w:val="24"/>
        </w:rPr>
        <w:t>Bidens</w:t>
      </w:r>
      <w:proofErr w:type="spellEnd"/>
      <w:r w:rsidRPr="006B21D5">
        <w:rPr>
          <w:rFonts w:ascii="Times New Roman" w:hAnsi="Times New Roman" w:cs="Times New Roman"/>
          <w:b/>
          <w:bCs/>
          <w:i/>
          <w:iCs/>
          <w:sz w:val="24"/>
        </w:rPr>
        <w:t xml:space="preserve"> </w:t>
      </w:r>
      <w:proofErr w:type="spellStart"/>
      <w:r w:rsidRPr="006B21D5">
        <w:rPr>
          <w:rFonts w:ascii="Times New Roman" w:hAnsi="Times New Roman" w:cs="Times New Roman"/>
          <w:b/>
          <w:bCs/>
          <w:i/>
          <w:iCs/>
          <w:sz w:val="24"/>
        </w:rPr>
        <w:t>pilosa</w:t>
      </w:r>
      <w:proofErr w:type="spellEnd"/>
    </w:p>
    <w:p w:rsidR="00BC7CF4" w:rsidRDefault="00BC7CF4" w:rsidP="00BC7CF4">
      <w:pPr>
        <w:spacing w:line="240" w:lineRule="auto"/>
        <w:contextualSpacing/>
        <w:jc w:val="both"/>
        <w:rPr>
          <w:rFonts w:ascii="Times New Roman" w:hAnsi="Times New Roman" w:cs="Times New Roman"/>
          <w:sz w:val="24"/>
        </w:rPr>
      </w:pPr>
      <w:proofErr w:type="spellStart"/>
      <w:r w:rsidRPr="00BC7CF4">
        <w:rPr>
          <w:rFonts w:ascii="Times New Roman" w:hAnsi="Times New Roman" w:cs="Times New Roman"/>
          <w:i/>
          <w:iCs/>
          <w:sz w:val="24"/>
        </w:rPr>
        <w:t>Bidens</w:t>
      </w:r>
      <w:proofErr w:type="spellEnd"/>
      <w:r w:rsidRPr="00BC7CF4">
        <w:rPr>
          <w:rFonts w:ascii="Times New Roman" w:hAnsi="Times New Roman" w:cs="Times New Roman"/>
          <w:i/>
          <w:iCs/>
          <w:sz w:val="24"/>
        </w:rPr>
        <w:t xml:space="preserve"> </w:t>
      </w:r>
      <w:proofErr w:type="spellStart"/>
      <w:r w:rsidRPr="00BC7CF4">
        <w:rPr>
          <w:rFonts w:ascii="Times New Roman" w:hAnsi="Times New Roman" w:cs="Times New Roman"/>
          <w:i/>
          <w:iCs/>
          <w:sz w:val="24"/>
        </w:rPr>
        <w:t>pilosa</w:t>
      </w:r>
      <w:proofErr w:type="spellEnd"/>
      <w:r w:rsidRPr="00BC7CF4">
        <w:rPr>
          <w:rFonts w:ascii="Times New Roman" w:hAnsi="Times New Roman" w:cs="Times New Roman"/>
          <w:sz w:val="24"/>
        </w:rPr>
        <w:t xml:space="preserve"> L. has long been recognized as a multipurpose indigenous plant with both nutritional and medicinal applications. Phytochemical analyses reveal that the plant contains flavonoids, </w:t>
      </w:r>
      <w:proofErr w:type="spellStart"/>
      <w:r w:rsidRPr="00BC7CF4">
        <w:rPr>
          <w:rFonts w:ascii="Times New Roman" w:hAnsi="Times New Roman" w:cs="Times New Roman"/>
          <w:sz w:val="24"/>
        </w:rPr>
        <w:t>phenolics</w:t>
      </w:r>
      <w:proofErr w:type="spellEnd"/>
      <w:r w:rsidRPr="00BC7CF4">
        <w:rPr>
          <w:rFonts w:ascii="Times New Roman" w:hAnsi="Times New Roman" w:cs="Times New Roman"/>
          <w:sz w:val="24"/>
        </w:rPr>
        <w:t xml:space="preserve">, alkaloids, and </w:t>
      </w:r>
      <w:proofErr w:type="spellStart"/>
      <w:r w:rsidRPr="00BC7CF4">
        <w:rPr>
          <w:rFonts w:ascii="Times New Roman" w:hAnsi="Times New Roman" w:cs="Times New Roman"/>
          <w:sz w:val="24"/>
        </w:rPr>
        <w:t>terpenoids</w:t>
      </w:r>
      <w:proofErr w:type="spellEnd"/>
      <w:r w:rsidRPr="00BC7CF4">
        <w:rPr>
          <w:rFonts w:ascii="Times New Roman" w:hAnsi="Times New Roman" w:cs="Times New Roman"/>
          <w:sz w:val="24"/>
        </w:rPr>
        <w:t xml:space="preserve">, compounds associated with antioxidant, antimicrobial, anti-inflammatory, and anticancer properties (Chen et al., 2018; Silva et al., 2014). Laboratory studies demonstrate its efficacy against bacterial and fungal infections, as well as its potential to enhance immune function and promote digestive health (Zhang et al., 2019). In traditional medicine, </w:t>
      </w:r>
      <w:proofErr w:type="spellStart"/>
      <w:r w:rsidRPr="00BC7CF4">
        <w:rPr>
          <w:rFonts w:ascii="Times New Roman" w:hAnsi="Times New Roman" w:cs="Times New Roman"/>
          <w:i/>
          <w:iCs/>
          <w:sz w:val="24"/>
        </w:rPr>
        <w:t>Bidens</w:t>
      </w:r>
      <w:proofErr w:type="spellEnd"/>
      <w:r w:rsidRPr="00BC7CF4">
        <w:rPr>
          <w:rFonts w:ascii="Times New Roman" w:hAnsi="Times New Roman" w:cs="Times New Roman"/>
          <w:i/>
          <w:iCs/>
          <w:sz w:val="24"/>
        </w:rPr>
        <w:t xml:space="preserve"> </w:t>
      </w:r>
      <w:proofErr w:type="spellStart"/>
      <w:r w:rsidRPr="00BC7CF4">
        <w:rPr>
          <w:rFonts w:ascii="Times New Roman" w:hAnsi="Times New Roman" w:cs="Times New Roman"/>
          <w:i/>
          <w:iCs/>
          <w:sz w:val="24"/>
        </w:rPr>
        <w:t>pilosa</w:t>
      </w:r>
      <w:proofErr w:type="spellEnd"/>
      <w:r w:rsidRPr="00BC7CF4">
        <w:rPr>
          <w:rFonts w:ascii="Times New Roman" w:hAnsi="Times New Roman" w:cs="Times New Roman"/>
          <w:sz w:val="24"/>
        </w:rPr>
        <w:t xml:space="preserve"> has been widely used to treat malaria, respiratory ailments, wounds, and skin conditions across Africa, Asia, and South America (Pillai et al., 2020).</w:t>
      </w:r>
    </w:p>
    <w:p w:rsidR="006B21D5" w:rsidRPr="00BC7CF4" w:rsidRDefault="006B21D5" w:rsidP="00BC7CF4">
      <w:pPr>
        <w:spacing w:line="240" w:lineRule="auto"/>
        <w:contextualSpacing/>
        <w:jc w:val="both"/>
        <w:rPr>
          <w:rFonts w:ascii="Times New Roman" w:hAnsi="Times New Roman" w:cs="Times New Roman"/>
          <w:sz w:val="24"/>
        </w:rPr>
      </w:pPr>
    </w:p>
    <w:p w:rsidR="00BC7CF4" w:rsidRPr="006B21D5" w:rsidRDefault="00BC7CF4" w:rsidP="00BC7CF4">
      <w:pPr>
        <w:spacing w:line="240" w:lineRule="auto"/>
        <w:contextualSpacing/>
        <w:jc w:val="both"/>
        <w:rPr>
          <w:rFonts w:ascii="Times New Roman" w:hAnsi="Times New Roman" w:cs="Times New Roman"/>
          <w:b/>
          <w:bCs/>
          <w:i/>
          <w:sz w:val="24"/>
        </w:rPr>
      </w:pPr>
      <w:r w:rsidRPr="006B21D5">
        <w:rPr>
          <w:rFonts w:ascii="Times New Roman" w:hAnsi="Times New Roman" w:cs="Times New Roman"/>
          <w:b/>
          <w:bCs/>
          <w:i/>
          <w:sz w:val="24"/>
        </w:rPr>
        <w:t>Socio-Cultural Dimensions of Indigenous Plant Use</w:t>
      </w:r>
    </w:p>
    <w:p w:rsidR="00BC7CF4" w:rsidRDefault="00BC7CF4" w:rsidP="00BC7CF4">
      <w:pPr>
        <w:spacing w:line="240" w:lineRule="auto"/>
        <w:contextualSpacing/>
        <w:jc w:val="both"/>
        <w:rPr>
          <w:rFonts w:ascii="Times New Roman" w:hAnsi="Times New Roman" w:cs="Times New Roman"/>
          <w:sz w:val="24"/>
        </w:rPr>
      </w:pPr>
      <w:r w:rsidRPr="00BC7CF4">
        <w:rPr>
          <w:rFonts w:ascii="Times New Roman" w:hAnsi="Times New Roman" w:cs="Times New Roman"/>
          <w:sz w:val="24"/>
        </w:rPr>
        <w:t xml:space="preserve">Despite its pharmacological promise, </w:t>
      </w:r>
      <w:proofErr w:type="spellStart"/>
      <w:r w:rsidRPr="00BC7CF4">
        <w:rPr>
          <w:rFonts w:ascii="Times New Roman" w:hAnsi="Times New Roman" w:cs="Times New Roman"/>
          <w:i/>
          <w:iCs/>
          <w:sz w:val="24"/>
        </w:rPr>
        <w:t>Bidens</w:t>
      </w:r>
      <w:proofErr w:type="spellEnd"/>
      <w:r w:rsidRPr="00BC7CF4">
        <w:rPr>
          <w:rFonts w:ascii="Times New Roman" w:hAnsi="Times New Roman" w:cs="Times New Roman"/>
          <w:i/>
          <w:iCs/>
          <w:sz w:val="24"/>
        </w:rPr>
        <w:t xml:space="preserve"> </w:t>
      </w:r>
      <w:proofErr w:type="spellStart"/>
      <w:r w:rsidRPr="00BC7CF4">
        <w:rPr>
          <w:rFonts w:ascii="Times New Roman" w:hAnsi="Times New Roman" w:cs="Times New Roman"/>
          <w:i/>
          <w:iCs/>
          <w:sz w:val="24"/>
        </w:rPr>
        <w:t>pilosa</w:t>
      </w:r>
      <w:proofErr w:type="spellEnd"/>
      <w:r w:rsidRPr="00BC7CF4">
        <w:rPr>
          <w:rFonts w:ascii="Times New Roman" w:hAnsi="Times New Roman" w:cs="Times New Roman"/>
          <w:sz w:val="24"/>
        </w:rPr>
        <w:t xml:space="preserve"> is often dismissed as a weed in Sub-Saharan Africa (FAO, 2012). This reflects a broader trend where indigenous vegetables are undervalued compared to exotic crops, despite their cultural integration into diets and healthcare practices (</w:t>
      </w:r>
      <w:proofErr w:type="spellStart"/>
      <w:r w:rsidRPr="00BC7CF4">
        <w:rPr>
          <w:rFonts w:ascii="Times New Roman" w:hAnsi="Times New Roman" w:cs="Times New Roman"/>
          <w:sz w:val="24"/>
        </w:rPr>
        <w:t>Maseko</w:t>
      </w:r>
      <w:proofErr w:type="spellEnd"/>
      <w:r w:rsidRPr="00BC7CF4">
        <w:rPr>
          <w:rFonts w:ascii="Times New Roman" w:hAnsi="Times New Roman" w:cs="Times New Roman"/>
          <w:sz w:val="24"/>
        </w:rPr>
        <w:t xml:space="preserve"> et al., 2017). Traditional knowledge systems, transmitted </w:t>
      </w:r>
      <w:r w:rsidR="00091608" w:rsidRPr="00BC7CF4">
        <w:rPr>
          <w:rFonts w:ascii="Times New Roman" w:hAnsi="Times New Roman" w:cs="Times New Roman"/>
          <w:sz w:val="24"/>
        </w:rPr>
        <w:t>intergenerational</w:t>
      </w:r>
      <w:r w:rsidRPr="00BC7CF4">
        <w:rPr>
          <w:rFonts w:ascii="Times New Roman" w:hAnsi="Times New Roman" w:cs="Times New Roman"/>
          <w:sz w:val="24"/>
        </w:rPr>
        <w:t xml:space="preserve">, play a crucial role in shaping perceptions of indigenous plants. Communities often associate </w:t>
      </w:r>
      <w:proofErr w:type="spellStart"/>
      <w:r w:rsidRPr="00BC7CF4">
        <w:rPr>
          <w:rFonts w:ascii="Times New Roman" w:hAnsi="Times New Roman" w:cs="Times New Roman"/>
          <w:i/>
          <w:iCs/>
          <w:sz w:val="24"/>
        </w:rPr>
        <w:t>Bidens</w:t>
      </w:r>
      <w:proofErr w:type="spellEnd"/>
      <w:r w:rsidRPr="00BC7CF4">
        <w:rPr>
          <w:rFonts w:ascii="Times New Roman" w:hAnsi="Times New Roman" w:cs="Times New Roman"/>
          <w:i/>
          <w:iCs/>
          <w:sz w:val="24"/>
        </w:rPr>
        <w:t xml:space="preserve"> </w:t>
      </w:r>
      <w:proofErr w:type="spellStart"/>
      <w:r w:rsidRPr="00BC7CF4">
        <w:rPr>
          <w:rFonts w:ascii="Times New Roman" w:hAnsi="Times New Roman" w:cs="Times New Roman"/>
          <w:i/>
          <w:iCs/>
          <w:sz w:val="24"/>
        </w:rPr>
        <w:t>pilosa</w:t>
      </w:r>
      <w:proofErr w:type="spellEnd"/>
      <w:r w:rsidRPr="00BC7CF4">
        <w:rPr>
          <w:rFonts w:ascii="Times New Roman" w:hAnsi="Times New Roman" w:cs="Times New Roman"/>
          <w:sz w:val="24"/>
        </w:rPr>
        <w:t xml:space="preserve"> with child nutrition, household food preparation, and primary healthcare, underscoring its embeddedness in local cultural practices (</w:t>
      </w:r>
      <w:proofErr w:type="spellStart"/>
      <w:r w:rsidRPr="00BC7CF4">
        <w:rPr>
          <w:rFonts w:ascii="Times New Roman" w:hAnsi="Times New Roman" w:cs="Times New Roman"/>
          <w:sz w:val="24"/>
        </w:rPr>
        <w:t>Mwangi</w:t>
      </w:r>
      <w:proofErr w:type="spellEnd"/>
      <w:r w:rsidRPr="00BC7CF4">
        <w:rPr>
          <w:rFonts w:ascii="Times New Roman" w:hAnsi="Times New Roman" w:cs="Times New Roman"/>
          <w:sz w:val="24"/>
        </w:rPr>
        <w:t xml:space="preserve"> &amp; </w:t>
      </w:r>
      <w:proofErr w:type="spellStart"/>
      <w:r w:rsidRPr="00BC7CF4">
        <w:rPr>
          <w:rFonts w:ascii="Times New Roman" w:hAnsi="Times New Roman" w:cs="Times New Roman"/>
          <w:sz w:val="24"/>
        </w:rPr>
        <w:t>Kimathi</w:t>
      </w:r>
      <w:proofErr w:type="spellEnd"/>
      <w:r w:rsidRPr="00BC7CF4">
        <w:rPr>
          <w:rFonts w:ascii="Times New Roman" w:hAnsi="Times New Roman" w:cs="Times New Roman"/>
          <w:sz w:val="24"/>
        </w:rPr>
        <w:t>, 2018).</w:t>
      </w:r>
    </w:p>
    <w:p w:rsidR="00A0097B" w:rsidRPr="00BC7CF4" w:rsidRDefault="00A0097B" w:rsidP="00BC7CF4">
      <w:pPr>
        <w:spacing w:line="240" w:lineRule="auto"/>
        <w:contextualSpacing/>
        <w:jc w:val="both"/>
        <w:rPr>
          <w:rFonts w:ascii="Times New Roman" w:hAnsi="Times New Roman" w:cs="Times New Roman"/>
          <w:sz w:val="24"/>
        </w:rPr>
      </w:pPr>
    </w:p>
    <w:p w:rsidR="00BC7CF4" w:rsidRPr="00BC7CF4" w:rsidRDefault="00BC7CF4" w:rsidP="00BC7CF4">
      <w:pPr>
        <w:spacing w:line="240" w:lineRule="auto"/>
        <w:contextualSpacing/>
        <w:jc w:val="both"/>
        <w:rPr>
          <w:rFonts w:ascii="Times New Roman" w:hAnsi="Times New Roman" w:cs="Times New Roman"/>
          <w:b/>
          <w:bCs/>
          <w:sz w:val="24"/>
        </w:rPr>
      </w:pPr>
      <w:r w:rsidRPr="00BC7CF4">
        <w:rPr>
          <w:rFonts w:ascii="Times New Roman" w:hAnsi="Times New Roman" w:cs="Times New Roman"/>
          <w:b/>
          <w:bCs/>
          <w:sz w:val="24"/>
        </w:rPr>
        <w:t>Economic and Commercial Potential</w:t>
      </w:r>
    </w:p>
    <w:p w:rsidR="00BC7CF4" w:rsidRDefault="00BC7CF4" w:rsidP="00BC7CF4">
      <w:pPr>
        <w:spacing w:line="240" w:lineRule="auto"/>
        <w:contextualSpacing/>
        <w:jc w:val="both"/>
        <w:rPr>
          <w:rFonts w:ascii="Times New Roman" w:hAnsi="Times New Roman" w:cs="Times New Roman"/>
          <w:sz w:val="24"/>
        </w:rPr>
      </w:pPr>
      <w:r w:rsidRPr="00BC7CF4">
        <w:rPr>
          <w:rFonts w:ascii="Times New Roman" w:hAnsi="Times New Roman" w:cs="Times New Roman"/>
          <w:sz w:val="24"/>
        </w:rPr>
        <w:t xml:space="preserve">Beyond its nutritional and medicinal roles, </w:t>
      </w:r>
      <w:proofErr w:type="spellStart"/>
      <w:r w:rsidRPr="00BC7CF4">
        <w:rPr>
          <w:rFonts w:ascii="Times New Roman" w:hAnsi="Times New Roman" w:cs="Times New Roman"/>
          <w:i/>
          <w:iCs/>
          <w:sz w:val="24"/>
        </w:rPr>
        <w:t>Bidens</w:t>
      </w:r>
      <w:proofErr w:type="spellEnd"/>
      <w:r w:rsidRPr="00BC7CF4">
        <w:rPr>
          <w:rFonts w:ascii="Times New Roman" w:hAnsi="Times New Roman" w:cs="Times New Roman"/>
          <w:i/>
          <w:iCs/>
          <w:sz w:val="24"/>
        </w:rPr>
        <w:t xml:space="preserve"> </w:t>
      </w:r>
      <w:proofErr w:type="spellStart"/>
      <w:r w:rsidRPr="00BC7CF4">
        <w:rPr>
          <w:rFonts w:ascii="Times New Roman" w:hAnsi="Times New Roman" w:cs="Times New Roman"/>
          <w:i/>
          <w:iCs/>
          <w:sz w:val="24"/>
        </w:rPr>
        <w:t>pilosa</w:t>
      </w:r>
      <w:proofErr w:type="spellEnd"/>
      <w:r w:rsidRPr="00BC7CF4">
        <w:rPr>
          <w:rFonts w:ascii="Times New Roman" w:hAnsi="Times New Roman" w:cs="Times New Roman"/>
          <w:sz w:val="24"/>
        </w:rPr>
        <w:t xml:space="preserve"> holds economic potential. Pillai et al. (2020) argue that its cultivation could support nutraceutical industries and herbal tea production, creating opportunities for smallholder farmers. Countries such as Nigeria, Benin, and Zimbabwe have already initiated small-scale cultivation for medicinal purposes (FAO, 2012). Integrating </w:t>
      </w:r>
      <w:proofErr w:type="spellStart"/>
      <w:r w:rsidRPr="00BC7CF4">
        <w:rPr>
          <w:rFonts w:ascii="Times New Roman" w:hAnsi="Times New Roman" w:cs="Times New Roman"/>
          <w:i/>
          <w:iCs/>
          <w:sz w:val="24"/>
        </w:rPr>
        <w:t>Bidens</w:t>
      </w:r>
      <w:proofErr w:type="spellEnd"/>
      <w:r w:rsidRPr="00BC7CF4">
        <w:rPr>
          <w:rFonts w:ascii="Times New Roman" w:hAnsi="Times New Roman" w:cs="Times New Roman"/>
          <w:i/>
          <w:iCs/>
          <w:sz w:val="24"/>
        </w:rPr>
        <w:t xml:space="preserve"> </w:t>
      </w:r>
      <w:proofErr w:type="spellStart"/>
      <w:r w:rsidRPr="00BC7CF4">
        <w:rPr>
          <w:rFonts w:ascii="Times New Roman" w:hAnsi="Times New Roman" w:cs="Times New Roman"/>
          <w:i/>
          <w:iCs/>
          <w:sz w:val="24"/>
        </w:rPr>
        <w:t>pilosa</w:t>
      </w:r>
      <w:proofErr w:type="spellEnd"/>
      <w:r w:rsidRPr="00BC7CF4">
        <w:rPr>
          <w:rFonts w:ascii="Times New Roman" w:hAnsi="Times New Roman" w:cs="Times New Roman"/>
          <w:sz w:val="24"/>
        </w:rPr>
        <w:t xml:space="preserve"> into commercialization strategies could contribute to rural income generation, job creation, and food security (Zhang et al., 2019).</w:t>
      </w:r>
    </w:p>
    <w:p w:rsidR="00EF5C8A" w:rsidRPr="00BC7CF4" w:rsidRDefault="00EF5C8A" w:rsidP="00BC7CF4">
      <w:pPr>
        <w:spacing w:line="240" w:lineRule="auto"/>
        <w:contextualSpacing/>
        <w:jc w:val="both"/>
        <w:rPr>
          <w:rFonts w:ascii="Times New Roman" w:hAnsi="Times New Roman" w:cs="Times New Roman"/>
          <w:sz w:val="24"/>
        </w:rPr>
      </w:pPr>
    </w:p>
    <w:p w:rsidR="00BC7CF4" w:rsidRPr="00BC7CF4" w:rsidRDefault="00BC7CF4" w:rsidP="00BC7CF4">
      <w:pPr>
        <w:spacing w:line="240" w:lineRule="auto"/>
        <w:contextualSpacing/>
        <w:jc w:val="both"/>
        <w:rPr>
          <w:rFonts w:ascii="Times New Roman" w:hAnsi="Times New Roman" w:cs="Times New Roman"/>
          <w:b/>
          <w:bCs/>
          <w:sz w:val="24"/>
        </w:rPr>
      </w:pPr>
      <w:r w:rsidRPr="00BC7CF4">
        <w:rPr>
          <w:rFonts w:ascii="Times New Roman" w:hAnsi="Times New Roman" w:cs="Times New Roman"/>
          <w:b/>
          <w:bCs/>
          <w:sz w:val="24"/>
        </w:rPr>
        <w:t>Research Gaps</w:t>
      </w:r>
    </w:p>
    <w:p w:rsidR="00091608" w:rsidRPr="00091608" w:rsidRDefault="00091608" w:rsidP="00091608">
      <w:pPr>
        <w:spacing w:line="240" w:lineRule="auto"/>
        <w:contextualSpacing/>
        <w:jc w:val="both"/>
        <w:rPr>
          <w:rFonts w:ascii="Times New Roman" w:hAnsi="Times New Roman" w:cs="Times New Roman"/>
          <w:sz w:val="24"/>
        </w:rPr>
      </w:pPr>
      <w:r w:rsidRPr="00091608">
        <w:rPr>
          <w:rFonts w:ascii="Times New Roman" w:hAnsi="Times New Roman" w:cs="Times New Roman"/>
          <w:sz w:val="24"/>
        </w:rPr>
        <w:lastRenderedPageBreak/>
        <w:t xml:space="preserve">Although pharmacological research is well established, studies focusing on socio-cultural aspects and perceptions are still limited. The majority of current research emphasizes laboratory examinations of phytochemical composition and antimicrobial properties (Chen et al., 2018; Silva et al., 2014). There are few comprehensive studies of community-level knowledge, perceptions, economic significance, or cultural appreciation of </w:t>
      </w:r>
      <w:proofErr w:type="spellStart"/>
      <w:r w:rsidRPr="00091608">
        <w:rPr>
          <w:rFonts w:ascii="Times New Roman" w:hAnsi="Times New Roman" w:cs="Times New Roman"/>
          <w:i/>
          <w:sz w:val="24"/>
        </w:rPr>
        <w:t>Bidens</w:t>
      </w:r>
      <w:proofErr w:type="spellEnd"/>
      <w:r w:rsidRPr="00091608">
        <w:rPr>
          <w:rFonts w:ascii="Times New Roman" w:hAnsi="Times New Roman" w:cs="Times New Roman"/>
          <w:i/>
          <w:sz w:val="24"/>
        </w:rPr>
        <w:t xml:space="preserve"> </w:t>
      </w:r>
      <w:proofErr w:type="spellStart"/>
      <w:r w:rsidRPr="00091608">
        <w:rPr>
          <w:rFonts w:ascii="Times New Roman" w:hAnsi="Times New Roman" w:cs="Times New Roman"/>
          <w:i/>
          <w:sz w:val="24"/>
        </w:rPr>
        <w:t>pilosa</w:t>
      </w:r>
      <w:proofErr w:type="spellEnd"/>
      <w:r w:rsidRPr="00091608">
        <w:rPr>
          <w:rFonts w:ascii="Times New Roman" w:hAnsi="Times New Roman" w:cs="Times New Roman"/>
          <w:sz w:val="24"/>
        </w:rPr>
        <w:t xml:space="preserve"> in Sub-Saharan Africa. This deficiency hinders its incorporation into national nutrition and healthcare strategies. In Malawi, where indigenous vegetables play a crucial role in household diets, there is a notable lack of empirical data regarding perceptions of </w:t>
      </w:r>
      <w:proofErr w:type="spellStart"/>
      <w:r w:rsidRPr="00091608">
        <w:rPr>
          <w:rFonts w:ascii="Times New Roman" w:hAnsi="Times New Roman" w:cs="Times New Roman"/>
          <w:i/>
          <w:sz w:val="24"/>
        </w:rPr>
        <w:t>Bidens</w:t>
      </w:r>
      <w:proofErr w:type="spellEnd"/>
      <w:r w:rsidRPr="00091608">
        <w:rPr>
          <w:rFonts w:ascii="Times New Roman" w:hAnsi="Times New Roman" w:cs="Times New Roman"/>
          <w:i/>
          <w:sz w:val="24"/>
        </w:rPr>
        <w:t xml:space="preserve"> </w:t>
      </w:r>
      <w:proofErr w:type="spellStart"/>
      <w:r w:rsidRPr="00091608">
        <w:rPr>
          <w:rFonts w:ascii="Times New Roman" w:hAnsi="Times New Roman" w:cs="Times New Roman"/>
          <w:i/>
          <w:sz w:val="24"/>
        </w:rPr>
        <w:t>pilosa</w:t>
      </w:r>
      <w:proofErr w:type="spellEnd"/>
      <w:r w:rsidRPr="00091608">
        <w:rPr>
          <w:rFonts w:ascii="Times New Roman" w:hAnsi="Times New Roman" w:cs="Times New Roman"/>
          <w:sz w:val="24"/>
        </w:rPr>
        <w:t>, thereby underscoring the necessity for the current study.</w:t>
      </w:r>
    </w:p>
    <w:p w:rsidR="00DA0DF2" w:rsidRPr="00DA0DF2" w:rsidRDefault="00DA0DF2" w:rsidP="00DA0DF2">
      <w:pPr>
        <w:spacing w:line="240" w:lineRule="auto"/>
        <w:contextualSpacing/>
        <w:jc w:val="both"/>
        <w:rPr>
          <w:rFonts w:ascii="Times New Roman" w:hAnsi="Times New Roman" w:cs="Times New Roman"/>
          <w:sz w:val="24"/>
        </w:rPr>
      </w:pPr>
    </w:p>
    <w:p w:rsidR="00DA0DF2" w:rsidRPr="00DA0DF2" w:rsidRDefault="00DA0DF2" w:rsidP="00DA0DF2">
      <w:pPr>
        <w:spacing w:line="240" w:lineRule="auto"/>
        <w:contextualSpacing/>
        <w:jc w:val="both"/>
        <w:rPr>
          <w:rFonts w:ascii="Times New Roman" w:hAnsi="Times New Roman" w:cs="Times New Roman"/>
          <w:b/>
          <w:bCs/>
          <w:sz w:val="24"/>
        </w:rPr>
      </w:pPr>
      <w:r w:rsidRPr="00DA0DF2">
        <w:rPr>
          <w:rFonts w:ascii="Times New Roman" w:hAnsi="Times New Roman" w:cs="Times New Roman"/>
          <w:b/>
          <w:bCs/>
          <w:sz w:val="24"/>
        </w:rPr>
        <w:t>Methodology</w:t>
      </w:r>
    </w:p>
    <w:p w:rsidR="00DA0DF2" w:rsidRPr="00CD5557" w:rsidRDefault="00DA0DF2" w:rsidP="00DA0DF2">
      <w:pPr>
        <w:spacing w:line="240" w:lineRule="auto"/>
        <w:contextualSpacing/>
        <w:jc w:val="both"/>
        <w:rPr>
          <w:rFonts w:ascii="Times New Roman" w:hAnsi="Times New Roman" w:cs="Times New Roman"/>
          <w:b/>
          <w:bCs/>
          <w:sz w:val="24"/>
        </w:rPr>
      </w:pPr>
      <w:r w:rsidRPr="00CD5557">
        <w:rPr>
          <w:rFonts w:ascii="Times New Roman" w:hAnsi="Times New Roman" w:cs="Times New Roman"/>
          <w:b/>
          <w:bCs/>
          <w:sz w:val="24"/>
        </w:rPr>
        <w:t>Study Area</w:t>
      </w:r>
    </w:p>
    <w:p w:rsidR="00DA0DF2" w:rsidRDefault="00DA0DF2" w:rsidP="00DA0DF2">
      <w:pPr>
        <w:spacing w:line="240" w:lineRule="auto"/>
        <w:contextualSpacing/>
        <w:jc w:val="both"/>
        <w:rPr>
          <w:rFonts w:ascii="Times New Roman" w:hAnsi="Times New Roman" w:cs="Times New Roman"/>
          <w:sz w:val="24"/>
        </w:rPr>
      </w:pPr>
      <w:r w:rsidRPr="00DA0DF2">
        <w:rPr>
          <w:rFonts w:ascii="Times New Roman" w:hAnsi="Times New Roman" w:cs="Times New Roman"/>
          <w:sz w:val="24"/>
        </w:rPr>
        <w:t xml:space="preserve">The research was conducted in Lilongwe District, Malawi, across four Extension Planning Areas (EPAs): </w:t>
      </w:r>
      <w:proofErr w:type="spellStart"/>
      <w:r w:rsidRPr="00DA0DF2">
        <w:rPr>
          <w:rFonts w:ascii="Times New Roman" w:hAnsi="Times New Roman" w:cs="Times New Roman"/>
          <w:sz w:val="24"/>
        </w:rPr>
        <w:t>Chitsime</w:t>
      </w:r>
      <w:proofErr w:type="spellEnd"/>
      <w:r w:rsidRPr="00DA0DF2">
        <w:rPr>
          <w:rFonts w:ascii="Times New Roman" w:hAnsi="Times New Roman" w:cs="Times New Roman"/>
          <w:sz w:val="24"/>
        </w:rPr>
        <w:t xml:space="preserve">, </w:t>
      </w:r>
      <w:proofErr w:type="spellStart"/>
      <w:r w:rsidRPr="00DA0DF2">
        <w:rPr>
          <w:rFonts w:ascii="Times New Roman" w:hAnsi="Times New Roman" w:cs="Times New Roman"/>
          <w:sz w:val="24"/>
        </w:rPr>
        <w:t>Mkwinda</w:t>
      </w:r>
      <w:proofErr w:type="spellEnd"/>
      <w:r w:rsidRPr="00DA0DF2">
        <w:rPr>
          <w:rFonts w:ascii="Times New Roman" w:hAnsi="Times New Roman" w:cs="Times New Roman"/>
          <w:sz w:val="24"/>
        </w:rPr>
        <w:t xml:space="preserve">, </w:t>
      </w:r>
      <w:proofErr w:type="spellStart"/>
      <w:r w:rsidRPr="00DA0DF2">
        <w:rPr>
          <w:rFonts w:ascii="Times New Roman" w:hAnsi="Times New Roman" w:cs="Times New Roman"/>
          <w:sz w:val="24"/>
        </w:rPr>
        <w:t>Ngwangwa</w:t>
      </w:r>
      <w:proofErr w:type="spellEnd"/>
      <w:r w:rsidRPr="00DA0DF2">
        <w:rPr>
          <w:rFonts w:ascii="Times New Roman" w:hAnsi="Times New Roman" w:cs="Times New Roman"/>
          <w:sz w:val="24"/>
        </w:rPr>
        <w:t xml:space="preserve">, and </w:t>
      </w:r>
      <w:proofErr w:type="spellStart"/>
      <w:r w:rsidRPr="00DA0DF2">
        <w:rPr>
          <w:rFonts w:ascii="Times New Roman" w:hAnsi="Times New Roman" w:cs="Times New Roman"/>
          <w:sz w:val="24"/>
        </w:rPr>
        <w:t>Ukwe</w:t>
      </w:r>
      <w:proofErr w:type="spellEnd"/>
      <w:r w:rsidRPr="00DA0DF2">
        <w:rPr>
          <w:rFonts w:ascii="Times New Roman" w:hAnsi="Times New Roman" w:cs="Times New Roman"/>
          <w:sz w:val="24"/>
        </w:rPr>
        <w:t xml:space="preserve">. These sites were purposively selected to capture both rural and </w:t>
      </w:r>
      <w:proofErr w:type="spellStart"/>
      <w:r w:rsidRPr="00DA0DF2">
        <w:rPr>
          <w:rFonts w:ascii="Times New Roman" w:hAnsi="Times New Roman" w:cs="Times New Roman"/>
          <w:sz w:val="24"/>
        </w:rPr>
        <w:t>peri</w:t>
      </w:r>
      <w:proofErr w:type="spellEnd"/>
      <w:r w:rsidRPr="00DA0DF2">
        <w:rPr>
          <w:rFonts w:ascii="Times New Roman" w:hAnsi="Times New Roman" w:cs="Times New Roman"/>
          <w:sz w:val="24"/>
        </w:rPr>
        <w:t xml:space="preserve">-urban contexts, enabling comparative analysis of community perceptions. Lilongwe, as the capital city, presents significant potential for commercialization of indigenous plants such as </w:t>
      </w:r>
      <w:proofErr w:type="spellStart"/>
      <w:r w:rsidRPr="00DA0DF2">
        <w:rPr>
          <w:rFonts w:ascii="Times New Roman" w:hAnsi="Times New Roman" w:cs="Times New Roman"/>
          <w:i/>
          <w:iCs/>
          <w:sz w:val="24"/>
        </w:rPr>
        <w:t>Bidens</w:t>
      </w:r>
      <w:proofErr w:type="spellEnd"/>
      <w:r w:rsidRPr="00DA0DF2">
        <w:rPr>
          <w:rFonts w:ascii="Times New Roman" w:hAnsi="Times New Roman" w:cs="Times New Roman"/>
          <w:i/>
          <w:iCs/>
          <w:sz w:val="24"/>
        </w:rPr>
        <w:t xml:space="preserve"> </w:t>
      </w:r>
      <w:proofErr w:type="spellStart"/>
      <w:r w:rsidRPr="00DA0DF2">
        <w:rPr>
          <w:rFonts w:ascii="Times New Roman" w:hAnsi="Times New Roman" w:cs="Times New Roman"/>
          <w:i/>
          <w:iCs/>
          <w:sz w:val="24"/>
        </w:rPr>
        <w:t>pilosa</w:t>
      </w:r>
      <w:proofErr w:type="spellEnd"/>
      <w:r w:rsidRPr="00DA0DF2">
        <w:rPr>
          <w:rFonts w:ascii="Times New Roman" w:hAnsi="Times New Roman" w:cs="Times New Roman"/>
          <w:sz w:val="24"/>
        </w:rPr>
        <w:t xml:space="preserve"> (Agricultural Extension Development Office, 2024).</w:t>
      </w:r>
    </w:p>
    <w:p w:rsidR="00957D82" w:rsidRPr="00DA0DF2" w:rsidRDefault="00957D82" w:rsidP="00DA0DF2">
      <w:pPr>
        <w:spacing w:line="240" w:lineRule="auto"/>
        <w:contextualSpacing/>
        <w:jc w:val="both"/>
        <w:rPr>
          <w:rFonts w:ascii="Times New Roman" w:hAnsi="Times New Roman" w:cs="Times New Roman"/>
          <w:sz w:val="24"/>
        </w:rPr>
      </w:pPr>
    </w:p>
    <w:p w:rsidR="00DA0DF2" w:rsidRPr="00B42FF8" w:rsidRDefault="00DA0DF2" w:rsidP="00DA0DF2">
      <w:pPr>
        <w:spacing w:line="240" w:lineRule="auto"/>
        <w:contextualSpacing/>
        <w:jc w:val="both"/>
        <w:rPr>
          <w:rFonts w:ascii="Times New Roman" w:hAnsi="Times New Roman" w:cs="Times New Roman"/>
          <w:b/>
          <w:bCs/>
          <w:sz w:val="24"/>
        </w:rPr>
      </w:pPr>
      <w:r w:rsidRPr="00B42FF8">
        <w:rPr>
          <w:rFonts w:ascii="Times New Roman" w:hAnsi="Times New Roman" w:cs="Times New Roman"/>
          <w:b/>
          <w:bCs/>
          <w:sz w:val="24"/>
        </w:rPr>
        <w:t>Study Design</w:t>
      </w:r>
    </w:p>
    <w:p w:rsidR="00DA0DF2" w:rsidRDefault="00DA0DF2" w:rsidP="00DA0DF2">
      <w:pPr>
        <w:spacing w:line="240" w:lineRule="auto"/>
        <w:contextualSpacing/>
        <w:jc w:val="both"/>
        <w:rPr>
          <w:rFonts w:ascii="Times New Roman" w:hAnsi="Times New Roman" w:cs="Times New Roman"/>
          <w:sz w:val="24"/>
        </w:rPr>
      </w:pPr>
      <w:r w:rsidRPr="00DA0DF2">
        <w:rPr>
          <w:rFonts w:ascii="Times New Roman" w:hAnsi="Times New Roman" w:cs="Times New Roman"/>
          <w:sz w:val="24"/>
        </w:rPr>
        <w:t>A cross-sectional mixed-methods design was employed to integrate quantitative and qualitative approaches. This design allowed for simultaneous collection of survey data and qualitative narratives, enhancing validity through triangulation (Creswell &amp; Plano Clark, 2018). Quantitative data provided measurable patterns of knowledge and perception, while qualitative interviews and focus group discussions (FGDs) contextualized these findings within traditional knowledge systems.</w:t>
      </w:r>
    </w:p>
    <w:p w:rsidR="00957D82" w:rsidRPr="00DA0DF2" w:rsidRDefault="00957D82" w:rsidP="00DA0DF2">
      <w:pPr>
        <w:spacing w:line="240" w:lineRule="auto"/>
        <w:contextualSpacing/>
        <w:jc w:val="both"/>
        <w:rPr>
          <w:rFonts w:ascii="Times New Roman" w:hAnsi="Times New Roman" w:cs="Times New Roman"/>
          <w:sz w:val="24"/>
        </w:rPr>
      </w:pPr>
    </w:p>
    <w:p w:rsidR="00DA0DF2" w:rsidRPr="00B42FF8" w:rsidRDefault="00DA0DF2" w:rsidP="00DA0DF2">
      <w:pPr>
        <w:spacing w:line="240" w:lineRule="auto"/>
        <w:contextualSpacing/>
        <w:jc w:val="both"/>
        <w:rPr>
          <w:rFonts w:ascii="Times New Roman" w:hAnsi="Times New Roman" w:cs="Times New Roman"/>
          <w:b/>
          <w:bCs/>
          <w:sz w:val="24"/>
        </w:rPr>
      </w:pPr>
      <w:r w:rsidRPr="00B42FF8">
        <w:rPr>
          <w:rFonts w:ascii="Times New Roman" w:hAnsi="Times New Roman" w:cs="Times New Roman"/>
          <w:b/>
          <w:bCs/>
          <w:sz w:val="24"/>
        </w:rPr>
        <w:t>Sampling Techniques</w:t>
      </w:r>
    </w:p>
    <w:p w:rsidR="00DA0DF2" w:rsidRDefault="00DA0DF2" w:rsidP="00DA0DF2">
      <w:pPr>
        <w:spacing w:line="240" w:lineRule="auto"/>
        <w:contextualSpacing/>
        <w:jc w:val="both"/>
        <w:rPr>
          <w:rFonts w:ascii="Times New Roman" w:hAnsi="Times New Roman" w:cs="Times New Roman"/>
          <w:sz w:val="24"/>
        </w:rPr>
      </w:pPr>
      <w:r w:rsidRPr="00DA0DF2">
        <w:rPr>
          <w:rFonts w:ascii="Times New Roman" w:hAnsi="Times New Roman" w:cs="Times New Roman"/>
          <w:sz w:val="24"/>
        </w:rPr>
        <w:t xml:space="preserve">The sample size was determined using Yamane’s (1967) formula, based on a known farming household population of 126,473, with a 5% margin of error. A total of 400 households were randomly selected proportionally across the four EPAs: </w:t>
      </w:r>
      <w:proofErr w:type="spellStart"/>
      <w:r w:rsidRPr="00DA0DF2">
        <w:rPr>
          <w:rFonts w:ascii="Times New Roman" w:hAnsi="Times New Roman" w:cs="Times New Roman"/>
          <w:sz w:val="24"/>
        </w:rPr>
        <w:t>Chitsime</w:t>
      </w:r>
      <w:proofErr w:type="spellEnd"/>
      <w:r w:rsidRPr="00DA0DF2">
        <w:rPr>
          <w:rFonts w:ascii="Times New Roman" w:hAnsi="Times New Roman" w:cs="Times New Roman"/>
          <w:sz w:val="24"/>
        </w:rPr>
        <w:t xml:space="preserve"> (21.6%), </w:t>
      </w:r>
      <w:proofErr w:type="spellStart"/>
      <w:r w:rsidRPr="00DA0DF2">
        <w:rPr>
          <w:rFonts w:ascii="Times New Roman" w:hAnsi="Times New Roman" w:cs="Times New Roman"/>
          <w:sz w:val="24"/>
        </w:rPr>
        <w:t>Mkwinda</w:t>
      </w:r>
      <w:proofErr w:type="spellEnd"/>
      <w:r w:rsidRPr="00DA0DF2">
        <w:rPr>
          <w:rFonts w:ascii="Times New Roman" w:hAnsi="Times New Roman" w:cs="Times New Roman"/>
          <w:sz w:val="24"/>
        </w:rPr>
        <w:t xml:space="preserve"> (21.8%), </w:t>
      </w:r>
      <w:proofErr w:type="spellStart"/>
      <w:r w:rsidRPr="00DA0DF2">
        <w:rPr>
          <w:rFonts w:ascii="Times New Roman" w:hAnsi="Times New Roman" w:cs="Times New Roman"/>
          <w:sz w:val="24"/>
        </w:rPr>
        <w:t>Ngwangwa</w:t>
      </w:r>
      <w:proofErr w:type="spellEnd"/>
      <w:r w:rsidRPr="00DA0DF2">
        <w:rPr>
          <w:rFonts w:ascii="Times New Roman" w:hAnsi="Times New Roman" w:cs="Times New Roman"/>
          <w:sz w:val="24"/>
        </w:rPr>
        <w:t xml:space="preserve"> (32%), and </w:t>
      </w:r>
      <w:proofErr w:type="spellStart"/>
      <w:r w:rsidRPr="00DA0DF2">
        <w:rPr>
          <w:rFonts w:ascii="Times New Roman" w:hAnsi="Times New Roman" w:cs="Times New Roman"/>
          <w:sz w:val="24"/>
        </w:rPr>
        <w:t>Ukwe</w:t>
      </w:r>
      <w:proofErr w:type="spellEnd"/>
      <w:r w:rsidRPr="00DA0DF2">
        <w:rPr>
          <w:rFonts w:ascii="Times New Roman" w:hAnsi="Times New Roman" w:cs="Times New Roman"/>
          <w:sz w:val="24"/>
        </w:rPr>
        <w:t xml:space="preserve"> (24.6%). Randomization was achieved using Microsoft Excel’s random function, ensuring representativeness and minimizing bias.</w:t>
      </w:r>
      <w:r w:rsidR="00795879">
        <w:rPr>
          <w:rFonts w:ascii="Times New Roman" w:hAnsi="Times New Roman" w:cs="Times New Roman"/>
          <w:sz w:val="24"/>
        </w:rPr>
        <w:t xml:space="preserve"> </w:t>
      </w:r>
      <w:r w:rsidRPr="00DA0DF2">
        <w:rPr>
          <w:rFonts w:ascii="Times New Roman" w:hAnsi="Times New Roman" w:cs="Times New Roman"/>
          <w:sz w:val="24"/>
        </w:rPr>
        <w:t>For qualitative data, six key informants were purposively selected until saturation was reached. Additionally, eight FGDs were conducted (two per EPA), each comprising 8–10 participants, with attention to gender balance to capture diverse perspectives (Guest, Bunce, &amp; Johnson, 2006).</w:t>
      </w:r>
    </w:p>
    <w:p w:rsidR="00654CF4" w:rsidRPr="00DA0DF2" w:rsidRDefault="00654CF4" w:rsidP="00DA0DF2">
      <w:pPr>
        <w:spacing w:line="240" w:lineRule="auto"/>
        <w:contextualSpacing/>
        <w:jc w:val="both"/>
        <w:rPr>
          <w:rFonts w:ascii="Times New Roman" w:hAnsi="Times New Roman" w:cs="Times New Roman"/>
          <w:sz w:val="24"/>
        </w:rPr>
      </w:pPr>
    </w:p>
    <w:p w:rsidR="00DA0DF2" w:rsidRPr="00DA0DF2" w:rsidRDefault="00DA0DF2" w:rsidP="00DA0DF2">
      <w:pPr>
        <w:spacing w:line="240" w:lineRule="auto"/>
        <w:contextualSpacing/>
        <w:jc w:val="both"/>
        <w:rPr>
          <w:rFonts w:ascii="Times New Roman" w:hAnsi="Times New Roman" w:cs="Times New Roman"/>
          <w:b/>
          <w:bCs/>
          <w:sz w:val="24"/>
        </w:rPr>
      </w:pPr>
      <w:r w:rsidRPr="00DA0DF2">
        <w:rPr>
          <w:rFonts w:ascii="Times New Roman" w:hAnsi="Times New Roman" w:cs="Times New Roman"/>
          <w:b/>
          <w:bCs/>
          <w:sz w:val="24"/>
        </w:rPr>
        <w:t>Data Collection</w:t>
      </w:r>
    </w:p>
    <w:p w:rsidR="00DA0DF2" w:rsidRDefault="00DA0DF2" w:rsidP="00DA0DF2">
      <w:pPr>
        <w:spacing w:line="240" w:lineRule="auto"/>
        <w:contextualSpacing/>
        <w:jc w:val="both"/>
        <w:rPr>
          <w:rFonts w:ascii="Times New Roman" w:hAnsi="Times New Roman" w:cs="Times New Roman"/>
          <w:sz w:val="24"/>
        </w:rPr>
      </w:pPr>
      <w:r w:rsidRPr="00DA0DF2">
        <w:rPr>
          <w:rFonts w:ascii="Times New Roman" w:hAnsi="Times New Roman" w:cs="Times New Roman"/>
          <w:sz w:val="24"/>
        </w:rPr>
        <w:t>Quantitative data were collected using a semi-structured questionnaire programmed in Kobo Toolbox and administered via tablets and smartphones. Perceptions were measured on a five-point Likert scale ranging from strongly disagree (1) to strongly agree (5), developed from preliminary field discussions and ethnobotanical literature (Bernard, 2017). Socio-demographic data were also captured.</w:t>
      </w:r>
    </w:p>
    <w:p w:rsidR="007C76E3" w:rsidRPr="00DA0DF2" w:rsidRDefault="007C76E3" w:rsidP="00DA0DF2">
      <w:pPr>
        <w:spacing w:line="240" w:lineRule="auto"/>
        <w:contextualSpacing/>
        <w:jc w:val="both"/>
        <w:rPr>
          <w:rFonts w:ascii="Times New Roman" w:hAnsi="Times New Roman" w:cs="Times New Roman"/>
          <w:sz w:val="24"/>
        </w:rPr>
      </w:pPr>
    </w:p>
    <w:p w:rsidR="00DA0DF2" w:rsidRDefault="00DA0DF2" w:rsidP="00DA0DF2">
      <w:pPr>
        <w:spacing w:line="240" w:lineRule="auto"/>
        <w:contextualSpacing/>
        <w:jc w:val="both"/>
        <w:rPr>
          <w:rFonts w:ascii="Times New Roman" w:hAnsi="Times New Roman" w:cs="Times New Roman"/>
          <w:sz w:val="24"/>
        </w:rPr>
      </w:pPr>
      <w:r w:rsidRPr="00DA0DF2">
        <w:rPr>
          <w:rFonts w:ascii="Times New Roman" w:hAnsi="Times New Roman" w:cs="Times New Roman"/>
          <w:sz w:val="24"/>
        </w:rPr>
        <w:t xml:space="preserve">Qualitative data were gathered through semi-structured interviews and FGDs guided by checklists. These explored traditional knowledge transmission, cultural valuation, and household utilization of </w:t>
      </w:r>
      <w:proofErr w:type="spellStart"/>
      <w:r w:rsidRPr="00DA0DF2">
        <w:rPr>
          <w:rFonts w:ascii="Times New Roman" w:hAnsi="Times New Roman" w:cs="Times New Roman"/>
          <w:i/>
          <w:iCs/>
          <w:sz w:val="24"/>
        </w:rPr>
        <w:t>Bidens</w:t>
      </w:r>
      <w:proofErr w:type="spellEnd"/>
      <w:r w:rsidRPr="00DA0DF2">
        <w:rPr>
          <w:rFonts w:ascii="Times New Roman" w:hAnsi="Times New Roman" w:cs="Times New Roman"/>
          <w:i/>
          <w:iCs/>
          <w:sz w:val="24"/>
        </w:rPr>
        <w:t xml:space="preserve"> </w:t>
      </w:r>
      <w:proofErr w:type="spellStart"/>
      <w:r w:rsidRPr="00DA0DF2">
        <w:rPr>
          <w:rFonts w:ascii="Times New Roman" w:hAnsi="Times New Roman" w:cs="Times New Roman"/>
          <w:i/>
          <w:iCs/>
          <w:sz w:val="24"/>
        </w:rPr>
        <w:t>pilosa</w:t>
      </w:r>
      <w:proofErr w:type="spellEnd"/>
      <w:r w:rsidRPr="00DA0DF2">
        <w:rPr>
          <w:rFonts w:ascii="Times New Roman" w:hAnsi="Times New Roman" w:cs="Times New Roman"/>
          <w:sz w:val="24"/>
        </w:rPr>
        <w:t>.</w:t>
      </w:r>
    </w:p>
    <w:p w:rsidR="007C76E3" w:rsidRPr="00DA0DF2" w:rsidRDefault="007C76E3" w:rsidP="00DA0DF2">
      <w:pPr>
        <w:spacing w:line="240" w:lineRule="auto"/>
        <w:contextualSpacing/>
        <w:jc w:val="both"/>
        <w:rPr>
          <w:rFonts w:ascii="Times New Roman" w:hAnsi="Times New Roman" w:cs="Times New Roman"/>
          <w:sz w:val="24"/>
        </w:rPr>
      </w:pPr>
    </w:p>
    <w:p w:rsidR="00DA0DF2" w:rsidRPr="00DA0DF2" w:rsidRDefault="00DA0DF2" w:rsidP="00DA0DF2">
      <w:pPr>
        <w:spacing w:line="240" w:lineRule="auto"/>
        <w:contextualSpacing/>
        <w:jc w:val="both"/>
        <w:rPr>
          <w:rFonts w:ascii="Times New Roman" w:hAnsi="Times New Roman" w:cs="Times New Roman"/>
          <w:b/>
          <w:bCs/>
          <w:sz w:val="24"/>
        </w:rPr>
      </w:pPr>
      <w:r w:rsidRPr="00DA0DF2">
        <w:rPr>
          <w:rFonts w:ascii="Times New Roman" w:hAnsi="Times New Roman" w:cs="Times New Roman"/>
          <w:b/>
          <w:bCs/>
          <w:sz w:val="24"/>
        </w:rPr>
        <w:t>Data Management and Analysis</w:t>
      </w:r>
    </w:p>
    <w:p w:rsidR="00DA0DF2" w:rsidRDefault="00DA0DF2" w:rsidP="00DA0DF2">
      <w:pPr>
        <w:spacing w:line="240" w:lineRule="auto"/>
        <w:contextualSpacing/>
        <w:jc w:val="both"/>
        <w:rPr>
          <w:rFonts w:ascii="Times New Roman" w:hAnsi="Times New Roman" w:cs="Times New Roman"/>
          <w:sz w:val="24"/>
        </w:rPr>
      </w:pPr>
      <w:r w:rsidRPr="00DA0DF2">
        <w:rPr>
          <w:rFonts w:ascii="Times New Roman" w:hAnsi="Times New Roman" w:cs="Times New Roman"/>
          <w:sz w:val="24"/>
        </w:rPr>
        <w:t xml:space="preserve">Quantitative data were cleaned, coded, and analyzed using SPSS version 27 and Microsoft Excel. Descriptive statistics summarized socio-demographic characteristics and knowledge levels. ANOVA tests assessed differences in perceptions across demographic groups. Principal Component Analysis (PCA) with </w:t>
      </w:r>
      <w:proofErr w:type="spellStart"/>
      <w:r w:rsidRPr="00DA0DF2">
        <w:rPr>
          <w:rFonts w:ascii="Times New Roman" w:hAnsi="Times New Roman" w:cs="Times New Roman"/>
          <w:sz w:val="24"/>
        </w:rPr>
        <w:t>varimax</w:t>
      </w:r>
      <w:proofErr w:type="spellEnd"/>
      <w:r w:rsidRPr="00DA0DF2">
        <w:rPr>
          <w:rFonts w:ascii="Times New Roman" w:hAnsi="Times New Roman" w:cs="Times New Roman"/>
          <w:sz w:val="24"/>
        </w:rPr>
        <w:t xml:space="preserve"> rotation was conducted in JMP 18.1 to identify latent components of perception, following suitability checks with the Kaiser–Meyer–</w:t>
      </w:r>
      <w:proofErr w:type="spellStart"/>
      <w:r w:rsidRPr="00DA0DF2">
        <w:rPr>
          <w:rFonts w:ascii="Times New Roman" w:hAnsi="Times New Roman" w:cs="Times New Roman"/>
          <w:sz w:val="24"/>
        </w:rPr>
        <w:t>Olkin</w:t>
      </w:r>
      <w:proofErr w:type="spellEnd"/>
      <w:r w:rsidRPr="00DA0DF2">
        <w:rPr>
          <w:rFonts w:ascii="Times New Roman" w:hAnsi="Times New Roman" w:cs="Times New Roman"/>
          <w:sz w:val="24"/>
        </w:rPr>
        <w:t xml:space="preserve"> (KMO) measure and Bartlett’s Test of </w:t>
      </w:r>
      <w:proofErr w:type="spellStart"/>
      <w:r w:rsidRPr="00DA0DF2">
        <w:rPr>
          <w:rFonts w:ascii="Times New Roman" w:hAnsi="Times New Roman" w:cs="Times New Roman"/>
          <w:sz w:val="24"/>
        </w:rPr>
        <w:t>Sphericity</w:t>
      </w:r>
      <w:proofErr w:type="spellEnd"/>
      <w:r w:rsidRPr="00DA0DF2">
        <w:rPr>
          <w:rFonts w:ascii="Times New Roman" w:hAnsi="Times New Roman" w:cs="Times New Roman"/>
          <w:sz w:val="24"/>
        </w:rPr>
        <w:t xml:space="preserve"> (</w:t>
      </w:r>
      <w:proofErr w:type="spellStart"/>
      <w:r w:rsidRPr="00DA0DF2">
        <w:rPr>
          <w:rFonts w:ascii="Times New Roman" w:hAnsi="Times New Roman" w:cs="Times New Roman"/>
          <w:sz w:val="24"/>
        </w:rPr>
        <w:t>Tabachnick</w:t>
      </w:r>
      <w:proofErr w:type="spellEnd"/>
      <w:r w:rsidRPr="00DA0DF2">
        <w:rPr>
          <w:rFonts w:ascii="Times New Roman" w:hAnsi="Times New Roman" w:cs="Times New Roman"/>
          <w:sz w:val="24"/>
        </w:rPr>
        <w:t xml:space="preserve"> &amp; </w:t>
      </w:r>
      <w:proofErr w:type="spellStart"/>
      <w:r w:rsidRPr="00DA0DF2">
        <w:rPr>
          <w:rFonts w:ascii="Times New Roman" w:hAnsi="Times New Roman" w:cs="Times New Roman"/>
          <w:sz w:val="24"/>
        </w:rPr>
        <w:t>Fidell</w:t>
      </w:r>
      <w:proofErr w:type="spellEnd"/>
      <w:r w:rsidRPr="00DA0DF2">
        <w:rPr>
          <w:rFonts w:ascii="Times New Roman" w:hAnsi="Times New Roman" w:cs="Times New Roman"/>
          <w:sz w:val="24"/>
        </w:rPr>
        <w:t>, 2019). Reliability was confirmed with Cronbach’s alpha (α = 0.945), indicating excellent internal consistency (</w:t>
      </w:r>
      <w:proofErr w:type="spellStart"/>
      <w:r w:rsidRPr="00DA0DF2">
        <w:rPr>
          <w:rFonts w:ascii="Times New Roman" w:hAnsi="Times New Roman" w:cs="Times New Roman"/>
          <w:sz w:val="24"/>
        </w:rPr>
        <w:t>Nunnally</w:t>
      </w:r>
      <w:proofErr w:type="spellEnd"/>
      <w:r w:rsidRPr="00DA0DF2">
        <w:rPr>
          <w:rFonts w:ascii="Times New Roman" w:hAnsi="Times New Roman" w:cs="Times New Roman"/>
          <w:sz w:val="24"/>
        </w:rPr>
        <w:t xml:space="preserve"> &amp; Bernstein, 1994).</w:t>
      </w:r>
    </w:p>
    <w:p w:rsidR="00DA201A" w:rsidRPr="00DA0DF2" w:rsidRDefault="00DA201A" w:rsidP="00DA0DF2">
      <w:pPr>
        <w:spacing w:line="240" w:lineRule="auto"/>
        <w:contextualSpacing/>
        <w:jc w:val="both"/>
        <w:rPr>
          <w:rFonts w:ascii="Times New Roman" w:hAnsi="Times New Roman" w:cs="Times New Roman"/>
          <w:sz w:val="24"/>
        </w:rPr>
      </w:pPr>
    </w:p>
    <w:p w:rsidR="00DA0DF2" w:rsidRPr="00DA0DF2" w:rsidRDefault="00DA0DF2" w:rsidP="00DA0DF2">
      <w:pPr>
        <w:spacing w:line="240" w:lineRule="auto"/>
        <w:contextualSpacing/>
        <w:jc w:val="both"/>
        <w:rPr>
          <w:rFonts w:ascii="Times New Roman" w:hAnsi="Times New Roman" w:cs="Times New Roman"/>
          <w:sz w:val="24"/>
        </w:rPr>
      </w:pPr>
      <w:r w:rsidRPr="00DA0DF2">
        <w:rPr>
          <w:rFonts w:ascii="Times New Roman" w:hAnsi="Times New Roman" w:cs="Times New Roman"/>
          <w:sz w:val="24"/>
        </w:rPr>
        <w:t xml:space="preserve">Qualitative data were transcribed verbatim and analyzed thematically using </w:t>
      </w:r>
      <w:proofErr w:type="spellStart"/>
      <w:r w:rsidRPr="00DA0DF2">
        <w:rPr>
          <w:rFonts w:ascii="Times New Roman" w:hAnsi="Times New Roman" w:cs="Times New Roman"/>
          <w:sz w:val="24"/>
        </w:rPr>
        <w:t>NVivo</w:t>
      </w:r>
      <w:proofErr w:type="spellEnd"/>
      <w:r w:rsidRPr="00DA0DF2">
        <w:rPr>
          <w:rFonts w:ascii="Times New Roman" w:hAnsi="Times New Roman" w:cs="Times New Roman"/>
          <w:sz w:val="24"/>
        </w:rPr>
        <w:t xml:space="preserve"> 14. Coding was iterative, with sub-themes synthesized into overarching themes (Braun &amp; Clarke, 2006). Triangulation of quantitative and qualitative findings enhanced validity and provided a comprehensive understanding of community perceptions.</w:t>
      </w:r>
    </w:p>
    <w:p w:rsidR="00352E06" w:rsidRPr="00352E06" w:rsidRDefault="00352E06" w:rsidP="00352E06">
      <w:pPr>
        <w:spacing w:line="240" w:lineRule="auto"/>
        <w:contextualSpacing/>
        <w:jc w:val="both"/>
        <w:rPr>
          <w:rFonts w:ascii="Times New Roman" w:hAnsi="Times New Roman" w:cs="Times New Roman"/>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Results</w:t>
      </w: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Socio-Demographic Characteristics</w:t>
      </w:r>
    </w:p>
    <w:p w:rsidR="00352E06" w:rsidRDefault="00DA75A2" w:rsidP="00352E06">
      <w:pPr>
        <w:spacing w:line="240" w:lineRule="auto"/>
        <w:contextualSpacing/>
        <w:jc w:val="both"/>
        <w:rPr>
          <w:rFonts w:ascii="Times New Roman" w:hAnsi="Times New Roman" w:cs="Times New Roman"/>
          <w:sz w:val="24"/>
        </w:rPr>
      </w:pPr>
      <w:r>
        <w:rPr>
          <w:rFonts w:ascii="Times New Roman" w:hAnsi="Times New Roman" w:cs="Times New Roman"/>
          <w:sz w:val="24"/>
        </w:rPr>
        <w:t>The survey covered 400 households, with 72% female and 28% male respondents. Most households were led by males (73.5%), and the majority of participants had completed primary education (87%). Agriculture was the main livelihood activity (86.3%), followed by casual labor (7.2%) and business (6.5%). Over half of the respondents (54.3%) were members of agricultural cooperatives. The average age was 40 years, and nearly all respondents identified as Chewa (99%). These characteristics mirror the socio-economic profile of smallholder households in Malawi (Agricultural Extension Development Office, 2024).</w:t>
      </w: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Default="00F52991" w:rsidP="00352E06">
      <w:pPr>
        <w:spacing w:line="240" w:lineRule="auto"/>
        <w:contextualSpacing/>
        <w:jc w:val="both"/>
        <w:rPr>
          <w:rFonts w:ascii="Times New Roman" w:hAnsi="Times New Roman" w:cs="Times New Roman"/>
          <w:sz w:val="24"/>
        </w:rPr>
      </w:pPr>
    </w:p>
    <w:p w:rsidR="00F52991" w:rsidRPr="007247A7" w:rsidRDefault="00F52991" w:rsidP="00352E06">
      <w:pPr>
        <w:spacing w:line="240" w:lineRule="auto"/>
        <w:contextualSpacing/>
        <w:jc w:val="both"/>
        <w:rPr>
          <w:rFonts w:ascii="Times New Roman" w:hAnsi="Times New Roman" w:cs="Times New Roman"/>
          <w:b/>
          <w:sz w:val="24"/>
        </w:rPr>
      </w:pPr>
      <w:r w:rsidRPr="007247A7">
        <w:rPr>
          <w:rFonts w:ascii="Times New Roman" w:hAnsi="Times New Roman" w:cs="Times New Roman"/>
          <w:b/>
          <w:sz w:val="24"/>
        </w:rPr>
        <w:t xml:space="preserve">Figure 1: </w:t>
      </w:r>
      <w:r w:rsidR="007247A7">
        <w:rPr>
          <w:rFonts w:ascii="Times New Roman" w:hAnsi="Times New Roman" w:cs="Times New Roman"/>
          <w:b/>
          <w:sz w:val="24"/>
        </w:rPr>
        <w:t>Demographic Data</w:t>
      </w:r>
    </w:p>
    <w:p w:rsidR="008C53D6" w:rsidRDefault="008C53D6" w:rsidP="008C53D6">
      <w:pPr>
        <w:spacing w:line="240" w:lineRule="auto"/>
        <w:contextualSpacing/>
        <w:jc w:val="center"/>
        <w:rPr>
          <w:rFonts w:ascii="Times New Roman" w:hAnsi="Times New Roman" w:cs="Times New Roman"/>
          <w:sz w:val="24"/>
        </w:rPr>
      </w:pPr>
      <w:r w:rsidRPr="008C53D6">
        <w:rPr>
          <w:rFonts w:ascii="Times New Roman" w:hAnsi="Times New Roman" w:cs="Times New Roman"/>
          <w:noProof/>
          <w:sz w:val="24"/>
          <w:lang w:val="en-IN" w:eastAsia="en-IN"/>
        </w:rPr>
        <w:lastRenderedPageBreak/>
        <w:drawing>
          <wp:inline distT="0" distB="0" distL="0" distR="0">
            <wp:extent cx="4019550" cy="2962275"/>
            <wp:effectExtent l="0" t="0" r="0" b="9525"/>
            <wp:docPr id="1" name="Picture 1" descr="C:\Users\user\Desktop\Socio-demographic 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Socio-demographic pr.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9583" cy="3006517"/>
                    </a:xfrm>
                    <a:prstGeom prst="rect">
                      <a:avLst/>
                    </a:prstGeom>
                    <a:noFill/>
                    <a:ln>
                      <a:noFill/>
                    </a:ln>
                  </pic:spPr>
                </pic:pic>
              </a:graphicData>
            </a:graphic>
          </wp:inline>
        </w:drawing>
      </w:r>
    </w:p>
    <w:p w:rsidR="00C95C4B" w:rsidRPr="00352E06" w:rsidRDefault="00C95C4B" w:rsidP="00352E06">
      <w:pPr>
        <w:spacing w:line="240" w:lineRule="auto"/>
        <w:contextualSpacing/>
        <w:jc w:val="both"/>
        <w:rPr>
          <w:rFonts w:ascii="Times New Roman" w:hAnsi="Times New Roman" w:cs="Times New Roman"/>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 xml:space="preserve">Traditional Knowledge of </w:t>
      </w:r>
      <w:proofErr w:type="spellStart"/>
      <w:r w:rsidRPr="00352E06">
        <w:rPr>
          <w:rFonts w:ascii="Times New Roman" w:hAnsi="Times New Roman" w:cs="Times New Roman"/>
          <w:b/>
          <w:bCs/>
          <w:i/>
          <w:iCs/>
          <w:sz w:val="24"/>
        </w:rPr>
        <w:t>Bidens</w:t>
      </w:r>
      <w:proofErr w:type="spellEnd"/>
      <w:r w:rsidRPr="00352E06">
        <w:rPr>
          <w:rFonts w:ascii="Times New Roman" w:hAnsi="Times New Roman" w:cs="Times New Roman"/>
          <w:b/>
          <w:bCs/>
          <w:i/>
          <w:iCs/>
          <w:sz w:val="24"/>
        </w:rPr>
        <w:t xml:space="preserve"> </w:t>
      </w:r>
      <w:proofErr w:type="spellStart"/>
      <w:r w:rsidRPr="00352E06">
        <w:rPr>
          <w:rFonts w:ascii="Times New Roman" w:hAnsi="Times New Roman" w:cs="Times New Roman"/>
          <w:b/>
          <w:bCs/>
          <w:i/>
          <w:iCs/>
          <w:sz w:val="24"/>
        </w:rPr>
        <w:t>pilosa</w:t>
      </w:r>
      <w:proofErr w:type="spellEnd"/>
    </w:p>
    <w:p w:rsidR="00352E06" w:rsidRDefault="00352E06" w:rsidP="00352E06">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t xml:space="preserve">Awareness of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xml:space="preserve"> was nearly universal (96%), with 75% recognizing its nutritional value and 66.3% acknowledging its medicinal role in combating infections. Focus group discussions revealed that communities view the plant both as a vegetable (“relish”) and as medicine. Respondents emphasized its role in addressing malnutrition, particularly among children, and its use in treating ailments such as malaria, wounds, ulcers, and reproductive health issues. Knowledge transmission was largely intergenerational, underscoring the cultural </w:t>
      </w:r>
      <w:proofErr w:type="spellStart"/>
      <w:r w:rsidRPr="00352E06">
        <w:rPr>
          <w:rFonts w:ascii="Times New Roman" w:hAnsi="Times New Roman" w:cs="Times New Roman"/>
          <w:sz w:val="24"/>
        </w:rPr>
        <w:t>embeddedness</w:t>
      </w:r>
      <w:proofErr w:type="spellEnd"/>
      <w:r w:rsidRPr="00352E06">
        <w:rPr>
          <w:rFonts w:ascii="Times New Roman" w:hAnsi="Times New Roman" w:cs="Times New Roman"/>
          <w:sz w:val="24"/>
        </w:rPr>
        <w:t xml:space="preserve"> of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xml:space="preserve"> (</w:t>
      </w:r>
      <w:proofErr w:type="spellStart"/>
      <w:r w:rsidRPr="00352E06">
        <w:rPr>
          <w:rFonts w:ascii="Times New Roman" w:hAnsi="Times New Roman" w:cs="Times New Roman"/>
          <w:sz w:val="24"/>
        </w:rPr>
        <w:t>Mwangi</w:t>
      </w:r>
      <w:proofErr w:type="spellEnd"/>
      <w:r w:rsidRPr="00352E06">
        <w:rPr>
          <w:rFonts w:ascii="Times New Roman" w:hAnsi="Times New Roman" w:cs="Times New Roman"/>
          <w:sz w:val="24"/>
        </w:rPr>
        <w:t xml:space="preserve"> &amp; Kimathi, 2018).</w:t>
      </w:r>
    </w:p>
    <w:p w:rsidR="002833ED" w:rsidRDefault="002833ED" w:rsidP="00352E06">
      <w:pPr>
        <w:spacing w:line="240" w:lineRule="auto"/>
        <w:contextualSpacing/>
        <w:jc w:val="both"/>
        <w:rPr>
          <w:rFonts w:ascii="Times New Roman" w:hAnsi="Times New Roman" w:cs="Times New Roman"/>
          <w:sz w:val="24"/>
        </w:rPr>
      </w:pPr>
    </w:p>
    <w:p w:rsidR="0023390D" w:rsidRPr="00F201D0" w:rsidRDefault="0023390D" w:rsidP="00352E06">
      <w:pPr>
        <w:spacing w:line="240" w:lineRule="auto"/>
        <w:contextualSpacing/>
        <w:jc w:val="both"/>
        <w:rPr>
          <w:rFonts w:ascii="Times New Roman" w:hAnsi="Times New Roman" w:cs="Times New Roman"/>
          <w:b/>
          <w:sz w:val="24"/>
        </w:rPr>
      </w:pPr>
      <w:r w:rsidRPr="00F201D0">
        <w:rPr>
          <w:rFonts w:ascii="Times New Roman" w:hAnsi="Times New Roman" w:cs="Times New Roman"/>
          <w:b/>
          <w:sz w:val="24"/>
        </w:rPr>
        <w:t xml:space="preserve">Figure 2: </w:t>
      </w:r>
      <w:r w:rsidR="00F201D0" w:rsidRPr="00F201D0">
        <w:rPr>
          <w:rFonts w:ascii="Times New Roman" w:hAnsi="Times New Roman" w:cs="Times New Roman"/>
          <w:b/>
          <w:sz w:val="24"/>
        </w:rPr>
        <w:t xml:space="preserve">Community Knowledge and Perceptions of </w:t>
      </w:r>
      <w:proofErr w:type="spellStart"/>
      <w:r w:rsidR="00F201D0" w:rsidRPr="00BD667C">
        <w:rPr>
          <w:rFonts w:ascii="Times New Roman" w:hAnsi="Times New Roman" w:cs="Times New Roman"/>
          <w:b/>
          <w:i/>
          <w:sz w:val="24"/>
        </w:rPr>
        <w:t>Bidens</w:t>
      </w:r>
      <w:proofErr w:type="spellEnd"/>
      <w:r w:rsidR="00F201D0" w:rsidRPr="00BD667C">
        <w:rPr>
          <w:rFonts w:ascii="Times New Roman" w:hAnsi="Times New Roman" w:cs="Times New Roman"/>
          <w:b/>
          <w:i/>
          <w:sz w:val="24"/>
        </w:rPr>
        <w:t xml:space="preserve"> </w:t>
      </w:r>
      <w:proofErr w:type="spellStart"/>
      <w:r w:rsidR="00F201D0" w:rsidRPr="00BD667C">
        <w:rPr>
          <w:rFonts w:ascii="Times New Roman" w:hAnsi="Times New Roman" w:cs="Times New Roman"/>
          <w:b/>
          <w:i/>
          <w:sz w:val="24"/>
        </w:rPr>
        <w:t>Pilosa</w:t>
      </w:r>
      <w:proofErr w:type="spellEnd"/>
    </w:p>
    <w:p w:rsidR="005C1F07" w:rsidRDefault="005C1F07" w:rsidP="00352E06">
      <w:pPr>
        <w:spacing w:line="240" w:lineRule="auto"/>
        <w:contextualSpacing/>
        <w:jc w:val="both"/>
        <w:rPr>
          <w:rFonts w:ascii="Times New Roman" w:hAnsi="Times New Roman" w:cs="Times New Roman"/>
          <w:sz w:val="24"/>
        </w:rPr>
      </w:pPr>
    </w:p>
    <w:p w:rsidR="008D743F" w:rsidRPr="00352E06" w:rsidRDefault="005C1F07" w:rsidP="005C1F07">
      <w:pPr>
        <w:spacing w:line="240" w:lineRule="auto"/>
        <w:contextualSpacing/>
        <w:jc w:val="center"/>
        <w:rPr>
          <w:rFonts w:ascii="Times New Roman" w:hAnsi="Times New Roman" w:cs="Times New Roman"/>
          <w:sz w:val="24"/>
        </w:rPr>
      </w:pPr>
      <w:r w:rsidRPr="005C1F07">
        <w:rPr>
          <w:rFonts w:ascii="Times New Roman" w:hAnsi="Times New Roman" w:cs="Times New Roman"/>
          <w:noProof/>
          <w:sz w:val="24"/>
          <w:lang w:val="en-IN" w:eastAsia="en-IN"/>
        </w:rPr>
        <w:drawing>
          <wp:inline distT="0" distB="0" distL="0" distR="0">
            <wp:extent cx="4410075" cy="2781300"/>
            <wp:effectExtent l="0" t="0" r="9525" b="0"/>
            <wp:docPr id="2" name="Picture 2" descr="C:\Users\user\Desktop\Visual frequency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Visual frequency ta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26559" cy="2791696"/>
                    </a:xfrm>
                    <a:prstGeom prst="rect">
                      <a:avLst/>
                    </a:prstGeom>
                    <a:noFill/>
                    <a:ln>
                      <a:noFill/>
                    </a:ln>
                  </pic:spPr>
                </pic:pic>
              </a:graphicData>
            </a:graphic>
          </wp:inline>
        </w:drawing>
      </w:r>
    </w:p>
    <w:p w:rsidR="00042B19" w:rsidRDefault="00042B19" w:rsidP="00352E06">
      <w:pPr>
        <w:spacing w:line="240" w:lineRule="auto"/>
        <w:contextualSpacing/>
        <w:jc w:val="both"/>
        <w:rPr>
          <w:rFonts w:ascii="Times New Roman" w:hAnsi="Times New Roman" w:cs="Times New Roman"/>
          <w:b/>
          <w:bCs/>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Perceptions of Nutritional, Medicinal, and Economic Potential</w:t>
      </w:r>
    </w:p>
    <w:p w:rsidR="00352E06" w:rsidRDefault="00352E06" w:rsidP="00352E06">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lastRenderedPageBreak/>
        <w:t xml:space="preserve">Perceptions were overwhelmingly positive across all dimensions. Respondents strongly agreed that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xml:space="preserve"> supports immune function (mean = 4.11), combats infections (mean = 4.11), improves skin health (mean = 4.10), and promotes digestive health (mean = 4.04). Economic perceptions were also favorable, with high agreement on its potential for </w:t>
      </w:r>
      <w:r w:rsidR="007A081B">
        <w:rPr>
          <w:rFonts w:ascii="Times New Roman" w:hAnsi="Times New Roman" w:cs="Times New Roman"/>
          <w:sz w:val="24"/>
        </w:rPr>
        <w:t xml:space="preserve">local </w:t>
      </w:r>
      <w:r w:rsidRPr="00352E06">
        <w:rPr>
          <w:rFonts w:ascii="Times New Roman" w:hAnsi="Times New Roman" w:cs="Times New Roman"/>
          <w:sz w:val="24"/>
        </w:rPr>
        <w:t>drug development (mean = 4.10), income generation (mean = 4.14), and contribution to food security (mean = 4.08). Overall, 71.5% of respondents expressed positive perceptions, confirming the plant’s multifunctional value.</w:t>
      </w:r>
    </w:p>
    <w:p w:rsidR="006B0FC8" w:rsidRDefault="006B0FC8" w:rsidP="00352E06">
      <w:pPr>
        <w:spacing w:line="240" w:lineRule="auto"/>
        <w:contextualSpacing/>
        <w:jc w:val="both"/>
        <w:rPr>
          <w:rFonts w:ascii="Times New Roman" w:hAnsi="Times New Roman" w:cs="Times New Roman"/>
          <w:sz w:val="24"/>
        </w:rPr>
      </w:pPr>
    </w:p>
    <w:p w:rsidR="000169E7" w:rsidRPr="008C00FF" w:rsidRDefault="0023390D" w:rsidP="00352E06">
      <w:pPr>
        <w:spacing w:line="240" w:lineRule="auto"/>
        <w:contextualSpacing/>
        <w:jc w:val="both"/>
        <w:rPr>
          <w:rFonts w:ascii="Times New Roman" w:hAnsi="Times New Roman" w:cs="Times New Roman"/>
          <w:b/>
          <w:sz w:val="24"/>
        </w:rPr>
      </w:pPr>
      <w:r w:rsidRPr="008C00FF">
        <w:rPr>
          <w:rFonts w:ascii="Times New Roman" w:hAnsi="Times New Roman" w:cs="Times New Roman"/>
          <w:b/>
          <w:sz w:val="24"/>
        </w:rPr>
        <w:t xml:space="preserve">Figure 3: </w:t>
      </w:r>
      <w:r w:rsidR="008C00FF" w:rsidRPr="008C00FF">
        <w:rPr>
          <w:rFonts w:ascii="Times New Roman" w:hAnsi="Times New Roman" w:cs="Times New Roman"/>
          <w:b/>
          <w:sz w:val="24"/>
        </w:rPr>
        <w:t xml:space="preserve">Perceptions of Nutritional, Medicinal, and Economic Potential of </w:t>
      </w:r>
      <w:proofErr w:type="spellStart"/>
      <w:r w:rsidR="008C00FF" w:rsidRPr="008C00FF">
        <w:rPr>
          <w:rFonts w:ascii="Times New Roman" w:hAnsi="Times New Roman" w:cs="Times New Roman"/>
          <w:b/>
          <w:i/>
          <w:sz w:val="24"/>
        </w:rPr>
        <w:t>Bidens</w:t>
      </w:r>
      <w:proofErr w:type="spellEnd"/>
      <w:r w:rsidR="008C00FF" w:rsidRPr="008C00FF">
        <w:rPr>
          <w:rFonts w:ascii="Times New Roman" w:hAnsi="Times New Roman" w:cs="Times New Roman"/>
          <w:b/>
          <w:i/>
          <w:sz w:val="24"/>
        </w:rPr>
        <w:t xml:space="preserve"> </w:t>
      </w:r>
      <w:proofErr w:type="spellStart"/>
      <w:r w:rsidR="008C00FF" w:rsidRPr="008C00FF">
        <w:rPr>
          <w:rFonts w:ascii="Times New Roman" w:hAnsi="Times New Roman" w:cs="Times New Roman"/>
          <w:b/>
          <w:i/>
          <w:sz w:val="24"/>
        </w:rPr>
        <w:t>pilosa</w:t>
      </w:r>
      <w:proofErr w:type="spellEnd"/>
    </w:p>
    <w:p w:rsidR="000169E7" w:rsidRDefault="000169E7" w:rsidP="000169E7">
      <w:pPr>
        <w:spacing w:line="240" w:lineRule="auto"/>
        <w:contextualSpacing/>
        <w:jc w:val="center"/>
        <w:rPr>
          <w:rFonts w:ascii="Times New Roman" w:hAnsi="Times New Roman" w:cs="Times New Roman"/>
          <w:sz w:val="24"/>
        </w:rPr>
      </w:pPr>
      <w:r w:rsidRPr="000169E7">
        <w:rPr>
          <w:rFonts w:ascii="Times New Roman" w:hAnsi="Times New Roman" w:cs="Times New Roman"/>
          <w:noProof/>
          <w:sz w:val="24"/>
          <w:lang w:val="en-IN" w:eastAsia="en-IN"/>
        </w:rPr>
        <w:drawing>
          <wp:inline distT="0" distB="0" distL="0" distR="0">
            <wp:extent cx="5993816" cy="5111750"/>
            <wp:effectExtent l="0" t="0" r="6985" b="0"/>
            <wp:docPr id="3" name="Picture 3" descr="C:\Users\user\Desktop\Scatter plots of B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Scatter plots of Bi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47984" cy="5157947"/>
                    </a:xfrm>
                    <a:prstGeom prst="rect">
                      <a:avLst/>
                    </a:prstGeom>
                    <a:noFill/>
                    <a:ln>
                      <a:noFill/>
                    </a:ln>
                  </pic:spPr>
                </pic:pic>
              </a:graphicData>
            </a:graphic>
          </wp:inline>
        </w:drawing>
      </w:r>
    </w:p>
    <w:p w:rsidR="008C00FF" w:rsidRDefault="008C00FF" w:rsidP="000169E7">
      <w:pPr>
        <w:spacing w:line="240" w:lineRule="auto"/>
        <w:contextualSpacing/>
        <w:jc w:val="center"/>
        <w:rPr>
          <w:rFonts w:ascii="Times New Roman" w:hAnsi="Times New Roman" w:cs="Times New Roman"/>
          <w:sz w:val="24"/>
        </w:rPr>
      </w:pPr>
    </w:p>
    <w:p w:rsidR="008C00FF" w:rsidRDefault="008C00FF" w:rsidP="000169E7">
      <w:pPr>
        <w:spacing w:line="240" w:lineRule="auto"/>
        <w:contextualSpacing/>
        <w:jc w:val="center"/>
        <w:rPr>
          <w:rFonts w:ascii="Times New Roman" w:hAnsi="Times New Roman" w:cs="Times New Roman"/>
          <w:sz w:val="24"/>
        </w:rPr>
      </w:pPr>
    </w:p>
    <w:p w:rsidR="008C00FF" w:rsidRDefault="008C00FF" w:rsidP="000169E7">
      <w:pPr>
        <w:spacing w:line="240" w:lineRule="auto"/>
        <w:contextualSpacing/>
        <w:jc w:val="center"/>
        <w:rPr>
          <w:rFonts w:ascii="Times New Roman" w:hAnsi="Times New Roman" w:cs="Times New Roman"/>
          <w:sz w:val="24"/>
        </w:rPr>
      </w:pPr>
    </w:p>
    <w:p w:rsidR="008C00FF" w:rsidRDefault="008C00FF" w:rsidP="000169E7">
      <w:pPr>
        <w:spacing w:line="240" w:lineRule="auto"/>
        <w:contextualSpacing/>
        <w:jc w:val="center"/>
        <w:rPr>
          <w:rFonts w:ascii="Times New Roman" w:hAnsi="Times New Roman" w:cs="Times New Roman"/>
          <w:sz w:val="24"/>
        </w:rPr>
      </w:pPr>
    </w:p>
    <w:p w:rsidR="008C00FF" w:rsidRDefault="008C00FF" w:rsidP="000169E7">
      <w:pPr>
        <w:spacing w:line="240" w:lineRule="auto"/>
        <w:contextualSpacing/>
        <w:jc w:val="center"/>
        <w:rPr>
          <w:rFonts w:ascii="Times New Roman" w:hAnsi="Times New Roman" w:cs="Times New Roman"/>
          <w:sz w:val="24"/>
        </w:rPr>
      </w:pPr>
    </w:p>
    <w:p w:rsidR="008C00FF" w:rsidRDefault="008C00FF" w:rsidP="000169E7">
      <w:pPr>
        <w:spacing w:line="240" w:lineRule="auto"/>
        <w:contextualSpacing/>
        <w:jc w:val="center"/>
        <w:rPr>
          <w:rFonts w:ascii="Times New Roman" w:hAnsi="Times New Roman" w:cs="Times New Roman"/>
          <w:sz w:val="24"/>
        </w:rPr>
      </w:pPr>
    </w:p>
    <w:p w:rsidR="008D743F" w:rsidRPr="00352E06" w:rsidRDefault="008D743F" w:rsidP="00352E06">
      <w:pPr>
        <w:spacing w:line="240" w:lineRule="auto"/>
        <w:contextualSpacing/>
        <w:jc w:val="both"/>
        <w:rPr>
          <w:rFonts w:ascii="Times New Roman" w:hAnsi="Times New Roman" w:cs="Times New Roman"/>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Socio-Demographic Differences in Perceptions</w:t>
      </w:r>
    </w:p>
    <w:p w:rsidR="00352E06" w:rsidRDefault="00352E06" w:rsidP="00352E06">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lastRenderedPageBreak/>
        <w:t>Significant differences emerged across gender, education, occupation, and cooperative membership. Women expressed stronger positive perceptions than men, reflecting their central role in food preparation and child nutrition. Respondents with primary education held more favorable views than those with secondary education, suggesting that traditional knowledge may be more deeply retained among less formally educated groups. Cooperative members demonstrated significantly higher positive perceptions, likely due to peer learning and exposure to agricultural training (Guest et al., 2006).</w:t>
      </w:r>
    </w:p>
    <w:p w:rsidR="00227D98" w:rsidRPr="00352E06" w:rsidRDefault="00227D98" w:rsidP="00352E06">
      <w:pPr>
        <w:spacing w:line="240" w:lineRule="auto"/>
        <w:contextualSpacing/>
        <w:jc w:val="both"/>
        <w:rPr>
          <w:rFonts w:ascii="Times New Roman" w:hAnsi="Times New Roman" w:cs="Times New Roman"/>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Principal Component Analysis (PCA)</w:t>
      </w:r>
    </w:p>
    <w:p w:rsidR="00352E06" w:rsidRPr="00352E06" w:rsidRDefault="00352E06" w:rsidP="00352E06">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t xml:space="preserve">PCA revealed a two-component structure explaining 72.2% of the variance. The first component (medicinal–health) captured perceptions related to immune support, infection management, and skin healing. The second component (economic–nutraceutical) encompassed perceptions of commercialization, income generation, and nutraceutical potential. This dimensionality highlights the dual role of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xml:space="preserve"> as both a health resource and an economic opportunity.</w:t>
      </w:r>
    </w:p>
    <w:p w:rsidR="00352E06" w:rsidRPr="00352E06" w:rsidRDefault="00352E06" w:rsidP="00352E06">
      <w:pPr>
        <w:spacing w:line="240" w:lineRule="auto"/>
        <w:contextualSpacing/>
        <w:jc w:val="both"/>
        <w:rPr>
          <w:rFonts w:ascii="Times New Roman" w:hAnsi="Times New Roman" w:cs="Times New Roman"/>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Discussion</w:t>
      </w: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Integration of Traditional Knowledge and Modern Evidence</w:t>
      </w:r>
    </w:p>
    <w:p w:rsidR="00352E06" w:rsidRDefault="00352E06" w:rsidP="00352E06">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t xml:space="preserve">The findings confirm that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xml:space="preserve"> is deeply integrated into community knowledge systems in Malawi. Traditional uses for nutrition and medicine align with laboratory evidence of its phytochemical properties (Chen et al., 2018; Silva et al., 2014). This convergence underscores the importance of bridging indigenous knowledge with scientific validation to strengthen its role in healthcare and nutrition programs.</w:t>
      </w:r>
    </w:p>
    <w:p w:rsidR="00601E92" w:rsidRPr="00352E06" w:rsidRDefault="00601E92" w:rsidP="00352E06">
      <w:pPr>
        <w:spacing w:line="240" w:lineRule="auto"/>
        <w:contextualSpacing/>
        <w:jc w:val="both"/>
        <w:rPr>
          <w:rFonts w:ascii="Times New Roman" w:hAnsi="Times New Roman" w:cs="Times New Roman"/>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Gendered Dimensions of Perception</w:t>
      </w:r>
    </w:p>
    <w:p w:rsidR="00352E06" w:rsidRDefault="00352E06" w:rsidP="00352E06">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t>Women’s stronger positive perceptions reflect their responsibility for household food preparation and child health. This finding resonates with broader literature on gendered roles in indigenous plant utilization (</w:t>
      </w:r>
      <w:proofErr w:type="spellStart"/>
      <w:r w:rsidRPr="00352E06">
        <w:rPr>
          <w:rFonts w:ascii="Times New Roman" w:hAnsi="Times New Roman" w:cs="Times New Roman"/>
          <w:sz w:val="24"/>
        </w:rPr>
        <w:t>Maseko</w:t>
      </w:r>
      <w:proofErr w:type="spellEnd"/>
      <w:r w:rsidRPr="00352E06">
        <w:rPr>
          <w:rFonts w:ascii="Times New Roman" w:hAnsi="Times New Roman" w:cs="Times New Roman"/>
          <w:sz w:val="24"/>
        </w:rPr>
        <w:t xml:space="preserve"> et al., 2017). Policy interventions should therefore prioritize women’s involvement in awareness campaigns, cultivation initiatives, and commercialization strategies.</w:t>
      </w:r>
    </w:p>
    <w:p w:rsidR="005749F9" w:rsidRPr="00352E06" w:rsidRDefault="005749F9" w:rsidP="00352E06">
      <w:pPr>
        <w:spacing w:line="240" w:lineRule="auto"/>
        <w:contextualSpacing/>
        <w:jc w:val="both"/>
        <w:rPr>
          <w:rFonts w:ascii="Times New Roman" w:hAnsi="Times New Roman" w:cs="Times New Roman"/>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Education and Cooperative Membership</w:t>
      </w:r>
    </w:p>
    <w:p w:rsidR="00352E06" w:rsidRDefault="00352E06" w:rsidP="00352E06">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t xml:space="preserve">The inverse relationship between formal education and positive perceptions suggests that traditional knowledge may be undervalued in more formalized contexts. Cooperative membership, however, enhances perceptions by facilitating peer learning and market exposure. Strengthening cooperative structures could therefore be a key pathway for scaling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xml:space="preserve"> commercialization and integrating it into rural enterprise development (Pillai et al., 2020).</w:t>
      </w:r>
    </w:p>
    <w:p w:rsidR="005749F9" w:rsidRPr="00352E06" w:rsidRDefault="005749F9" w:rsidP="00352E06">
      <w:pPr>
        <w:spacing w:line="240" w:lineRule="auto"/>
        <w:contextualSpacing/>
        <w:jc w:val="both"/>
        <w:rPr>
          <w:rFonts w:ascii="Times New Roman" w:hAnsi="Times New Roman" w:cs="Times New Roman"/>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t>Economic and Policy Implications</w:t>
      </w:r>
    </w:p>
    <w:p w:rsidR="00352E06" w:rsidRDefault="00352E06" w:rsidP="00352E06">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t xml:space="preserve">The economic potential of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xml:space="preserve">—including </w:t>
      </w:r>
      <w:proofErr w:type="spellStart"/>
      <w:r w:rsidRPr="00352E06">
        <w:rPr>
          <w:rFonts w:ascii="Times New Roman" w:hAnsi="Times New Roman" w:cs="Times New Roman"/>
          <w:sz w:val="24"/>
        </w:rPr>
        <w:t>nutraceutical</w:t>
      </w:r>
      <w:proofErr w:type="spellEnd"/>
      <w:r w:rsidRPr="00352E06">
        <w:rPr>
          <w:rFonts w:ascii="Times New Roman" w:hAnsi="Times New Roman" w:cs="Times New Roman"/>
          <w:sz w:val="24"/>
        </w:rPr>
        <w:t xml:space="preserve"> production, herbal teas, and drug development—offers opportunities for smallholder farmers and rural enterprises. Countries such as Nigeria and Zimbabwe have already initiated small-scale cultivation for medicinal purposes (FAO, 2012). Malawi could leverage similar strategies to integrate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xml:space="preserve"> into national food security and healthcare policies, contributing to Sustainable Development Goals (SDGs) on health, nutrition, and livelihoods.</w:t>
      </w:r>
    </w:p>
    <w:p w:rsidR="009B6D95" w:rsidRPr="00352E06" w:rsidRDefault="009B6D95" w:rsidP="00352E06">
      <w:pPr>
        <w:spacing w:line="240" w:lineRule="auto"/>
        <w:contextualSpacing/>
        <w:jc w:val="both"/>
        <w:rPr>
          <w:rFonts w:ascii="Times New Roman" w:hAnsi="Times New Roman" w:cs="Times New Roman"/>
          <w:sz w:val="24"/>
        </w:rPr>
      </w:pPr>
    </w:p>
    <w:p w:rsidR="00AF76F1" w:rsidRDefault="00AF76F1" w:rsidP="00352E06">
      <w:pPr>
        <w:spacing w:line="240" w:lineRule="auto"/>
        <w:contextualSpacing/>
        <w:jc w:val="both"/>
        <w:rPr>
          <w:rFonts w:ascii="Times New Roman" w:hAnsi="Times New Roman" w:cs="Times New Roman"/>
          <w:b/>
          <w:bCs/>
          <w:sz w:val="24"/>
        </w:rPr>
      </w:pPr>
    </w:p>
    <w:p w:rsidR="00AF76F1" w:rsidRDefault="00AF76F1" w:rsidP="00352E06">
      <w:pPr>
        <w:spacing w:line="240" w:lineRule="auto"/>
        <w:contextualSpacing/>
        <w:jc w:val="both"/>
        <w:rPr>
          <w:rFonts w:ascii="Times New Roman" w:hAnsi="Times New Roman" w:cs="Times New Roman"/>
          <w:b/>
          <w:bCs/>
          <w:sz w:val="24"/>
        </w:rPr>
      </w:pPr>
    </w:p>
    <w:p w:rsidR="00352E06" w:rsidRPr="00352E06" w:rsidRDefault="00352E06" w:rsidP="00352E06">
      <w:pPr>
        <w:spacing w:line="240" w:lineRule="auto"/>
        <w:contextualSpacing/>
        <w:jc w:val="both"/>
        <w:rPr>
          <w:rFonts w:ascii="Times New Roman" w:hAnsi="Times New Roman" w:cs="Times New Roman"/>
          <w:b/>
          <w:bCs/>
          <w:sz w:val="24"/>
        </w:rPr>
      </w:pPr>
      <w:r w:rsidRPr="00352E06">
        <w:rPr>
          <w:rFonts w:ascii="Times New Roman" w:hAnsi="Times New Roman" w:cs="Times New Roman"/>
          <w:b/>
          <w:bCs/>
          <w:sz w:val="24"/>
        </w:rPr>
        <w:lastRenderedPageBreak/>
        <w:t>Novelty of Findings</w:t>
      </w:r>
    </w:p>
    <w:p w:rsidR="005513FD" w:rsidRDefault="00352E06" w:rsidP="00D9104A">
      <w:pPr>
        <w:spacing w:line="240" w:lineRule="auto"/>
        <w:contextualSpacing/>
        <w:jc w:val="both"/>
        <w:rPr>
          <w:rFonts w:ascii="Times New Roman" w:hAnsi="Times New Roman" w:cs="Times New Roman"/>
          <w:sz w:val="24"/>
        </w:rPr>
      </w:pPr>
      <w:r w:rsidRPr="00352E06">
        <w:rPr>
          <w:rFonts w:ascii="Times New Roman" w:hAnsi="Times New Roman" w:cs="Times New Roman"/>
          <w:sz w:val="24"/>
        </w:rPr>
        <w:t xml:space="preserve">Unlike previous studies that focused primarily on pharmacological properties (Zhang et al., 2019), this research provides systematic evidence of community perceptions and traditional knowledge. By combining quantitative and qualitative approaches, the study highlights how socio-demographic factors shape </w:t>
      </w:r>
      <w:r w:rsidR="006C4079">
        <w:rPr>
          <w:rFonts w:ascii="Times New Roman" w:hAnsi="Times New Roman" w:cs="Times New Roman"/>
          <w:sz w:val="24"/>
        </w:rPr>
        <w:t xml:space="preserve">the </w:t>
      </w:r>
      <w:r w:rsidRPr="00352E06">
        <w:rPr>
          <w:rFonts w:ascii="Times New Roman" w:hAnsi="Times New Roman" w:cs="Times New Roman"/>
          <w:sz w:val="24"/>
        </w:rPr>
        <w:t xml:space="preserve">valuation of </w:t>
      </w:r>
      <w:proofErr w:type="spellStart"/>
      <w:r w:rsidRPr="00352E06">
        <w:rPr>
          <w:rFonts w:ascii="Times New Roman" w:hAnsi="Times New Roman" w:cs="Times New Roman"/>
          <w:i/>
          <w:iCs/>
          <w:sz w:val="24"/>
        </w:rPr>
        <w:t>Bidens</w:t>
      </w:r>
      <w:proofErr w:type="spellEnd"/>
      <w:r w:rsidRPr="00352E06">
        <w:rPr>
          <w:rFonts w:ascii="Times New Roman" w:hAnsi="Times New Roman" w:cs="Times New Roman"/>
          <w:i/>
          <w:iCs/>
          <w:sz w:val="24"/>
        </w:rPr>
        <w:t xml:space="preserve"> </w:t>
      </w:r>
      <w:proofErr w:type="spellStart"/>
      <w:r w:rsidRPr="00352E06">
        <w:rPr>
          <w:rFonts w:ascii="Times New Roman" w:hAnsi="Times New Roman" w:cs="Times New Roman"/>
          <w:i/>
          <w:iCs/>
          <w:sz w:val="24"/>
        </w:rPr>
        <w:t>pilosa</w:t>
      </w:r>
      <w:proofErr w:type="spellEnd"/>
      <w:r w:rsidRPr="00352E06">
        <w:rPr>
          <w:rFonts w:ascii="Times New Roman" w:hAnsi="Times New Roman" w:cs="Times New Roman"/>
          <w:sz w:val="24"/>
        </w:rPr>
        <w:t>. This perception-based evidence is novel and critical for designing culturally sensitive interventions that promote indigenous plants in sustainable development.</w:t>
      </w:r>
    </w:p>
    <w:p w:rsidR="009F1D1F" w:rsidRPr="00D9104A" w:rsidRDefault="009F1D1F" w:rsidP="00D9104A">
      <w:pPr>
        <w:spacing w:line="240" w:lineRule="auto"/>
        <w:contextualSpacing/>
        <w:jc w:val="both"/>
        <w:rPr>
          <w:rFonts w:ascii="Times New Roman" w:hAnsi="Times New Roman" w:cs="Times New Roman"/>
          <w:sz w:val="24"/>
        </w:rPr>
      </w:pPr>
    </w:p>
    <w:p w:rsidR="00D9104A" w:rsidRPr="00D9104A" w:rsidRDefault="00D9104A" w:rsidP="00D9104A">
      <w:pPr>
        <w:spacing w:line="240" w:lineRule="auto"/>
        <w:contextualSpacing/>
        <w:jc w:val="both"/>
        <w:rPr>
          <w:rFonts w:ascii="Times New Roman" w:hAnsi="Times New Roman" w:cs="Times New Roman"/>
          <w:b/>
          <w:bCs/>
          <w:sz w:val="24"/>
        </w:rPr>
      </w:pPr>
      <w:r w:rsidRPr="00D9104A">
        <w:rPr>
          <w:rFonts w:ascii="Times New Roman" w:hAnsi="Times New Roman" w:cs="Times New Roman"/>
          <w:b/>
          <w:bCs/>
          <w:sz w:val="24"/>
        </w:rPr>
        <w:t>Conclusion</w:t>
      </w:r>
    </w:p>
    <w:p w:rsidR="00D9104A" w:rsidRDefault="00E31F2A" w:rsidP="00D9104A">
      <w:pPr>
        <w:spacing w:line="240" w:lineRule="auto"/>
        <w:contextualSpacing/>
        <w:jc w:val="both"/>
        <w:rPr>
          <w:rFonts w:ascii="Times New Roman" w:hAnsi="Times New Roman" w:cs="Times New Roman"/>
          <w:sz w:val="24"/>
        </w:rPr>
      </w:pPr>
      <w:r>
        <w:rPr>
          <w:rFonts w:ascii="Times New Roman" w:hAnsi="Times New Roman" w:cs="Times New Roman"/>
          <w:sz w:val="24"/>
        </w:rPr>
        <w:t xml:space="preserve">This study shows that </w:t>
      </w:r>
      <w:proofErr w:type="spellStart"/>
      <w:r>
        <w:rPr>
          <w:rFonts w:ascii="Times New Roman" w:hAnsi="Times New Roman" w:cs="Times New Roman"/>
          <w:sz w:val="24"/>
        </w:rPr>
        <w:t>Bidens</w:t>
      </w:r>
      <w:proofErr w:type="spellEnd"/>
      <w:r>
        <w:rPr>
          <w:rFonts w:ascii="Times New Roman" w:hAnsi="Times New Roman" w:cs="Times New Roman"/>
          <w:sz w:val="24"/>
        </w:rPr>
        <w:t xml:space="preserve"> </w:t>
      </w:r>
      <w:proofErr w:type="spellStart"/>
      <w:r>
        <w:rPr>
          <w:rFonts w:ascii="Times New Roman" w:hAnsi="Times New Roman" w:cs="Times New Roman"/>
          <w:sz w:val="24"/>
        </w:rPr>
        <w:t>pilosa</w:t>
      </w:r>
      <w:proofErr w:type="spellEnd"/>
      <w:r>
        <w:rPr>
          <w:rFonts w:ascii="Times New Roman" w:hAnsi="Times New Roman" w:cs="Times New Roman"/>
          <w:sz w:val="24"/>
        </w:rPr>
        <w:t xml:space="preserve"> is much more than a neglected weed; it is a valued, culturally significant, multifunctional plant used by rural and </w:t>
      </w:r>
      <w:proofErr w:type="spellStart"/>
      <w:r>
        <w:rPr>
          <w:rFonts w:ascii="Times New Roman" w:hAnsi="Times New Roman" w:cs="Times New Roman"/>
          <w:sz w:val="24"/>
        </w:rPr>
        <w:t>peri</w:t>
      </w:r>
      <w:proofErr w:type="spellEnd"/>
      <w:r>
        <w:rPr>
          <w:rFonts w:ascii="Times New Roman" w:hAnsi="Times New Roman" w:cs="Times New Roman"/>
          <w:sz w:val="24"/>
        </w:rPr>
        <w:t>-urban households in Malawi for its nutritional, medicinal, and economic benefits. Community perceptions were highly positive, with women and cooperative members showing especially strong support, reflecting their key roles in food preparation, child nutrition, and agricultural innovation. Principal Component Analysis identified two main dimensions—medicinal–health and economic–nutraceutical—highlighting the plant's importance as both a health resource and a livelihood tool.</w:t>
      </w:r>
    </w:p>
    <w:p w:rsidR="00083349" w:rsidRPr="00D9104A" w:rsidRDefault="00083349" w:rsidP="00D9104A">
      <w:pPr>
        <w:spacing w:line="240" w:lineRule="auto"/>
        <w:contextualSpacing/>
        <w:jc w:val="both"/>
        <w:rPr>
          <w:rFonts w:ascii="Times New Roman" w:hAnsi="Times New Roman" w:cs="Times New Roman"/>
          <w:sz w:val="24"/>
        </w:rPr>
      </w:pPr>
    </w:p>
    <w:p w:rsidR="00D9104A" w:rsidRDefault="00D9104A" w:rsidP="00D9104A">
      <w:pPr>
        <w:spacing w:line="240" w:lineRule="auto"/>
        <w:contextualSpacing/>
        <w:jc w:val="both"/>
        <w:rPr>
          <w:rFonts w:ascii="Times New Roman" w:hAnsi="Times New Roman" w:cs="Times New Roman"/>
          <w:sz w:val="24"/>
        </w:rPr>
      </w:pPr>
      <w:r w:rsidRPr="00D9104A">
        <w:rPr>
          <w:rFonts w:ascii="Times New Roman" w:hAnsi="Times New Roman" w:cs="Times New Roman"/>
          <w:sz w:val="24"/>
        </w:rPr>
        <w:t xml:space="preserve">The novelty of this research lies in its systematic documentation of community perceptions and traditional knowledge, complementing existing laboratory-based evidence of </w:t>
      </w:r>
      <w:proofErr w:type="spellStart"/>
      <w:r w:rsidRPr="00D9104A">
        <w:rPr>
          <w:rFonts w:ascii="Times New Roman" w:hAnsi="Times New Roman" w:cs="Times New Roman"/>
          <w:i/>
          <w:iCs/>
          <w:sz w:val="24"/>
        </w:rPr>
        <w:t>Bidens</w:t>
      </w:r>
      <w:proofErr w:type="spellEnd"/>
      <w:r w:rsidRPr="00D9104A">
        <w:rPr>
          <w:rFonts w:ascii="Times New Roman" w:hAnsi="Times New Roman" w:cs="Times New Roman"/>
          <w:i/>
          <w:iCs/>
          <w:sz w:val="24"/>
        </w:rPr>
        <w:t xml:space="preserve"> </w:t>
      </w:r>
      <w:proofErr w:type="spellStart"/>
      <w:r w:rsidRPr="00D9104A">
        <w:rPr>
          <w:rFonts w:ascii="Times New Roman" w:hAnsi="Times New Roman" w:cs="Times New Roman"/>
          <w:i/>
          <w:iCs/>
          <w:sz w:val="24"/>
        </w:rPr>
        <w:t>pilosa</w:t>
      </w:r>
      <w:r w:rsidRPr="00D9104A">
        <w:rPr>
          <w:rFonts w:ascii="Times New Roman" w:hAnsi="Times New Roman" w:cs="Times New Roman"/>
          <w:sz w:val="24"/>
        </w:rPr>
        <w:t>’s</w:t>
      </w:r>
      <w:proofErr w:type="spellEnd"/>
      <w:r w:rsidRPr="00D9104A">
        <w:rPr>
          <w:rFonts w:ascii="Times New Roman" w:hAnsi="Times New Roman" w:cs="Times New Roman"/>
          <w:sz w:val="24"/>
        </w:rPr>
        <w:t xml:space="preserve"> phytochemical and pharmacological properties (Chen et al., 2018; Silva et al., 2014). By bridging indigenous knowledge with empirical analysis, the study provides critical insights for integrating </w:t>
      </w:r>
      <w:proofErr w:type="spellStart"/>
      <w:r w:rsidRPr="00D9104A">
        <w:rPr>
          <w:rFonts w:ascii="Times New Roman" w:hAnsi="Times New Roman" w:cs="Times New Roman"/>
          <w:i/>
          <w:iCs/>
          <w:sz w:val="24"/>
        </w:rPr>
        <w:t>Bidens</w:t>
      </w:r>
      <w:proofErr w:type="spellEnd"/>
      <w:r w:rsidRPr="00D9104A">
        <w:rPr>
          <w:rFonts w:ascii="Times New Roman" w:hAnsi="Times New Roman" w:cs="Times New Roman"/>
          <w:i/>
          <w:iCs/>
          <w:sz w:val="24"/>
        </w:rPr>
        <w:t xml:space="preserve"> </w:t>
      </w:r>
      <w:proofErr w:type="spellStart"/>
      <w:r w:rsidRPr="00D9104A">
        <w:rPr>
          <w:rFonts w:ascii="Times New Roman" w:hAnsi="Times New Roman" w:cs="Times New Roman"/>
          <w:i/>
          <w:iCs/>
          <w:sz w:val="24"/>
        </w:rPr>
        <w:t>pilosa</w:t>
      </w:r>
      <w:proofErr w:type="spellEnd"/>
      <w:r w:rsidRPr="00D9104A">
        <w:rPr>
          <w:rFonts w:ascii="Times New Roman" w:hAnsi="Times New Roman" w:cs="Times New Roman"/>
          <w:sz w:val="24"/>
        </w:rPr>
        <w:t xml:space="preserve"> into national strategies for food security, primary healthcare, and rural enterprise development.</w:t>
      </w:r>
    </w:p>
    <w:p w:rsidR="00D3591E" w:rsidRPr="00D9104A" w:rsidRDefault="00D3591E" w:rsidP="00D9104A">
      <w:pPr>
        <w:spacing w:line="240" w:lineRule="auto"/>
        <w:contextualSpacing/>
        <w:jc w:val="both"/>
        <w:rPr>
          <w:rFonts w:ascii="Times New Roman" w:hAnsi="Times New Roman" w:cs="Times New Roman"/>
          <w:sz w:val="24"/>
        </w:rPr>
      </w:pPr>
    </w:p>
    <w:p w:rsidR="00D9104A" w:rsidRDefault="00D9104A" w:rsidP="00D9104A">
      <w:pPr>
        <w:spacing w:line="240" w:lineRule="auto"/>
        <w:contextualSpacing/>
        <w:jc w:val="both"/>
        <w:rPr>
          <w:rFonts w:ascii="Times New Roman" w:hAnsi="Times New Roman" w:cs="Times New Roman"/>
          <w:sz w:val="24"/>
        </w:rPr>
      </w:pPr>
      <w:r w:rsidRPr="00D9104A">
        <w:rPr>
          <w:rFonts w:ascii="Times New Roman" w:hAnsi="Times New Roman" w:cs="Times New Roman"/>
          <w:sz w:val="24"/>
        </w:rPr>
        <w:t xml:space="preserve">Policy implications are clear: nutrition programs should incorporate </w:t>
      </w:r>
      <w:proofErr w:type="spellStart"/>
      <w:r w:rsidRPr="00D9104A">
        <w:rPr>
          <w:rFonts w:ascii="Times New Roman" w:hAnsi="Times New Roman" w:cs="Times New Roman"/>
          <w:i/>
          <w:iCs/>
          <w:sz w:val="24"/>
        </w:rPr>
        <w:t>Bidens</w:t>
      </w:r>
      <w:proofErr w:type="spellEnd"/>
      <w:r w:rsidRPr="00D9104A">
        <w:rPr>
          <w:rFonts w:ascii="Times New Roman" w:hAnsi="Times New Roman" w:cs="Times New Roman"/>
          <w:i/>
          <w:iCs/>
          <w:sz w:val="24"/>
        </w:rPr>
        <w:t xml:space="preserve"> </w:t>
      </w:r>
      <w:proofErr w:type="spellStart"/>
      <w:r w:rsidRPr="00D9104A">
        <w:rPr>
          <w:rFonts w:ascii="Times New Roman" w:hAnsi="Times New Roman" w:cs="Times New Roman"/>
          <w:i/>
          <w:iCs/>
          <w:sz w:val="24"/>
        </w:rPr>
        <w:t>pilosa</w:t>
      </w:r>
      <w:proofErr w:type="spellEnd"/>
      <w:r w:rsidRPr="00D9104A">
        <w:rPr>
          <w:rFonts w:ascii="Times New Roman" w:hAnsi="Times New Roman" w:cs="Times New Roman"/>
          <w:sz w:val="24"/>
        </w:rPr>
        <w:t xml:space="preserve"> to combat malnutrition, particularly among children; healthcare initiatives should recognize its role in traditional healing practices; and commercialization strategies should leverage its potential for nutraceuticals and herbal products to generate rural income. Cooperative structures offer a promising pathway for scaling awareness, cultivation, and market access.</w:t>
      </w:r>
    </w:p>
    <w:p w:rsidR="00D3591E" w:rsidRPr="00D9104A" w:rsidRDefault="00D3591E" w:rsidP="00D9104A">
      <w:pPr>
        <w:spacing w:line="240" w:lineRule="auto"/>
        <w:contextualSpacing/>
        <w:jc w:val="both"/>
        <w:rPr>
          <w:rFonts w:ascii="Times New Roman" w:hAnsi="Times New Roman" w:cs="Times New Roman"/>
          <w:sz w:val="24"/>
        </w:rPr>
      </w:pPr>
    </w:p>
    <w:p w:rsidR="00D9104A" w:rsidRDefault="00D9104A" w:rsidP="00D9104A">
      <w:pPr>
        <w:spacing w:line="240" w:lineRule="auto"/>
        <w:contextualSpacing/>
        <w:jc w:val="both"/>
        <w:rPr>
          <w:rFonts w:ascii="Times New Roman" w:hAnsi="Times New Roman" w:cs="Times New Roman"/>
          <w:sz w:val="24"/>
        </w:rPr>
      </w:pPr>
      <w:r w:rsidRPr="00D9104A">
        <w:rPr>
          <w:rFonts w:ascii="Times New Roman" w:hAnsi="Times New Roman" w:cs="Times New Roman"/>
          <w:sz w:val="24"/>
        </w:rPr>
        <w:t xml:space="preserve">Future research should focus on three areas: (1) clinical validation of community-reported medicinal uses to strengthen integration into healthcare systems; (2) economic feasibility studies on commercialization pathways, including value chain development; and (3) conservation strategies to ensure sustainable management of </w:t>
      </w:r>
      <w:proofErr w:type="spellStart"/>
      <w:r w:rsidRPr="00D9104A">
        <w:rPr>
          <w:rFonts w:ascii="Times New Roman" w:hAnsi="Times New Roman" w:cs="Times New Roman"/>
          <w:i/>
          <w:iCs/>
          <w:sz w:val="24"/>
        </w:rPr>
        <w:t>Bidens</w:t>
      </w:r>
      <w:proofErr w:type="spellEnd"/>
      <w:r w:rsidRPr="00D9104A">
        <w:rPr>
          <w:rFonts w:ascii="Times New Roman" w:hAnsi="Times New Roman" w:cs="Times New Roman"/>
          <w:i/>
          <w:iCs/>
          <w:sz w:val="24"/>
        </w:rPr>
        <w:t xml:space="preserve"> </w:t>
      </w:r>
      <w:proofErr w:type="spellStart"/>
      <w:r w:rsidRPr="00D9104A">
        <w:rPr>
          <w:rFonts w:ascii="Times New Roman" w:hAnsi="Times New Roman" w:cs="Times New Roman"/>
          <w:i/>
          <w:iCs/>
          <w:sz w:val="24"/>
        </w:rPr>
        <w:t>pilosa</w:t>
      </w:r>
      <w:proofErr w:type="spellEnd"/>
      <w:r w:rsidRPr="00D9104A">
        <w:rPr>
          <w:rFonts w:ascii="Times New Roman" w:hAnsi="Times New Roman" w:cs="Times New Roman"/>
          <w:sz w:val="24"/>
        </w:rPr>
        <w:t xml:space="preserve"> as demand increases.</w:t>
      </w:r>
    </w:p>
    <w:p w:rsidR="00D3591E" w:rsidRPr="00D9104A" w:rsidRDefault="00D3591E" w:rsidP="00D9104A">
      <w:pPr>
        <w:spacing w:line="240" w:lineRule="auto"/>
        <w:contextualSpacing/>
        <w:jc w:val="both"/>
        <w:rPr>
          <w:rFonts w:ascii="Times New Roman" w:hAnsi="Times New Roman" w:cs="Times New Roman"/>
          <w:sz w:val="24"/>
        </w:rPr>
      </w:pPr>
    </w:p>
    <w:p w:rsidR="00D9104A" w:rsidRPr="00D9104A" w:rsidRDefault="00D9104A" w:rsidP="00D9104A">
      <w:pPr>
        <w:spacing w:line="240" w:lineRule="auto"/>
        <w:contextualSpacing/>
        <w:jc w:val="both"/>
        <w:rPr>
          <w:rFonts w:ascii="Times New Roman" w:hAnsi="Times New Roman" w:cs="Times New Roman"/>
          <w:sz w:val="24"/>
        </w:rPr>
      </w:pPr>
      <w:r w:rsidRPr="00D9104A">
        <w:rPr>
          <w:rFonts w:ascii="Times New Roman" w:hAnsi="Times New Roman" w:cs="Times New Roman"/>
          <w:sz w:val="24"/>
        </w:rPr>
        <w:t xml:space="preserve">Ultimately, this study positions </w:t>
      </w:r>
      <w:proofErr w:type="spellStart"/>
      <w:r w:rsidRPr="00D9104A">
        <w:rPr>
          <w:rFonts w:ascii="Times New Roman" w:hAnsi="Times New Roman" w:cs="Times New Roman"/>
          <w:i/>
          <w:iCs/>
          <w:sz w:val="24"/>
        </w:rPr>
        <w:t>Bidens</w:t>
      </w:r>
      <w:proofErr w:type="spellEnd"/>
      <w:r w:rsidRPr="00D9104A">
        <w:rPr>
          <w:rFonts w:ascii="Times New Roman" w:hAnsi="Times New Roman" w:cs="Times New Roman"/>
          <w:i/>
          <w:iCs/>
          <w:sz w:val="24"/>
        </w:rPr>
        <w:t xml:space="preserve"> </w:t>
      </w:r>
      <w:proofErr w:type="spellStart"/>
      <w:r w:rsidRPr="00D9104A">
        <w:rPr>
          <w:rFonts w:ascii="Times New Roman" w:hAnsi="Times New Roman" w:cs="Times New Roman"/>
          <w:i/>
          <w:iCs/>
          <w:sz w:val="24"/>
        </w:rPr>
        <w:t>pilosa</w:t>
      </w:r>
      <w:proofErr w:type="spellEnd"/>
      <w:r w:rsidRPr="00D9104A">
        <w:rPr>
          <w:rFonts w:ascii="Times New Roman" w:hAnsi="Times New Roman" w:cs="Times New Roman"/>
          <w:sz w:val="24"/>
        </w:rPr>
        <w:t xml:space="preserve"> as a sustainable tool for advancing food security, health, and livelihoods in Malawi and across Sub-Saharan Africa, contributing directly to the achievement of Sustainable Development Goals on nutrition, health, and poverty reduction.</w:t>
      </w:r>
    </w:p>
    <w:p w:rsidR="00D9104A" w:rsidRPr="00D9104A" w:rsidRDefault="00D9104A" w:rsidP="00D9104A">
      <w:pPr>
        <w:spacing w:line="240" w:lineRule="auto"/>
        <w:contextualSpacing/>
        <w:jc w:val="both"/>
        <w:rPr>
          <w:rFonts w:ascii="Times New Roman" w:hAnsi="Times New Roman" w:cs="Times New Roman"/>
          <w:sz w:val="24"/>
        </w:rPr>
      </w:pPr>
    </w:p>
    <w:p w:rsidR="00EB1404" w:rsidRPr="00EB1404" w:rsidRDefault="00EB1404" w:rsidP="00EB1404">
      <w:pPr>
        <w:spacing w:line="240" w:lineRule="auto"/>
        <w:contextualSpacing/>
        <w:rPr>
          <w:rFonts w:ascii="Times New Roman" w:hAnsi="Times New Roman" w:cs="Times New Roman"/>
          <w:sz w:val="24"/>
        </w:rPr>
      </w:pPr>
    </w:p>
    <w:p w:rsidR="001E0064" w:rsidRDefault="001E0064" w:rsidP="00EB1404">
      <w:pPr>
        <w:spacing w:line="240" w:lineRule="auto"/>
        <w:contextualSpacing/>
        <w:rPr>
          <w:rFonts w:ascii="Times New Roman" w:hAnsi="Times New Roman" w:cs="Times New Roman"/>
          <w:b/>
          <w:bCs/>
          <w:sz w:val="24"/>
        </w:rPr>
      </w:pPr>
    </w:p>
    <w:p w:rsidR="001E0064" w:rsidRDefault="001E0064" w:rsidP="00EB1404">
      <w:pPr>
        <w:spacing w:line="240" w:lineRule="auto"/>
        <w:contextualSpacing/>
        <w:rPr>
          <w:rFonts w:ascii="Times New Roman" w:hAnsi="Times New Roman" w:cs="Times New Roman"/>
          <w:b/>
          <w:bCs/>
          <w:sz w:val="24"/>
        </w:rPr>
      </w:pPr>
    </w:p>
    <w:p w:rsidR="001E0064" w:rsidRDefault="001E0064" w:rsidP="00EB1404">
      <w:pPr>
        <w:spacing w:line="240" w:lineRule="auto"/>
        <w:contextualSpacing/>
        <w:rPr>
          <w:rFonts w:ascii="Times New Roman" w:hAnsi="Times New Roman" w:cs="Times New Roman"/>
          <w:b/>
          <w:bCs/>
          <w:sz w:val="24"/>
        </w:rPr>
      </w:pPr>
    </w:p>
    <w:p w:rsidR="001E0064" w:rsidRDefault="001E0064" w:rsidP="00EB1404">
      <w:pPr>
        <w:spacing w:line="240" w:lineRule="auto"/>
        <w:contextualSpacing/>
        <w:rPr>
          <w:rFonts w:ascii="Times New Roman" w:hAnsi="Times New Roman" w:cs="Times New Roman"/>
          <w:b/>
          <w:bCs/>
          <w:sz w:val="24"/>
        </w:rPr>
      </w:pPr>
    </w:p>
    <w:p w:rsidR="001E0064" w:rsidRDefault="001E0064" w:rsidP="00EB1404">
      <w:pPr>
        <w:spacing w:line="240" w:lineRule="auto"/>
        <w:contextualSpacing/>
        <w:rPr>
          <w:rFonts w:ascii="Times New Roman" w:hAnsi="Times New Roman" w:cs="Times New Roman"/>
          <w:b/>
          <w:bCs/>
          <w:sz w:val="24"/>
        </w:rPr>
      </w:pPr>
    </w:p>
    <w:p w:rsidR="0065364A" w:rsidRPr="005E6712" w:rsidRDefault="00EB1404" w:rsidP="00EB1404">
      <w:pPr>
        <w:spacing w:line="240" w:lineRule="auto"/>
        <w:contextualSpacing/>
        <w:rPr>
          <w:rFonts w:ascii="Times New Roman" w:hAnsi="Times New Roman" w:cs="Times New Roman"/>
          <w:b/>
          <w:bCs/>
          <w:sz w:val="24"/>
        </w:rPr>
      </w:pPr>
      <w:r>
        <w:rPr>
          <w:rFonts w:ascii="Times New Roman" w:hAnsi="Times New Roman" w:cs="Times New Roman"/>
          <w:b/>
          <w:bCs/>
          <w:sz w:val="24"/>
        </w:rPr>
        <w:t>References</w:t>
      </w:r>
    </w:p>
    <w:p w:rsidR="0065364A" w:rsidRPr="000479BB" w:rsidRDefault="0065364A" w:rsidP="000479BB">
      <w:pPr>
        <w:numPr>
          <w:ilvl w:val="0"/>
          <w:numId w:val="1"/>
        </w:numPr>
        <w:spacing w:line="240" w:lineRule="auto"/>
        <w:contextualSpacing/>
        <w:rPr>
          <w:rFonts w:ascii="Times New Roman" w:hAnsi="Times New Roman" w:cs="Times New Roman"/>
          <w:sz w:val="24"/>
        </w:rPr>
      </w:pPr>
      <w:r w:rsidRPr="000479BB">
        <w:rPr>
          <w:rFonts w:ascii="Times New Roman" w:hAnsi="Times New Roman" w:cs="Times New Roman"/>
          <w:sz w:val="24"/>
        </w:rPr>
        <w:lastRenderedPageBreak/>
        <w:t>Agricultural Extension Development Office. (2024). Household population statistics for Lilongwe District. Lilongwe: Ministry of Agriculture.</w:t>
      </w:r>
    </w:p>
    <w:p w:rsidR="0065364A" w:rsidRPr="000479BB" w:rsidRDefault="0065364A" w:rsidP="000479BB">
      <w:pPr>
        <w:numPr>
          <w:ilvl w:val="0"/>
          <w:numId w:val="1"/>
        </w:numPr>
        <w:spacing w:line="240" w:lineRule="auto"/>
        <w:contextualSpacing/>
        <w:rPr>
          <w:rFonts w:ascii="Times New Roman" w:hAnsi="Times New Roman" w:cs="Times New Roman"/>
          <w:sz w:val="24"/>
        </w:rPr>
      </w:pPr>
      <w:r w:rsidRPr="000479BB">
        <w:rPr>
          <w:rFonts w:ascii="Times New Roman" w:hAnsi="Times New Roman" w:cs="Times New Roman"/>
          <w:sz w:val="24"/>
        </w:rPr>
        <w:t>Braun, V., &amp; Clarke, V. (2006). Using thematic analysis in psychology. Qualitative Research in Psychology, 3(2), 77–101.</w:t>
      </w:r>
    </w:p>
    <w:p w:rsidR="0065364A" w:rsidRPr="00EB1404" w:rsidRDefault="0065364A" w:rsidP="00EB1404">
      <w:pPr>
        <w:numPr>
          <w:ilvl w:val="0"/>
          <w:numId w:val="1"/>
        </w:numPr>
        <w:spacing w:line="240" w:lineRule="auto"/>
        <w:contextualSpacing/>
        <w:rPr>
          <w:rFonts w:ascii="Times New Roman" w:hAnsi="Times New Roman" w:cs="Times New Roman"/>
          <w:sz w:val="24"/>
        </w:rPr>
      </w:pPr>
      <w:r w:rsidRPr="00EB1404">
        <w:rPr>
          <w:rFonts w:ascii="Times New Roman" w:hAnsi="Times New Roman" w:cs="Times New Roman"/>
          <w:sz w:val="24"/>
        </w:rPr>
        <w:t xml:space="preserve">Chen, Y., Zhang, W., &amp; Li, X. (2018). Phytochemical and pharmacological properties of </w:t>
      </w:r>
      <w:r w:rsidRPr="00EB1404">
        <w:rPr>
          <w:rFonts w:ascii="Times New Roman" w:hAnsi="Times New Roman" w:cs="Times New Roman"/>
          <w:i/>
          <w:iCs/>
          <w:sz w:val="24"/>
        </w:rPr>
        <w:t>Bidens pilosa</w:t>
      </w:r>
      <w:r w:rsidRPr="00EB1404">
        <w:rPr>
          <w:rFonts w:ascii="Times New Roman" w:hAnsi="Times New Roman" w:cs="Times New Roman"/>
          <w:sz w:val="24"/>
        </w:rPr>
        <w:t xml:space="preserve">: A review. </w:t>
      </w:r>
      <w:r w:rsidRPr="00EB1404">
        <w:rPr>
          <w:rFonts w:ascii="Times New Roman" w:hAnsi="Times New Roman" w:cs="Times New Roman"/>
          <w:i/>
          <w:iCs/>
          <w:sz w:val="24"/>
        </w:rPr>
        <w:t>Journal of Ethnopharmacology, 219</w:t>
      </w:r>
      <w:r w:rsidRPr="00EB1404">
        <w:rPr>
          <w:rFonts w:ascii="Times New Roman" w:hAnsi="Times New Roman" w:cs="Times New Roman"/>
          <w:sz w:val="24"/>
        </w:rPr>
        <w:t>, 45–58.</w:t>
      </w:r>
    </w:p>
    <w:p w:rsidR="0065364A" w:rsidRPr="000479BB" w:rsidRDefault="0065364A" w:rsidP="000479BB">
      <w:pPr>
        <w:numPr>
          <w:ilvl w:val="0"/>
          <w:numId w:val="1"/>
        </w:numPr>
        <w:spacing w:line="240" w:lineRule="auto"/>
        <w:contextualSpacing/>
        <w:rPr>
          <w:rFonts w:ascii="Times New Roman" w:hAnsi="Times New Roman" w:cs="Times New Roman"/>
          <w:sz w:val="24"/>
        </w:rPr>
      </w:pPr>
      <w:r w:rsidRPr="000479BB">
        <w:rPr>
          <w:rFonts w:ascii="Times New Roman" w:hAnsi="Times New Roman" w:cs="Times New Roman"/>
          <w:sz w:val="24"/>
        </w:rPr>
        <w:t>Creswell, J. W., &amp; Plano Clark, V. L. (2018). Designing and conducting mixed methods research (3rd ed.). Thousand Oaks, CA: Sage.</w:t>
      </w:r>
    </w:p>
    <w:p w:rsidR="0065364A" w:rsidRPr="00352E06" w:rsidRDefault="0065364A" w:rsidP="00352E06">
      <w:pPr>
        <w:numPr>
          <w:ilvl w:val="0"/>
          <w:numId w:val="1"/>
        </w:numPr>
        <w:spacing w:line="240" w:lineRule="auto"/>
        <w:contextualSpacing/>
        <w:rPr>
          <w:rFonts w:ascii="Times New Roman" w:hAnsi="Times New Roman" w:cs="Times New Roman"/>
          <w:sz w:val="24"/>
        </w:rPr>
      </w:pPr>
      <w:r w:rsidRPr="00352E06">
        <w:rPr>
          <w:rFonts w:ascii="Times New Roman" w:hAnsi="Times New Roman" w:cs="Times New Roman"/>
          <w:sz w:val="24"/>
        </w:rPr>
        <w:t xml:space="preserve">FAO. (2012). Edible indigenous plants and their role in food security. Rome: Food and Agriculture </w:t>
      </w:r>
      <w:r w:rsidR="00174C8A" w:rsidRPr="00352E06">
        <w:rPr>
          <w:rFonts w:ascii="Times New Roman" w:hAnsi="Times New Roman" w:cs="Times New Roman"/>
          <w:sz w:val="24"/>
        </w:rPr>
        <w:t>Organization</w:t>
      </w:r>
      <w:r w:rsidRPr="00352E06">
        <w:rPr>
          <w:rFonts w:ascii="Times New Roman" w:hAnsi="Times New Roman" w:cs="Times New Roman"/>
          <w:sz w:val="24"/>
        </w:rPr>
        <w:t xml:space="preserve"> of the United Nations.</w:t>
      </w:r>
    </w:p>
    <w:p w:rsidR="0065364A" w:rsidRPr="00EB1404" w:rsidRDefault="0065364A" w:rsidP="00EB1404">
      <w:pPr>
        <w:numPr>
          <w:ilvl w:val="0"/>
          <w:numId w:val="1"/>
        </w:numPr>
        <w:spacing w:line="240" w:lineRule="auto"/>
        <w:contextualSpacing/>
        <w:rPr>
          <w:rFonts w:ascii="Times New Roman" w:hAnsi="Times New Roman" w:cs="Times New Roman"/>
          <w:sz w:val="24"/>
        </w:rPr>
      </w:pPr>
      <w:r w:rsidRPr="00EB1404">
        <w:rPr>
          <w:rFonts w:ascii="Times New Roman" w:hAnsi="Times New Roman" w:cs="Times New Roman"/>
          <w:sz w:val="24"/>
        </w:rPr>
        <w:t xml:space="preserve">Food and Agriculture </w:t>
      </w:r>
      <w:r w:rsidR="00174C8A" w:rsidRPr="00EB1404">
        <w:rPr>
          <w:rFonts w:ascii="Times New Roman" w:hAnsi="Times New Roman" w:cs="Times New Roman"/>
          <w:sz w:val="24"/>
        </w:rPr>
        <w:t>Organization</w:t>
      </w:r>
      <w:r w:rsidRPr="00EB1404">
        <w:rPr>
          <w:rFonts w:ascii="Times New Roman" w:hAnsi="Times New Roman" w:cs="Times New Roman"/>
          <w:sz w:val="24"/>
        </w:rPr>
        <w:t xml:space="preserve"> of the United Nations (FAO). (2012). </w:t>
      </w:r>
      <w:r w:rsidRPr="00EB1404">
        <w:rPr>
          <w:rFonts w:ascii="Times New Roman" w:hAnsi="Times New Roman" w:cs="Times New Roman"/>
          <w:i/>
          <w:iCs/>
          <w:sz w:val="24"/>
        </w:rPr>
        <w:t>Edible indigenous plants and their role in food security</w:t>
      </w:r>
      <w:r w:rsidRPr="00EB1404">
        <w:rPr>
          <w:rFonts w:ascii="Times New Roman" w:hAnsi="Times New Roman" w:cs="Times New Roman"/>
          <w:sz w:val="24"/>
        </w:rPr>
        <w:t>. Rome: FAO.</w:t>
      </w:r>
    </w:p>
    <w:p w:rsidR="0065364A" w:rsidRPr="000479BB" w:rsidRDefault="0065364A" w:rsidP="000479BB">
      <w:pPr>
        <w:numPr>
          <w:ilvl w:val="0"/>
          <w:numId w:val="1"/>
        </w:numPr>
        <w:spacing w:line="240" w:lineRule="auto"/>
        <w:contextualSpacing/>
        <w:rPr>
          <w:rFonts w:ascii="Times New Roman" w:hAnsi="Times New Roman" w:cs="Times New Roman"/>
          <w:sz w:val="24"/>
        </w:rPr>
      </w:pPr>
      <w:r w:rsidRPr="000479BB">
        <w:rPr>
          <w:rFonts w:ascii="Times New Roman" w:hAnsi="Times New Roman" w:cs="Times New Roman"/>
          <w:sz w:val="24"/>
        </w:rPr>
        <w:t>Guest, G., Bunce, A., &amp; Johnson, L. (2006). How many interviews are enough? An experiment with data saturation and variability. Field Methods, 18(1), 59–82.</w:t>
      </w:r>
    </w:p>
    <w:p w:rsidR="0065364A" w:rsidRPr="00BC7CF4" w:rsidRDefault="0065364A" w:rsidP="00BC7CF4">
      <w:pPr>
        <w:numPr>
          <w:ilvl w:val="0"/>
          <w:numId w:val="1"/>
        </w:numPr>
        <w:spacing w:line="240" w:lineRule="auto"/>
        <w:contextualSpacing/>
        <w:rPr>
          <w:rFonts w:ascii="Times New Roman" w:hAnsi="Times New Roman" w:cs="Times New Roman"/>
          <w:sz w:val="24"/>
        </w:rPr>
      </w:pPr>
      <w:r w:rsidRPr="00BC7CF4">
        <w:rPr>
          <w:rFonts w:ascii="Times New Roman" w:hAnsi="Times New Roman" w:cs="Times New Roman"/>
          <w:sz w:val="24"/>
        </w:rPr>
        <w:t>Maseko, T., Ncube, B., &amp; Moyo, M. (2017). Indigenous vegetables and food security in Sub-Saharan Africa: A review. African Journal of Agricultural Research, 12(4), 271–280.</w:t>
      </w:r>
    </w:p>
    <w:p w:rsidR="0065364A" w:rsidRPr="00352E06" w:rsidRDefault="0065364A" w:rsidP="00352E06">
      <w:pPr>
        <w:numPr>
          <w:ilvl w:val="0"/>
          <w:numId w:val="1"/>
        </w:numPr>
        <w:spacing w:line="240" w:lineRule="auto"/>
        <w:contextualSpacing/>
        <w:rPr>
          <w:rFonts w:ascii="Times New Roman" w:hAnsi="Times New Roman" w:cs="Times New Roman"/>
          <w:sz w:val="24"/>
        </w:rPr>
      </w:pPr>
      <w:r w:rsidRPr="00352E06">
        <w:rPr>
          <w:rFonts w:ascii="Times New Roman" w:hAnsi="Times New Roman" w:cs="Times New Roman"/>
          <w:sz w:val="24"/>
        </w:rPr>
        <w:t>Mwangi, S., &amp; Kimathi, M. (2018). Traditional knowledge and utilization of indigenous vegetables in Kenya. International Journal of Food Science and Nutrition, 3(2), 89–97.</w:t>
      </w:r>
    </w:p>
    <w:p w:rsidR="0065364A" w:rsidRPr="000479BB" w:rsidRDefault="0065364A" w:rsidP="000479BB">
      <w:pPr>
        <w:numPr>
          <w:ilvl w:val="0"/>
          <w:numId w:val="1"/>
        </w:numPr>
        <w:spacing w:line="240" w:lineRule="auto"/>
        <w:contextualSpacing/>
        <w:rPr>
          <w:rFonts w:ascii="Times New Roman" w:hAnsi="Times New Roman" w:cs="Times New Roman"/>
          <w:sz w:val="24"/>
        </w:rPr>
      </w:pPr>
      <w:r w:rsidRPr="000479BB">
        <w:rPr>
          <w:rFonts w:ascii="Times New Roman" w:hAnsi="Times New Roman" w:cs="Times New Roman"/>
          <w:sz w:val="24"/>
        </w:rPr>
        <w:t>Nunnally, J. C., &amp; Bernstein, I. H. (1994). Psychometric theory (3rd ed.). New York: McGraw-Hill.</w:t>
      </w:r>
    </w:p>
    <w:p w:rsidR="0065364A" w:rsidRPr="00D8353A" w:rsidRDefault="0065364A" w:rsidP="00D8353A">
      <w:pPr>
        <w:numPr>
          <w:ilvl w:val="0"/>
          <w:numId w:val="1"/>
        </w:numPr>
        <w:spacing w:line="240" w:lineRule="auto"/>
        <w:contextualSpacing/>
        <w:rPr>
          <w:rFonts w:ascii="Times New Roman" w:hAnsi="Times New Roman" w:cs="Times New Roman"/>
          <w:sz w:val="24"/>
        </w:rPr>
      </w:pPr>
      <w:r w:rsidRPr="00EB1404">
        <w:rPr>
          <w:rFonts w:ascii="Times New Roman" w:hAnsi="Times New Roman" w:cs="Times New Roman"/>
          <w:sz w:val="24"/>
        </w:rPr>
        <w:t xml:space="preserve">Pillai, P., Nair, R., &amp; Joseph, J. (2020). Economic and medicinal potential of </w:t>
      </w:r>
      <w:r w:rsidRPr="00EB1404">
        <w:rPr>
          <w:rFonts w:ascii="Times New Roman" w:hAnsi="Times New Roman" w:cs="Times New Roman"/>
          <w:i/>
          <w:iCs/>
          <w:sz w:val="24"/>
        </w:rPr>
        <w:t>Bidens pilosa</w:t>
      </w:r>
      <w:r w:rsidRPr="00EB1404">
        <w:rPr>
          <w:rFonts w:ascii="Times New Roman" w:hAnsi="Times New Roman" w:cs="Times New Roman"/>
          <w:sz w:val="24"/>
        </w:rPr>
        <w:t xml:space="preserve">: Prospects for nutraceutical development. </w:t>
      </w:r>
      <w:r w:rsidRPr="00EB1404">
        <w:rPr>
          <w:rFonts w:ascii="Times New Roman" w:hAnsi="Times New Roman" w:cs="Times New Roman"/>
          <w:i/>
          <w:iCs/>
          <w:sz w:val="24"/>
        </w:rPr>
        <w:t>African Journal of Plant Science, 14</w:t>
      </w:r>
      <w:r w:rsidRPr="00EB1404">
        <w:rPr>
          <w:rFonts w:ascii="Times New Roman" w:hAnsi="Times New Roman" w:cs="Times New Roman"/>
          <w:sz w:val="24"/>
        </w:rPr>
        <w:t>(3), 56–67.</w:t>
      </w:r>
    </w:p>
    <w:p w:rsidR="0065364A" w:rsidRPr="00352E06" w:rsidRDefault="0065364A" w:rsidP="00352E06">
      <w:pPr>
        <w:numPr>
          <w:ilvl w:val="0"/>
          <w:numId w:val="1"/>
        </w:numPr>
        <w:spacing w:line="240" w:lineRule="auto"/>
        <w:contextualSpacing/>
        <w:rPr>
          <w:rFonts w:ascii="Times New Roman" w:hAnsi="Times New Roman" w:cs="Times New Roman"/>
          <w:sz w:val="24"/>
        </w:rPr>
      </w:pPr>
      <w:r w:rsidRPr="00352E06">
        <w:rPr>
          <w:rFonts w:ascii="Times New Roman" w:hAnsi="Times New Roman" w:cs="Times New Roman"/>
          <w:sz w:val="24"/>
        </w:rPr>
        <w:t>Silva, R., Santos, F., &amp; Almeida, M. (2014). Antimicrobial and anti-inflammatory activities of Bidens pilosa extracts. Phytomedicine, 21(2), 123–130.</w:t>
      </w:r>
    </w:p>
    <w:p w:rsidR="0065364A" w:rsidRPr="000479BB" w:rsidRDefault="0065364A" w:rsidP="000479BB">
      <w:pPr>
        <w:numPr>
          <w:ilvl w:val="0"/>
          <w:numId w:val="1"/>
        </w:numPr>
        <w:spacing w:line="240" w:lineRule="auto"/>
        <w:contextualSpacing/>
        <w:rPr>
          <w:rFonts w:ascii="Times New Roman" w:hAnsi="Times New Roman" w:cs="Times New Roman"/>
          <w:sz w:val="24"/>
        </w:rPr>
      </w:pPr>
      <w:r w:rsidRPr="000479BB">
        <w:rPr>
          <w:rFonts w:ascii="Times New Roman" w:hAnsi="Times New Roman" w:cs="Times New Roman"/>
          <w:sz w:val="24"/>
        </w:rPr>
        <w:t>Tabachnick, B. G., &amp; Fidell, L. S. (2019). Using multivariate statistics (7th ed.). Boston: Pearson.</w:t>
      </w:r>
    </w:p>
    <w:p w:rsidR="0065364A" w:rsidRPr="000479BB" w:rsidRDefault="0065364A" w:rsidP="000479BB">
      <w:pPr>
        <w:numPr>
          <w:ilvl w:val="0"/>
          <w:numId w:val="1"/>
        </w:numPr>
        <w:spacing w:line="240" w:lineRule="auto"/>
        <w:contextualSpacing/>
        <w:rPr>
          <w:rFonts w:ascii="Times New Roman" w:hAnsi="Times New Roman" w:cs="Times New Roman"/>
          <w:sz w:val="24"/>
        </w:rPr>
      </w:pPr>
      <w:r w:rsidRPr="000479BB">
        <w:rPr>
          <w:rFonts w:ascii="Times New Roman" w:hAnsi="Times New Roman" w:cs="Times New Roman"/>
          <w:sz w:val="24"/>
        </w:rPr>
        <w:t>Yamane, T. (1967). Statistics: An introductory analysis (2nd ed.). New York: Harper &amp; Row.</w:t>
      </w:r>
    </w:p>
    <w:p w:rsidR="0065364A" w:rsidRDefault="0065364A" w:rsidP="00EB1404">
      <w:pPr>
        <w:numPr>
          <w:ilvl w:val="0"/>
          <w:numId w:val="1"/>
        </w:numPr>
        <w:spacing w:line="240" w:lineRule="auto"/>
        <w:contextualSpacing/>
        <w:rPr>
          <w:rFonts w:ascii="Times New Roman" w:hAnsi="Times New Roman" w:cs="Times New Roman"/>
          <w:sz w:val="24"/>
        </w:rPr>
      </w:pPr>
      <w:r w:rsidRPr="00EB1404">
        <w:rPr>
          <w:rFonts w:ascii="Times New Roman" w:hAnsi="Times New Roman" w:cs="Times New Roman"/>
          <w:sz w:val="24"/>
        </w:rPr>
        <w:t xml:space="preserve">Zhang, L., Wang, H., &amp; Zhou, Y. (2019). Traditional uses and modern pharmacological insights on </w:t>
      </w:r>
      <w:r w:rsidRPr="00EB1404">
        <w:rPr>
          <w:rFonts w:ascii="Times New Roman" w:hAnsi="Times New Roman" w:cs="Times New Roman"/>
          <w:i/>
          <w:iCs/>
          <w:sz w:val="24"/>
        </w:rPr>
        <w:t>Bidens pilosa</w:t>
      </w:r>
      <w:r w:rsidRPr="00EB1404">
        <w:rPr>
          <w:rFonts w:ascii="Times New Roman" w:hAnsi="Times New Roman" w:cs="Times New Roman"/>
          <w:sz w:val="24"/>
        </w:rPr>
        <w:t xml:space="preserve">. </w:t>
      </w:r>
      <w:r w:rsidRPr="00EB1404">
        <w:rPr>
          <w:rFonts w:ascii="Times New Roman" w:hAnsi="Times New Roman" w:cs="Times New Roman"/>
          <w:i/>
          <w:iCs/>
          <w:sz w:val="24"/>
        </w:rPr>
        <w:t>Frontiers in Pharmacology, 10</w:t>
      </w:r>
      <w:r w:rsidRPr="00EB1404">
        <w:rPr>
          <w:rFonts w:ascii="Times New Roman" w:hAnsi="Times New Roman" w:cs="Times New Roman"/>
          <w:sz w:val="24"/>
        </w:rPr>
        <w:t>, 1234.</w:t>
      </w:r>
    </w:p>
    <w:p w:rsidR="0065364A" w:rsidRPr="00352E06" w:rsidRDefault="0065364A" w:rsidP="00E0690A">
      <w:pPr>
        <w:spacing w:line="240" w:lineRule="auto"/>
        <w:ind w:left="720"/>
        <w:contextualSpacing/>
        <w:rPr>
          <w:rFonts w:ascii="Times New Roman" w:hAnsi="Times New Roman" w:cs="Times New Roman"/>
          <w:sz w:val="24"/>
        </w:rPr>
      </w:pPr>
    </w:p>
    <w:sectPr w:rsidR="0065364A" w:rsidRPr="00352E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D72AF"/>
    <w:multiLevelType w:val="multilevel"/>
    <w:tmpl w:val="F5A0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347057A"/>
    <w:multiLevelType w:val="multilevel"/>
    <w:tmpl w:val="9D14B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4A3EB8"/>
    <w:multiLevelType w:val="multilevel"/>
    <w:tmpl w:val="94DA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3AA1E1C"/>
    <w:multiLevelType w:val="multilevel"/>
    <w:tmpl w:val="8796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B31912"/>
    <w:multiLevelType w:val="multilevel"/>
    <w:tmpl w:val="12C80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404"/>
    <w:rsid w:val="00000A64"/>
    <w:rsid w:val="000169E7"/>
    <w:rsid w:val="00042B19"/>
    <w:rsid w:val="000479BB"/>
    <w:rsid w:val="0007184C"/>
    <w:rsid w:val="00083349"/>
    <w:rsid w:val="00091608"/>
    <w:rsid w:val="000D0EC3"/>
    <w:rsid w:val="00144764"/>
    <w:rsid w:val="00150683"/>
    <w:rsid w:val="001648F9"/>
    <w:rsid w:val="00174C8A"/>
    <w:rsid w:val="001E0064"/>
    <w:rsid w:val="00227D98"/>
    <w:rsid w:val="0023390D"/>
    <w:rsid w:val="002833ED"/>
    <w:rsid w:val="002A3EC5"/>
    <w:rsid w:val="00352E06"/>
    <w:rsid w:val="003625A3"/>
    <w:rsid w:val="0046591E"/>
    <w:rsid w:val="004975F2"/>
    <w:rsid w:val="004C54E5"/>
    <w:rsid w:val="005513FD"/>
    <w:rsid w:val="00556E88"/>
    <w:rsid w:val="005749F9"/>
    <w:rsid w:val="005C1F07"/>
    <w:rsid w:val="005E6712"/>
    <w:rsid w:val="005F5696"/>
    <w:rsid w:val="00601E92"/>
    <w:rsid w:val="00603BBC"/>
    <w:rsid w:val="00651D3E"/>
    <w:rsid w:val="0065364A"/>
    <w:rsid w:val="00654CF4"/>
    <w:rsid w:val="006B0FC8"/>
    <w:rsid w:val="006B21D5"/>
    <w:rsid w:val="006B7145"/>
    <w:rsid w:val="006C4079"/>
    <w:rsid w:val="006E110E"/>
    <w:rsid w:val="007247A7"/>
    <w:rsid w:val="007657C0"/>
    <w:rsid w:val="0077398A"/>
    <w:rsid w:val="00795879"/>
    <w:rsid w:val="007A081B"/>
    <w:rsid w:val="007C76E3"/>
    <w:rsid w:val="007D3ADB"/>
    <w:rsid w:val="008C00FF"/>
    <w:rsid w:val="008C53D6"/>
    <w:rsid w:val="008D743F"/>
    <w:rsid w:val="009348C4"/>
    <w:rsid w:val="00957D82"/>
    <w:rsid w:val="00986594"/>
    <w:rsid w:val="009B6D95"/>
    <w:rsid w:val="009E4827"/>
    <w:rsid w:val="009F1D1F"/>
    <w:rsid w:val="00A0097B"/>
    <w:rsid w:val="00A44BA5"/>
    <w:rsid w:val="00A96140"/>
    <w:rsid w:val="00AF76F1"/>
    <w:rsid w:val="00B14147"/>
    <w:rsid w:val="00B42FF8"/>
    <w:rsid w:val="00BC7CF4"/>
    <w:rsid w:val="00BD667C"/>
    <w:rsid w:val="00BF7577"/>
    <w:rsid w:val="00C95C4B"/>
    <w:rsid w:val="00CB6BE1"/>
    <w:rsid w:val="00CD5557"/>
    <w:rsid w:val="00D3591E"/>
    <w:rsid w:val="00D54E04"/>
    <w:rsid w:val="00D8353A"/>
    <w:rsid w:val="00D85C36"/>
    <w:rsid w:val="00D9104A"/>
    <w:rsid w:val="00DA0DF2"/>
    <w:rsid w:val="00DA201A"/>
    <w:rsid w:val="00DA75A2"/>
    <w:rsid w:val="00E0690A"/>
    <w:rsid w:val="00E15F2A"/>
    <w:rsid w:val="00E31F2A"/>
    <w:rsid w:val="00E37560"/>
    <w:rsid w:val="00EB04E5"/>
    <w:rsid w:val="00EB1404"/>
    <w:rsid w:val="00EE3CF6"/>
    <w:rsid w:val="00EF5C8A"/>
    <w:rsid w:val="00F201D0"/>
    <w:rsid w:val="00F52991"/>
    <w:rsid w:val="00F6138C"/>
    <w:rsid w:val="00F61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24973">
      <w:bodyDiv w:val="1"/>
      <w:marLeft w:val="0"/>
      <w:marRight w:val="0"/>
      <w:marTop w:val="0"/>
      <w:marBottom w:val="0"/>
      <w:divBdr>
        <w:top w:val="none" w:sz="0" w:space="0" w:color="auto"/>
        <w:left w:val="none" w:sz="0" w:space="0" w:color="auto"/>
        <w:bottom w:val="none" w:sz="0" w:space="0" w:color="auto"/>
        <w:right w:val="none" w:sz="0" w:space="0" w:color="auto"/>
      </w:divBdr>
    </w:div>
    <w:div w:id="291208965">
      <w:bodyDiv w:val="1"/>
      <w:marLeft w:val="0"/>
      <w:marRight w:val="0"/>
      <w:marTop w:val="0"/>
      <w:marBottom w:val="0"/>
      <w:divBdr>
        <w:top w:val="none" w:sz="0" w:space="0" w:color="auto"/>
        <w:left w:val="none" w:sz="0" w:space="0" w:color="auto"/>
        <w:bottom w:val="none" w:sz="0" w:space="0" w:color="auto"/>
        <w:right w:val="none" w:sz="0" w:space="0" w:color="auto"/>
      </w:divBdr>
    </w:div>
    <w:div w:id="822896535">
      <w:bodyDiv w:val="1"/>
      <w:marLeft w:val="0"/>
      <w:marRight w:val="0"/>
      <w:marTop w:val="0"/>
      <w:marBottom w:val="0"/>
      <w:divBdr>
        <w:top w:val="none" w:sz="0" w:space="0" w:color="auto"/>
        <w:left w:val="none" w:sz="0" w:space="0" w:color="auto"/>
        <w:bottom w:val="none" w:sz="0" w:space="0" w:color="auto"/>
        <w:right w:val="none" w:sz="0" w:space="0" w:color="auto"/>
      </w:divBdr>
    </w:div>
    <w:div w:id="1033576694">
      <w:bodyDiv w:val="1"/>
      <w:marLeft w:val="0"/>
      <w:marRight w:val="0"/>
      <w:marTop w:val="0"/>
      <w:marBottom w:val="0"/>
      <w:divBdr>
        <w:top w:val="none" w:sz="0" w:space="0" w:color="auto"/>
        <w:left w:val="none" w:sz="0" w:space="0" w:color="auto"/>
        <w:bottom w:val="none" w:sz="0" w:space="0" w:color="auto"/>
        <w:right w:val="none" w:sz="0" w:space="0" w:color="auto"/>
      </w:divBdr>
    </w:div>
    <w:div w:id="1838883426">
      <w:bodyDiv w:val="1"/>
      <w:marLeft w:val="0"/>
      <w:marRight w:val="0"/>
      <w:marTop w:val="0"/>
      <w:marBottom w:val="0"/>
      <w:divBdr>
        <w:top w:val="none" w:sz="0" w:space="0" w:color="auto"/>
        <w:left w:val="none" w:sz="0" w:space="0" w:color="auto"/>
        <w:bottom w:val="none" w:sz="0" w:space="0" w:color="auto"/>
        <w:right w:val="none" w:sz="0" w:space="0" w:color="auto"/>
      </w:divBdr>
    </w:div>
    <w:div w:id="186929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9</Pages>
  <Words>3092</Words>
  <Characters>17630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qwert</cp:lastModifiedBy>
  <cp:revision>40</cp:revision>
  <dcterms:created xsi:type="dcterms:W3CDTF">2026-04-13T13:47:00Z</dcterms:created>
  <dcterms:modified xsi:type="dcterms:W3CDTF">2026-04-15T09:56:00Z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0f381cb4-2a76-4de1-ae35-d89d3f9d4fa5</vt:lpwstr>
  </property>
</Properties>
</file>