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F32C" w14:textId="77777777" w:rsidR="0091161D" w:rsidRPr="00B23F05" w:rsidRDefault="00A108F4" w:rsidP="0091161D">
      <w:pPr>
        <w:jc w:val="both"/>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color w:val="000000" w:themeColor="text1"/>
          <w:sz w:val="36"/>
          <w:szCs w:val="36"/>
        </w:rPr>
        <w:t>The study on communicable and non- communicable disease</w:t>
      </w:r>
      <w:r w:rsidR="00C766FA">
        <w:rPr>
          <w:rFonts w:ascii="Times New Roman" w:eastAsia="Times New Roman" w:hAnsi="Times New Roman" w:cs="Times New Roman"/>
          <w:b/>
          <w:color w:val="000000" w:themeColor="text1"/>
          <w:sz w:val="36"/>
          <w:szCs w:val="36"/>
        </w:rPr>
        <w:t xml:space="preserve">s among the people  residing near </w:t>
      </w:r>
      <w:r>
        <w:rPr>
          <w:rFonts w:ascii="Times New Roman" w:eastAsia="Times New Roman" w:hAnsi="Times New Roman" w:cs="Times New Roman"/>
          <w:b/>
          <w:color w:val="000000" w:themeColor="text1"/>
          <w:sz w:val="36"/>
          <w:szCs w:val="36"/>
        </w:rPr>
        <w:t>garbage houses in Kanpur city</w:t>
      </w:r>
      <w:r w:rsidR="0091161D" w:rsidRPr="00B23F05">
        <w:rPr>
          <w:rFonts w:ascii="Times New Roman" w:eastAsia="Times New Roman" w:hAnsi="Times New Roman" w:cs="Times New Roman"/>
          <w:b/>
          <w:color w:val="000000" w:themeColor="text1"/>
          <w:sz w:val="36"/>
          <w:szCs w:val="36"/>
        </w:rPr>
        <w:t>.</w:t>
      </w:r>
    </w:p>
    <w:p w14:paraId="7064AA0F" w14:textId="6FD38018" w:rsidR="0091161D" w:rsidRPr="00B23F05" w:rsidRDefault="0091161D" w:rsidP="0091161D">
      <w:pPr>
        <w:jc w:val="both"/>
        <w:rPr>
          <w:rFonts w:ascii="Times New Roman" w:eastAsia="Times New Roman" w:hAnsi="Times New Roman" w:cs="Times New Roman"/>
          <w:b/>
          <w:color w:val="000000" w:themeColor="text1"/>
          <w:sz w:val="24"/>
          <w:szCs w:val="24"/>
        </w:rPr>
      </w:pPr>
      <w:bookmarkStart w:id="0" w:name="_gjdgxs" w:colFirst="0" w:colLast="0"/>
      <w:bookmarkStart w:id="1" w:name="_GoBack"/>
      <w:bookmarkEnd w:id="0"/>
      <w:bookmarkEnd w:id="1"/>
      <w:r w:rsidRPr="00B23F05">
        <w:rPr>
          <w:rFonts w:ascii="Times New Roman" w:eastAsia="Times New Roman" w:hAnsi="Times New Roman" w:cs="Times New Roman"/>
          <w:b/>
          <w:color w:val="000000" w:themeColor="text1"/>
          <w:sz w:val="24"/>
          <w:szCs w:val="24"/>
        </w:rPr>
        <w:t>Abstract</w:t>
      </w:r>
    </w:p>
    <w:p w14:paraId="60DCFFC7" w14:textId="77777777" w:rsidR="007F0D70" w:rsidRDefault="007F0D70" w:rsidP="007F0D70">
      <w:pPr>
        <w:spacing w:line="360" w:lineRule="auto"/>
        <w:jc w:val="both"/>
        <w:rPr>
          <w:rFonts w:ascii="Times New Roman" w:hAnsi="Times New Roman" w:cs="Times New Roman"/>
          <w:sz w:val="24"/>
          <w:szCs w:val="24"/>
        </w:rPr>
      </w:pPr>
      <w:r>
        <w:rPr>
          <w:rFonts w:ascii="Times New Roman" w:hAnsi="Times New Roman" w:cs="Times New Roman"/>
          <w:sz w:val="24"/>
          <w:szCs w:val="24"/>
        </w:rPr>
        <w:t>Community education to promote health related behavior change increasing the resistance of the human host to infection, through vaccination and nutritional support. Vaccination provision of clean drinking water and improve sanitation the promotion of personal hygiene (particularly the importance of hand washing with soap or sanitize) proper wearing mask, help control communicable disease. Prevent all kind of addiction (tobacco, alcohol smoking). It is help to decreases the non- communicable disease. Life style and metabolic changes are other cause of non-communicable disease. Garbage collection also affect the human health. Garbage in develop many virus, bacteria and  mosquitoes can cause of malaria, dengue, typhoid, heart disease etc. Nutritional status had very poor compare to recommended dietary allowance to all nutrients, energy, protein, fat, vitamins, minerals. They were main reason of  lower  nutritional status  poverty, lack of education and awareness. Communicable disease had more found comparison to non-communicable diseases and some people had found both communicable and non- communicable diseases in the study area.</w:t>
      </w:r>
    </w:p>
    <w:p w14:paraId="194D6FA7" w14:textId="77777777" w:rsidR="00C766FA" w:rsidRDefault="007F0D70" w:rsidP="00C766FA">
      <w:pPr>
        <w:spacing w:line="360" w:lineRule="auto"/>
        <w:jc w:val="both"/>
        <w:rPr>
          <w:rFonts w:ascii="Times New Roman" w:hAnsi="Times New Roman" w:cs="Times New Roman"/>
          <w:sz w:val="24"/>
          <w:szCs w:val="24"/>
        </w:rPr>
      </w:pPr>
      <w:r w:rsidRPr="000239BE">
        <w:rPr>
          <w:rFonts w:ascii="Times New Roman" w:hAnsi="Times New Roman" w:cs="Times New Roman"/>
          <w:b/>
          <w:sz w:val="24"/>
          <w:szCs w:val="24"/>
        </w:rPr>
        <w:t>Key words:-</w:t>
      </w:r>
      <w:r>
        <w:rPr>
          <w:rFonts w:ascii="Times New Roman" w:hAnsi="Times New Roman" w:cs="Times New Roman"/>
          <w:sz w:val="24"/>
          <w:szCs w:val="24"/>
        </w:rPr>
        <w:t xml:space="preserve">  communicable and non- communicable diseases, garbage index, nutritional status.</w:t>
      </w:r>
    </w:p>
    <w:p w14:paraId="4AC124E5" w14:textId="77777777" w:rsidR="000239BE" w:rsidRPr="00C766FA" w:rsidRDefault="000239BE" w:rsidP="00C766FA">
      <w:pPr>
        <w:spacing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Introduction </w:t>
      </w:r>
    </w:p>
    <w:p w14:paraId="6EB14D1D" w14:textId="77777777" w:rsidR="007F0D70" w:rsidRDefault="007F0D70" w:rsidP="007F0D70">
      <w:pPr>
        <w:jc w:val="both"/>
        <w:rPr>
          <w:rFonts w:ascii="Times New Roman" w:hAnsi="Times New Roman" w:cs="Times New Roman"/>
          <w:b/>
          <w:sz w:val="24"/>
          <w:szCs w:val="24"/>
        </w:rPr>
      </w:pPr>
      <w:r>
        <w:rPr>
          <w:rFonts w:ascii="Times New Roman" w:hAnsi="Times New Roman" w:cs="Times New Roman"/>
          <w:sz w:val="24"/>
          <w:szCs w:val="24"/>
        </w:rPr>
        <w:t xml:space="preserve">The term communicable disease are the ability of an organism to enter, survive and multiply in the host, while the infectiousness of a disease indicates the comparative ease with which the disease is transmitted to other hosts. Transmission of pathogen can occur in various ways including physical contact, contaminated food, body fluids, objects, airborne inhalation, or through vector organisms. Infectious diseases are sometimes called contagious when they are easily transmitted by contact with an ill person or their secretions (e.g., influenza). Thus, a contagious disease is a subset of infectious disease that is especially infective or easily transmitted. Other types of infectious/ transmissible/communicable diseases with more specialized routes of infection, such as vector transmission or sexual transmission, are usually not regarded as contagious, and often do not require medical isolation (sometimes loosely called quarantine) of victims. However, this specialized connotation of the word contagious and </w:t>
      </w:r>
      <w:r>
        <w:rPr>
          <w:rFonts w:ascii="Times New Roman" w:hAnsi="Times New Roman" w:cs="Times New Roman"/>
          <w:sz w:val="24"/>
          <w:szCs w:val="24"/>
        </w:rPr>
        <w:lastRenderedPageBreak/>
        <w:t>contagious disease (easy transmissibility) is not always respected in popular use (</w:t>
      </w:r>
      <w:proofErr w:type="spellStart"/>
      <w:r>
        <w:rPr>
          <w:rFonts w:ascii="Times New Roman" w:hAnsi="Times New Roman" w:cs="Times New Roman"/>
          <w:b/>
          <w:sz w:val="24"/>
          <w:szCs w:val="24"/>
        </w:rPr>
        <w:t>Mc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Graw</w:t>
      </w:r>
      <w:proofErr w:type="spellEnd"/>
      <w:r>
        <w:rPr>
          <w:rFonts w:ascii="Times New Roman" w:hAnsi="Times New Roman" w:cs="Times New Roman"/>
          <w:b/>
          <w:sz w:val="24"/>
          <w:szCs w:val="24"/>
        </w:rPr>
        <w:t xml:space="preserve"> Hill, 2004).</w:t>
      </w:r>
    </w:p>
    <w:p w14:paraId="22E84F44" w14:textId="77777777" w:rsidR="00A108F4" w:rsidRDefault="007F0D70"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r>
        <w:rPr>
          <w:rFonts w:ascii="Times New Roman" w:hAnsi="Times New Roman" w:cs="Times New Roman"/>
          <w:color w:val="000000" w:themeColor="text1"/>
          <w:sz w:val="24"/>
          <w:szCs w:val="24"/>
        </w:rPr>
        <w:t xml:space="preserve">India’s burden of non-communicable disease is escalating. It is typically present in individuals aged 55 years or older in many developed countries, but their onset occurs in India a decade earlier (≥45 years of age). Exacerbating this problem are the issues of multiple chronic conditions and the fact many remain undiagnosed due to lack of awareness and insufficient health-care access. At the same time, infectious and parasitic diseases still pose substantial challenges to the public health system in India, resulting in a double burden of disease and an important share of the global burden of disease </w:t>
      </w:r>
      <w:r>
        <w:rPr>
          <w:rFonts w:ascii="Times New Roman" w:hAnsi="Times New Roman" w:cs="Times New Roman"/>
          <w:b/>
          <w:color w:val="000000" w:themeColor="text1"/>
          <w:sz w:val="24"/>
          <w:szCs w:val="24"/>
        </w:rPr>
        <w:t>( Ministry of Health and Family Welfare 2015).</w:t>
      </w:r>
      <w:r w:rsidR="00432A7C" w:rsidRPr="00432A7C">
        <w:rPr>
          <w:rFonts w:ascii="Times New Roman" w:eastAsia="Times New Roman" w:hAnsi="Times New Roman" w:cs="Times New Roman"/>
          <w:b/>
          <w:color w:val="000000"/>
          <w:sz w:val="24"/>
          <w:szCs w:val="24"/>
        </w:rPr>
        <w:t xml:space="preserve"> </w:t>
      </w:r>
    </w:p>
    <w:p w14:paraId="4535B5C0" w14:textId="77777777" w:rsidR="000206F0" w:rsidRPr="000206F0" w:rsidRDefault="000206F0"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city of Kanpur in the north Indian state of (U.P.)</w:t>
      </w:r>
      <w:r w:rsidR="00AF240E">
        <w:rPr>
          <w:rFonts w:ascii="Times New Roman" w:eastAsia="Times New Roman" w:hAnsi="Times New Roman" w:cs="Times New Roman"/>
          <w:color w:val="000000"/>
          <w:sz w:val="24"/>
          <w:szCs w:val="24"/>
        </w:rPr>
        <w:t>. It</w:t>
      </w:r>
      <w:r w:rsidR="000A2801">
        <w:rPr>
          <w:rFonts w:ascii="Times New Roman" w:eastAsia="Times New Roman" w:hAnsi="Times New Roman" w:cs="Times New Roman"/>
          <w:color w:val="000000"/>
          <w:sz w:val="24"/>
          <w:szCs w:val="24"/>
        </w:rPr>
        <w:t xml:space="preserve"> is famous for its leather industry. It is 16 rank in pollution </w:t>
      </w:r>
      <w:r w:rsidR="000C1DCE">
        <w:rPr>
          <w:rFonts w:ascii="Times New Roman" w:eastAsia="Times New Roman" w:hAnsi="Times New Roman" w:cs="Times New Roman"/>
          <w:color w:val="000000"/>
          <w:sz w:val="24"/>
          <w:szCs w:val="24"/>
        </w:rPr>
        <w:t>index (90.59) by city mid- year in India. Kanpur</w:t>
      </w:r>
      <w:r w:rsidR="00AF240E">
        <w:rPr>
          <w:rFonts w:ascii="Times New Roman" w:eastAsia="Times New Roman" w:hAnsi="Times New Roman" w:cs="Times New Roman"/>
          <w:color w:val="000000"/>
          <w:sz w:val="24"/>
          <w:szCs w:val="24"/>
        </w:rPr>
        <w:t xml:space="preserve"> </w:t>
      </w:r>
      <w:r w:rsidR="000C1DCE">
        <w:rPr>
          <w:rFonts w:ascii="Times New Roman" w:eastAsia="Times New Roman" w:hAnsi="Times New Roman" w:cs="Times New Roman"/>
          <w:color w:val="000000"/>
          <w:sz w:val="24"/>
          <w:szCs w:val="24"/>
        </w:rPr>
        <w:t xml:space="preserve"> produce hig</w:t>
      </w:r>
      <w:r w:rsidR="00AF240E">
        <w:rPr>
          <w:rFonts w:ascii="Times New Roman" w:eastAsia="Times New Roman" w:hAnsi="Times New Roman" w:cs="Times New Roman"/>
          <w:color w:val="000000"/>
          <w:sz w:val="24"/>
          <w:szCs w:val="24"/>
        </w:rPr>
        <w:t>hly garbage it is affect the ground water and human health can cause the communicable and non- communicable diseases in the community.</w:t>
      </w:r>
    </w:p>
    <w:p w14:paraId="388A5C9E" w14:textId="77777777" w:rsidR="000239BE" w:rsidRDefault="000239BE"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p>
    <w:p w14:paraId="2F0FF962" w14:textId="77777777" w:rsidR="00432A7C" w:rsidRDefault="00432A7C" w:rsidP="00432A7C">
      <w:pPr>
        <w:pBdr>
          <w:top w:val="nil"/>
          <w:left w:val="nil"/>
          <w:bottom w:val="nil"/>
          <w:right w:val="nil"/>
          <w:between w:val="nil"/>
        </w:pBdr>
        <w:tabs>
          <w:tab w:val="left" w:pos="1752"/>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w:t>
      </w:r>
      <w:r>
        <w:rPr>
          <w:rFonts w:ascii="Times New Roman" w:eastAsia="Times New Roman" w:hAnsi="Times New Roman" w:cs="Times New Roman"/>
          <w:b/>
          <w:sz w:val="24"/>
          <w:szCs w:val="24"/>
        </w:rPr>
        <w:t>gy</w:t>
      </w:r>
      <w:r>
        <w:rPr>
          <w:rFonts w:ascii="Times New Roman" w:eastAsia="Times New Roman" w:hAnsi="Times New Roman" w:cs="Times New Roman"/>
          <w:b/>
          <w:sz w:val="24"/>
          <w:szCs w:val="24"/>
        </w:rPr>
        <w:tab/>
      </w:r>
    </w:p>
    <w:p w14:paraId="12DEF23B" w14:textId="77777777" w:rsidR="00432A7C" w:rsidRDefault="00432A7C" w:rsidP="00432A7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community based survey was carried ou</w:t>
      </w:r>
      <w:r w:rsidR="00A108F4">
        <w:rPr>
          <w:rFonts w:ascii="Times New Roman" w:eastAsia="Times New Roman" w:hAnsi="Times New Roman" w:cs="Times New Roman"/>
          <w:color w:val="000000"/>
          <w:sz w:val="24"/>
          <w:szCs w:val="24"/>
        </w:rPr>
        <w:t>t among residing people near garbage houses</w:t>
      </w:r>
      <w:r>
        <w:rPr>
          <w:rFonts w:ascii="Times New Roman" w:eastAsia="Times New Roman" w:hAnsi="Times New Roman" w:cs="Times New Roman"/>
          <w:color w:val="000000"/>
          <w:sz w:val="24"/>
          <w:szCs w:val="24"/>
        </w:rPr>
        <w:t xml:space="preserve"> of district Kanpur to a</w:t>
      </w:r>
      <w:r w:rsidR="00A108F4">
        <w:rPr>
          <w:rFonts w:ascii="Times New Roman" w:eastAsia="Times New Roman" w:hAnsi="Times New Roman" w:cs="Times New Roman"/>
          <w:color w:val="000000"/>
          <w:sz w:val="24"/>
          <w:szCs w:val="24"/>
        </w:rPr>
        <w:t>ssess communicable and non- communicable diseases and their nutritional status</w:t>
      </w:r>
      <w:r>
        <w:rPr>
          <w:rFonts w:ascii="Times New Roman" w:eastAsia="Times New Roman" w:hAnsi="Times New Roman" w:cs="Times New Roman"/>
          <w:color w:val="000000"/>
          <w:sz w:val="24"/>
          <w:szCs w:val="24"/>
        </w:rPr>
        <w:t>. The data concerning</w:t>
      </w:r>
      <w:r w:rsidR="00A108F4">
        <w:rPr>
          <w:rFonts w:ascii="Times New Roman" w:eastAsia="Times New Roman" w:hAnsi="Times New Roman" w:cs="Times New Roman"/>
          <w:color w:val="000000"/>
          <w:sz w:val="24"/>
          <w:szCs w:val="24"/>
        </w:rPr>
        <w:t xml:space="preserve"> communicable and non- communicable diseases and</w:t>
      </w:r>
      <w:r>
        <w:rPr>
          <w:rFonts w:ascii="Times New Roman" w:eastAsia="Times New Roman" w:hAnsi="Times New Roman" w:cs="Times New Roman"/>
          <w:color w:val="000000"/>
          <w:sz w:val="24"/>
          <w:szCs w:val="24"/>
        </w:rPr>
        <w:t xml:space="preserve"> dietary intake o</w:t>
      </w:r>
      <w:r w:rsidR="00A108F4">
        <w:rPr>
          <w:rFonts w:ascii="Times New Roman" w:eastAsia="Times New Roman" w:hAnsi="Times New Roman" w:cs="Times New Roman"/>
          <w:color w:val="000000"/>
          <w:sz w:val="24"/>
          <w:szCs w:val="24"/>
        </w:rPr>
        <w:t>f the respondents were collected</w:t>
      </w:r>
      <w:r>
        <w:rPr>
          <w:rFonts w:ascii="Times New Roman" w:eastAsia="Times New Roman" w:hAnsi="Times New Roman" w:cs="Times New Roman"/>
          <w:color w:val="000000"/>
          <w:sz w:val="24"/>
          <w:szCs w:val="24"/>
        </w:rPr>
        <w:t xml:space="preserve"> using </w:t>
      </w:r>
      <w:r w:rsidR="00A108F4">
        <w:rPr>
          <w:rFonts w:ascii="Times New Roman" w:eastAsia="Times New Roman" w:hAnsi="Times New Roman" w:cs="Times New Roman"/>
          <w:color w:val="000000"/>
          <w:sz w:val="24"/>
          <w:szCs w:val="24"/>
        </w:rPr>
        <w:t xml:space="preserve"> communicable and non- communicable diseases and </w:t>
      </w:r>
      <w:r w:rsidR="00CB732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24 </w:t>
      </w:r>
      <w:r w:rsidR="00CB732E">
        <w:rPr>
          <w:rFonts w:ascii="Times New Roman" w:eastAsia="Times New Roman" w:hAnsi="Times New Roman" w:cs="Times New Roman"/>
          <w:color w:val="000000"/>
          <w:sz w:val="24"/>
          <w:szCs w:val="24"/>
        </w:rPr>
        <w:t>hour recall method were</w:t>
      </w:r>
      <w:r>
        <w:rPr>
          <w:rFonts w:ascii="Times New Roman" w:eastAsia="Times New Roman" w:hAnsi="Times New Roman" w:cs="Times New Roman"/>
          <w:color w:val="000000"/>
          <w:sz w:val="24"/>
          <w:szCs w:val="24"/>
        </w:rPr>
        <w:t xml:space="preserve"> obtained from the respondents by 'questionnaire-cum interview' and purposive random sampling method. The nutrient intake was compared with the suggested intake was compared with recommend dietary allowances (RDA) of ICMR (2020).</w:t>
      </w:r>
    </w:p>
    <w:p w14:paraId="0DFF7BCE" w14:textId="77777777" w:rsidR="00432A7C" w:rsidRDefault="00432A7C" w:rsidP="00432A7C">
      <w:p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The study was conducted during period of 2020 to 2021 with the sample siz</w:t>
      </w:r>
      <w:r w:rsidR="00CB732E">
        <w:rPr>
          <w:rFonts w:ascii="Times New Roman" w:eastAsia="Times New Roman" w:hAnsi="Times New Roman" w:cs="Times New Roman"/>
          <w:color w:val="000000"/>
          <w:sz w:val="24"/>
          <w:szCs w:val="24"/>
        </w:rPr>
        <w:t>e of 100 respondents, 50 communicable  and 50 non- communicable diseases</w:t>
      </w:r>
      <w:r w:rsidR="000345EB">
        <w:rPr>
          <w:rFonts w:ascii="Times New Roman" w:eastAsia="Times New Roman" w:hAnsi="Times New Roman" w:cs="Times New Roman"/>
          <w:color w:val="000000"/>
          <w:sz w:val="24"/>
          <w:szCs w:val="24"/>
        </w:rPr>
        <w:t>. Data</w:t>
      </w:r>
      <w:r>
        <w:rPr>
          <w:rFonts w:ascii="Times New Roman" w:eastAsia="Times New Roman" w:hAnsi="Times New Roman" w:cs="Times New Roman"/>
          <w:color w:val="000000"/>
          <w:sz w:val="24"/>
          <w:szCs w:val="24"/>
        </w:rPr>
        <w:t xml:space="preserve"> was analyzed statistically using the MS Excel 2010. Frequency, standard deviations, correlation coefficient, Z test, mean and percentage. The level of significance was taken at P&lt;0.05 for the study</w:t>
      </w:r>
      <w:r>
        <w:rPr>
          <w:color w:val="000000"/>
          <w:sz w:val="24"/>
          <w:szCs w:val="24"/>
        </w:rPr>
        <w:t>.</w:t>
      </w:r>
    </w:p>
    <w:p w14:paraId="1D3D546C" w14:textId="77777777" w:rsidR="00DA0D9C" w:rsidRPr="000239BE" w:rsidRDefault="000239BE" w:rsidP="00DA0D9C">
      <w:pPr>
        <w:spacing w:line="360" w:lineRule="auto"/>
        <w:jc w:val="both"/>
        <w:rPr>
          <w:rFonts w:ascii="Times New Roman" w:hAnsi="Times New Roman" w:cs="Times New Roman"/>
          <w:b/>
          <w:color w:val="000000" w:themeColor="text1"/>
          <w:sz w:val="28"/>
          <w:szCs w:val="28"/>
        </w:rPr>
      </w:pPr>
      <w:r w:rsidRPr="000239BE">
        <w:rPr>
          <w:rFonts w:ascii="Times New Roman" w:hAnsi="Times New Roman" w:cs="Times New Roman"/>
          <w:b/>
          <w:color w:val="000000" w:themeColor="text1"/>
          <w:sz w:val="28"/>
          <w:szCs w:val="28"/>
        </w:rPr>
        <w:t>Observation and assessment</w:t>
      </w:r>
    </w:p>
    <w:p w14:paraId="54DC6AC1"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4.11.1 Distribution of respondents according to communicable and non -communicable disease.</w:t>
      </w:r>
    </w:p>
    <w:tbl>
      <w:tblPr>
        <w:tblStyle w:val="TableGrid"/>
        <w:tblW w:w="5000" w:type="pct"/>
        <w:tblLayout w:type="fixed"/>
        <w:tblLook w:val="04A0" w:firstRow="1" w:lastRow="0" w:firstColumn="1" w:lastColumn="0" w:noHBand="0" w:noVBand="1"/>
      </w:tblPr>
      <w:tblGrid>
        <w:gridCol w:w="907"/>
        <w:gridCol w:w="4269"/>
        <w:gridCol w:w="1011"/>
        <w:gridCol w:w="1011"/>
        <w:gridCol w:w="1189"/>
        <w:gridCol w:w="1189"/>
      </w:tblGrid>
      <w:tr w:rsidR="00B23F05" w:rsidRPr="00B23F05" w14:paraId="141AD073"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85EC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lastRenderedPageBreak/>
              <w:t>S. No.</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9E5D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p>
        </w:tc>
        <w:tc>
          <w:tcPr>
            <w:tcW w:w="105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4581B"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w:t>
            </w:r>
          </w:p>
        </w:tc>
        <w:tc>
          <w:tcPr>
            <w:tcW w:w="124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4D13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Non-communicable disease</w:t>
            </w:r>
          </w:p>
        </w:tc>
      </w:tr>
      <w:tr w:rsidR="00B23F05" w:rsidRPr="00B23F05" w14:paraId="6DD73761"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B785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53E2F"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Knowledge about disease</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F65F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7AD3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CF3D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35</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274C9"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35.0</w:t>
            </w:r>
          </w:p>
        </w:tc>
      </w:tr>
      <w:tr w:rsidR="00B23F05" w:rsidRPr="00B23F05" w14:paraId="3ACB659A"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487CF"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B0EE7"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 about causes</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793C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C12C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31.0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A2B7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1A09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16.0</w:t>
            </w:r>
          </w:p>
        </w:tc>
      </w:tr>
      <w:tr w:rsidR="00B23F05" w:rsidRPr="00B23F05" w14:paraId="10D63BF6"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59220"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38C8B"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Effect of disease on health</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3B62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6B4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16.0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FA27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15</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77167"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15.0</w:t>
            </w:r>
          </w:p>
        </w:tc>
      </w:tr>
      <w:tr w:rsidR="00B23F05" w:rsidRPr="00B23F05" w14:paraId="28A586F6" w14:textId="77777777" w:rsidTr="00A108F4">
        <w:tc>
          <w:tcPr>
            <w:tcW w:w="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7010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4.</w:t>
            </w:r>
          </w:p>
        </w:tc>
        <w:tc>
          <w:tcPr>
            <w:tcW w:w="22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FD112"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Know symptoms of disease</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483B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DFE1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30.0</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8BF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28</w:t>
            </w:r>
          </w:p>
        </w:tc>
        <w:tc>
          <w:tcPr>
            <w:tcW w:w="6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D9E7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28.0</w:t>
            </w:r>
          </w:p>
        </w:tc>
      </w:tr>
    </w:tbl>
    <w:p w14:paraId="713760A2"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b/>
      </w:r>
    </w:p>
    <w:p w14:paraId="74831BD0"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4.11.1 reveals that distribution of respondents according to communicable and non-communicable disease, maximum 50.0 per cent of respondents were knowledge about communicable disease and 35.0 per cent of respondents know about non- communicable disease.  31.0 per cent of respondents know about causes of communicable disease and 16.0 per cent of  respondents know about causes of non- communicable disease. 30.0 per cent of respondents know the symptoms of the communicable disease and 28.0 per cent of respondents know the symptoms of non- communicable disease whereas 16 .0 per cent of respondents know the effect on health of communicable disease and 15.0 per cent of respondents know the effect on health of non- communicable disease in the study area. Because lack of disease knowledge and awareness of disease  became by garbage index.</w:t>
      </w:r>
    </w:p>
    <w:p w14:paraId="64CEE93B" w14:textId="77777777" w:rsidR="00FE4AC8" w:rsidRDefault="00790E7F" w:rsidP="007762F0">
      <w:pPr>
        <w:spacing w:line="360" w:lineRule="auto"/>
        <w:jc w:val="both"/>
        <w:rPr>
          <w:rFonts w:ascii="Times New Roman" w:hAnsi="Times New Roman" w:cs="Times New Roman"/>
          <w:color w:val="000000" w:themeColor="text1"/>
          <w:sz w:val="24"/>
          <w:szCs w:val="24"/>
        </w:rPr>
      </w:pPr>
      <w:r>
        <w:rPr>
          <w:noProof/>
          <w:lang w:val="en-IN" w:eastAsia="en-IN"/>
        </w:rPr>
        <w:drawing>
          <wp:inline distT="0" distB="0" distL="0" distR="0" wp14:anchorId="0DA2044B" wp14:editId="1B8B5FB4">
            <wp:extent cx="5105400" cy="2743200"/>
            <wp:effectExtent l="0" t="0" r="19050" b="1905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D66136" w14:textId="77777777" w:rsidR="00790E7F" w:rsidRPr="00790E7F" w:rsidRDefault="00790E7F" w:rsidP="00790E7F">
      <w:pPr>
        <w:rPr>
          <w:rFonts w:ascii="Times New Roman" w:eastAsiaTheme="minorHAnsi" w:hAnsi="Times New Roman" w:cs="Times New Roman"/>
          <w:sz w:val="24"/>
          <w:szCs w:val="24"/>
          <w:lang w:val="en-IN"/>
        </w:rPr>
      </w:pPr>
      <w:r w:rsidRPr="00790E7F">
        <w:rPr>
          <w:rFonts w:ascii="Times New Roman" w:eastAsiaTheme="minorHAnsi" w:hAnsi="Times New Roman" w:cs="Times New Roman"/>
          <w:sz w:val="28"/>
          <w:szCs w:val="28"/>
          <w:lang w:val="en-IN"/>
        </w:rPr>
        <w:t>Fig</w:t>
      </w:r>
      <w:r w:rsidRPr="00790E7F">
        <w:rPr>
          <w:rFonts w:ascii="Times New Roman" w:eastAsiaTheme="minorHAnsi" w:hAnsi="Times New Roman" w:cs="Times New Roman"/>
          <w:sz w:val="24"/>
          <w:szCs w:val="24"/>
          <w:lang w:val="en-IN"/>
        </w:rPr>
        <w:t xml:space="preserve"> 4.11.1 Distribution of respondents according to </w:t>
      </w:r>
      <w:r w:rsidRPr="00D4316D">
        <w:rPr>
          <w:rFonts w:ascii="Times New Roman" w:eastAsiaTheme="minorHAnsi" w:hAnsi="Times New Roman" w:cs="Times New Roman"/>
          <w:sz w:val="24"/>
          <w:szCs w:val="24"/>
          <w:lang w:val="en-IN"/>
        </w:rPr>
        <w:t xml:space="preserve"> knowledge of </w:t>
      </w:r>
      <w:r w:rsidRPr="00790E7F">
        <w:rPr>
          <w:rFonts w:ascii="Times New Roman" w:eastAsiaTheme="minorHAnsi" w:hAnsi="Times New Roman" w:cs="Times New Roman"/>
          <w:sz w:val="24"/>
          <w:szCs w:val="24"/>
          <w:lang w:val="en-IN"/>
        </w:rPr>
        <w:t>communicable and non -communicable disease.</w:t>
      </w:r>
    </w:p>
    <w:p w14:paraId="6B5C3A38"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lastRenderedPageBreak/>
        <w:t>Table 4.11.2 Distribution of respondents according to suffer from any communicable diseases.</w:t>
      </w:r>
    </w:p>
    <w:tbl>
      <w:tblPr>
        <w:tblStyle w:val="TableGrid"/>
        <w:tblW w:w="5000" w:type="pct"/>
        <w:tblLook w:val="04A0" w:firstRow="1" w:lastRow="0" w:firstColumn="1" w:lastColumn="0" w:noHBand="0" w:noVBand="1"/>
      </w:tblPr>
      <w:tblGrid>
        <w:gridCol w:w="1149"/>
        <w:gridCol w:w="4596"/>
        <w:gridCol w:w="2044"/>
        <w:gridCol w:w="1787"/>
      </w:tblGrid>
      <w:tr w:rsidR="00B23F05" w:rsidRPr="00B23F05" w14:paraId="265A3BD6"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25BDF"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1.</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B58A5"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49B97"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1CE0A"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1D6AB785"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6514A"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5967D6" w14:textId="77777777" w:rsidR="007762F0" w:rsidRPr="00B23F05" w:rsidRDefault="00C766FA"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Infected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1629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23</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F4F1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23.0</w:t>
            </w:r>
          </w:p>
        </w:tc>
      </w:tr>
      <w:tr w:rsidR="007762F0" w:rsidRPr="00B23F05" w14:paraId="41110A63"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0F34B3"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65772B" w14:textId="77777777" w:rsidR="007762F0" w:rsidRPr="00B23F05" w:rsidRDefault="0057010F"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C766FA">
              <w:rPr>
                <w:rFonts w:ascii="Times New Roman" w:hAnsi="Times New Roman" w:cs="Times New Roman"/>
                <w:color w:val="000000" w:themeColor="text1"/>
                <w:sz w:val="24"/>
                <w:szCs w:val="24"/>
              </w:rPr>
              <w:t xml:space="preserve">infected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972A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27</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D150A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27.0</w:t>
            </w:r>
          </w:p>
        </w:tc>
      </w:tr>
    </w:tbl>
    <w:p w14:paraId="45C85660"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31A6759F"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4.11.2 shows that distribution of  respondents according to suffer from any communicable disease, maximum 27.0 per cent of  respondents were no</w:t>
      </w:r>
      <w:r w:rsidR="00C766FA">
        <w:rPr>
          <w:rFonts w:ascii="Times New Roman" w:hAnsi="Times New Roman" w:cs="Times New Roman"/>
          <w:color w:val="000000" w:themeColor="text1"/>
          <w:sz w:val="24"/>
          <w:szCs w:val="24"/>
        </w:rPr>
        <w:t>t</w:t>
      </w:r>
      <w:r w:rsidRPr="00B23F05">
        <w:rPr>
          <w:rFonts w:ascii="Times New Roman" w:hAnsi="Times New Roman" w:cs="Times New Roman"/>
          <w:color w:val="000000" w:themeColor="text1"/>
          <w:sz w:val="24"/>
          <w:szCs w:val="24"/>
        </w:rPr>
        <w:t xml:space="preserve"> suffering  from any communicable diseases minimum 23.0 per cent of respondents were  suffering from communicable diseases (fever, cold and cough, malaria) in the study area. Because not attention on hygiene and sanitation.</w:t>
      </w:r>
    </w:p>
    <w:p w14:paraId="59FB18F2" w14:textId="77777777" w:rsidR="005004EC" w:rsidRDefault="005004EC" w:rsidP="007762F0">
      <w:pPr>
        <w:spacing w:line="360" w:lineRule="auto"/>
        <w:jc w:val="both"/>
        <w:rPr>
          <w:rFonts w:ascii="Times New Roman" w:hAnsi="Times New Roman" w:cs="Times New Roman"/>
          <w:color w:val="000000" w:themeColor="text1"/>
          <w:sz w:val="24"/>
          <w:szCs w:val="24"/>
        </w:rPr>
      </w:pPr>
    </w:p>
    <w:p w14:paraId="10F8E0FF" w14:textId="77777777" w:rsidR="005004EC" w:rsidRDefault="005004EC" w:rsidP="007762F0">
      <w:pPr>
        <w:spacing w:line="360" w:lineRule="auto"/>
        <w:jc w:val="both"/>
        <w:rPr>
          <w:rFonts w:ascii="Times New Roman" w:hAnsi="Times New Roman" w:cs="Times New Roman"/>
          <w:color w:val="000000" w:themeColor="text1"/>
          <w:sz w:val="24"/>
          <w:szCs w:val="24"/>
        </w:rPr>
      </w:pPr>
    </w:p>
    <w:p w14:paraId="36DC4B63" w14:textId="77777777" w:rsidR="005004EC" w:rsidRPr="00B23F05" w:rsidRDefault="005004EC" w:rsidP="007762F0">
      <w:pPr>
        <w:spacing w:line="360" w:lineRule="auto"/>
        <w:jc w:val="both"/>
        <w:rPr>
          <w:rFonts w:ascii="Times New Roman" w:hAnsi="Times New Roman" w:cs="Times New Roman"/>
          <w:color w:val="000000" w:themeColor="text1"/>
          <w:sz w:val="24"/>
          <w:szCs w:val="24"/>
        </w:rPr>
      </w:pPr>
    </w:p>
    <w:p w14:paraId="3C44EA02"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4.11.3 Distribution of respondents according to suffer from any non- communicable diseases.</w:t>
      </w:r>
    </w:p>
    <w:tbl>
      <w:tblPr>
        <w:tblStyle w:val="TableGrid"/>
        <w:tblW w:w="5000" w:type="pct"/>
        <w:tblLayout w:type="fixed"/>
        <w:tblLook w:val="04A0" w:firstRow="1" w:lastRow="0" w:firstColumn="1" w:lastColumn="0" w:noHBand="0" w:noVBand="1"/>
      </w:tblPr>
      <w:tblGrid>
        <w:gridCol w:w="1150"/>
        <w:gridCol w:w="5543"/>
        <w:gridCol w:w="1517"/>
        <w:gridCol w:w="1366"/>
      </w:tblGrid>
      <w:tr w:rsidR="00B23F05" w:rsidRPr="00B23F05" w14:paraId="4CFF97B4"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22EC9"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2.</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9A99D"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CC8A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A4F4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505235AC"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BB0A2"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3DAF8" w14:textId="77777777" w:rsidR="007762F0" w:rsidRPr="00B23F05" w:rsidRDefault="00C766FA"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Infected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424B3"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0C13D"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17.0</w:t>
            </w:r>
          </w:p>
        </w:tc>
      </w:tr>
      <w:tr w:rsidR="007762F0" w:rsidRPr="00B23F05" w14:paraId="7BAE7F96"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1F2A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600F4" w14:textId="77777777" w:rsidR="007762F0" w:rsidRPr="00B23F05" w:rsidRDefault="0057010F" w:rsidP="00A108F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w:t>
            </w:r>
            <w:r w:rsidR="00C766FA">
              <w:rPr>
                <w:rFonts w:ascii="Times New Roman" w:hAnsi="Times New Roman" w:cs="Times New Roman"/>
                <w:color w:val="000000" w:themeColor="text1"/>
                <w:sz w:val="24"/>
                <w:szCs w:val="24"/>
              </w:rPr>
              <w:t xml:space="preserve">infected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F4AD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7B8E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33.0</w:t>
            </w:r>
          </w:p>
        </w:tc>
      </w:tr>
    </w:tbl>
    <w:p w14:paraId="7061AABB"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6DDFB0E8" w14:textId="77777777" w:rsidR="00B23F05"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Table 4.11.3  indicates that distribution of  respondents according to suffer from any non- communicable diseases, maximum 33.0 per cent of respondents were no</w:t>
      </w:r>
      <w:r w:rsidR="00C766FA">
        <w:rPr>
          <w:rFonts w:ascii="Times New Roman" w:hAnsi="Times New Roman" w:cs="Times New Roman"/>
          <w:color w:val="000000" w:themeColor="text1"/>
          <w:sz w:val="24"/>
          <w:szCs w:val="24"/>
        </w:rPr>
        <w:t>t</w:t>
      </w:r>
      <w:r w:rsidRPr="00B23F05">
        <w:rPr>
          <w:rFonts w:ascii="Times New Roman" w:hAnsi="Times New Roman" w:cs="Times New Roman"/>
          <w:color w:val="000000" w:themeColor="text1"/>
          <w:sz w:val="24"/>
          <w:szCs w:val="24"/>
        </w:rPr>
        <w:t xml:space="preserve"> suffering from non- communicable disease, minimum 17 .0 per cent  of respondents were suffering from non- communicable  diseases (hypertension, heart disease, diabetes, gastric problem) in the study area. Because not maintain your life style, taking addiction, dietary pattern, balance diet, and nutritional deficiency etc.</w:t>
      </w:r>
    </w:p>
    <w:p w14:paraId="3992A08E" w14:textId="77777777" w:rsidR="00B23F05" w:rsidRDefault="00B23F05">
      <w:pPr>
        <w:rPr>
          <w:rFonts w:ascii="Times New Roman" w:hAnsi="Times New Roman" w:cs="Times New Roman"/>
          <w:color w:val="000000" w:themeColor="text1"/>
          <w:sz w:val="24"/>
          <w:szCs w:val="24"/>
        </w:rPr>
      </w:pPr>
      <w:r>
        <w:rPr>
          <w:noProof/>
          <w:lang w:val="en-IN" w:eastAsia="en-IN"/>
        </w:rPr>
        <w:lastRenderedPageBreak/>
        <w:drawing>
          <wp:inline distT="0" distB="0" distL="0" distR="0" wp14:anchorId="4CE3478B" wp14:editId="463C8074">
            <wp:extent cx="5943600" cy="3605842"/>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262D32"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58A0A730"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263AB5FB"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lastRenderedPageBreak/>
        <w:t xml:space="preserve">Table 4.11.4 </w:t>
      </w:r>
      <w:r w:rsidRPr="00B23F05">
        <w:rPr>
          <w:rFonts w:ascii="Times New Roman" w:hAnsi="Times New Roman" w:cs="Times New Roman"/>
          <w:b/>
          <w:color w:val="000000" w:themeColor="text1"/>
          <w:sz w:val="24"/>
          <w:szCs w:val="24"/>
        </w:rPr>
        <w:tab/>
        <w:t>Distribution of the respondents according to suffer from both communicable and non- communicable diseases.</w:t>
      </w:r>
    </w:p>
    <w:tbl>
      <w:tblPr>
        <w:tblStyle w:val="TableGrid"/>
        <w:tblW w:w="5000" w:type="pct"/>
        <w:tblLayout w:type="fixed"/>
        <w:tblLook w:val="04A0" w:firstRow="1" w:lastRow="0" w:firstColumn="1" w:lastColumn="0" w:noHBand="0" w:noVBand="1"/>
      </w:tblPr>
      <w:tblGrid>
        <w:gridCol w:w="1150"/>
        <w:gridCol w:w="5543"/>
        <w:gridCol w:w="1517"/>
        <w:gridCol w:w="1366"/>
      </w:tblGrid>
      <w:tr w:rsidR="00B23F05" w:rsidRPr="00B23F05" w14:paraId="293BCD30"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413FC"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3.</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F6E0E"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 xml:space="preserve"> Both communicable and 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E022C"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76522F"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4FABFCFD"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B648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BA04C"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Communicable diseases </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1722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13</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432C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13.0</w:t>
            </w:r>
          </w:p>
        </w:tc>
      </w:tr>
      <w:tr w:rsidR="007762F0" w:rsidRPr="00B23F05" w14:paraId="2519C39E" w14:textId="77777777" w:rsidTr="00A108F4">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155ED0"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89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3106E"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Non- communicable diseases</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0EA6"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w:t>
            </w:r>
          </w:p>
        </w:tc>
        <w:tc>
          <w:tcPr>
            <w:tcW w:w="71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0C31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11.0</w:t>
            </w:r>
          </w:p>
        </w:tc>
      </w:tr>
    </w:tbl>
    <w:p w14:paraId="687251F2" w14:textId="77777777" w:rsidR="007762F0" w:rsidRPr="00B23F05" w:rsidRDefault="007762F0" w:rsidP="007762F0">
      <w:pPr>
        <w:pStyle w:val="ListParagraph"/>
        <w:spacing w:line="360" w:lineRule="auto"/>
        <w:ind w:left="630"/>
        <w:jc w:val="both"/>
        <w:rPr>
          <w:rFonts w:ascii="Times New Roman" w:hAnsi="Times New Roman" w:cs="Times New Roman"/>
          <w:color w:val="000000" w:themeColor="text1"/>
          <w:sz w:val="24"/>
          <w:szCs w:val="24"/>
        </w:rPr>
      </w:pPr>
    </w:p>
    <w:p w14:paraId="04BEB10C"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4.11.4 indicates that distribution of the respondents according to suffer from both communicable and non- communicable diseases, 13 per cent of respondents were suffer from both communicable and non- communicable diseases in 27 percent communicable diseases and 11 per cent of respondents were suffer from both communicable and non- communicable diseases in 17 per cent non- communicable diseases.</w:t>
      </w:r>
    </w:p>
    <w:p w14:paraId="229ABDB4" w14:textId="77777777" w:rsidR="00B23F05" w:rsidRDefault="00B23F05" w:rsidP="007762F0">
      <w:pPr>
        <w:spacing w:line="360" w:lineRule="auto"/>
        <w:jc w:val="both"/>
        <w:rPr>
          <w:rFonts w:ascii="Times New Roman" w:hAnsi="Times New Roman" w:cs="Times New Roman"/>
          <w:color w:val="000000" w:themeColor="text1"/>
          <w:sz w:val="24"/>
          <w:szCs w:val="24"/>
        </w:rPr>
      </w:pPr>
      <w:r>
        <w:rPr>
          <w:noProof/>
          <w:lang w:val="en-IN" w:eastAsia="en-IN"/>
        </w:rPr>
        <w:drawing>
          <wp:inline distT="0" distB="0" distL="0" distR="0" wp14:anchorId="1A18BDA1" wp14:editId="422F9B03">
            <wp:extent cx="6153150" cy="4486275"/>
            <wp:effectExtent l="0" t="0" r="38100" b="285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6C598A" w14:textId="77777777" w:rsidR="00B23F05" w:rsidRPr="00B23F05" w:rsidRDefault="00B23F05" w:rsidP="007762F0">
      <w:pPr>
        <w:spacing w:line="360" w:lineRule="auto"/>
        <w:jc w:val="both"/>
        <w:rPr>
          <w:rFonts w:ascii="Times New Roman" w:hAnsi="Times New Roman" w:cs="Times New Roman"/>
          <w:color w:val="000000" w:themeColor="text1"/>
          <w:sz w:val="24"/>
          <w:szCs w:val="24"/>
        </w:rPr>
      </w:pPr>
    </w:p>
    <w:p w14:paraId="48B3D0FC" w14:textId="77777777" w:rsidR="007762F0" w:rsidRPr="00B23F05" w:rsidRDefault="007762F0" w:rsidP="007762F0">
      <w:pP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Table 4.11.5 Distribution of  respondents according to get health check up.</w:t>
      </w:r>
      <w:r w:rsidRPr="00B23F05">
        <w:rPr>
          <w:rFonts w:ascii="Times New Roman" w:hAnsi="Times New Roman" w:cs="Times New Roman"/>
          <w:b/>
          <w:color w:val="000000" w:themeColor="text1"/>
          <w:sz w:val="24"/>
          <w:szCs w:val="24"/>
        </w:rPr>
        <w:tab/>
      </w:r>
    </w:p>
    <w:tbl>
      <w:tblPr>
        <w:tblStyle w:val="TableGrid"/>
        <w:tblW w:w="5000" w:type="pct"/>
        <w:tblLook w:val="04A0" w:firstRow="1" w:lastRow="0" w:firstColumn="1" w:lastColumn="0" w:noHBand="0" w:noVBand="1"/>
      </w:tblPr>
      <w:tblGrid>
        <w:gridCol w:w="1149"/>
        <w:gridCol w:w="4596"/>
        <w:gridCol w:w="2044"/>
        <w:gridCol w:w="1787"/>
      </w:tblGrid>
      <w:tr w:rsidR="00B23F05" w:rsidRPr="00B23F05" w14:paraId="6C7A927E"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6522D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4.</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5B2E0" w14:textId="77777777" w:rsidR="007762F0" w:rsidRPr="00B23F05" w:rsidRDefault="007762F0" w:rsidP="00A108F4">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Get health check up</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BF406"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Frequency</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D49F2" w14:textId="77777777" w:rsidR="007762F0" w:rsidRPr="00B23F05" w:rsidRDefault="007762F0" w:rsidP="00A108F4">
            <w:pPr>
              <w:spacing w:line="360"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Per cent</w:t>
            </w:r>
          </w:p>
        </w:tc>
      </w:tr>
      <w:tr w:rsidR="00B23F05" w:rsidRPr="00B23F05" w14:paraId="1F35F730"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52D3DA"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a.</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61136"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3 months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1F153E"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7EB016"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3.0</w:t>
            </w:r>
          </w:p>
        </w:tc>
      </w:tr>
      <w:tr w:rsidR="00B23F05" w:rsidRPr="00B23F05" w14:paraId="3ADBB276"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8B2F1"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b.</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D5C4D6"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6 months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CEDD4"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CBEA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6.0</w:t>
            </w:r>
          </w:p>
        </w:tc>
      </w:tr>
      <w:tr w:rsidR="00B23F05" w:rsidRPr="00B23F05" w14:paraId="18FA3AB1"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5A3A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c.</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16D55"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Once in 1 years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C1412"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3AC73C"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12.0</w:t>
            </w:r>
          </w:p>
        </w:tc>
      </w:tr>
      <w:tr w:rsidR="00B23F05" w:rsidRPr="00B23F05" w14:paraId="64619EDF"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A4F5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d.</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3DCC1"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When needed</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28D1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74</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083838"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74.0</w:t>
            </w:r>
          </w:p>
        </w:tc>
      </w:tr>
      <w:tr w:rsidR="007762F0" w:rsidRPr="00B23F05" w14:paraId="4746D3AA" w14:textId="77777777" w:rsidTr="00A108F4">
        <w:tc>
          <w:tcPr>
            <w:tcW w:w="6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8CBBF"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w:t>
            </w:r>
          </w:p>
        </w:tc>
        <w:tc>
          <w:tcPr>
            <w:tcW w:w="24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D2618" w14:textId="77777777" w:rsidR="007762F0" w:rsidRPr="00B23F05" w:rsidRDefault="007762F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Never </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B3A0B"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w:t>
            </w:r>
          </w:p>
        </w:tc>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E6AE0" w14:textId="77777777" w:rsidR="007762F0" w:rsidRPr="00B23F05" w:rsidRDefault="007762F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5.0</w:t>
            </w:r>
          </w:p>
        </w:tc>
      </w:tr>
    </w:tbl>
    <w:p w14:paraId="0332F4C2" w14:textId="77777777" w:rsidR="007762F0" w:rsidRPr="00B23F05" w:rsidRDefault="007762F0" w:rsidP="007762F0">
      <w:pPr>
        <w:spacing w:line="360" w:lineRule="auto"/>
        <w:jc w:val="both"/>
        <w:rPr>
          <w:rFonts w:ascii="Times New Roman" w:hAnsi="Times New Roman" w:cs="Times New Roman"/>
          <w:color w:val="000000" w:themeColor="text1"/>
          <w:sz w:val="8"/>
          <w:szCs w:val="24"/>
        </w:rPr>
      </w:pPr>
    </w:p>
    <w:p w14:paraId="54E45B57" w14:textId="77777777" w:rsidR="007762F0" w:rsidRDefault="007762F0" w:rsidP="007762F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Table 4.11.5 depicts that distribution of respondents according to get health check up, maximum 74.0 per cent of respondents were getting health check-up when needed followed by 12.0 per cent of respondents once in 1 year, 6.0 per cent of respondents once in 6 months and 5.0 per cent never, minimum 3.0 per cent of respondents  once in 3 months in the study area. Because money problem, lack of education and awareness.</w:t>
      </w:r>
    </w:p>
    <w:p w14:paraId="57910088" w14:textId="77777777" w:rsidR="00D4316D" w:rsidRDefault="00D4316D" w:rsidP="007762F0">
      <w:pPr>
        <w:spacing w:line="360" w:lineRule="auto"/>
        <w:jc w:val="both"/>
        <w:rPr>
          <w:rFonts w:ascii="Times New Roman" w:hAnsi="Times New Roman" w:cs="Times New Roman"/>
          <w:color w:val="000000" w:themeColor="text1"/>
          <w:sz w:val="24"/>
          <w:szCs w:val="24"/>
        </w:rPr>
      </w:pPr>
    </w:p>
    <w:p w14:paraId="70CE4FC6" w14:textId="77777777" w:rsidR="00D4316D" w:rsidRDefault="00D4316D" w:rsidP="007762F0">
      <w:pPr>
        <w:spacing w:line="360" w:lineRule="auto"/>
        <w:jc w:val="both"/>
        <w:rPr>
          <w:rFonts w:ascii="Times New Roman" w:hAnsi="Times New Roman" w:cs="Times New Roman"/>
          <w:color w:val="000000" w:themeColor="text1"/>
          <w:sz w:val="24"/>
          <w:szCs w:val="24"/>
        </w:rPr>
      </w:pPr>
      <w:r>
        <w:rPr>
          <w:noProof/>
          <w:lang w:val="en-IN" w:eastAsia="en-IN"/>
        </w:rPr>
        <w:drawing>
          <wp:inline distT="0" distB="0" distL="0" distR="0" wp14:anchorId="375A8D8B" wp14:editId="27F4E3F7">
            <wp:extent cx="4572000" cy="2743200"/>
            <wp:effectExtent l="0" t="0" r="19050" b="1905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D74E20" w14:textId="77777777" w:rsidR="00D4316D" w:rsidRPr="00D4316D" w:rsidRDefault="00D4316D" w:rsidP="00D4316D">
      <w:pPr>
        <w:spacing w:line="360" w:lineRule="auto"/>
        <w:jc w:val="both"/>
        <w:rPr>
          <w:rFonts w:ascii="Times New Roman" w:eastAsiaTheme="minorHAnsi" w:hAnsi="Times New Roman" w:cs="Times New Roman"/>
          <w:sz w:val="24"/>
          <w:szCs w:val="24"/>
          <w:lang w:val="en-IN"/>
        </w:rPr>
      </w:pPr>
      <w:r w:rsidRPr="00D4316D">
        <w:rPr>
          <w:rFonts w:ascii="Times New Roman" w:eastAsiaTheme="minorHAnsi" w:hAnsi="Times New Roman" w:cs="Times New Roman"/>
          <w:sz w:val="24"/>
          <w:szCs w:val="24"/>
          <w:lang w:val="en-IN"/>
        </w:rPr>
        <w:t>Fig</w:t>
      </w:r>
      <w:r>
        <w:rPr>
          <w:rFonts w:ascii="Times New Roman" w:eastAsiaTheme="minorHAnsi" w:hAnsi="Times New Roman" w:cs="Times New Roman"/>
          <w:sz w:val="24"/>
          <w:szCs w:val="24"/>
          <w:lang w:val="en-IN"/>
        </w:rPr>
        <w:t xml:space="preserve"> 4.11.5 </w:t>
      </w:r>
      <w:r w:rsidRPr="00D4316D">
        <w:rPr>
          <w:rFonts w:ascii="Times New Roman" w:eastAsiaTheme="minorHAnsi" w:hAnsi="Times New Roman" w:cs="Times New Roman"/>
          <w:sz w:val="24"/>
          <w:szCs w:val="24"/>
          <w:lang w:val="en-IN"/>
        </w:rPr>
        <w:t xml:space="preserve"> Distribution of  respondents according to get health check up.</w:t>
      </w:r>
    </w:p>
    <w:p w14:paraId="1FDCEA62" w14:textId="77777777" w:rsidR="005004EC" w:rsidRDefault="005004EC" w:rsidP="007762F0">
      <w:pPr>
        <w:spacing w:line="360" w:lineRule="auto"/>
        <w:jc w:val="both"/>
        <w:rPr>
          <w:rFonts w:ascii="Times New Roman" w:hAnsi="Times New Roman" w:cs="Times New Roman"/>
          <w:b/>
          <w:color w:val="000000" w:themeColor="text1"/>
          <w:sz w:val="24"/>
          <w:szCs w:val="24"/>
        </w:rPr>
      </w:pPr>
    </w:p>
    <w:p w14:paraId="79187363" w14:textId="77777777" w:rsidR="007762F0" w:rsidRPr="00B23F05" w:rsidRDefault="007762F0" w:rsidP="007762F0">
      <w:pPr>
        <w:spacing w:line="360" w:lineRule="auto"/>
        <w:jc w:val="both"/>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lastRenderedPageBreak/>
        <w:t>Table 4.11.6 Correlation coefficient between garbage index, clinical assessment and communicable and non-communicable diseases.</w:t>
      </w:r>
    </w:p>
    <w:tbl>
      <w:tblPr>
        <w:tblW w:w="5000" w:type="pct"/>
        <w:tblLook w:val="04A0" w:firstRow="1" w:lastRow="0" w:firstColumn="1" w:lastColumn="0" w:noHBand="0" w:noVBand="1"/>
      </w:tblPr>
      <w:tblGrid>
        <w:gridCol w:w="2191"/>
        <w:gridCol w:w="1369"/>
        <w:gridCol w:w="1997"/>
        <w:gridCol w:w="2281"/>
        <w:gridCol w:w="1738"/>
      </w:tblGrid>
      <w:tr w:rsidR="00B23F05" w:rsidRPr="00B23F05" w14:paraId="780D8B96" w14:textId="77777777" w:rsidTr="00A108F4">
        <w:trPr>
          <w:trHeight w:val="300"/>
        </w:trPr>
        <w:tc>
          <w:tcPr>
            <w:tcW w:w="886" w:type="pct"/>
            <w:vMerge w:val="restart"/>
            <w:tcBorders>
              <w:top w:val="single" w:sz="4" w:space="0" w:color="auto"/>
              <w:left w:val="single" w:sz="4" w:space="0" w:color="auto"/>
              <w:right w:val="single" w:sz="4" w:space="0" w:color="auto"/>
            </w:tcBorders>
            <w:noWrap/>
            <w:vAlign w:val="center"/>
            <w:hideMark/>
          </w:tcPr>
          <w:p w14:paraId="3A0F893D"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Variables</w:t>
            </w:r>
          </w:p>
        </w:tc>
        <w:tc>
          <w:tcPr>
            <w:tcW w:w="4114" w:type="pct"/>
            <w:gridSpan w:val="4"/>
            <w:tcBorders>
              <w:top w:val="single" w:sz="4" w:space="0" w:color="auto"/>
              <w:left w:val="nil"/>
              <w:bottom w:val="single" w:sz="4" w:space="0" w:color="auto"/>
              <w:right w:val="single" w:sz="4" w:space="0" w:color="auto"/>
            </w:tcBorders>
            <w:noWrap/>
            <w:vAlign w:val="center"/>
            <w:hideMark/>
          </w:tcPr>
          <w:p w14:paraId="0110AEC6"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Correlation coefficient</w:t>
            </w:r>
          </w:p>
        </w:tc>
      </w:tr>
      <w:tr w:rsidR="00B23F05" w:rsidRPr="00B23F05" w14:paraId="7557315C" w14:textId="77777777" w:rsidTr="00A108F4">
        <w:trPr>
          <w:trHeight w:val="300"/>
        </w:trPr>
        <w:tc>
          <w:tcPr>
            <w:tcW w:w="886" w:type="pct"/>
            <w:vMerge/>
            <w:tcBorders>
              <w:left w:val="single" w:sz="4" w:space="0" w:color="auto"/>
              <w:bottom w:val="single" w:sz="4" w:space="0" w:color="auto"/>
              <w:right w:val="single" w:sz="4" w:space="0" w:color="auto"/>
            </w:tcBorders>
            <w:noWrap/>
            <w:vAlign w:val="center"/>
            <w:hideMark/>
          </w:tcPr>
          <w:p w14:paraId="3AB0F966"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p>
        </w:tc>
        <w:tc>
          <w:tcPr>
            <w:tcW w:w="1076" w:type="pct"/>
            <w:tcBorders>
              <w:top w:val="single" w:sz="4" w:space="0" w:color="auto"/>
              <w:left w:val="nil"/>
              <w:bottom w:val="single" w:sz="4" w:space="0" w:color="auto"/>
              <w:right w:val="single" w:sz="4" w:space="0" w:color="auto"/>
            </w:tcBorders>
            <w:noWrap/>
            <w:vAlign w:val="center"/>
            <w:hideMark/>
          </w:tcPr>
          <w:p w14:paraId="325C7F78"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Garbage Index</w:t>
            </w:r>
          </w:p>
        </w:tc>
        <w:tc>
          <w:tcPr>
            <w:tcW w:w="1013" w:type="pct"/>
            <w:tcBorders>
              <w:top w:val="single" w:sz="4" w:space="0" w:color="auto"/>
              <w:left w:val="nil"/>
              <w:bottom w:val="single" w:sz="4" w:space="0" w:color="auto"/>
              <w:right w:val="single" w:sz="4" w:space="0" w:color="auto"/>
            </w:tcBorders>
            <w:noWrap/>
            <w:vAlign w:val="center"/>
            <w:hideMark/>
          </w:tcPr>
          <w:p w14:paraId="2192E807"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Communicable Disease</w:t>
            </w:r>
          </w:p>
        </w:tc>
        <w:tc>
          <w:tcPr>
            <w:tcW w:w="1139" w:type="pct"/>
            <w:tcBorders>
              <w:top w:val="single" w:sz="4" w:space="0" w:color="auto"/>
              <w:left w:val="nil"/>
              <w:bottom w:val="single" w:sz="4" w:space="0" w:color="auto"/>
              <w:right w:val="single" w:sz="4" w:space="0" w:color="auto"/>
            </w:tcBorders>
            <w:noWrap/>
            <w:vAlign w:val="center"/>
            <w:hideMark/>
          </w:tcPr>
          <w:p w14:paraId="1BDC0852"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Non communicable disease</w:t>
            </w:r>
          </w:p>
        </w:tc>
        <w:tc>
          <w:tcPr>
            <w:tcW w:w="886" w:type="pct"/>
            <w:tcBorders>
              <w:top w:val="single" w:sz="4" w:space="0" w:color="auto"/>
              <w:left w:val="nil"/>
              <w:bottom w:val="single" w:sz="4" w:space="0" w:color="auto"/>
              <w:right w:val="single" w:sz="4" w:space="0" w:color="auto"/>
            </w:tcBorders>
            <w:noWrap/>
            <w:vAlign w:val="center"/>
            <w:hideMark/>
          </w:tcPr>
          <w:p w14:paraId="6337F8F8" w14:textId="77777777" w:rsidR="007762F0" w:rsidRPr="00B23F05" w:rsidRDefault="007762F0" w:rsidP="00A108F4">
            <w:pPr>
              <w:spacing w:after="0" w:line="312" w:lineRule="auto"/>
              <w:jc w:val="center"/>
              <w:rPr>
                <w:rFonts w:ascii="Times New Roman" w:eastAsia="Times New Roman" w:hAnsi="Times New Roman" w:cs="Times New Roman"/>
                <w:b/>
                <w:iCs/>
                <w:color w:val="000000" w:themeColor="text1"/>
                <w:sz w:val="24"/>
                <w:szCs w:val="24"/>
                <w:lang w:eastAsia="en-IN"/>
              </w:rPr>
            </w:pPr>
            <w:r w:rsidRPr="00B23F05">
              <w:rPr>
                <w:rFonts w:ascii="Times New Roman" w:eastAsia="Times New Roman" w:hAnsi="Times New Roman" w:cs="Times New Roman"/>
                <w:b/>
                <w:iCs/>
                <w:color w:val="000000" w:themeColor="text1"/>
                <w:sz w:val="24"/>
                <w:szCs w:val="24"/>
                <w:lang w:eastAsia="en-IN"/>
              </w:rPr>
              <w:t>Clinical Assessment</w:t>
            </w:r>
          </w:p>
        </w:tc>
      </w:tr>
      <w:tr w:rsidR="00B23F05" w:rsidRPr="00B23F05" w14:paraId="3CED728B"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2D0D8C83"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Garbage Index</w:t>
            </w:r>
          </w:p>
        </w:tc>
        <w:tc>
          <w:tcPr>
            <w:tcW w:w="1076" w:type="pct"/>
            <w:tcBorders>
              <w:top w:val="nil"/>
              <w:left w:val="nil"/>
              <w:bottom w:val="single" w:sz="4" w:space="0" w:color="auto"/>
              <w:right w:val="single" w:sz="4" w:space="0" w:color="auto"/>
            </w:tcBorders>
            <w:noWrap/>
            <w:vAlign w:val="center"/>
            <w:hideMark/>
          </w:tcPr>
          <w:p w14:paraId="7BD43B4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1013" w:type="pct"/>
            <w:tcBorders>
              <w:top w:val="nil"/>
              <w:left w:val="nil"/>
              <w:bottom w:val="single" w:sz="4" w:space="0" w:color="auto"/>
              <w:right w:val="single" w:sz="4" w:space="0" w:color="auto"/>
            </w:tcBorders>
            <w:noWrap/>
            <w:vAlign w:val="center"/>
            <w:hideMark/>
          </w:tcPr>
          <w:p w14:paraId="17F21943"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1139" w:type="pct"/>
            <w:tcBorders>
              <w:top w:val="nil"/>
              <w:left w:val="nil"/>
              <w:bottom w:val="single" w:sz="4" w:space="0" w:color="auto"/>
              <w:right w:val="single" w:sz="4" w:space="0" w:color="auto"/>
            </w:tcBorders>
            <w:noWrap/>
            <w:vAlign w:val="center"/>
            <w:hideMark/>
          </w:tcPr>
          <w:p w14:paraId="3DBFE18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886" w:type="pct"/>
            <w:tcBorders>
              <w:top w:val="nil"/>
              <w:left w:val="nil"/>
              <w:bottom w:val="single" w:sz="4" w:space="0" w:color="auto"/>
              <w:right w:val="single" w:sz="4" w:space="0" w:color="auto"/>
            </w:tcBorders>
            <w:noWrap/>
            <w:vAlign w:val="center"/>
            <w:hideMark/>
          </w:tcPr>
          <w:p w14:paraId="053AD441"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B23F05" w:rsidRPr="00B23F05" w14:paraId="61A3F271"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7C50096C"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Communicable Disease</w:t>
            </w:r>
          </w:p>
        </w:tc>
        <w:tc>
          <w:tcPr>
            <w:tcW w:w="1076" w:type="pct"/>
            <w:tcBorders>
              <w:top w:val="nil"/>
              <w:left w:val="nil"/>
              <w:bottom w:val="single" w:sz="4" w:space="0" w:color="auto"/>
              <w:right w:val="single" w:sz="4" w:space="0" w:color="auto"/>
            </w:tcBorders>
            <w:noWrap/>
            <w:vAlign w:val="center"/>
            <w:hideMark/>
          </w:tcPr>
          <w:p w14:paraId="258666A7"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0.5816*</w:t>
            </w:r>
          </w:p>
        </w:tc>
        <w:tc>
          <w:tcPr>
            <w:tcW w:w="1013" w:type="pct"/>
            <w:tcBorders>
              <w:top w:val="nil"/>
              <w:left w:val="nil"/>
              <w:bottom w:val="single" w:sz="4" w:space="0" w:color="auto"/>
              <w:right w:val="single" w:sz="4" w:space="0" w:color="auto"/>
            </w:tcBorders>
            <w:noWrap/>
            <w:vAlign w:val="center"/>
            <w:hideMark/>
          </w:tcPr>
          <w:p w14:paraId="301CD63B"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1139" w:type="pct"/>
            <w:tcBorders>
              <w:top w:val="nil"/>
              <w:left w:val="nil"/>
              <w:bottom w:val="single" w:sz="4" w:space="0" w:color="auto"/>
              <w:right w:val="single" w:sz="4" w:space="0" w:color="auto"/>
            </w:tcBorders>
            <w:noWrap/>
            <w:vAlign w:val="center"/>
            <w:hideMark/>
          </w:tcPr>
          <w:p w14:paraId="5D536CC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c>
          <w:tcPr>
            <w:tcW w:w="886" w:type="pct"/>
            <w:tcBorders>
              <w:top w:val="nil"/>
              <w:left w:val="nil"/>
              <w:bottom w:val="single" w:sz="4" w:space="0" w:color="auto"/>
              <w:right w:val="single" w:sz="4" w:space="0" w:color="auto"/>
            </w:tcBorders>
            <w:noWrap/>
            <w:vAlign w:val="center"/>
            <w:hideMark/>
          </w:tcPr>
          <w:p w14:paraId="6481C65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B23F05" w:rsidRPr="00B23F05" w14:paraId="0AC3301F"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6998C146"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Non communicable disease</w:t>
            </w:r>
          </w:p>
        </w:tc>
        <w:tc>
          <w:tcPr>
            <w:tcW w:w="1076" w:type="pct"/>
            <w:tcBorders>
              <w:top w:val="nil"/>
              <w:left w:val="nil"/>
              <w:bottom w:val="single" w:sz="4" w:space="0" w:color="auto"/>
              <w:right w:val="single" w:sz="4" w:space="0" w:color="auto"/>
            </w:tcBorders>
            <w:noWrap/>
            <w:vAlign w:val="center"/>
            <w:hideMark/>
          </w:tcPr>
          <w:p w14:paraId="243B8DA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0.7319*</w:t>
            </w:r>
          </w:p>
        </w:tc>
        <w:tc>
          <w:tcPr>
            <w:tcW w:w="1013" w:type="pct"/>
            <w:tcBorders>
              <w:top w:val="nil"/>
              <w:left w:val="nil"/>
              <w:bottom w:val="single" w:sz="4" w:space="0" w:color="auto"/>
              <w:right w:val="single" w:sz="4" w:space="0" w:color="auto"/>
            </w:tcBorders>
            <w:noWrap/>
            <w:vAlign w:val="center"/>
            <w:hideMark/>
          </w:tcPr>
          <w:p w14:paraId="1BB6C0E6"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0.8406*</w:t>
            </w:r>
          </w:p>
        </w:tc>
        <w:tc>
          <w:tcPr>
            <w:tcW w:w="1139" w:type="pct"/>
            <w:tcBorders>
              <w:top w:val="nil"/>
              <w:left w:val="nil"/>
              <w:bottom w:val="single" w:sz="4" w:space="0" w:color="auto"/>
              <w:right w:val="single" w:sz="4" w:space="0" w:color="auto"/>
            </w:tcBorders>
            <w:noWrap/>
            <w:vAlign w:val="center"/>
            <w:hideMark/>
          </w:tcPr>
          <w:p w14:paraId="4D1300FC"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c>
          <w:tcPr>
            <w:tcW w:w="886" w:type="pct"/>
            <w:tcBorders>
              <w:top w:val="nil"/>
              <w:left w:val="nil"/>
              <w:bottom w:val="single" w:sz="4" w:space="0" w:color="auto"/>
              <w:right w:val="single" w:sz="4" w:space="0" w:color="auto"/>
            </w:tcBorders>
            <w:noWrap/>
            <w:vAlign w:val="center"/>
            <w:hideMark/>
          </w:tcPr>
          <w:p w14:paraId="6D199DAF"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p>
        </w:tc>
      </w:tr>
      <w:tr w:rsidR="007762F0" w:rsidRPr="00B23F05" w14:paraId="04BF7D84" w14:textId="77777777" w:rsidTr="00A108F4">
        <w:trPr>
          <w:trHeight w:val="300"/>
        </w:trPr>
        <w:tc>
          <w:tcPr>
            <w:tcW w:w="886" w:type="pct"/>
            <w:tcBorders>
              <w:top w:val="nil"/>
              <w:left w:val="single" w:sz="4" w:space="0" w:color="auto"/>
              <w:bottom w:val="single" w:sz="4" w:space="0" w:color="auto"/>
              <w:right w:val="single" w:sz="4" w:space="0" w:color="auto"/>
            </w:tcBorders>
            <w:noWrap/>
            <w:vAlign w:val="center"/>
            <w:hideMark/>
          </w:tcPr>
          <w:p w14:paraId="7D19DE50" w14:textId="77777777" w:rsidR="007762F0" w:rsidRPr="00B23F05" w:rsidRDefault="007762F0" w:rsidP="00A108F4">
            <w:pPr>
              <w:spacing w:after="0" w:line="312" w:lineRule="auto"/>
              <w:jc w:val="center"/>
              <w:rPr>
                <w:rFonts w:ascii="Times New Roman" w:eastAsia="Times New Roman" w:hAnsi="Times New Roman" w:cs="Times New Roman"/>
                <w:iCs/>
                <w:color w:val="000000" w:themeColor="text1"/>
                <w:sz w:val="24"/>
                <w:szCs w:val="24"/>
                <w:lang w:eastAsia="en-IN"/>
              </w:rPr>
            </w:pPr>
            <w:r w:rsidRPr="00B23F05">
              <w:rPr>
                <w:rFonts w:ascii="Times New Roman" w:eastAsia="Times New Roman" w:hAnsi="Times New Roman" w:cs="Times New Roman"/>
                <w:iCs/>
                <w:color w:val="000000" w:themeColor="text1"/>
                <w:sz w:val="24"/>
                <w:szCs w:val="24"/>
                <w:lang w:eastAsia="en-IN"/>
              </w:rPr>
              <w:t>Clinical Assessment</w:t>
            </w:r>
          </w:p>
        </w:tc>
        <w:tc>
          <w:tcPr>
            <w:tcW w:w="1076" w:type="pct"/>
            <w:tcBorders>
              <w:top w:val="nil"/>
              <w:left w:val="nil"/>
              <w:bottom w:val="single" w:sz="4" w:space="0" w:color="auto"/>
              <w:right w:val="single" w:sz="4" w:space="0" w:color="auto"/>
            </w:tcBorders>
            <w:noWrap/>
            <w:vAlign w:val="center"/>
            <w:hideMark/>
          </w:tcPr>
          <w:p w14:paraId="6472A716"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-0.1185</w:t>
            </w:r>
          </w:p>
        </w:tc>
        <w:tc>
          <w:tcPr>
            <w:tcW w:w="1013" w:type="pct"/>
            <w:tcBorders>
              <w:top w:val="nil"/>
              <w:left w:val="nil"/>
              <w:bottom w:val="single" w:sz="4" w:space="0" w:color="auto"/>
              <w:right w:val="single" w:sz="4" w:space="0" w:color="auto"/>
            </w:tcBorders>
            <w:noWrap/>
            <w:vAlign w:val="center"/>
            <w:hideMark/>
          </w:tcPr>
          <w:p w14:paraId="1D80D2E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-0.6053</w:t>
            </w:r>
          </w:p>
        </w:tc>
        <w:tc>
          <w:tcPr>
            <w:tcW w:w="1139" w:type="pct"/>
            <w:tcBorders>
              <w:top w:val="nil"/>
              <w:left w:val="nil"/>
              <w:bottom w:val="single" w:sz="4" w:space="0" w:color="auto"/>
              <w:right w:val="single" w:sz="4" w:space="0" w:color="auto"/>
            </w:tcBorders>
            <w:noWrap/>
            <w:vAlign w:val="center"/>
            <w:hideMark/>
          </w:tcPr>
          <w:p w14:paraId="7228C96D"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-0.3787</w:t>
            </w:r>
          </w:p>
        </w:tc>
        <w:tc>
          <w:tcPr>
            <w:tcW w:w="886" w:type="pct"/>
            <w:tcBorders>
              <w:top w:val="nil"/>
              <w:left w:val="nil"/>
              <w:bottom w:val="single" w:sz="4" w:space="0" w:color="auto"/>
              <w:right w:val="single" w:sz="4" w:space="0" w:color="auto"/>
            </w:tcBorders>
            <w:noWrap/>
            <w:vAlign w:val="center"/>
            <w:hideMark/>
          </w:tcPr>
          <w:p w14:paraId="21C45A0E" w14:textId="77777777" w:rsidR="007762F0" w:rsidRPr="00B23F05" w:rsidRDefault="007762F0" w:rsidP="00A108F4">
            <w:pPr>
              <w:spacing w:after="0" w:line="312" w:lineRule="auto"/>
              <w:jc w:val="center"/>
              <w:rPr>
                <w:rFonts w:ascii="Times New Roman" w:eastAsia="Times New Roman" w:hAnsi="Times New Roman" w:cs="Times New Roman"/>
                <w:color w:val="000000" w:themeColor="text1"/>
                <w:sz w:val="24"/>
                <w:szCs w:val="24"/>
                <w:lang w:eastAsia="en-IN"/>
              </w:rPr>
            </w:pPr>
            <w:r w:rsidRPr="00B23F05">
              <w:rPr>
                <w:rFonts w:ascii="Times New Roman" w:eastAsia="Times New Roman" w:hAnsi="Times New Roman" w:cs="Times New Roman"/>
                <w:color w:val="000000" w:themeColor="text1"/>
                <w:sz w:val="24"/>
                <w:szCs w:val="24"/>
                <w:lang w:eastAsia="en-IN"/>
              </w:rPr>
              <w:t>1</w:t>
            </w:r>
          </w:p>
        </w:tc>
      </w:tr>
    </w:tbl>
    <w:p w14:paraId="413EEDCC" w14:textId="77777777" w:rsidR="007762F0" w:rsidRPr="00B23F05" w:rsidRDefault="007762F0" w:rsidP="007762F0">
      <w:pPr>
        <w:spacing w:line="360" w:lineRule="auto"/>
        <w:jc w:val="both"/>
        <w:rPr>
          <w:rFonts w:ascii="Times New Roman" w:hAnsi="Times New Roman" w:cs="Times New Roman"/>
          <w:color w:val="000000" w:themeColor="text1"/>
          <w:sz w:val="24"/>
          <w:szCs w:val="24"/>
        </w:rPr>
      </w:pPr>
    </w:p>
    <w:p w14:paraId="26357178" w14:textId="77777777" w:rsidR="005004EC" w:rsidRDefault="007762F0" w:rsidP="007730D3">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Table 4.11.6  the perusal of table reveals that correlation coefficient between garbage index and communicable diseases and non-communicable diseases and with clinical assessment of respondents, garbage index showed positive significant correlated with communicable diseases and non- communicable diseases of the respondents residing people near garbage houses at 5 per cent probability level. Communicable diseases of the respondents was found to be negative significant correlated with their clinical assessment at5 per cent hence age per clinical information the communicable diseases decreases non- communicable diseases of the respondents were negative correlated with clinical assessments when it also given same response at 5 per cent level and 98 degree freedom. </w:t>
      </w:r>
    </w:p>
    <w:p w14:paraId="6B4ED192" w14:textId="77777777" w:rsidR="007730D3" w:rsidRPr="005004EC" w:rsidRDefault="007730D3" w:rsidP="007730D3">
      <w:pPr>
        <w:spacing w:line="360" w:lineRule="auto"/>
        <w:jc w:val="both"/>
        <w:rPr>
          <w:rFonts w:ascii="Times New Roman" w:hAnsi="Times New Roman" w:cs="Times New Roman"/>
          <w:color w:val="000000" w:themeColor="text1"/>
          <w:sz w:val="24"/>
          <w:szCs w:val="24"/>
        </w:rPr>
      </w:pPr>
      <w:r w:rsidRPr="001F7A8F">
        <w:rPr>
          <w:rFonts w:ascii="Times New Roman" w:hAnsi="Times New Roman" w:cs="Times New Roman"/>
          <w:b/>
          <w:sz w:val="24"/>
          <w:szCs w:val="24"/>
        </w:rPr>
        <w:t>4.</w:t>
      </w:r>
      <w:r>
        <w:rPr>
          <w:rFonts w:ascii="Times New Roman" w:hAnsi="Times New Roman" w:cs="Times New Roman"/>
          <w:b/>
          <w:sz w:val="24"/>
          <w:szCs w:val="24"/>
        </w:rPr>
        <w:t xml:space="preserve"> </w:t>
      </w:r>
      <w:r w:rsidRPr="001F7A8F">
        <w:rPr>
          <w:rFonts w:ascii="Times New Roman" w:hAnsi="Times New Roman" w:cs="Times New Roman"/>
          <w:b/>
          <w:sz w:val="24"/>
          <w:szCs w:val="24"/>
        </w:rPr>
        <w:t>9</w:t>
      </w:r>
      <w:r w:rsidR="000239BE">
        <w:rPr>
          <w:rFonts w:ascii="Times New Roman" w:hAnsi="Times New Roman" w:cs="Times New Roman"/>
          <w:b/>
          <w:sz w:val="24"/>
          <w:szCs w:val="24"/>
        </w:rPr>
        <w:t>.</w:t>
      </w:r>
      <w:r w:rsidRPr="001F7A8F">
        <w:rPr>
          <w:rFonts w:ascii="Times New Roman" w:hAnsi="Times New Roman" w:cs="Times New Roman"/>
          <w:b/>
          <w:sz w:val="24"/>
          <w:szCs w:val="24"/>
        </w:rPr>
        <w:t xml:space="preserve"> 24 HOUR RECALL METHOD </w:t>
      </w:r>
    </w:p>
    <w:p w14:paraId="49CACB18"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4.9.1 Distribution of respondents according to energy requirement.</w:t>
      </w:r>
    </w:p>
    <w:tbl>
      <w:tblPr>
        <w:tblStyle w:val="TableGrid"/>
        <w:tblW w:w="5000" w:type="pct"/>
        <w:tblLook w:val="04A0" w:firstRow="1" w:lastRow="0" w:firstColumn="1" w:lastColumn="0" w:noHBand="0" w:noVBand="1"/>
      </w:tblPr>
      <w:tblGrid>
        <w:gridCol w:w="1371"/>
        <w:gridCol w:w="1245"/>
        <w:gridCol w:w="1120"/>
        <w:gridCol w:w="1239"/>
        <w:gridCol w:w="2080"/>
        <w:gridCol w:w="1180"/>
        <w:gridCol w:w="1341"/>
      </w:tblGrid>
      <w:tr w:rsidR="007730D3" w:rsidRPr="001F7A8F" w14:paraId="3BAEBE1D" w14:textId="77777777" w:rsidTr="00A108F4">
        <w:tc>
          <w:tcPr>
            <w:tcW w:w="7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E37B5"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0BC203" w14:textId="77777777" w:rsidR="007730D3" w:rsidRPr="001F7A8F" w:rsidRDefault="007730D3" w:rsidP="00A108F4">
            <w:pPr>
              <w:spacing w:line="360" w:lineRule="auto"/>
              <w:jc w:val="both"/>
              <w:rPr>
                <w:rFonts w:ascii="Times New Roman" w:hAnsi="Times New Roman" w:cs="Times New Roman"/>
                <w:b/>
                <w:sz w:val="24"/>
                <w:szCs w:val="24"/>
              </w:rPr>
            </w:pPr>
            <w:r>
              <w:rPr>
                <w:rFonts w:ascii="Times New Roman" w:hAnsi="Times New Roman" w:cs="Times New Roman"/>
                <w:b/>
                <w:sz w:val="24"/>
                <w:szCs w:val="24"/>
              </w:rPr>
              <w:t>Energy (K</w:t>
            </w:r>
            <w:r w:rsidRPr="001F7A8F">
              <w:rPr>
                <w:rFonts w:ascii="Times New Roman" w:hAnsi="Times New Roman" w:cs="Times New Roman"/>
                <w:b/>
                <w:sz w:val="24"/>
                <w:szCs w:val="24"/>
              </w:rPr>
              <w:t>cal</w:t>
            </w:r>
            <w:r>
              <w:rPr>
                <w:rFonts w:ascii="Times New Roman" w:hAnsi="Times New Roman" w:cs="Times New Roman"/>
                <w:b/>
                <w:sz w:val="24"/>
                <w:szCs w:val="24"/>
              </w:rPr>
              <w:t>/ 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EF431"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A9C19"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932993"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ADE1347" w14:textId="77777777" w:rsidTr="00A108F4">
        <w:tc>
          <w:tcPr>
            <w:tcW w:w="7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0283A"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D4186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B81CE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89CD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580F5"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90E7DC" w14:textId="77777777" w:rsidR="007730D3" w:rsidRPr="001F7A8F" w:rsidRDefault="007730D3" w:rsidP="00A108F4">
            <w:pPr>
              <w:spacing w:line="360" w:lineRule="auto"/>
              <w:jc w:val="both"/>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A6E3" w14:textId="77777777" w:rsidR="007730D3" w:rsidRPr="001F7A8F" w:rsidRDefault="007730D3" w:rsidP="00A108F4">
            <w:pPr>
              <w:spacing w:line="360" w:lineRule="auto"/>
              <w:jc w:val="both"/>
              <w:rPr>
                <w:rFonts w:ascii="Times New Roman" w:hAnsi="Times New Roman" w:cs="Times New Roman"/>
                <w:b/>
                <w:sz w:val="24"/>
                <w:szCs w:val="24"/>
              </w:rPr>
            </w:pPr>
          </w:p>
        </w:tc>
      </w:tr>
      <w:tr w:rsidR="007730D3" w:rsidRPr="001F7A8F" w14:paraId="0910A102" w14:textId="77777777" w:rsidTr="00A108F4">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66934"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EC4A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1818.2</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A656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98.2</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0DF2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2710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CF67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-32.9</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80847"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15.878*</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2457D"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10A55CB3" w14:textId="77777777" w:rsidTr="00A108F4">
        <w:trPr>
          <w:trHeight w:val="620"/>
        </w:trPr>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D7FF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360C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1395.0</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48CA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167.8</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4E51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2130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692C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-34.5</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1AB9AF"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2481E"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8E96E88" w14:textId="77777777" w:rsidTr="00A108F4">
        <w:tc>
          <w:tcPr>
            <w:tcW w:w="71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E2028A"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834D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1564.3</w:t>
            </w:r>
          </w:p>
        </w:tc>
        <w:tc>
          <w:tcPr>
            <w:tcW w:w="5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0B5C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253.0</w:t>
            </w:r>
          </w:p>
        </w:tc>
        <w:tc>
          <w:tcPr>
            <w:tcW w:w="6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29CB84"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139FB"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A206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A27E5" w14:textId="77777777" w:rsidR="007730D3" w:rsidRPr="001F7A8F" w:rsidRDefault="007730D3" w:rsidP="00A108F4">
            <w:pPr>
              <w:spacing w:line="360" w:lineRule="auto"/>
              <w:jc w:val="both"/>
              <w:rPr>
                <w:rFonts w:ascii="Times New Roman" w:hAnsi="Times New Roman" w:cs="Times New Roman"/>
                <w:sz w:val="24"/>
                <w:szCs w:val="24"/>
              </w:rPr>
            </w:pPr>
          </w:p>
        </w:tc>
      </w:tr>
    </w:tbl>
    <w:p w14:paraId="5E4243C0" w14:textId="77777777" w:rsidR="007730D3" w:rsidRPr="001F7A8F" w:rsidRDefault="007730D3" w:rsidP="007730D3">
      <w:pPr>
        <w:spacing w:line="360" w:lineRule="auto"/>
        <w:jc w:val="both"/>
        <w:rPr>
          <w:rFonts w:ascii="Times New Roman" w:hAnsi="Times New Roman" w:cs="Times New Roman"/>
          <w:sz w:val="24"/>
          <w:szCs w:val="24"/>
        </w:rPr>
      </w:pPr>
    </w:p>
    <w:p w14:paraId="2F2E0F9E"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lastRenderedPageBreak/>
        <w:t xml:space="preserve">Table 4.9.1 reveals that nutrients intake according </w:t>
      </w:r>
      <w:r>
        <w:rPr>
          <w:rFonts w:ascii="Times New Roman" w:hAnsi="Times New Roman" w:cs="Times New Roman"/>
          <w:sz w:val="24"/>
          <w:szCs w:val="24"/>
        </w:rPr>
        <w:t xml:space="preserve">to “Indian council of medical research 2020 recommended dietary allowance (RDA)” </w:t>
      </w:r>
      <w:r w:rsidRPr="001F7A8F">
        <w:rPr>
          <w:rFonts w:ascii="Times New Roman" w:hAnsi="Times New Roman" w:cs="Times New Roman"/>
          <w:sz w:val="24"/>
          <w:szCs w:val="24"/>
        </w:rPr>
        <w:t>table in male respondents average energy intake 1818.2 kcal which found to be deficient from RDA 32.9 per cent whereas in female respondents average energy intake 1395.0 kcal also shows deficient 34.5 per cent a significant difference of mean between male and female respondents in energy intake observed statistically significant at 5 per cent probability level.</w:t>
      </w:r>
      <w:r>
        <w:rPr>
          <w:rFonts w:ascii="Times New Roman" w:hAnsi="Times New Roman" w:cs="Times New Roman"/>
          <w:sz w:val="24"/>
          <w:szCs w:val="24"/>
        </w:rPr>
        <w:t xml:space="preserve"> Because lack knowledge balance diet and nutritional knowledge. It is associated with body weight loss, along with changes in body composition, as well as reduced basal metabolic rate and physical activity.</w:t>
      </w:r>
    </w:p>
    <w:p w14:paraId="1519E556"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4.9.2 Distribution of respondents according to protein requirement.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50C19D1C"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7FCBEB"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EA846"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Protein (g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A5E3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D6D8D"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0809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2D82C1F"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511DE"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B2B3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4E3D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4D4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E3584"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F80C9A"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84F53"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5F532C2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17C9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5E38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22.2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6AC4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6AF6F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42.9</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91CBF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-48.2</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A487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3.286*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2F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15CC500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2D6F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CF3E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19.7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4E3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4.4</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AC53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36.3</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AC2FB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-45.7</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022F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9B472"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200DD3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71BD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41E9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72B2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F40E6"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98735"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4BE7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B4132" w14:textId="77777777" w:rsidR="007730D3" w:rsidRPr="001F7A8F" w:rsidRDefault="007730D3" w:rsidP="00A108F4">
            <w:pPr>
              <w:spacing w:line="360" w:lineRule="auto"/>
              <w:jc w:val="both"/>
              <w:rPr>
                <w:rFonts w:ascii="Times New Roman" w:hAnsi="Times New Roman" w:cs="Times New Roman"/>
                <w:sz w:val="24"/>
                <w:szCs w:val="24"/>
              </w:rPr>
            </w:pPr>
          </w:p>
        </w:tc>
      </w:tr>
    </w:tbl>
    <w:p w14:paraId="56335218" w14:textId="77777777" w:rsidR="007730D3" w:rsidRPr="001F7A8F" w:rsidRDefault="007730D3" w:rsidP="007730D3">
      <w:pPr>
        <w:spacing w:line="360" w:lineRule="auto"/>
        <w:jc w:val="both"/>
        <w:rPr>
          <w:rFonts w:ascii="Times New Roman" w:hAnsi="Times New Roman" w:cs="Times New Roman"/>
          <w:sz w:val="24"/>
          <w:szCs w:val="24"/>
        </w:rPr>
      </w:pPr>
    </w:p>
    <w:p w14:paraId="09E1536A"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4.9.2 </w:t>
      </w:r>
      <w:r>
        <w:rPr>
          <w:rFonts w:ascii="Times New Roman" w:hAnsi="Times New Roman" w:cs="Times New Roman"/>
          <w:sz w:val="24"/>
          <w:szCs w:val="24"/>
        </w:rPr>
        <w:t>depicts</w:t>
      </w:r>
      <w:r w:rsidRPr="001F7A8F">
        <w:rPr>
          <w:rFonts w:ascii="Times New Roman" w:hAnsi="Times New Roman" w:cs="Times New Roman"/>
          <w:sz w:val="24"/>
          <w:szCs w:val="24"/>
        </w:rPr>
        <w:t xml:space="preserve">  that distribution of  respondents according to protein requirement, male respondents average protein  intake 22.2 gm which found to be deficient from RDA 48.2 per cent whereas in female respondents average protein intake 19.7 gm also shows deficient 45.7 per cent a significant difference of mean between male and female respondents in protein intake observed statistically significant at 5 per cent probability level.</w:t>
      </w:r>
      <w:r>
        <w:rPr>
          <w:rFonts w:ascii="Times New Roman" w:hAnsi="Times New Roman" w:cs="Times New Roman"/>
          <w:sz w:val="24"/>
          <w:szCs w:val="24"/>
        </w:rPr>
        <w:t xml:space="preserve"> Because they not used according to daily requirements such as pulses, meat, fish, egg, milk and milk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products in diet.. </w:t>
      </w:r>
    </w:p>
    <w:p w14:paraId="2449C42E"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4.9.3 Distribution of respondents according to fat requirement.</w:t>
      </w:r>
    </w:p>
    <w:tbl>
      <w:tblPr>
        <w:tblStyle w:val="TableGrid"/>
        <w:tblW w:w="5000" w:type="pct"/>
        <w:tblLook w:val="04A0" w:firstRow="1" w:lastRow="0" w:firstColumn="1" w:lastColumn="0" w:noHBand="0" w:noVBand="1"/>
      </w:tblPr>
      <w:tblGrid>
        <w:gridCol w:w="1373"/>
        <w:gridCol w:w="1245"/>
        <w:gridCol w:w="1118"/>
        <w:gridCol w:w="1243"/>
        <w:gridCol w:w="2082"/>
        <w:gridCol w:w="1174"/>
        <w:gridCol w:w="1341"/>
      </w:tblGrid>
      <w:tr w:rsidR="007730D3" w:rsidRPr="001F7A8F" w14:paraId="474A2B8E"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7D4CE"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ABB03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Fat (g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4DFF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1BFD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A116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0CDDF7F"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75B497"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DBBB4"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6C0B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CA5B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D5663"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7DAB2"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7DCA7D"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0D28F26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3ECE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A4CEC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13.5</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DBF9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CB3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C18E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-55.0</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58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1.175</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0304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583A9D4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9293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0341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13.0</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A7C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1.9</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3357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B60FE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-48.0</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C372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2CBC25"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1AD56AF"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06B5B"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375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13.2</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934BD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262F4"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B2CA4"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C6F0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C95D9" w14:textId="77777777" w:rsidR="007730D3" w:rsidRPr="001F7A8F" w:rsidRDefault="007730D3" w:rsidP="00A108F4">
            <w:pPr>
              <w:spacing w:line="360" w:lineRule="auto"/>
              <w:jc w:val="both"/>
              <w:rPr>
                <w:rFonts w:ascii="Times New Roman" w:hAnsi="Times New Roman" w:cs="Times New Roman"/>
                <w:sz w:val="24"/>
                <w:szCs w:val="24"/>
              </w:rPr>
            </w:pPr>
          </w:p>
        </w:tc>
      </w:tr>
    </w:tbl>
    <w:p w14:paraId="51E361E6" w14:textId="77777777" w:rsidR="007730D3" w:rsidRPr="001F7A8F" w:rsidRDefault="007730D3" w:rsidP="007730D3">
      <w:pPr>
        <w:spacing w:line="360" w:lineRule="auto"/>
        <w:jc w:val="both"/>
        <w:rPr>
          <w:rFonts w:ascii="Times New Roman" w:hAnsi="Times New Roman" w:cs="Times New Roman"/>
          <w:sz w:val="24"/>
          <w:szCs w:val="24"/>
        </w:rPr>
      </w:pPr>
    </w:p>
    <w:p w14:paraId="1B2F84BB" w14:textId="77777777" w:rsidR="007730D3" w:rsidRDefault="007730D3" w:rsidP="007730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Pr="001F7A8F">
        <w:rPr>
          <w:rFonts w:ascii="Times New Roman" w:hAnsi="Times New Roman" w:cs="Times New Roman"/>
          <w:sz w:val="24"/>
          <w:szCs w:val="24"/>
        </w:rPr>
        <w:t>4.9.3 reveals that distribution of respondent</w:t>
      </w:r>
      <w:r>
        <w:rPr>
          <w:rFonts w:ascii="Times New Roman" w:hAnsi="Times New Roman" w:cs="Times New Roman"/>
          <w:sz w:val="24"/>
          <w:szCs w:val="24"/>
        </w:rPr>
        <w:t xml:space="preserve">s according to fat requirement, </w:t>
      </w:r>
      <w:r w:rsidRPr="001F7A8F">
        <w:rPr>
          <w:rFonts w:ascii="Times New Roman" w:hAnsi="Times New Roman" w:cs="Times New Roman"/>
          <w:sz w:val="24"/>
          <w:szCs w:val="24"/>
        </w:rPr>
        <w:t>male respo</w:t>
      </w:r>
      <w:r>
        <w:rPr>
          <w:rFonts w:ascii="Times New Roman" w:hAnsi="Times New Roman" w:cs="Times New Roman"/>
          <w:sz w:val="24"/>
          <w:szCs w:val="24"/>
        </w:rPr>
        <w:t xml:space="preserve">ndents average fat </w:t>
      </w:r>
      <w:r w:rsidRPr="001F7A8F">
        <w:rPr>
          <w:rFonts w:ascii="Times New Roman" w:hAnsi="Times New Roman" w:cs="Times New Roman"/>
          <w:sz w:val="24"/>
          <w:szCs w:val="24"/>
        </w:rPr>
        <w:t xml:space="preserve">intake 13.5gm which found to be deficient from RDA 55.0 per cent whereas in </w:t>
      </w:r>
      <w:r>
        <w:rPr>
          <w:rFonts w:ascii="Times New Roman" w:hAnsi="Times New Roman" w:cs="Times New Roman"/>
          <w:sz w:val="24"/>
          <w:szCs w:val="24"/>
        </w:rPr>
        <w:t xml:space="preserve">female respondents average fat </w:t>
      </w:r>
      <w:r w:rsidRPr="001F7A8F">
        <w:rPr>
          <w:rFonts w:ascii="Times New Roman" w:hAnsi="Times New Roman" w:cs="Times New Roman"/>
          <w:sz w:val="24"/>
          <w:szCs w:val="24"/>
        </w:rPr>
        <w:t>intake 13.0 gm also shows deficient48.0 per cent a significant difference of mean between male and female resp</w:t>
      </w:r>
      <w:r>
        <w:rPr>
          <w:rFonts w:ascii="Times New Roman" w:hAnsi="Times New Roman" w:cs="Times New Roman"/>
          <w:sz w:val="24"/>
          <w:szCs w:val="24"/>
        </w:rPr>
        <w:t xml:space="preserve">ondents in fat intake observed </w:t>
      </w:r>
      <w:r w:rsidRPr="001F7A8F">
        <w:rPr>
          <w:rFonts w:ascii="Times New Roman" w:hAnsi="Times New Roman" w:cs="Times New Roman"/>
          <w:sz w:val="24"/>
          <w:szCs w:val="24"/>
        </w:rPr>
        <w:t>statistically non-significant at less than 5 per cent probability level.</w:t>
      </w:r>
      <w:r>
        <w:rPr>
          <w:rFonts w:ascii="Times New Roman" w:hAnsi="Times New Roman" w:cs="Times New Roman"/>
          <w:sz w:val="24"/>
          <w:szCs w:val="24"/>
        </w:rPr>
        <w:t xml:space="preserve"> Because lack of nutrients knowledge they not proper used nuts, oils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their diet.</w:t>
      </w:r>
    </w:p>
    <w:p w14:paraId="0903BB0D"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 xml:space="preserve"> Table :</w:t>
      </w:r>
      <w:r>
        <w:rPr>
          <w:rFonts w:ascii="Times New Roman" w:hAnsi="Times New Roman" w:cs="Times New Roman"/>
          <w:b/>
          <w:sz w:val="24"/>
          <w:szCs w:val="24"/>
        </w:rPr>
        <w:t xml:space="preserve"> </w:t>
      </w:r>
      <w:r w:rsidRPr="00836206">
        <w:rPr>
          <w:rFonts w:ascii="Times New Roman" w:hAnsi="Times New Roman" w:cs="Times New Roman"/>
          <w:b/>
          <w:sz w:val="24"/>
          <w:szCs w:val="24"/>
        </w:rPr>
        <w:t>4.9.4 Distribution of respondents according to calcium requirement.</w:t>
      </w:r>
    </w:p>
    <w:tbl>
      <w:tblPr>
        <w:tblStyle w:val="TableGrid"/>
        <w:tblW w:w="5000" w:type="pct"/>
        <w:tblLook w:val="04A0" w:firstRow="1" w:lastRow="0" w:firstColumn="1" w:lastColumn="0" w:noHBand="0" w:noVBand="1"/>
      </w:tblPr>
      <w:tblGrid>
        <w:gridCol w:w="1373"/>
        <w:gridCol w:w="1245"/>
        <w:gridCol w:w="1118"/>
        <w:gridCol w:w="1243"/>
        <w:gridCol w:w="2082"/>
        <w:gridCol w:w="1174"/>
        <w:gridCol w:w="1341"/>
      </w:tblGrid>
      <w:tr w:rsidR="007730D3" w:rsidRPr="001F7A8F" w14:paraId="3FF49DB4"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B8F47"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24816A"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 (g/ day</w:t>
            </w:r>
            <w:r w:rsidRPr="001F7A8F">
              <w:rPr>
                <w:rFonts w:ascii="Times New Roman" w:hAnsi="Times New Roman" w:cs="Times New Roman"/>
                <w:b/>
                <w:sz w:val="24"/>
                <w:szCs w:val="24"/>
              </w:rPr>
              <w:t>)</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85ABA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61D8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775F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7D9E2A2"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2E599"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EE4F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E1BA8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DCA1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FF00FE"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5D6EF" w14:textId="77777777" w:rsidR="007730D3" w:rsidRPr="001F7A8F" w:rsidRDefault="007730D3" w:rsidP="00A108F4">
            <w:pPr>
              <w:spacing w:line="360" w:lineRule="auto"/>
              <w:jc w:val="both"/>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34D51" w14:textId="77777777" w:rsidR="007730D3" w:rsidRPr="001F7A8F" w:rsidRDefault="007730D3" w:rsidP="00A108F4">
            <w:pPr>
              <w:spacing w:line="360" w:lineRule="auto"/>
              <w:jc w:val="both"/>
              <w:rPr>
                <w:rFonts w:ascii="Times New Roman" w:hAnsi="Times New Roman" w:cs="Times New Roman"/>
                <w:b/>
                <w:sz w:val="24"/>
                <w:szCs w:val="24"/>
              </w:rPr>
            </w:pPr>
          </w:p>
        </w:tc>
      </w:tr>
      <w:tr w:rsidR="007730D3" w:rsidRPr="001F7A8F" w14:paraId="7078E1B2"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8424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2BCE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392.4</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615C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73.7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F4D8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800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E687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-50.9</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AC6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1.761</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5632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21C260A4"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75B67"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A74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417.5</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17D0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63.6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6199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800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0512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-47.8</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B53D54"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FE6701"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9AD7EA2"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22DC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3CA1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407.4</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DC70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68.6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92120"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188A57"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FEA8C"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5C684" w14:textId="77777777" w:rsidR="007730D3" w:rsidRPr="001F7A8F" w:rsidRDefault="007730D3" w:rsidP="00A108F4">
            <w:pPr>
              <w:spacing w:line="360" w:lineRule="auto"/>
              <w:jc w:val="both"/>
              <w:rPr>
                <w:rFonts w:ascii="Times New Roman" w:hAnsi="Times New Roman" w:cs="Times New Roman"/>
                <w:sz w:val="24"/>
                <w:szCs w:val="24"/>
              </w:rPr>
            </w:pPr>
          </w:p>
        </w:tc>
      </w:tr>
    </w:tbl>
    <w:p w14:paraId="6FDFEE08" w14:textId="77777777" w:rsidR="007730D3" w:rsidRPr="001F7A8F" w:rsidRDefault="007730D3" w:rsidP="007730D3">
      <w:pPr>
        <w:spacing w:line="360" w:lineRule="auto"/>
        <w:jc w:val="both"/>
        <w:rPr>
          <w:rFonts w:ascii="Times New Roman" w:hAnsi="Times New Roman" w:cs="Times New Roman"/>
          <w:sz w:val="24"/>
          <w:szCs w:val="24"/>
        </w:rPr>
      </w:pPr>
    </w:p>
    <w:p w14:paraId="7CBB994C"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Table</w:t>
      </w:r>
      <w:r>
        <w:rPr>
          <w:rFonts w:ascii="Times New Roman" w:hAnsi="Times New Roman" w:cs="Times New Roman"/>
          <w:sz w:val="24"/>
          <w:szCs w:val="24"/>
        </w:rPr>
        <w:t xml:space="preserve"> </w:t>
      </w:r>
      <w:r w:rsidRPr="001F7A8F">
        <w:rPr>
          <w:rFonts w:ascii="Times New Roman" w:hAnsi="Times New Roman" w:cs="Times New Roman"/>
          <w:sz w:val="24"/>
          <w:szCs w:val="24"/>
        </w:rPr>
        <w:t xml:space="preserve">4.9.4 </w:t>
      </w:r>
      <w:r>
        <w:rPr>
          <w:rFonts w:ascii="Times New Roman" w:hAnsi="Times New Roman" w:cs="Times New Roman"/>
          <w:sz w:val="24"/>
          <w:szCs w:val="24"/>
        </w:rPr>
        <w:t xml:space="preserve">indicates </w:t>
      </w:r>
      <w:r w:rsidRPr="001F7A8F">
        <w:rPr>
          <w:rFonts w:ascii="Times New Roman" w:hAnsi="Times New Roman" w:cs="Times New Roman"/>
          <w:sz w:val="24"/>
          <w:szCs w:val="24"/>
        </w:rPr>
        <w:t>that distribution of respondents according to calcium requirements, female respondents average calcium intake 417.4 gm which found to be deficient from RDA 47.8 per cent whereas in male respondents average calcium intake 392.4 gm also shows deficient 50.9 per cent a non-significant difference of mean between female and male respondents in calcium intake observed statistically non-significant at less than 5 per cent probability level.</w:t>
      </w:r>
      <w:r>
        <w:rPr>
          <w:rFonts w:ascii="Times New Roman" w:hAnsi="Times New Roman" w:cs="Times New Roman"/>
          <w:sz w:val="24"/>
          <w:szCs w:val="24"/>
        </w:rPr>
        <w:t xml:space="preserve"> Because not proper used of milk and milk products and beans etc. in their diet.</w:t>
      </w:r>
    </w:p>
    <w:p w14:paraId="43F4E422"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4.9.5 Distribution of respondents according to iron requirement.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72FF6CD5"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0B901"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62E3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Fe (mg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8899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533EE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FC2C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3F5B21DD"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FF17D9"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2AC0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EA4B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108D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0C370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8FB1C"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65803"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0786B4A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EECA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39CCE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76E55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99E5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B3D2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-48.2</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4DB3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3.108*</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A26F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7980BBF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DC82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47DA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D612D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D966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9FAE2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-56.7</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90BF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D2852"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0BF3C0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7CBF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18CFD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E9864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032B8"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6A52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6A504A"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6E43F" w14:textId="77777777" w:rsidR="007730D3" w:rsidRPr="001F7A8F" w:rsidRDefault="007730D3" w:rsidP="00A108F4">
            <w:pPr>
              <w:spacing w:line="360" w:lineRule="auto"/>
              <w:jc w:val="both"/>
              <w:rPr>
                <w:rFonts w:ascii="Times New Roman" w:hAnsi="Times New Roman" w:cs="Times New Roman"/>
                <w:sz w:val="24"/>
                <w:szCs w:val="24"/>
              </w:rPr>
            </w:pPr>
          </w:p>
        </w:tc>
      </w:tr>
    </w:tbl>
    <w:p w14:paraId="536E84D3" w14:textId="77777777" w:rsidR="007730D3" w:rsidRPr="001F7A8F" w:rsidRDefault="007730D3" w:rsidP="007730D3">
      <w:pPr>
        <w:spacing w:line="360" w:lineRule="auto"/>
        <w:jc w:val="both"/>
        <w:rPr>
          <w:rFonts w:ascii="Times New Roman" w:hAnsi="Times New Roman" w:cs="Times New Roman"/>
          <w:sz w:val="24"/>
          <w:szCs w:val="24"/>
        </w:rPr>
      </w:pPr>
    </w:p>
    <w:p w14:paraId="51EA79E7"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4.9.5 </w:t>
      </w:r>
      <w:r>
        <w:rPr>
          <w:rFonts w:ascii="Times New Roman" w:hAnsi="Times New Roman" w:cs="Times New Roman"/>
          <w:sz w:val="24"/>
          <w:szCs w:val="24"/>
        </w:rPr>
        <w:t>shows</w:t>
      </w:r>
      <w:r w:rsidRPr="001F7A8F">
        <w:rPr>
          <w:rFonts w:ascii="Times New Roman" w:hAnsi="Times New Roman" w:cs="Times New Roman"/>
          <w:sz w:val="24"/>
          <w:szCs w:val="24"/>
        </w:rPr>
        <w:t xml:space="preserve"> that distribution of respondents according to iron requirement, female respondents average iron intake 6.5 mg which found to be deficient from RDA 56.7 per cent </w:t>
      </w:r>
      <w:r w:rsidRPr="001F7A8F">
        <w:rPr>
          <w:rFonts w:ascii="Times New Roman" w:hAnsi="Times New Roman" w:cs="Times New Roman"/>
          <w:sz w:val="24"/>
          <w:szCs w:val="24"/>
        </w:rPr>
        <w:lastRenderedPageBreak/>
        <w:t>whereas in male respondents average iron intake 5.7 mg also shows deficient48.2 per cent a significant difference of mean between female and male respondents in iron intake observed statistically significant at 5 per cent probability level.</w:t>
      </w:r>
      <w:r>
        <w:rPr>
          <w:rFonts w:ascii="Times New Roman" w:hAnsi="Times New Roman" w:cs="Times New Roman"/>
          <w:sz w:val="24"/>
          <w:szCs w:val="24"/>
        </w:rPr>
        <w:t xml:space="preserve"> Because lack of nutritional knowledge and not proper used of  dark green leafy vegetable, dry fruits, beans, peas,  meat etc. in their diet.</w:t>
      </w:r>
    </w:p>
    <w:p w14:paraId="2B53784C"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4.9.6 Distribution of respondents according to magnesium requirement.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529BDEFA"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ACC3C"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B9DE5B"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Mg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942A9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3B5E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65C3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206DB532"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5FD8E"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F72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30A8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6E78F"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E139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376DB"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D37CF5"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72F93BE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D121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C98E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213.3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C3DDB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42.8</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1DAE0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320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AA997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-33.3</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CD35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4.910*</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78B5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525308A5"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D038F"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E669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172.0</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B22F9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38.7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D9204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73A5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-36.3</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749C5"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5DCC4"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0684DA4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F79A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BFCF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188.5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D3CFF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45.0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DE20E8"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1268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F85A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7EABA" w14:textId="77777777" w:rsidR="007730D3" w:rsidRPr="001F7A8F" w:rsidRDefault="007730D3" w:rsidP="00A108F4">
            <w:pPr>
              <w:spacing w:line="360" w:lineRule="auto"/>
              <w:jc w:val="both"/>
              <w:rPr>
                <w:rFonts w:ascii="Times New Roman" w:hAnsi="Times New Roman" w:cs="Times New Roman"/>
                <w:sz w:val="24"/>
                <w:szCs w:val="24"/>
              </w:rPr>
            </w:pPr>
          </w:p>
        </w:tc>
      </w:tr>
    </w:tbl>
    <w:p w14:paraId="31B6C79C" w14:textId="77777777" w:rsidR="007730D3" w:rsidRPr="001F7A8F" w:rsidRDefault="007730D3" w:rsidP="007730D3">
      <w:pPr>
        <w:spacing w:line="360" w:lineRule="auto"/>
        <w:jc w:val="both"/>
        <w:rPr>
          <w:rFonts w:ascii="Times New Roman" w:hAnsi="Times New Roman" w:cs="Times New Roman"/>
          <w:sz w:val="24"/>
          <w:szCs w:val="24"/>
        </w:rPr>
      </w:pPr>
    </w:p>
    <w:p w14:paraId="4C148224"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4.9.6 </w:t>
      </w:r>
      <w:r>
        <w:rPr>
          <w:rFonts w:ascii="Times New Roman" w:hAnsi="Times New Roman" w:cs="Times New Roman"/>
          <w:sz w:val="24"/>
          <w:szCs w:val="24"/>
        </w:rPr>
        <w:t xml:space="preserve">shows </w:t>
      </w:r>
      <w:r w:rsidRPr="001F7A8F">
        <w:rPr>
          <w:rFonts w:ascii="Times New Roman" w:hAnsi="Times New Roman" w:cs="Times New Roman"/>
          <w:sz w:val="24"/>
          <w:szCs w:val="24"/>
        </w:rPr>
        <w:t>that distribution of  respondents according to magnesium requirement, male respondents average magnesium   intake 213.3 mg which found to be deficient from RDA 33.3 per cent whereas in female respondents average magnesium intake 172.3 mg also shows deficient 36.3  per cent a significant difference of mean between male and female respondents in magnesium  intake observed statistically significant at 5 per cent probability level.</w:t>
      </w:r>
      <w:r>
        <w:rPr>
          <w:rFonts w:ascii="Times New Roman" w:hAnsi="Times New Roman" w:cs="Times New Roman"/>
          <w:sz w:val="24"/>
          <w:szCs w:val="24"/>
        </w:rPr>
        <w:t xml:space="preserve"> Because lack used of seeds, banana, chocolate nuts, wheat, dry beans in their diet.</w:t>
      </w:r>
    </w:p>
    <w:p w14:paraId="49D16A15" w14:textId="77777777" w:rsidR="007730D3" w:rsidRDefault="007730D3" w:rsidP="007730D3">
      <w:pPr>
        <w:spacing w:line="360" w:lineRule="auto"/>
        <w:jc w:val="both"/>
        <w:rPr>
          <w:rFonts w:ascii="Times New Roman" w:hAnsi="Times New Roman" w:cs="Times New Roman"/>
          <w:b/>
          <w:sz w:val="24"/>
          <w:szCs w:val="24"/>
        </w:rPr>
      </w:pPr>
    </w:p>
    <w:p w14:paraId="01DF7AA7" w14:textId="77777777" w:rsidR="007730D3" w:rsidRPr="00EC0196" w:rsidRDefault="007730D3" w:rsidP="007730D3">
      <w:pPr>
        <w:spacing w:line="360" w:lineRule="auto"/>
        <w:jc w:val="both"/>
        <w:rPr>
          <w:rFonts w:ascii="Times New Roman" w:hAnsi="Times New Roman" w:cs="Times New Roman"/>
          <w:sz w:val="24"/>
          <w:szCs w:val="24"/>
        </w:rPr>
      </w:pPr>
      <w:r w:rsidRPr="00836206">
        <w:rPr>
          <w:rFonts w:ascii="Times New Roman" w:hAnsi="Times New Roman" w:cs="Times New Roman"/>
          <w:b/>
          <w:sz w:val="24"/>
          <w:szCs w:val="24"/>
        </w:rPr>
        <w:t>Table: 4.9.7 Distribution of respondents according to zinc requirement.</w:t>
      </w:r>
    </w:p>
    <w:tbl>
      <w:tblPr>
        <w:tblStyle w:val="TableGrid"/>
        <w:tblW w:w="5000" w:type="pct"/>
        <w:tblLook w:val="04A0" w:firstRow="1" w:lastRow="0" w:firstColumn="1" w:lastColumn="0" w:noHBand="0" w:noVBand="1"/>
      </w:tblPr>
      <w:tblGrid>
        <w:gridCol w:w="1373"/>
        <w:gridCol w:w="1245"/>
        <w:gridCol w:w="1118"/>
        <w:gridCol w:w="1243"/>
        <w:gridCol w:w="2082"/>
        <w:gridCol w:w="1174"/>
        <w:gridCol w:w="1341"/>
      </w:tblGrid>
      <w:tr w:rsidR="007730D3" w:rsidRPr="001F7A8F" w14:paraId="0EA05D5D"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11608"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67280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Zn (mg</w:t>
            </w:r>
            <w:r>
              <w:rPr>
                <w:rFonts w:ascii="Times New Roman" w:hAnsi="Times New Roman" w:cs="Times New Roman"/>
                <w:b/>
                <w:sz w:val="24"/>
                <w:szCs w:val="24"/>
              </w:rPr>
              <w:t>/ 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8179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D134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88EF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B78ABE8"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A79E6"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3407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D4C9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FB5D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EC38F" w14:textId="77777777" w:rsidR="007730D3" w:rsidRPr="001F7A8F" w:rsidRDefault="007730D3" w:rsidP="00A108F4">
            <w:pPr>
              <w:spacing w:line="360" w:lineRule="auto"/>
              <w:jc w:val="center"/>
              <w:rPr>
                <w:rFonts w:ascii="Times New Roman" w:hAnsi="Times New Roman" w:cs="Times New Roman"/>
                <w:b/>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0F402"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DA6E6"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48E7829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7D8C5"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F3D03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6.0</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878ED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80C0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14</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539D2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-57.1</w:t>
            </w:r>
          </w:p>
        </w:tc>
        <w:tc>
          <w:tcPr>
            <w:tcW w:w="61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C13F2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0.816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1A94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&gt;0.05</w:t>
            </w:r>
          </w:p>
        </w:tc>
      </w:tr>
      <w:tr w:rsidR="007730D3" w:rsidRPr="001F7A8F" w14:paraId="1E9A766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89185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6D03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5.8</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1F94E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9FDBC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BF18D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-47.3</w:t>
            </w: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7D442"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6A2A5"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54A66A5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CF475"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AF855"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5.9</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15A7D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4266B"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D2858E" w14:textId="77777777" w:rsidR="007730D3" w:rsidRPr="001F7A8F" w:rsidRDefault="007730D3" w:rsidP="00A108F4">
            <w:pPr>
              <w:spacing w:line="360" w:lineRule="auto"/>
              <w:jc w:val="center"/>
              <w:rPr>
                <w:rFonts w:ascii="Times New Roman" w:hAnsi="Times New Roman" w:cs="Times New Roman"/>
                <w:sz w:val="24"/>
                <w:szCs w:val="24"/>
              </w:rPr>
            </w:pPr>
          </w:p>
        </w:tc>
        <w:tc>
          <w:tcPr>
            <w:tcW w:w="61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5A524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1368C1" w14:textId="77777777" w:rsidR="007730D3" w:rsidRPr="001F7A8F" w:rsidRDefault="007730D3" w:rsidP="00A108F4">
            <w:pPr>
              <w:spacing w:line="360" w:lineRule="auto"/>
              <w:jc w:val="both"/>
              <w:rPr>
                <w:rFonts w:ascii="Times New Roman" w:hAnsi="Times New Roman" w:cs="Times New Roman"/>
                <w:sz w:val="24"/>
                <w:szCs w:val="24"/>
              </w:rPr>
            </w:pPr>
          </w:p>
        </w:tc>
      </w:tr>
    </w:tbl>
    <w:p w14:paraId="0F4B38BF" w14:textId="77777777" w:rsidR="007730D3" w:rsidRPr="001F7A8F" w:rsidRDefault="007730D3" w:rsidP="007730D3">
      <w:pPr>
        <w:spacing w:line="360" w:lineRule="auto"/>
        <w:jc w:val="both"/>
        <w:rPr>
          <w:rFonts w:ascii="Times New Roman" w:hAnsi="Times New Roman" w:cs="Times New Roman"/>
          <w:sz w:val="24"/>
          <w:szCs w:val="24"/>
        </w:rPr>
      </w:pPr>
    </w:p>
    <w:p w14:paraId="53CCAB63"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Table 4.9.7 </w:t>
      </w:r>
      <w:r>
        <w:rPr>
          <w:rFonts w:ascii="Times New Roman" w:hAnsi="Times New Roman" w:cs="Times New Roman"/>
          <w:sz w:val="24"/>
          <w:szCs w:val="24"/>
        </w:rPr>
        <w:t xml:space="preserve">reveals that </w:t>
      </w:r>
      <w:r w:rsidRPr="001F7A8F">
        <w:rPr>
          <w:rFonts w:ascii="Times New Roman" w:hAnsi="Times New Roman" w:cs="Times New Roman"/>
          <w:sz w:val="24"/>
          <w:szCs w:val="24"/>
        </w:rPr>
        <w:t xml:space="preserve">distribution of respondents according to zinc requirement, male respondents average  zinc intake 6.0 mg which found to be deficient from RDA 57.1 per cent </w:t>
      </w:r>
      <w:r w:rsidRPr="001F7A8F">
        <w:rPr>
          <w:rFonts w:ascii="Times New Roman" w:hAnsi="Times New Roman" w:cs="Times New Roman"/>
          <w:sz w:val="24"/>
          <w:szCs w:val="24"/>
        </w:rPr>
        <w:lastRenderedPageBreak/>
        <w:t>whereas in female respondents average zinc intake 5.8mg also shows deficient 47.3  per cent a non-significant difference of mean between male and female respondents in zinc intake observed statistically non-significant at less than 5 per cent probability level.</w:t>
      </w:r>
      <w:r>
        <w:rPr>
          <w:rFonts w:ascii="Times New Roman" w:hAnsi="Times New Roman" w:cs="Times New Roman"/>
          <w:sz w:val="24"/>
          <w:szCs w:val="24"/>
        </w:rPr>
        <w:t xml:space="preserve"> Because lack used of dairy products, egg, meats, cereals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 their diet.</w:t>
      </w:r>
    </w:p>
    <w:p w14:paraId="6DD7D10D"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4.9.8 Distribution of respondents according to vitamin ‘A’ requirement.</w:t>
      </w:r>
    </w:p>
    <w:tbl>
      <w:tblPr>
        <w:tblStyle w:val="TableGrid"/>
        <w:tblW w:w="5000" w:type="pct"/>
        <w:tblLook w:val="04A0" w:firstRow="1" w:lastRow="0" w:firstColumn="1" w:lastColumn="0" w:noHBand="0" w:noVBand="1"/>
      </w:tblPr>
      <w:tblGrid>
        <w:gridCol w:w="1374"/>
        <w:gridCol w:w="1243"/>
        <w:gridCol w:w="1117"/>
        <w:gridCol w:w="1241"/>
        <w:gridCol w:w="2080"/>
        <w:gridCol w:w="1180"/>
        <w:gridCol w:w="1341"/>
      </w:tblGrid>
      <w:tr w:rsidR="007730D3" w:rsidRPr="001F7A8F" w14:paraId="43621EFF"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7BC2A2"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E66B56"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Vitamin </w:t>
            </w:r>
            <w:r w:rsidRPr="001F7A8F">
              <w:rPr>
                <w:rFonts w:ascii="Times New Roman" w:hAnsi="Times New Roman" w:cs="Times New Roman"/>
                <w:b/>
                <w:sz w:val="24"/>
                <w:szCs w:val="24"/>
              </w:rPr>
              <w:t>A (</w:t>
            </w:r>
            <w:r w:rsidRPr="001F7A8F">
              <w:rPr>
                <w:rFonts w:ascii="Times New Roman" w:hAnsi="Times New Roman" w:cs="Times New Roman"/>
                <w:sz w:val="24"/>
                <w:szCs w:val="24"/>
              </w:rPr>
              <w:t>µ</w:t>
            </w:r>
            <w:r w:rsidRPr="001F7A8F">
              <w:rPr>
                <w:rFonts w:ascii="Times New Roman" w:hAnsi="Times New Roman" w:cs="Times New Roman"/>
                <w:b/>
                <w:sz w:val="24"/>
                <w:szCs w:val="24"/>
              </w:rPr>
              <w:t>g</w:t>
            </w:r>
            <w:r>
              <w:rPr>
                <w:rFonts w:ascii="Times New Roman" w:hAnsi="Times New Roman" w:cs="Times New Roman"/>
                <w:b/>
                <w:sz w:val="24"/>
                <w:szCs w:val="24"/>
              </w:rPr>
              <w:t>/ 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B09BB6"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5243F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588E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3C8CC73C"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FA00" w14:textId="77777777" w:rsidR="007730D3" w:rsidRPr="001F7A8F" w:rsidRDefault="007730D3" w:rsidP="00A108F4">
            <w:pPr>
              <w:spacing w:line="360" w:lineRule="auto"/>
              <w:jc w:val="both"/>
              <w:rPr>
                <w:rFonts w:ascii="Times New Roman" w:hAnsi="Times New Roman" w:cs="Times New Roman"/>
                <w:b/>
                <w:sz w:val="24"/>
                <w:szCs w:val="24"/>
              </w:rPr>
            </w:pP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C291E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64958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C9158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4B28A5"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31B8E"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24F9B8"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52172F40"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C415E6"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905E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286.7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B33CD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28.2</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0DA9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460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FBE2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-37.7</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FE24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10.301*</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9538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4A51C6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C7AB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CFF3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215.1</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701E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41.3</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F09B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390</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C6B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-44.8</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8BD45"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20776"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2184E1AD"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3F496D"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0A24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243.8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F5DA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50.7</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8CF45"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470B7"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6516D7"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A0168" w14:textId="77777777" w:rsidR="007730D3" w:rsidRPr="001F7A8F" w:rsidRDefault="007730D3" w:rsidP="00A108F4">
            <w:pPr>
              <w:spacing w:line="360" w:lineRule="auto"/>
              <w:jc w:val="both"/>
              <w:rPr>
                <w:rFonts w:ascii="Times New Roman" w:hAnsi="Times New Roman" w:cs="Times New Roman"/>
                <w:sz w:val="24"/>
                <w:szCs w:val="24"/>
              </w:rPr>
            </w:pPr>
          </w:p>
        </w:tc>
      </w:tr>
    </w:tbl>
    <w:p w14:paraId="01D27D19" w14:textId="77777777" w:rsidR="007730D3" w:rsidRPr="001F7A8F" w:rsidRDefault="007730D3" w:rsidP="007730D3">
      <w:pPr>
        <w:spacing w:line="360" w:lineRule="auto"/>
        <w:jc w:val="both"/>
        <w:rPr>
          <w:rFonts w:ascii="Times New Roman" w:hAnsi="Times New Roman" w:cs="Times New Roman"/>
          <w:sz w:val="24"/>
          <w:szCs w:val="24"/>
        </w:rPr>
      </w:pPr>
    </w:p>
    <w:p w14:paraId="0315D3FE" w14:textId="77777777" w:rsidR="007730D3"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4.9.8 </w:t>
      </w:r>
      <w:r>
        <w:rPr>
          <w:rFonts w:ascii="Times New Roman" w:hAnsi="Times New Roman" w:cs="Times New Roman"/>
          <w:sz w:val="24"/>
          <w:szCs w:val="24"/>
        </w:rPr>
        <w:t xml:space="preserve"> perusal </w:t>
      </w:r>
      <w:r w:rsidRPr="001F7A8F">
        <w:rPr>
          <w:rFonts w:ascii="Times New Roman" w:hAnsi="Times New Roman" w:cs="Times New Roman"/>
          <w:sz w:val="24"/>
          <w:szCs w:val="24"/>
        </w:rPr>
        <w:t xml:space="preserve"> that distribution of  respondents according to  vitamin ‘A’ requirement, male respondents average  vitamin ‘A’ intake 286.7 microgram which found to be deficient from RDA 37.7  per cent whereas in female respondents average vitamin ‘A’ intake 215.1microgram  also shows deficient 44.8 per cent a significant difference of mean between male and female respondents in vitamin ‘A’ intake observed statistically significant at less than 5 per cent probability level.</w:t>
      </w:r>
      <w:r>
        <w:rPr>
          <w:rFonts w:ascii="Times New Roman" w:hAnsi="Times New Roman" w:cs="Times New Roman"/>
          <w:sz w:val="24"/>
          <w:szCs w:val="24"/>
        </w:rPr>
        <w:t xml:space="preserve"> Because lack of nutritional knowledge and improper used of carrot, dark green leafy vegetable, egg, milk and milk product in their diet.</w:t>
      </w:r>
    </w:p>
    <w:p w14:paraId="77727BAF" w14:textId="77777777" w:rsidR="000239BE" w:rsidRPr="001F7A8F" w:rsidRDefault="000239BE" w:rsidP="007730D3">
      <w:pPr>
        <w:spacing w:line="360" w:lineRule="auto"/>
        <w:jc w:val="both"/>
        <w:rPr>
          <w:rFonts w:ascii="Times New Roman" w:hAnsi="Times New Roman" w:cs="Times New Roman"/>
          <w:sz w:val="24"/>
          <w:szCs w:val="24"/>
        </w:rPr>
      </w:pPr>
    </w:p>
    <w:p w14:paraId="7DFFD330" w14:textId="77777777" w:rsidR="007730D3" w:rsidRPr="00836206" w:rsidRDefault="007730D3" w:rsidP="007730D3">
      <w:pPr>
        <w:spacing w:line="360" w:lineRule="auto"/>
        <w:jc w:val="both"/>
        <w:rPr>
          <w:rFonts w:ascii="Times New Roman" w:hAnsi="Times New Roman" w:cs="Times New Roman"/>
          <w:b/>
          <w:sz w:val="24"/>
          <w:szCs w:val="24"/>
        </w:rPr>
      </w:pPr>
      <w:r w:rsidRPr="00836206">
        <w:rPr>
          <w:rFonts w:ascii="Times New Roman" w:hAnsi="Times New Roman" w:cs="Times New Roman"/>
          <w:b/>
          <w:sz w:val="24"/>
          <w:szCs w:val="24"/>
        </w:rPr>
        <w:t>Table: 4.9.9 Distribution of respondents according to thiamine requirement.</w:t>
      </w:r>
    </w:p>
    <w:tbl>
      <w:tblPr>
        <w:tblStyle w:val="TableGrid"/>
        <w:tblW w:w="5000" w:type="pct"/>
        <w:tblLook w:val="04A0" w:firstRow="1" w:lastRow="0" w:firstColumn="1" w:lastColumn="0" w:noHBand="0" w:noVBand="1"/>
      </w:tblPr>
      <w:tblGrid>
        <w:gridCol w:w="1374"/>
        <w:gridCol w:w="1243"/>
        <w:gridCol w:w="1117"/>
        <w:gridCol w:w="1241"/>
        <w:gridCol w:w="2080"/>
        <w:gridCol w:w="1180"/>
        <w:gridCol w:w="1341"/>
      </w:tblGrid>
      <w:tr w:rsidR="007730D3" w:rsidRPr="001F7A8F" w14:paraId="1CBFE8EB"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55E347"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D0AF6"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‘B1’</w:t>
            </w:r>
            <w:r w:rsidRPr="001F7A8F">
              <w:rPr>
                <w:rFonts w:ascii="Times New Roman" w:hAnsi="Times New Roman" w:cs="Times New Roman"/>
                <w:b/>
                <w:sz w:val="24"/>
                <w:szCs w:val="24"/>
              </w:rPr>
              <w:t>(mg</w:t>
            </w:r>
            <w:r>
              <w:rPr>
                <w:rFonts w:ascii="Times New Roman" w:hAnsi="Times New Roman" w:cs="Times New Roman"/>
                <w:b/>
                <w:sz w:val="24"/>
                <w:szCs w:val="24"/>
              </w:rPr>
              <w:t>/day)</w:t>
            </w:r>
          </w:p>
        </w:tc>
        <w:tc>
          <w:tcPr>
            <w:tcW w:w="108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A55FC"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E17D7D"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7EF3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56B99D1B"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57491B" w14:textId="77777777" w:rsidR="007730D3" w:rsidRPr="001F7A8F" w:rsidRDefault="007730D3" w:rsidP="00A108F4">
            <w:pPr>
              <w:spacing w:line="360" w:lineRule="auto"/>
              <w:jc w:val="both"/>
              <w:rPr>
                <w:rFonts w:ascii="Times New Roman" w:hAnsi="Times New Roman" w:cs="Times New Roman"/>
                <w:b/>
                <w:sz w:val="24"/>
                <w:szCs w:val="24"/>
              </w:rPr>
            </w:pP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C3A1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D87C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FECE3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39BD31" w14:textId="77777777" w:rsidR="007730D3" w:rsidRPr="001F7A8F" w:rsidRDefault="007730D3" w:rsidP="00A108F4">
            <w:pPr>
              <w:spacing w:line="360" w:lineRule="auto"/>
              <w:jc w:val="center"/>
              <w:rPr>
                <w:rFonts w:ascii="Times New Roman" w:hAnsi="Times New Roman" w:cs="Times New Roman"/>
                <w:b/>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1BD6E6"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FDDB8"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4DF241C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CF6AB"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FBA2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0.98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4BD8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0.11</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571A8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1F2B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-34.7</w:t>
            </w:r>
          </w:p>
        </w:tc>
        <w:tc>
          <w:tcPr>
            <w:tcW w:w="6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8C3A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13.170*</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786FB"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8B053DB"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2F743"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64C27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0.57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55C7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0.20</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39509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1.4</w:t>
            </w: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D4B6E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-59.3</w:t>
            </w: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86DF0"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E83BB"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844895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DD7D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F3B4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0.73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23E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0.26</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6E665" w14:textId="77777777" w:rsidR="007730D3" w:rsidRPr="001F7A8F" w:rsidRDefault="007730D3" w:rsidP="00A108F4">
            <w:pPr>
              <w:spacing w:line="360" w:lineRule="auto"/>
              <w:jc w:val="center"/>
              <w:rPr>
                <w:rFonts w:ascii="Times New Roman" w:hAnsi="Times New Roman" w:cs="Times New Roman"/>
                <w:sz w:val="24"/>
                <w:szCs w:val="24"/>
              </w:rPr>
            </w:pPr>
          </w:p>
        </w:tc>
        <w:tc>
          <w:tcPr>
            <w:tcW w:w="108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187FC" w14:textId="77777777" w:rsidR="007730D3" w:rsidRPr="001F7A8F" w:rsidRDefault="007730D3" w:rsidP="00A108F4">
            <w:pPr>
              <w:spacing w:line="360" w:lineRule="auto"/>
              <w:jc w:val="center"/>
              <w:rPr>
                <w:rFonts w:ascii="Times New Roman" w:hAnsi="Times New Roman" w:cs="Times New Roman"/>
                <w:sz w:val="24"/>
                <w:szCs w:val="24"/>
              </w:rPr>
            </w:pPr>
          </w:p>
        </w:tc>
        <w:tc>
          <w:tcPr>
            <w:tcW w:w="616"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A997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EA95F" w14:textId="77777777" w:rsidR="007730D3" w:rsidRPr="001F7A8F" w:rsidRDefault="007730D3" w:rsidP="00A108F4">
            <w:pPr>
              <w:spacing w:line="360" w:lineRule="auto"/>
              <w:jc w:val="both"/>
              <w:rPr>
                <w:rFonts w:ascii="Times New Roman" w:hAnsi="Times New Roman" w:cs="Times New Roman"/>
                <w:sz w:val="24"/>
                <w:szCs w:val="24"/>
              </w:rPr>
            </w:pPr>
          </w:p>
        </w:tc>
      </w:tr>
    </w:tbl>
    <w:p w14:paraId="2856852F" w14:textId="77777777" w:rsidR="007730D3" w:rsidRPr="001F7A8F" w:rsidRDefault="007730D3" w:rsidP="007730D3">
      <w:pPr>
        <w:spacing w:line="360" w:lineRule="auto"/>
        <w:jc w:val="both"/>
        <w:rPr>
          <w:rFonts w:ascii="Times New Roman" w:hAnsi="Times New Roman" w:cs="Times New Roman"/>
          <w:sz w:val="24"/>
          <w:szCs w:val="24"/>
        </w:rPr>
      </w:pPr>
    </w:p>
    <w:p w14:paraId="1A403218"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lastRenderedPageBreak/>
        <w:t xml:space="preserve">     Table 4.9.9 </w:t>
      </w:r>
      <w:r>
        <w:rPr>
          <w:rFonts w:ascii="Times New Roman" w:hAnsi="Times New Roman" w:cs="Times New Roman"/>
          <w:sz w:val="24"/>
          <w:szCs w:val="24"/>
        </w:rPr>
        <w:t>reveals</w:t>
      </w:r>
      <w:r w:rsidRPr="001F7A8F">
        <w:rPr>
          <w:rFonts w:ascii="Times New Roman" w:hAnsi="Times New Roman" w:cs="Times New Roman"/>
          <w:sz w:val="24"/>
          <w:szCs w:val="24"/>
        </w:rPr>
        <w:t xml:space="preserve"> that distribution of respondents according to thiamine requirement, male respondents average  vitamin ‘B1’ intake  0.98 mg which found to be deficient from RDA 34.7  per cent whereas in female respondents average vitamin ‘B1’ intake 0.57 mg  also shows deficient 59.0per cent a significant difference of mean between male and female respondents in vitamin ‘B1’ intake observed statistically  significant at less than 5 per cent probability level.</w:t>
      </w:r>
      <w:r>
        <w:rPr>
          <w:rFonts w:ascii="Times New Roman" w:hAnsi="Times New Roman" w:cs="Times New Roman"/>
          <w:sz w:val="24"/>
          <w:szCs w:val="24"/>
        </w:rPr>
        <w:t xml:space="preserve"> Because lack used of peas, banana, orange, bread, liver in their diet.</w:t>
      </w:r>
    </w:p>
    <w:p w14:paraId="2BCE8A47"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t>Table: 4.9.10 Distribution of respondents according to riboflavin requirement.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4CB85CAC"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B8B2E"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71ED4"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w:t>
            </w:r>
            <w:r w:rsidRPr="001F7A8F">
              <w:rPr>
                <w:rFonts w:ascii="Times New Roman" w:hAnsi="Times New Roman" w:cs="Times New Roman"/>
                <w:b/>
                <w:sz w:val="24"/>
                <w:szCs w:val="24"/>
              </w:rPr>
              <w:t>B2</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A690EB"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2626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624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4972C7AE"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814A4"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CAF7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46AE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617BA"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9256C"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5D5475"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7DFD7F"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7DFEB05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3302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C4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0.95</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EB98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0.15</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1969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2.1</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09F69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-54.8</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44F40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8.327*</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2010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24A5702E"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F5C4F"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451BC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0.59</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7ED19"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0.28</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FB45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2.0</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957845"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-70.5</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3B7AD"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A1BB3"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7C99358F"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D597E"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F2D3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0.74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A7376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0.29</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4633F"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04E04"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9DB908"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04FFC" w14:textId="77777777" w:rsidR="007730D3" w:rsidRPr="001F7A8F" w:rsidRDefault="007730D3" w:rsidP="00A108F4">
            <w:pPr>
              <w:spacing w:line="360" w:lineRule="auto"/>
              <w:jc w:val="both"/>
              <w:rPr>
                <w:rFonts w:ascii="Times New Roman" w:hAnsi="Times New Roman" w:cs="Times New Roman"/>
                <w:sz w:val="24"/>
                <w:szCs w:val="24"/>
              </w:rPr>
            </w:pPr>
          </w:p>
        </w:tc>
      </w:tr>
    </w:tbl>
    <w:p w14:paraId="1CA8A5F0" w14:textId="77777777" w:rsidR="007730D3" w:rsidRPr="001F7A8F" w:rsidRDefault="007730D3" w:rsidP="007730D3">
      <w:pPr>
        <w:spacing w:line="360" w:lineRule="auto"/>
        <w:jc w:val="both"/>
        <w:rPr>
          <w:rFonts w:ascii="Times New Roman" w:hAnsi="Times New Roman" w:cs="Times New Roman"/>
          <w:sz w:val="24"/>
          <w:szCs w:val="24"/>
        </w:rPr>
      </w:pPr>
    </w:p>
    <w:p w14:paraId="0CF2ACC0" w14:textId="77777777" w:rsidR="007730D3" w:rsidRPr="001F7A8F" w:rsidRDefault="007730D3" w:rsidP="007730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7A8F">
        <w:rPr>
          <w:rFonts w:ascii="Times New Roman" w:hAnsi="Times New Roman" w:cs="Times New Roman"/>
          <w:sz w:val="24"/>
          <w:szCs w:val="24"/>
        </w:rPr>
        <w:t xml:space="preserve"> Table 4.9.10 </w:t>
      </w:r>
      <w:r>
        <w:rPr>
          <w:rFonts w:ascii="Times New Roman" w:hAnsi="Times New Roman" w:cs="Times New Roman"/>
          <w:sz w:val="24"/>
          <w:szCs w:val="24"/>
        </w:rPr>
        <w:t>shows</w:t>
      </w:r>
      <w:r w:rsidRPr="001F7A8F">
        <w:rPr>
          <w:rFonts w:ascii="Times New Roman" w:hAnsi="Times New Roman" w:cs="Times New Roman"/>
          <w:sz w:val="24"/>
          <w:szCs w:val="24"/>
        </w:rPr>
        <w:t xml:space="preserve"> that distribution of respondents according to riboflavin requirement, male respondents average vitamin ‘B2’ intake 0.95 mg which found to be deficient from RDA 54.8 per cent whereas in female respondents average vitamin ‘B2’ intake 0.59 mg also shows deficient 70.5 per cent a significant difference of mean between male and female respondents in vitamin ‘B2’ intake observed statistically significant at less than 5 per cent probability level.</w:t>
      </w:r>
      <w:r>
        <w:rPr>
          <w:rFonts w:ascii="Times New Roman" w:hAnsi="Times New Roman" w:cs="Times New Roman"/>
          <w:sz w:val="24"/>
          <w:szCs w:val="24"/>
        </w:rPr>
        <w:t xml:space="preserve"> Because lack used of milk, egg, meat, beans, dairy products in their diet.</w:t>
      </w:r>
    </w:p>
    <w:p w14:paraId="54D9FCF1"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49C9966C" w14:textId="77777777" w:rsidR="007730D3" w:rsidRPr="001F7A8F" w:rsidRDefault="007730D3" w:rsidP="007730D3">
      <w:pPr>
        <w:spacing w:line="360" w:lineRule="auto"/>
        <w:jc w:val="both"/>
        <w:rPr>
          <w:rFonts w:ascii="Times New Roman" w:hAnsi="Times New Roman" w:cs="Times New Roman"/>
          <w:sz w:val="24"/>
          <w:szCs w:val="24"/>
        </w:rPr>
      </w:pPr>
      <w:r w:rsidRPr="00F06824">
        <w:rPr>
          <w:rFonts w:ascii="Times New Roman" w:hAnsi="Times New Roman" w:cs="Times New Roman"/>
          <w:b/>
          <w:sz w:val="24"/>
          <w:szCs w:val="24"/>
        </w:rPr>
        <w:lastRenderedPageBreak/>
        <w:t>Table: 4.9.11 Distribution of respondents according to niacin requirement</w:t>
      </w:r>
      <w:r w:rsidRPr="001F7A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095C77E6"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C8426"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869A9E" w14:textId="77777777" w:rsidR="007730D3" w:rsidRPr="001F7A8F" w:rsidRDefault="007730D3" w:rsidP="00A108F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Vitamin ‘</w:t>
            </w:r>
            <w:r w:rsidRPr="001F7A8F">
              <w:rPr>
                <w:rFonts w:ascii="Times New Roman" w:hAnsi="Times New Roman" w:cs="Times New Roman"/>
                <w:b/>
                <w:sz w:val="24"/>
                <w:szCs w:val="24"/>
              </w:rPr>
              <w:t>B3</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6800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B7F38"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DC2AA3"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784396AC"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06D60"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20C5E7"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551A70"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42DA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B7458A"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F3A6FD"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9E219"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11E7C13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F82A29"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76537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6CDDA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1.0</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F952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9B1F6"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-57.3</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7D1E6F"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5.176*</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549A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6C0EEA7C"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EC5F9C"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C841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5.3</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53F53"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5B4E7C"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DEC44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-55.8</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B2B"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26AFC"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66BDE434"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685F2"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4D5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5.8</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DCAD7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7842C"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672EF"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C42AB1"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6A968" w14:textId="77777777" w:rsidR="007730D3" w:rsidRPr="001F7A8F" w:rsidRDefault="007730D3" w:rsidP="00A108F4">
            <w:pPr>
              <w:spacing w:line="360" w:lineRule="auto"/>
              <w:jc w:val="both"/>
              <w:rPr>
                <w:rFonts w:ascii="Times New Roman" w:hAnsi="Times New Roman" w:cs="Times New Roman"/>
                <w:sz w:val="24"/>
                <w:szCs w:val="24"/>
              </w:rPr>
            </w:pPr>
          </w:p>
        </w:tc>
      </w:tr>
    </w:tbl>
    <w:p w14:paraId="1DE88E9C" w14:textId="77777777" w:rsidR="007730D3" w:rsidRPr="001F7A8F" w:rsidRDefault="007730D3" w:rsidP="007730D3">
      <w:pPr>
        <w:spacing w:line="360" w:lineRule="auto"/>
        <w:jc w:val="both"/>
        <w:rPr>
          <w:rFonts w:ascii="Times New Roman" w:hAnsi="Times New Roman" w:cs="Times New Roman"/>
          <w:sz w:val="24"/>
          <w:szCs w:val="24"/>
        </w:rPr>
      </w:pPr>
    </w:p>
    <w:p w14:paraId="7DB3C9D7"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Table 4.9.11 </w:t>
      </w:r>
      <w:r>
        <w:rPr>
          <w:rFonts w:ascii="Times New Roman" w:hAnsi="Times New Roman" w:cs="Times New Roman"/>
          <w:sz w:val="24"/>
          <w:szCs w:val="24"/>
        </w:rPr>
        <w:t xml:space="preserve">indicates </w:t>
      </w:r>
      <w:r w:rsidRPr="001F7A8F">
        <w:rPr>
          <w:rFonts w:ascii="Times New Roman" w:hAnsi="Times New Roman" w:cs="Times New Roman"/>
          <w:sz w:val="24"/>
          <w:szCs w:val="24"/>
        </w:rPr>
        <w:t>that distribution of respondents according to niacin requirement, male</w:t>
      </w:r>
      <w:r>
        <w:rPr>
          <w:rFonts w:ascii="Times New Roman" w:hAnsi="Times New Roman" w:cs="Times New Roman"/>
          <w:sz w:val="24"/>
          <w:szCs w:val="24"/>
        </w:rPr>
        <w:t xml:space="preserve"> respondents average</w:t>
      </w:r>
      <w:r w:rsidRPr="001F7A8F">
        <w:rPr>
          <w:rFonts w:ascii="Times New Roman" w:hAnsi="Times New Roman" w:cs="Times New Roman"/>
          <w:sz w:val="24"/>
          <w:szCs w:val="24"/>
        </w:rPr>
        <w:t xml:space="preserve"> vitamin ‘B3’ intake 6.4 mg which fou</w:t>
      </w:r>
      <w:r>
        <w:rPr>
          <w:rFonts w:ascii="Times New Roman" w:hAnsi="Times New Roman" w:cs="Times New Roman"/>
          <w:sz w:val="24"/>
          <w:szCs w:val="24"/>
        </w:rPr>
        <w:t>nd to be deficient from recommended dietary allowance</w:t>
      </w:r>
      <w:r w:rsidRPr="001F7A8F">
        <w:rPr>
          <w:rFonts w:ascii="Times New Roman" w:hAnsi="Times New Roman" w:cs="Times New Roman"/>
          <w:sz w:val="24"/>
          <w:szCs w:val="24"/>
        </w:rPr>
        <w:t xml:space="preserve"> 57.3 per cent whereas in female respondents average vitamin ‘B3’ intake 5.3 mg also shows deficient 55.8 per cent a significant difference of mean between male and female respondents in vitamin ‘B3’ intake observed statistically significant at less than 5 per cent probability level.</w:t>
      </w:r>
    </w:p>
    <w:p w14:paraId="75532EC5"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t>Table: 4.9.12  Distribution of respondents according to vitamin ‘C’ requirement.</w:t>
      </w:r>
    </w:p>
    <w:tbl>
      <w:tblPr>
        <w:tblStyle w:val="TableGrid"/>
        <w:tblW w:w="5000" w:type="pct"/>
        <w:tblLook w:val="04A0" w:firstRow="1" w:lastRow="0" w:firstColumn="1" w:lastColumn="0" w:noHBand="0" w:noVBand="1"/>
      </w:tblPr>
      <w:tblGrid>
        <w:gridCol w:w="1372"/>
        <w:gridCol w:w="1245"/>
        <w:gridCol w:w="1117"/>
        <w:gridCol w:w="1243"/>
        <w:gridCol w:w="2082"/>
        <w:gridCol w:w="1176"/>
        <w:gridCol w:w="1341"/>
      </w:tblGrid>
      <w:tr w:rsidR="007730D3" w:rsidRPr="001F7A8F" w14:paraId="1A1CB146" w14:textId="77777777" w:rsidTr="00A108F4">
        <w:tc>
          <w:tcPr>
            <w:tcW w:w="71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62A8A" w14:textId="77777777" w:rsidR="007730D3" w:rsidRPr="001F7A8F" w:rsidRDefault="007730D3" w:rsidP="00A108F4">
            <w:pPr>
              <w:spacing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Gender</w:t>
            </w:r>
          </w:p>
        </w:tc>
        <w:tc>
          <w:tcPr>
            <w:tcW w:w="18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0AA40F"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Vit</w:t>
            </w:r>
            <w:r>
              <w:rPr>
                <w:rFonts w:ascii="Times New Roman" w:hAnsi="Times New Roman" w:cs="Times New Roman"/>
                <w:b/>
                <w:sz w:val="24"/>
                <w:szCs w:val="24"/>
              </w:rPr>
              <w:t>amin</w:t>
            </w:r>
            <w:r w:rsidRPr="001F7A8F">
              <w:rPr>
                <w:rFonts w:ascii="Times New Roman" w:hAnsi="Times New Roman" w:cs="Times New Roman"/>
                <w:b/>
                <w:sz w:val="24"/>
                <w:szCs w:val="24"/>
              </w:rPr>
              <w:t xml:space="preserve"> </w:t>
            </w:r>
            <w:r>
              <w:rPr>
                <w:rFonts w:ascii="Times New Roman" w:hAnsi="Times New Roman" w:cs="Times New Roman"/>
                <w:b/>
                <w:sz w:val="24"/>
                <w:szCs w:val="24"/>
              </w:rPr>
              <w:t>‘</w:t>
            </w:r>
            <w:r w:rsidRPr="001F7A8F">
              <w:rPr>
                <w:rFonts w:ascii="Times New Roman" w:hAnsi="Times New Roman" w:cs="Times New Roman"/>
                <w:b/>
                <w:sz w:val="24"/>
                <w:szCs w:val="24"/>
              </w:rPr>
              <w:t>C</w:t>
            </w:r>
            <w:r>
              <w:rPr>
                <w:rFonts w:ascii="Times New Roman" w:hAnsi="Times New Roman" w:cs="Times New Roman"/>
                <w:b/>
                <w:sz w:val="24"/>
                <w:szCs w:val="24"/>
              </w:rPr>
              <w:t>’</w:t>
            </w:r>
            <w:r w:rsidRPr="001F7A8F">
              <w:rPr>
                <w:rFonts w:ascii="Times New Roman" w:hAnsi="Times New Roman" w:cs="Times New Roman"/>
                <w:b/>
                <w:sz w:val="24"/>
                <w:szCs w:val="24"/>
              </w:rPr>
              <w:t xml:space="preserve"> (mg</w:t>
            </w:r>
            <w:r>
              <w:rPr>
                <w:rFonts w:ascii="Times New Roman" w:hAnsi="Times New Roman" w:cs="Times New Roman"/>
                <w:b/>
                <w:sz w:val="24"/>
                <w:szCs w:val="24"/>
              </w:rPr>
              <w:t>/day)</w:t>
            </w:r>
          </w:p>
        </w:tc>
        <w:tc>
          <w:tcPr>
            <w:tcW w:w="108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44A891"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Deficit/Increase</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03A9B5"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Z test</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22ED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Significant level</w:t>
            </w:r>
          </w:p>
        </w:tc>
      </w:tr>
      <w:tr w:rsidR="007730D3" w:rsidRPr="001F7A8F" w14:paraId="755FD9ED" w14:textId="77777777" w:rsidTr="00A108F4">
        <w:tc>
          <w:tcPr>
            <w:tcW w:w="71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C98DDD" w14:textId="77777777" w:rsidR="007730D3" w:rsidRPr="001F7A8F" w:rsidRDefault="007730D3" w:rsidP="00A108F4">
            <w:pPr>
              <w:spacing w:line="360" w:lineRule="auto"/>
              <w:jc w:val="both"/>
              <w:rPr>
                <w:rFonts w:ascii="Times New Roman" w:hAnsi="Times New Roman" w:cs="Times New Roman"/>
                <w:b/>
                <w:sz w:val="24"/>
                <w:szCs w:val="24"/>
              </w:rPr>
            </w:pP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44369"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Mean</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AACABE"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S.D.</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0AC52" w14:textId="77777777" w:rsidR="007730D3" w:rsidRPr="001F7A8F" w:rsidRDefault="007730D3" w:rsidP="00A108F4">
            <w:pPr>
              <w:spacing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RDA</w:t>
            </w:r>
          </w:p>
        </w:tc>
        <w:tc>
          <w:tcPr>
            <w:tcW w:w="108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4FA2B3" w14:textId="77777777" w:rsidR="007730D3" w:rsidRPr="001F7A8F" w:rsidRDefault="007730D3" w:rsidP="00A108F4">
            <w:pPr>
              <w:spacing w:line="360" w:lineRule="auto"/>
              <w:jc w:val="center"/>
              <w:rPr>
                <w:rFonts w:ascii="Times New Roman" w:hAnsi="Times New Roman" w:cs="Times New Roman"/>
                <w:b/>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218FDC" w14:textId="77777777" w:rsidR="007730D3" w:rsidRPr="001F7A8F" w:rsidRDefault="007730D3" w:rsidP="00A108F4">
            <w:pPr>
              <w:spacing w:line="360" w:lineRule="auto"/>
              <w:jc w:val="center"/>
              <w:rPr>
                <w:rFonts w:ascii="Times New Roman" w:hAnsi="Times New Roman" w:cs="Times New Roman"/>
                <w:b/>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98B4E0" w14:textId="77777777" w:rsidR="007730D3" w:rsidRPr="001F7A8F" w:rsidRDefault="007730D3" w:rsidP="00A108F4">
            <w:pPr>
              <w:spacing w:line="360" w:lineRule="auto"/>
              <w:jc w:val="center"/>
              <w:rPr>
                <w:rFonts w:ascii="Times New Roman" w:hAnsi="Times New Roman" w:cs="Times New Roman"/>
                <w:b/>
                <w:sz w:val="24"/>
                <w:szCs w:val="24"/>
              </w:rPr>
            </w:pPr>
          </w:p>
        </w:tc>
      </w:tr>
      <w:tr w:rsidR="007730D3" w:rsidRPr="001F7A8F" w14:paraId="21DD0519"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85028"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80080"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27.4</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E7EC9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6.7</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D3321"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65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4F57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-57.8</w:t>
            </w:r>
          </w:p>
        </w:tc>
        <w:tc>
          <w:tcPr>
            <w:tcW w:w="61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CA5972"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3.109*</w:t>
            </w:r>
          </w:p>
        </w:tc>
        <w:tc>
          <w:tcPr>
            <w:tcW w:w="70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64334"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&lt;0.05</w:t>
            </w:r>
          </w:p>
        </w:tc>
      </w:tr>
      <w:tr w:rsidR="007730D3" w:rsidRPr="001F7A8F" w14:paraId="3CCFD193"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9567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Female</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15F607"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23.7</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C6798"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4.2</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6F387D"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55</w:t>
            </w: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7006E"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-56.9</w:t>
            </w: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860D0"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6F848" w14:textId="77777777" w:rsidR="007730D3" w:rsidRPr="001F7A8F" w:rsidRDefault="007730D3" w:rsidP="00A108F4">
            <w:pPr>
              <w:spacing w:line="360" w:lineRule="auto"/>
              <w:jc w:val="both"/>
              <w:rPr>
                <w:rFonts w:ascii="Times New Roman" w:hAnsi="Times New Roman" w:cs="Times New Roman"/>
                <w:sz w:val="24"/>
                <w:szCs w:val="24"/>
              </w:rPr>
            </w:pPr>
          </w:p>
        </w:tc>
      </w:tr>
      <w:tr w:rsidR="007730D3" w:rsidRPr="001F7A8F" w14:paraId="1BC4FDC6" w14:textId="77777777" w:rsidTr="00A108F4">
        <w:tc>
          <w:tcPr>
            <w:tcW w:w="7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7D211" w14:textId="77777777" w:rsidR="007730D3" w:rsidRPr="001F7A8F" w:rsidRDefault="007730D3" w:rsidP="00A108F4">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Total</w:t>
            </w:r>
          </w:p>
        </w:tc>
        <w:tc>
          <w:tcPr>
            <w:tcW w:w="6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328B9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25.2</w:t>
            </w:r>
          </w:p>
        </w:tc>
        <w:tc>
          <w:tcPr>
            <w:tcW w:w="5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259FA" w14:textId="77777777" w:rsidR="007730D3" w:rsidRPr="001F7A8F" w:rsidRDefault="007730D3" w:rsidP="00A108F4">
            <w:pPr>
              <w:spacing w:line="360" w:lineRule="auto"/>
              <w:jc w:val="center"/>
              <w:rPr>
                <w:rFonts w:ascii="Times New Roman" w:hAnsi="Times New Roman" w:cs="Times New Roman"/>
                <w:sz w:val="24"/>
                <w:szCs w:val="24"/>
              </w:rPr>
            </w:pPr>
            <w:r w:rsidRPr="001F7A8F">
              <w:rPr>
                <w:rFonts w:ascii="Times New Roman" w:hAnsi="Times New Roman" w:cs="Times New Roman"/>
                <w:sz w:val="24"/>
                <w:szCs w:val="24"/>
              </w:rPr>
              <w:t>5.6</w:t>
            </w:r>
          </w:p>
        </w:tc>
        <w:tc>
          <w:tcPr>
            <w:tcW w:w="6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2AD27" w14:textId="77777777" w:rsidR="007730D3" w:rsidRPr="001F7A8F" w:rsidRDefault="007730D3" w:rsidP="00A108F4">
            <w:pPr>
              <w:spacing w:line="360" w:lineRule="auto"/>
              <w:jc w:val="center"/>
              <w:rPr>
                <w:rFonts w:ascii="Times New Roman" w:hAnsi="Times New Roman" w:cs="Times New Roman"/>
                <w:sz w:val="24"/>
                <w:szCs w:val="24"/>
              </w:rPr>
            </w:pPr>
          </w:p>
        </w:tc>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98936" w14:textId="77777777" w:rsidR="007730D3" w:rsidRPr="001F7A8F" w:rsidRDefault="007730D3" w:rsidP="00A108F4">
            <w:pPr>
              <w:spacing w:line="360" w:lineRule="auto"/>
              <w:jc w:val="center"/>
              <w:rPr>
                <w:rFonts w:ascii="Times New Roman" w:hAnsi="Times New Roman" w:cs="Times New Roman"/>
                <w:sz w:val="24"/>
                <w:szCs w:val="24"/>
              </w:rPr>
            </w:pPr>
          </w:p>
        </w:tc>
        <w:tc>
          <w:tcPr>
            <w:tcW w:w="614"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B1A081" w14:textId="77777777" w:rsidR="007730D3" w:rsidRPr="001F7A8F" w:rsidRDefault="007730D3" w:rsidP="00A108F4">
            <w:pPr>
              <w:spacing w:line="360" w:lineRule="auto"/>
              <w:jc w:val="both"/>
              <w:rPr>
                <w:rFonts w:ascii="Times New Roman" w:hAnsi="Times New Roman" w:cs="Times New Roman"/>
                <w:sz w:val="24"/>
                <w:szCs w:val="24"/>
              </w:rPr>
            </w:pPr>
          </w:p>
        </w:tc>
        <w:tc>
          <w:tcPr>
            <w:tcW w:w="700"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673E12" w14:textId="77777777" w:rsidR="007730D3" w:rsidRPr="001F7A8F" w:rsidRDefault="007730D3" w:rsidP="00A108F4">
            <w:pPr>
              <w:spacing w:line="360" w:lineRule="auto"/>
              <w:jc w:val="both"/>
              <w:rPr>
                <w:rFonts w:ascii="Times New Roman" w:hAnsi="Times New Roman" w:cs="Times New Roman"/>
                <w:sz w:val="24"/>
                <w:szCs w:val="24"/>
              </w:rPr>
            </w:pPr>
          </w:p>
        </w:tc>
      </w:tr>
    </w:tbl>
    <w:p w14:paraId="6F486879" w14:textId="77777777" w:rsidR="007730D3" w:rsidRPr="001F7A8F" w:rsidRDefault="007730D3" w:rsidP="007730D3">
      <w:pPr>
        <w:spacing w:line="360" w:lineRule="auto"/>
        <w:jc w:val="both"/>
        <w:rPr>
          <w:rFonts w:ascii="Times New Roman" w:hAnsi="Times New Roman" w:cs="Times New Roman"/>
          <w:sz w:val="24"/>
          <w:szCs w:val="24"/>
        </w:rPr>
      </w:pPr>
    </w:p>
    <w:p w14:paraId="47DCD81A" w14:textId="77777777" w:rsidR="007730D3" w:rsidRPr="001F7A8F" w:rsidRDefault="007730D3" w:rsidP="007730D3">
      <w:pPr>
        <w:spacing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w:t>
      </w:r>
      <w:r>
        <w:rPr>
          <w:rFonts w:ascii="Times New Roman" w:hAnsi="Times New Roman" w:cs="Times New Roman"/>
          <w:sz w:val="24"/>
          <w:szCs w:val="24"/>
        </w:rPr>
        <w:t>Table 4.9.12 depicts</w:t>
      </w:r>
      <w:r w:rsidRPr="001F7A8F">
        <w:rPr>
          <w:rFonts w:ascii="Times New Roman" w:hAnsi="Times New Roman" w:cs="Times New Roman"/>
          <w:sz w:val="24"/>
          <w:szCs w:val="24"/>
        </w:rPr>
        <w:t xml:space="preserve"> </w:t>
      </w:r>
      <w:r>
        <w:rPr>
          <w:rFonts w:ascii="Times New Roman" w:hAnsi="Times New Roman" w:cs="Times New Roman"/>
          <w:sz w:val="24"/>
          <w:szCs w:val="24"/>
        </w:rPr>
        <w:t>that distribution of</w:t>
      </w:r>
      <w:r w:rsidRPr="001F7A8F">
        <w:rPr>
          <w:rFonts w:ascii="Times New Roman" w:hAnsi="Times New Roman" w:cs="Times New Roman"/>
          <w:sz w:val="24"/>
          <w:szCs w:val="24"/>
        </w:rPr>
        <w:t xml:space="preserve"> respondents according to vitamin ‘C’ requirement, male respondents average  vitamin ‘C’ intake 27.4 mg  which found to be deficient from RDA 57.8 per cent whereas in female respondents average vitamin ‘C’ intake 23.7 mg  also shows deficient 56.9 per cent a significant difference of mean between male and female respondents in vitamin ‘C’ intake observed statistically significant at less than 5 per cent probability level.</w:t>
      </w:r>
      <w:r>
        <w:rPr>
          <w:rFonts w:ascii="Times New Roman" w:hAnsi="Times New Roman" w:cs="Times New Roman"/>
          <w:sz w:val="24"/>
          <w:szCs w:val="24"/>
        </w:rPr>
        <w:t xml:space="preserve"> Because improper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aonla</w:t>
      </w:r>
      <w:proofErr w:type="spellEnd"/>
      <w:r>
        <w:rPr>
          <w:rFonts w:ascii="Times New Roman" w:hAnsi="Times New Roman" w:cs="Times New Roman"/>
          <w:sz w:val="24"/>
          <w:szCs w:val="24"/>
        </w:rPr>
        <w:t>, citrus fruits, orange, strawberries, broccoli in their diet.</w:t>
      </w:r>
    </w:p>
    <w:p w14:paraId="7E5B37E1"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0C7BBC29" w14:textId="77777777" w:rsidR="007730D3" w:rsidRPr="00F06824" w:rsidRDefault="007730D3" w:rsidP="007730D3">
      <w:pPr>
        <w:spacing w:line="360" w:lineRule="auto"/>
        <w:jc w:val="both"/>
        <w:rPr>
          <w:rFonts w:ascii="Times New Roman" w:hAnsi="Times New Roman" w:cs="Times New Roman"/>
          <w:b/>
          <w:sz w:val="24"/>
          <w:szCs w:val="24"/>
        </w:rPr>
      </w:pPr>
      <w:r w:rsidRPr="00F06824">
        <w:rPr>
          <w:rFonts w:ascii="Times New Roman" w:hAnsi="Times New Roman" w:cs="Times New Roman"/>
          <w:b/>
          <w:sz w:val="24"/>
          <w:szCs w:val="24"/>
        </w:rPr>
        <w:lastRenderedPageBreak/>
        <w:t>Table:</w:t>
      </w:r>
      <w:r>
        <w:rPr>
          <w:rFonts w:ascii="Times New Roman" w:hAnsi="Times New Roman" w:cs="Times New Roman"/>
          <w:b/>
          <w:sz w:val="24"/>
          <w:szCs w:val="24"/>
        </w:rPr>
        <w:t xml:space="preserve"> 4.9.2  C</w:t>
      </w:r>
      <w:r w:rsidRPr="00F06824">
        <w:rPr>
          <w:rFonts w:ascii="Times New Roman" w:hAnsi="Times New Roman" w:cs="Times New Roman"/>
          <w:b/>
          <w:sz w:val="24"/>
          <w:szCs w:val="24"/>
        </w:rPr>
        <w:t>orrelation coefficient</w:t>
      </w:r>
      <w:r>
        <w:rPr>
          <w:rFonts w:ascii="Times New Roman" w:hAnsi="Times New Roman" w:cs="Times New Roman"/>
          <w:b/>
          <w:sz w:val="24"/>
          <w:szCs w:val="24"/>
        </w:rPr>
        <w:t xml:space="preserve"> between nutrients intake of the respondents and their age group and monthly income.</w:t>
      </w:r>
    </w:p>
    <w:tbl>
      <w:tblPr>
        <w:tblStyle w:val="TableGrid"/>
        <w:tblW w:w="5000" w:type="pct"/>
        <w:tblLook w:val="04A0" w:firstRow="1" w:lastRow="0" w:firstColumn="1" w:lastColumn="0" w:noHBand="0" w:noVBand="1"/>
      </w:tblPr>
      <w:tblGrid>
        <w:gridCol w:w="1260"/>
        <w:gridCol w:w="3654"/>
        <w:gridCol w:w="2394"/>
        <w:gridCol w:w="2268"/>
      </w:tblGrid>
      <w:tr w:rsidR="007730D3" w:rsidRPr="001F7A8F" w14:paraId="3AD08E3F" w14:textId="77777777" w:rsidTr="00A108F4">
        <w:tc>
          <w:tcPr>
            <w:tcW w:w="6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E2978"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S. No.</w:t>
            </w:r>
          </w:p>
        </w:tc>
        <w:tc>
          <w:tcPr>
            <w:tcW w:w="190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99964" w14:textId="77777777" w:rsidR="007730D3" w:rsidRPr="001F7A8F" w:rsidRDefault="007730D3" w:rsidP="00A108F4">
            <w:pPr>
              <w:spacing w:after="120" w:line="360" w:lineRule="auto"/>
              <w:jc w:val="both"/>
              <w:rPr>
                <w:rFonts w:ascii="Times New Roman" w:hAnsi="Times New Roman" w:cs="Times New Roman"/>
                <w:b/>
                <w:sz w:val="24"/>
                <w:szCs w:val="24"/>
              </w:rPr>
            </w:pPr>
            <w:r w:rsidRPr="001F7A8F">
              <w:rPr>
                <w:rFonts w:ascii="Times New Roman" w:hAnsi="Times New Roman" w:cs="Times New Roman"/>
                <w:b/>
                <w:sz w:val="24"/>
                <w:szCs w:val="24"/>
              </w:rPr>
              <w:t>Nutrients intake</w:t>
            </w:r>
          </w:p>
        </w:tc>
        <w:tc>
          <w:tcPr>
            <w:tcW w:w="243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3E5F07"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Correlation coefficient</w:t>
            </w:r>
          </w:p>
        </w:tc>
      </w:tr>
      <w:tr w:rsidR="007730D3" w:rsidRPr="001F7A8F" w14:paraId="6803BDD9" w14:textId="77777777" w:rsidTr="00A108F4">
        <w:tc>
          <w:tcPr>
            <w:tcW w:w="65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DE6B8" w14:textId="77777777" w:rsidR="007730D3" w:rsidRPr="001F7A8F" w:rsidRDefault="007730D3" w:rsidP="00A108F4">
            <w:pPr>
              <w:spacing w:after="120" w:line="360" w:lineRule="auto"/>
              <w:jc w:val="center"/>
              <w:rPr>
                <w:rFonts w:ascii="Times New Roman" w:hAnsi="Times New Roman" w:cs="Times New Roman"/>
                <w:b/>
                <w:sz w:val="24"/>
                <w:szCs w:val="24"/>
              </w:rPr>
            </w:pPr>
          </w:p>
        </w:tc>
        <w:tc>
          <w:tcPr>
            <w:tcW w:w="190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B906E5" w14:textId="77777777" w:rsidR="007730D3" w:rsidRPr="001F7A8F" w:rsidRDefault="007730D3" w:rsidP="00A108F4">
            <w:pPr>
              <w:spacing w:after="120" w:line="360" w:lineRule="auto"/>
              <w:jc w:val="both"/>
              <w:rPr>
                <w:rFonts w:ascii="Times New Roman" w:hAnsi="Times New Roman" w:cs="Times New Roman"/>
                <w:b/>
                <w:sz w:val="24"/>
                <w:szCs w:val="24"/>
              </w:rPr>
            </w:pP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A6852"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Age group</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90BF32" w14:textId="77777777" w:rsidR="007730D3" w:rsidRPr="001F7A8F" w:rsidRDefault="007730D3" w:rsidP="00A108F4">
            <w:pPr>
              <w:spacing w:after="120" w:line="360" w:lineRule="auto"/>
              <w:jc w:val="center"/>
              <w:rPr>
                <w:rFonts w:ascii="Times New Roman" w:hAnsi="Times New Roman" w:cs="Times New Roman"/>
                <w:b/>
                <w:sz w:val="24"/>
                <w:szCs w:val="24"/>
              </w:rPr>
            </w:pPr>
            <w:r w:rsidRPr="001F7A8F">
              <w:rPr>
                <w:rFonts w:ascii="Times New Roman" w:hAnsi="Times New Roman" w:cs="Times New Roman"/>
                <w:b/>
                <w:sz w:val="24"/>
                <w:szCs w:val="24"/>
              </w:rPr>
              <w:t>Monthly Income</w:t>
            </w:r>
          </w:p>
        </w:tc>
      </w:tr>
      <w:tr w:rsidR="007730D3" w:rsidRPr="001F7A8F" w14:paraId="6F47296A"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7221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04D581" w14:textId="77777777" w:rsidR="007730D3" w:rsidRPr="001F7A8F" w:rsidRDefault="007730D3" w:rsidP="00A108F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Energy (K</w:t>
            </w:r>
            <w:r w:rsidRPr="001F7A8F">
              <w:rPr>
                <w:rFonts w:ascii="Times New Roman" w:hAnsi="Times New Roman" w:cs="Times New Roman"/>
                <w:sz w:val="24"/>
                <w:szCs w:val="24"/>
              </w:rPr>
              <w:t>ca</w:t>
            </w:r>
            <w:r>
              <w:rPr>
                <w:rFonts w:ascii="Times New Roman" w:hAnsi="Times New Roman" w:cs="Times New Roman"/>
                <w:sz w:val="24"/>
                <w:szCs w:val="24"/>
              </w:rPr>
              <w:t>l/day)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7F926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-0.1160</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03969"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0.1201</w:t>
            </w:r>
          </w:p>
        </w:tc>
      </w:tr>
      <w:tr w:rsidR="007730D3" w:rsidRPr="001F7A8F" w14:paraId="76FC812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0CB129"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2.</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5381A"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Protein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61ED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-0.1884</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A702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0.1387</w:t>
            </w:r>
          </w:p>
        </w:tc>
      </w:tr>
      <w:tr w:rsidR="007730D3" w:rsidRPr="001F7A8F" w14:paraId="05CB26D6"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35C8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3.</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30A8A4"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Fat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26502"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-0.0915</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9D7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0.1382</w:t>
            </w:r>
          </w:p>
        </w:tc>
      </w:tr>
      <w:tr w:rsidR="007730D3" w:rsidRPr="001F7A8F" w14:paraId="5D39C5E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9D8248"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4.</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BFA3D"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Ca (g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DC008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-0.0891</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0E0DF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0.1357</w:t>
            </w:r>
          </w:p>
        </w:tc>
      </w:tr>
      <w:tr w:rsidR="007730D3" w:rsidRPr="001F7A8F" w14:paraId="7BEAB3E1"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9B8E3"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5.</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6960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Fe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5B7B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0.1697</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6FF3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02098</w:t>
            </w:r>
          </w:p>
        </w:tc>
      </w:tr>
      <w:tr w:rsidR="007730D3" w:rsidRPr="001F7A8F" w14:paraId="0EAC700B"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03AE27"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6.</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3D1245"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Mg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29D88"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-0.0713</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25AA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0.1981</w:t>
            </w:r>
          </w:p>
        </w:tc>
      </w:tr>
      <w:tr w:rsidR="007730D3" w:rsidRPr="001F7A8F" w14:paraId="2D52D665"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531264"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7.</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5493C"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Zn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78A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0.1721</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73B17"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-0.1241</w:t>
            </w:r>
          </w:p>
        </w:tc>
      </w:tr>
      <w:tr w:rsidR="007730D3" w:rsidRPr="001F7A8F" w14:paraId="2B68F056"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7AFE4"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8.</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23977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 xml:space="preserve"> </w:t>
            </w:r>
            <w:r>
              <w:rPr>
                <w:rFonts w:ascii="Times New Roman" w:hAnsi="Times New Roman" w:cs="Times New Roman"/>
                <w:sz w:val="24"/>
                <w:szCs w:val="24"/>
              </w:rPr>
              <w:t>Vitamin</w:t>
            </w:r>
            <w:r w:rsidRPr="001F7A8F">
              <w:rPr>
                <w:rFonts w:ascii="Times New Roman" w:hAnsi="Times New Roman" w:cs="Times New Roman"/>
                <w:sz w:val="24"/>
                <w:szCs w:val="24"/>
              </w:rPr>
              <w:t xml:space="preserve"> </w:t>
            </w:r>
            <w:r>
              <w:rPr>
                <w:rFonts w:ascii="Times New Roman" w:hAnsi="Times New Roman" w:cs="Times New Roman"/>
                <w:sz w:val="24"/>
                <w:szCs w:val="24"/>
              </w:rPr>
              <w:t>‘</w:t>
            </w:r>
            <w:r w:rsidRPr="001F7A8F">
              <w:rPr>
                <w:rFonts w:ascii="Times New Roman" w:hAnsi="Times New Roman" w:cs="Times New Roman"/>
                <w:sz w:val="24"/>
                <w:szCs w:val="24"/>
              </w:rPr>
              <w:t>A</w:t>
            </w:r>
            <w:r>
              <w:rPr>
                <w:rFonts w:ascii="Times New Roman" w:hAnsi="Times New Roman" w:cs="Times New Roman"/>
                <w:sz w:val="24"/>
                <w:szCs w:val="24"/>
              </w:rPr>
              <w:t>’</w:t>
            </w:r>
            <w:r w:rsidRPr="001F7A8F">
              <w:rPr>
                <w:rFonts w:ascii="Times New Roman" w:hAnsi="Times New Roman" w:cs="Times New Roman"/>
                <w:sz w:val="24"/>
                <w:szCs w:val="24"/>
              </w:rPr>
              <w:t xml:space="preserve"> (µg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5AD2F"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-0.0826</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1A37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0.1412</w:t>
            </w:r>
          </w:p>
        </w:tc>
      </w:tr>
      <w:tr w:rsidR="007730D3" w:rsidRPr="001F7A8F" w14:paraId="23F0CDA2"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8E07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9.</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92607"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Thiamine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4B5E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-0.1729</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262B0"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0.0435</w:t>
            </w:r>
          </w:p>
        </w:tc>
      </w:tr>
      <w:tr w:rsidR="007730D3" w:rsidRPr="001F7A8F" w14:paraId="465C79A7"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D9591"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10.</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FD415"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Riboflavin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825DD"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-0.1593</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01490E"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0.1609</w:t>
            </w:r>
          </w:p>
        </w:tc>
      </w:tr>
      <w:tr w:rsidR="007730D3" w:rsidRPr="001F7A8F" w14:paraId="0D31509F"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3C4CC"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11.</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1AABD"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Niacin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FEC53"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0.1256</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A19E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0.1089</w:t>
            </w:r>
          </w:p>
        </w:tc>
      </w:tr>
      <w:tr w:rsidR="007730D3" w:rsidRPr="001F7A8F" w14:paraId="7358C169" w14:textId="77777777" w:rsidTr="00A108F4">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EAE2B"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12.</w:t>
            </w:r>
          </w:p>
        </w:tc>
        <w:tc>
          <w:tcPr>
            <w:tcW w:w="190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9C6942" w14:textId="77777777" w:rsidR="007730D3" w:rsidRPr="001F7A8F" w:rsidRDefault="007730D3" w:rsidP="00A108F4">
            <w:pPr>
              <w:spacing w:after="120" w:line="360" w:lineRule="auto"/>
              <w:jc w:val="both"/>
              <w:rPr>
                <w:rFonts w:ascii="Times New Roman" w:hAnsi="Times New Roman" w:cs="Times New Roman"/>
                <w:sz w:val="24"/>
                <w:szCs w:val="24"/>
              </w:rPr>
            </w:pPr>
            <w:r w:rsidRPr="001F7A8F">
              <w:rPr>
                <w:rFonts w:ascii="Times New Roman" w:hAnsi="Times New Roman" w:cs="Times New Roman"/>
                <w:sz w:val="24"/>
                <w:szCs w:val="24"/>
              </w:rPr>
              <w:t>Vit</w:t>
            </w:r>
            <w:r>
              <w:rPr>
                <w:rFonts w:ascii="Times New Roman" w:hAnsi="Times New Roman" w:cs="Times New Roman"/>
                <w:sz w:val="24"/>
                <w:szCs w:val="24"/>
              </w:rPr>
              <w:t>amin ‘</w:t>
            </w:r>
            <w:r w:rsidRPr="001F7A8F">
              <w:rPr>
                <w:rFonts w:ascii="Times New Roman" w:hAnsi="Times New Roman" w:cs="Times New Roman"/>
                <w:sz w:val="24"/>
                <w:szCs w:val="24"/>
              </w:rPr>
              <w:t>C</w:t>
            </w:r>
            <w:r>
              <w:rPr>
                <w:rFonts w:ascii="Times New Roman" w:hAnsi="Times New Roman" w:cs="Times New Roman"/>
                <w:sz w:val="24"/>
                <w:szCs w:val="24"/>
              </w:rPr>
              <w:t>’</w:t>
            </w:r>
            <w:r w:rsidRPr="001F7A8F">
              <w:rPr>
                <w:rFonts w:ascii="Times New Roman" w:hAnsi="Times New Roman" w:cs="Times New Roman"/>
                <w:sz w:val="24"/>
                <w:szCs w:val="24"/>
              </w:rPr>
              <w:t xml:space="preserve"> (mg</w:t>
            </w:r>
            <w:r>
              <w:rPr>
                <w:rFonts w:ascii="Times New Roman" w:hAnsi="Times New Roman" w:cs="Times New Roman"/>
                <w:sz w:val="24"/>
                <w:szCs w:val="24"/>
              </w:rPr>
              <w:t>/day)</w:t>
            </w:r>
          </w:p>
        </w:tc>
        <w:tc>
          <w:tcPr>
            <w:tcW w:w="12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EE750"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-0.1394</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7CB5D6" w14:textId="77777777" w:rsidR="007730D3" w:rsidRPr="001F7A8F" w:rsidRDefault="007730D3" w:rsidP="00A108F4">
            <w:pPr>
              <w:spacing w:after="120" w:line="360" w:lineRule="auto"/>
              <w:jc w:val="center"/>
              <w:rPr>
                <w:rFonts w:ascii="Times New Roman" w:hAnsi="Times New Roman" w:cs="Times New Roman"/>
                <w:sz w:val="24"/>
                <w:szCs w:val="24"/>
              </w:rPr>
            </w:pPr>
            <w:r w:rsidRPr="001F7A8F">
              <w:rPr>
                <w:rFonts w:ascii="Times New Roman" w:hAnsi="Times New Roman" w:cs="Times New Roman"/>
                <w:sz w:val="24"/>
                <w:szCs w:val="24"/>
              </w:rPr>
              <w:t>0.2053</w:t>
            </w:r>
          </w:p>
        </w:tc>
      </w:tr>
    </w:tbl>
    <w:p w14:paraId="2F00BDD9" w14:textId="77777777" w:rsidR="007730D3" w:rsidRPr="001F7A8F" w:rsidRDefault="007730D3" w:rsidP="007730D3">
      <w:pPr>
        <w:spacing w:line="360" w:lineRule="auto"/>
        <w:jc w:val="both"/>
        <w:rPr>
          <w:rFonts w:ascii="Times New Roman" w:hAnsi="Times New Roman" w:cs="Times New Roman"/>
          <w:sz w:val="24"/>
          <w:szCs w:val="24"/>
        </w:rPr>
      </w:pPr>
    </w:p>
    <w:p w14:paraId="4A800C77" w14:textId="77777777" w:rsidR="007730D3" w:rsidRDefault="007730D3" w:rsidP="007730D3">
      <w:pPr>
        <w:spacing w:line="360" w:lineRule="auto"/>
        <w:ind w:firstLine="720"/>
        <w:jc w:val="both"/>
        <w:rPr>
          <w:rFonts w:ascii="Times New Roman" w:hAnsi="Times New Roman" w:cs="Times New Roman"/>
          <w:sz w:val="24"/>
          <w:szCs w:val="24"/>
        </w:rPr>
      </w:pPr>
      <w:r w:rsidRPr="001F7A8F">
        <w:rPr>
          <w:rFonts w:ascii="Times New Roman" w:hAnsi="Times New Roman" w:cs="Times New Roman"/>
          <w:sz w:val="24"/>
          <w:szCs w:val="24"/>
        </w:rPr>
        <w:t xml:space="preserve">Table  4.9.2  </w:t>
      </w:r>
      <w:r w:rsidRPr="00C16BA4">
        <w:rPr>
          <w:rFonts w:ascii="Times New Roman" w:hAnsi="Times New Roman" w:cs="Times New Roman"/>
          <w:sz w:val="24"/>
          <w:szCs w:val="24"/>
        </w:rPr>
        <w:t>the data show in table correlation coefficient between nutrients intake and independent variable energy ,protein, fat, magnesium, vitamin ’A’, vitamin ‘B1’, vitamin ‘B2’ and vitamin ‘C’ negatively correlated with age of the respondents at 5.0 per cent level hence according to age of the respondents such nutrients intake decreases statistically whereas  iron, zinc , niacin was found to positive correlated with age group of the respondents. Monthly income positive correlated with energy, protein, fat at 5.0 per cent and level and vitamin ‘C’ significantly correlated with income of the respondents.</w:t>
      </w:r>
    </w:p>
    <w:p w14:paraId="2D6B1AE1" w14:textId="77777777" w:rsidR="00524350" w:rsidRPr="00C16BA4" w:rsidRDefault="00524350" w:rsidP="007730D3">
      <w:pPr>
        <w:spacing w:line="360" w:lineRule="auto"/>
        <w:ind w:firstLine="720"/>
        <w:jc w:val="both"/>
        <w:rPr>
          <w:rFonts w:ascii="Times New Roman" w:hAnsi="Times New Roman" w:cs="Times New Roman"/>
          <w:sz w:val="24"/>
          <w:szCs w:val="24"/>
        </w:rPr>
      </w:pPr>
    </w:p>
    <w:p w14:paraId="00F307ED" w14:textId="77777777" w:rsidR="00524350" w:rsidRPr="00B23F05" w:rsidRDefault="00524350" w:rsidP="00524350">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b/>
          <w:color w:val="000000" w:themeColor="text1"/>
          <w:sz w:val="24"/>
          <w:szCs w:val="24"/>
        </w:rPr>
        <w:lastRenderedPageBreak/>
        <w:t>Table 4.11.7 Correlation coefficient between nutrients intake of respondents and their communicable and non-communicable diseases.</w:t>
      </w:r>
    </w:p>
    <w:tbl>
      <w:tblPr>
        <w:tblStyle w:val="TableGrid"/>
        <w:tblW w:w="5000" w:type="pct"/>
        <w:tblLook w:val="04A0" w:firstRow="1" w:lastRow="0" w:firstColumn="1" w:lastColumn="0" w:noHBand="0" w:noVBand="1"/>
      </w:tblPr>
      <w:tblGrid>
        <w:gridCol w:w="1023"/>
        <w:gridCol w:w="2936"/>
        <w:gridCol w:w="2681"/>
        <w:gridCol w:w="2936"/>
      </w:tblGrid>
      <w:tr w:rsidR="00524350" w:rsidRPr="00B23F05" w14:paraId="4BD4A017" w14:textId="77777777" w:rsidTr="00A108F4">
        <w:tc>
          <w:tcPr>
            <w:tcW w:w="534" w:type="pct"/>
            <w:vMerge w:val="restart"/>
            <w:vAlign w:val="center"/>
          </w:tcPr>
          <w:p w14:paraId="0683CEF1"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S. No.</w:t>
            </w:r>
          </w:p>
        </w:tc>
        <w:tc>
          <w:tcPr>
            <w:tcW w:w="1533" w:type="pct"/>
            <w:vMerge w:val="restart"/>
            <w:vAlign w:val="center"/>
          </w:tcPr>
          <w:p w14:paraId="09A69DBD"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Nutrients intake</w:t>
            </w:r>
          </w:p>
        </w:tc>
        <w:tc>
          <w:tcPr>
            <w:tcW w:w="2933" w:type="pct"/>
            <w:gridSpan w:val="2"/>
            <w:vAlign w:val="center"/>
          </w:tcPr>
          <w:p w14:paraId="57FE24BF"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Correlation Coefficient</w:t>
            </w:r>
          </w:p>
        </w:tc>
      </w:tr>
      <w:tr w:rsidR="00524350" w:rsidRPr="00B23F05" w14:paraId="147DCD3E" w14:textId="77777777" w:rsidTr="00A108F4">
        <w:tc>
          <w:tcPr>
            <w:tcW w:w="534" w:type="pct"/>
            <w:vMerge/>
            <w:vAlign w:val="center"/>
          </w:tcPr>
          <w:p w14:paraId="370E6334"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p>
        </w:tc>
        <w:tc>
          <w:tcPr>
            <w:tcW w:w="1533" w:type="pct"/>
            <w:vMerge/>
            <w:vAlign w:val="center"/>
          </w:tcPr>
          <w:p w14:paraId="3E009B5B"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p>
        </w:tc>
        <w:tc>
          <w:tcPr>
            <w:tcW w:w="1400" w:type="pct"/>
            <w:vAlign w:val="center"/>
          </w:tcPr>
          <w:p w14:paraId="3854C741"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Communicable disease</w:t>
            </w:r>
          </w:p>
        </w:tc>
        <w:tc>
          <w:tcPr>
            <w:tcW w:w="1533" w:type="pct"/>
            <w:vAlign w:val="center"/>
          </w:tcPr>
          <w:p w14:paraId="276CD03F" w14:textId="77777777" w:rsidR="00524350" w:rsidRPr="00B23F05" w:rsidRDefault="00524350" w:rsidP="00A108F4">
            <w:pPr>
              <w:spacing w:line="288" w:lineRule="auto"/>
              <w:jc w:val="center"/>
              <w:rPr>
                <w:rFonts w:ascii="Times New Roman" w:hAnsi="Times New Roman" w:cs="Times New Roman"/>
                <w:b/>
                <w:color w:val="000000" w:themeColor="text1"/>
                <w:sz w:val="24"/>
                <w:szCs w:val="24"/>
              </w:rPr>
            </w:pPr>
            <w:r w:rsidRPr="00B23F05">
              <w:rPr>
                <w:rFonts w:ascii="Times New Roman" w:hAnsi="Times New Roman" w:cs="Times New Roman"/>
                <w:b/>
                <w:color w:val="000000" w:themeColor="text1"/>
                <w:sz w:val="24"/>
                <w:szCs w:val="24"/>
              </w:rPr>
              <w:t>Non communicable disease</w:t>
            </w:r>
          </w:p>
        </w:tc>
      </w:tr>
      <w:tr w:rsidR="00524350" w:rsidRPr="00B23F05" w14:paraId="3F05000A" w14:textId="77777777" w:rsidTr="00A108F4">
        <w:tc>
          <w:tcPr>
            <w:tcW w:w="534" w:type="pct"/>
          </w:tcPr>
          <w:p w14:paraId="39377A8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w:t>
            </w:r>
          </w:p>
        </w:tc>
        <w:tc>
          <w:tcPr>
            <w:tcW w:w="1533" w:type="pct"/>
          </w:tcPr>
          <w:p w14:paraId="20642699"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Energy (Kcal/day)</w:t>
            </w:r>
          </w:p>
        </w:tc>
        <w:tc>
          <w:tcPr>
            <w:tcW w:w="1400" w:type="pct"/>
          </w:tcPr>
          <w:p w14:paraId="3D296CBC"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0.1642</w:t>
            </w:r>
          </w:p>
        </w:tc>
        <w:tc>
          <w:tcPr>
            <w:tcW w:w="1533" w:type="pct"/>
          </w:tcPr>
          <w:p w14:paraId="793D4821"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0.1834</w:t>
            </w:r>
          </w:p>
        </w:tc>
      </w:tr>
      <w:tr w:rsidR="00524350" w:rsidRPr="00B23F05" w14:paraId="0C77A8C3" w14:textId="77777777" w:rsidTr="00A108F4">
        <w:tc>
          <w:tcPr>
            <w:tcW w:w="534" w:type="pct"/>
          </w:tcPr>
          <w:p w14:paraId="3DDF68C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2.</w:t>
            </w:r>
          </w:p>
        </w:tc>
        <w:tc>
          <w:tcPr>
            <w:tcW w:w="1533" w:type="pct"/>
          </w:tcPr>
          <w:p w14:paraId="3EC2AE3F"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Protein (g/day)</w:t>
            </w:r>
          </w:p>
        </w:tc>
        <w:tc>
          <w:tcPr>
            <w:tcW w:w="1400" w:type="pct"/>
          </w:tcPr>
          <w:p w14:paraId="4DA38393"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0.4423*</w:t>
            </w:r>
          </w:p>
        </w:tc>
        <w:tc>
          <w:tcPr>
            <w:tcW w:w="1533" w:type="pct"/>
          </w:tcPr>
          <w:p w14:paraId="14FB6C5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0.6582*</w:t>
            </w:r>
          </w:p>
        </w:tc>
      </w:tr>
      <w:tr w:rsidR="00524350" w:rsidRPr="00B23F05" w14:paraId="7866CDBD" w14:textId="77777777" w:rsidTr="00A108F4">
        <w:tc>
          <w:tcPr>
            <w:tcW w:w="534" w:type="pct"/>
          </w:tcPr>
          <w:p w14:paraId="6591F6F0"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3.</w:t>
            </w:r>
          </w:p>
        </w:tc>
        <w:tc>
          <w:tcPr>
            <w:tcW w:w="1533" w:type="pct"/>
          </w:tcPr>
          <w:p w14:paraId="2BBB3493"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Fat (g/day)</w:t>
            </w:r>
          </w:p>
        </w:tc>
        <w:tc>
          <w:tcPr>
            <w:tcW w:w="1400" w:type="pct"/>
          </w:tcPr>
          <w:p w14:paraId="47DCA7A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0.2504*</w:t>
            </w:r>
          </w:p>
        </w:tc>
        <w:tc>
          <w:tcPr>
            <w:tcW w:w="1533" w:type="pct"/>
          </w:tcPr>
          <w:p w14:paraId="7718404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0.4343*</w:t>
            </w:r>
          </w:p>
        </w:tc>
      </w:tr>
      <w:tr w:rsidR="00524350" w:rsidRPr="00B23F05" w14:paraId="2C4E6BA0" w14:textId="77777777" w:rsidTr="00A108F4">
        <w:tc>
          <w:tcPr>
            <w:tcW w:w="534" w:type="pct"/>
          </w:tcPr>
          <w:p w14:paraId="1AEFC5DF"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4.</w:t>
            </w:r>
          </w:p>
        </w:tc>
        <w:tc>
          <w:tcPr>
            <w:tcW w:w="1533" w:type="pct"/>
          </w:tcPr>
          <w:p w14:paraId="7B86B960"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Ca (mg/day)</w:t>
            </w:r>
          </w:p>
        </w:tc>
        <w:tc>
          <w:tcPr>
            <w:tcW w:w="1400" w:type="pct"/>
          </w:tcPr>
          <w:p w14:paraId="7A828F0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-0.1731</w:t>
            </w:r>
          </w:p>
        </w:tc>
        <w:tc>
          <w:tcPr>
            <w:tcW w:w="1533" w:type="pct"/>
          </w:tcPr>
          <w:p w14:paraId="7DB538B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0.2205*</w:t>
            </w:r>
          </w:p>
        </w:tc>
      </w:tr>
      <w:tr w:rsidR="00524350" w:rsidRPr="00B23F05" w14:paraId="3C5F91CE" w14:textId="77777777" w:rsidTr="00A108F4">
        <w:tc>
          <w:tcPr>
            <w:tcW w:w="534" w:type="pct"/>
          </w:tcPr>
          <w:p w14:paraId="57839F2F"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5.</w:t>
            </w:r>
          </w:p>
        </w:tc>
        <w:tc>
          <w:tcPr>
            <w:tcW w:w="1533" w:type="pct"/>
          </w:tcPr>
          <w:p w14:paraId="6F7EA18B"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Fe (mg/day)</w:t>
            </w:r>
          </w:p>
        </w:tc>
        <w:tc>
          <w:tcPr>
            <w:tcW w:w="1400" w:type="pct"/>
          </w:tcPr>
          <w:p w14:paraId="680838AC"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-0.1352</w:t>
            </w:r>
          </w:p>
        </w:tc>
        <w:tc>
          <w:tcPr>
            <w:tcW w:w="1533" w:type="pct"/>
          </w:tcPr>
          <w:p w14:paraId="1E72FCF9"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0.3543*</w:t>
            </w:r>
          </w:p>
        </w:tc>
      </w:tr>
      <w:tr w:rsidR="00524350" w:rsidRPr="00B23F05" w14:paraId="04F641EE" w14:textId="77777777" w:rsidTr="00A108F4">
        <w:tc>
          <w:tcPr>
            <w:tcW w:w="534" w:type="pct"/>
          </w:tcPr>
          <w:p w14:paraId="39697243"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6.</w:t>
            </w:r>
          </w:p>
        </w:tc>
        <w:tc>
          <w:tcPr>
            <w:tcW w:w="1533" w:type="pct"/>
          </w:tcPr>
          <w:p w14:paraId="1D5159CC"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Mg (mg/day)</w:t>
            </w:r>
          </w:p>
        </w:tc>
        <w:tc>
          <w:tcPr>
            <w:tcW w:w="1400" w:type="pct"/>
          </w:tcPr>
          <w:p w14:paraId="54EE985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0.1052</w:t>
            </w:r>
          </w:p>
        </w:tc>
        <w:tc>
          <w:tcPr>
            <w:tcW w:w="1533" w:type="pct"/>
          </w:tcPr>
          <w:p w14:paraId="6057020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0.3713*</w:t>
            </w:r>
          </w:p>
        </w:tc>
      </w:tr>
      <w:tr w:rsidR="00524350" w:rsidRPr="00B23F05" w14:paraId="66A74BE8" w14:textId="77777777" w:rsidTr="00A108F4">
        <w:tc>
          <w:tcPr>
            <w:tcW w:w="534" w:type="pct"/>
          </w:tcPr>
          <w:p w14:paraId="764C0A7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7.</w:t>
            </w:r>
          </w:p>
        </w:tc>
        <w:tc>
          <w:tcPr>
            <w:tcW w:w="1533" w:type="pct"/>
          </w:tcPr>
          <w:p w14:paraId="5E39A016"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Zn (mg/day)</w:t>
            </w:r>
          </w:p>
        </w:tc>
        <w:tc>
          <w:tcPr>
            <w:tcW w:w="1400" w:type="pct"/>
          </w:tcPr>
          <w:p w14:paraId="63BF62C0"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-0.3657</w:t>
            </w:r>
          </w:p>
        </w:tc>
        <w:tc>
          <w:tcPr>
            <w:tcW w:w="1533" w:type="pct"/>
          </w:tcPr>
          <w:p w14:paraId="403C5C2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-0.3115</w:t>
            </w:r>
          </w:p>
        </w:tc>
      </w:tr>
      <w:tr w:rsidR="00524350" w:rsidRPr="00B23F05" w14:paraId="44505F32" w14:textId="77777777" w:rsidTr="00A108F4">
        <w:tc>
          <w:tcPr>
            <w:tcW w:w="534" w:type="pct"/>
          </w:tcPr>
          <w:p w14:paraId="3B17EF0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8.</w:t>
            </w:r>
          </w:p>
        </w:tc>
        <w:tc>
          <w:tcPr>
            <w:tcW w:w="1533" w:type="pct"/>
          </w:tcPr>
          <w:p w14:paraId="2039C107"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‘A’(µg/day)</w:t>
            </w:r>
          </w:p>
        </w:tc>
        <w:tc>
          <w:tcPr>
            <w:tcW w:w="1400" w:type="pct"/>
          </w:tcPr>
          <w:p w14:paraId="62AEE91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0.4436*</w:t>
            </w:r>
          </w:p>
        </w:tc>
        <w:tc>
          <w:tcPr>
            <w:tcW w:w="1533" w:type="pct"/>
          </w:tcPr>
          <w:p w14:paraId="6B30A5AA"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0.3518*</w:t>
            </w:r>
          </w:p>
        </w:tc>
      </w:tr>
      <w:tr w:rsidR="00524350" w:rsidRPr="00B23F05" w14:paraId="7A1A492C" w14:textId="77777777" w:rsidTr="00A108F4">
        <w:tc>
          <w:tcPr>
            <w:tcW w:w="534" w:type="pct"/>
          </w:tcPr>
          <w:p w14:paraId="5A60E57E"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9.</w:t>
            </w:r>
          </w:p>
        </w:tc>
        <w:tc>
          <w:tcPr>
            <w:tcW w:w="1533" w:type="pct"/>
          </w:tcPr>
          <w:p w14:paraId="5250F4EE" w14:textId="77777777" w:rsidR="00524350" w:rsidRPr="00B23F05" w:rsidRDefault="00524350" w:rsidP="00A108F4">
            <w:pPr>
              <w:tabs>
                <w:tab w:val="left" w:pos="825"/>
                <w:tab w:val="left" w:pos="1050"/>
                <w:tab w:val="center" w:pos="1522"/>
              </w:tabs>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Vitamin ‘B1’(mg/day)</w:t>
            </w:r>
          </w:p>
        </w:tc>
        <w:tc>
          <w:tcPr>
            <w:tcW w:w="1400" w:type="pct"/>
          </w:tcPr>
          <w:p w14:paraId="06D1265B"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-0.1034</w:t>
            </w:r>
          </w:p>
        </w:tc>
        <w:tc>
          <w:tcPr>
            <w:tcW w:w="1533" w:type="pct"/>
          </w:tcPr>
          <w:p w14:paraId="20B9270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-0.1981</w:t>
            </w:r>
          </w:p>
        </w:tc>
      </w:tr>
      <w:tr w:rsidR="00524350" w:rsidRPr="00B23F05" w14:paraId="57094F20" w14:textId="77777777" w:rsidTr="00A108F4">
        <w:tc>
          <w:tcPr>
            <w:tcW w:w="534" w:type="pct"/>
          </w:tcPr>
          <w:p w14:paraId="5D7607D5"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10.</w:t>
            </w:r>
          </w:p>
        </w:tc>
        <w:tc>
          <w:tcPr>
            <w:tcW w:w="1533" w:type="pct"/>
          </w:tcPr>
          <w:p w14:paraId="1417511F"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Vitamin ‘B2’ (mg/day)</w:t>
            </w:r>
          </w:p>
        </w:tc>
        <w:tc>
          <w:tcPr>
            <w:tcW w:w="1400" w:type="pct"/>
          </w:tcPr>
          <w:p w14:paraId="5D8FC47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-0.1925</w:t>
            </w:r>
          </w:p>
        </w:tc>
        <w:tc>
          <w:tcPr>
            <w:tcW w:w="1533" w:type="pct"/>
          </w:tcPr>
          <w:p w14:paraId="6F70D787"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-0.1926</w:t>
            </w:r>
          </w:p>
        </w:tc>
      </w:tr>
      <w:tr w:rsidR="00524350" w:rsidRPr="00B23F05" w14:paraId="0C363D38" w14:textId="77777777" w:rsidTr="00A108F4">
        <w:tc>
          <w:tcPr>
            <w:tcW w:w="534" w:type="pct"/>
          </w:tcPr>
          <w:p w14:paraId="1B2D6CD9"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11.</w:t>
            </w:r>
          </w:p>
        </w:tc>
        <w:tc>
          <w:tcPr>
            <w:tcW w:w="1533" w:type="pct"/>
          </w:tcPr>
          <w:p w14:paraId="38B57BBA"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‘B3’ (mg/day)</w:t>
            </w:r>
          </w:p>
        </w:tc>
        <w:tc>
          <w:tcPr>
            <w:tcW w:w="1400" w:type="pct"/>
          </w:tcPr>
          <w:p w14:paraId="25585F92"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0.3589*</w:t>
            </w:r>
          </w:p>
        </w:tc>
        <w:tc>
          <w:tcPr>
            <w:tcW w:w="1533" w:type="pct"/>
          </w:tcPr>
          <w:p w14:paraId="4A572514"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0.2731*</w:t>
            </w:r>
          </w:p>
        </w:tc>
      </w:tr>
      <w:tr w:rsidR="00524350" w:rsidRPr="00B23F05" w14:paraId="1EAF7018" w14:textId="77777777" w:rsidTr="00A108F4">
        <w:tc>
          <w:tcPr>
            <w:tcW w:w="534" w:type="pct"/>
          </w:tcPr>
          <w:p w14:paraId="17D755BA"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12.</w:t>
            </w:r>
          </w:p>
        </w:tc>
        <w:tc>
          <w:tcPr>
            <w:tcW w:w="1533" w:type="pct"/>
          </w:tcPr>
          <w:p w14:paraId="3B0085E1" w14:textId="77777777" w:rsidR="00524350" w:rsidRPr="00B23F05" w:rsidRDefault="00524350" w:rsidP="00A108F4">
            <w:pPr>
              <w:spacing w:line="360" w:lineRule="auto"/>
              <w:jc w:val="both"/>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Vitamin ‘C’ (mg/day)</w:t>
            </w:r>
          </w:p>
        </w:tc>
        <w:tc>
          <w:tcPr>
            <w:tcW w:w="1400" w:type="pct"/>
          </w:tcPr>
          <w:p w14:paraId="1E1CE341"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0.3420*</w:t>
            </w:r>
          </w:p>
        </w:tc>
        <w:tc>
          <w:tcPr>
            <w:tcW w:w="1533" w:type="pct"/>
          </w:tcPr>
          <w:p w14:paraId="5546F846" w14:textId="77777777" w:rsidR="00524350" w:rsidRPr="00B23F05" w:rsidRDefault="00524350" w:rsidP="00A108F4">
            <w:pPr>
              <w:spacing w:line="360" w:lineRule="auto"/>
              <w:jc w:val="center"/>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0.3958*</w:t>
            </w:r>
          </w:p>
        </w:tc>
      </w:tr>
    </w:tbl>
    <w:p w14:paraId="4B6C1A51" w14:textId="77777777" w:rsidR="00524350" w:rsidRPr="00B23F05" w:rsidRDefault="00524350" w:rsidP="00524350">
      <w:pPr>
        <w:spacing w:line="360" w:lineRule="auto"/>
        <w:rPr>
          <w:rFonts w:ascii="Times New Roman" w:hAnsi="Times New Roman" w:cs="Times New Roman"/>
          <w:color w:val="000000" w:themeColor="text1"/>
          <w:sz w:val="24"/>
          <w:szCs w:val="24"/>
        </w:rPr>
      </w:pPr>
      <w:r w:rsidRPr="00B23F05">
        <w:rPr>
          <w:rFonts w:ascii="Times New Roman" w:hAnsi="Times New Roman" w:cs="Times New Roman"/>
          <w:color w:val="000000" w:themeColor="text1"/>
          <w:sz w:val="24"/>
          <w:szCs w:val="24"/>
        </w:rPr>
        <w:t xml:space="preserve"> (* Significant at 5.0 % level of significance)</w:t>
      </w:r>
    </w:p>
    <w:p w14:paraId="0D3A67DA" w14:textId="77777777" w:rsidR="00524350" w:rsidRPr="00B23F05" w:rsidRDefault="00524350" w:rsidP="00524350">
      <w:pPr>
        <w:spacing w:line="312" w:lineRule="auto"/>
        <w:jc w:val="both"/>
        <w:rPr>
          <w:rFonts w:ascii="Times New Roman" w:hAnsi="Times New Roman" w:cs="Times New Roman"/>
          <w:color w:val="000000" w:themeColor="text1"/>
          <w:sz w:val="8"/>
          <w:szCs w:val="8"/>
        </w:rPr>
      </w:pPr>
    </w:p>
    <w:p w14:paraId="14AEC22E" w14:textId="77777777" w:rsidR="00524350" w:rsidRPr="00B23F05" w:rsidRDefault="00524350" w:rsidP="00524350">
      <w:pPr>
        <w:spacing w:line="336" w:lineRule="auto"/>
        <w:ind w:left="1440" w:hanging="1440"/>
        <w:jc w:val="both"/>
        <w:rPr>
          <w:color w:val="000000" w:themeColor="text1"/>
        </w:rPr>
      </w:pPr>
      <w:r w:rsidRPr="00B23F05">
        <w:rPr>
          <w:rFonts w:ascii="Times New Roman" w:hAnsi="Times New Roman" w:cs="Times New Roman"/>
          <w:color w:val="000000" w:themeColor="text1"/>
          <w:sz w:val="24"/>
          <w:szCs w:val="24"/>
        </w:rPr>
        <w:t xml:space="preserve">Table 4.11.7 indicates that correlation coefficient between nutrients intake of residing people near garbage houses and their communicable and non- communicable diseases, protein, fat, vitamin ’A’, vitamin ‘B3’, and vitamin ‘C’ showed positive significant effect with communicable diseases of the respondents residing near garbage houses at 5 per cent level whereas calcium, iron, zinc, thymine, riboflavin showed negative effect of correlation coefficient in the study area. protein, fat, calcium, iron , magnesium, vitamin ‘A’ vitamin ‘B3’ and vitamin ‘C’ positive significant correlated with non-communicable diseases of the respondents at 5 per cent significant level. Nutrients intake zinc, thymine, riboflavin negative correlated with non- communicable diseases of the respondents at 5 per cent. Energy intake by respondents showed </w:t>
      </w:r>
      <w:r>
        <w:rPr>
          <w:rFonts w:ascii="Times New Roman" w:hAnsi="Times New Roman" w:cs="Times New Roman"/>
          <w:color w:val="000000" w:themeColor="text1"/>
          <w:sz w:val="24"/>
          <w:szCs w:val="24"/>
        </w:rPr>
        <w:t>positive effect.</w:t>
      </w:r>
      <w:r w:rsidRPr="00524350">
        <w:rPr>
          <w:rFonts w:ascii="Times New Roman" w:hAnsi="Times New Roman" w:cs="Times New Roman"/>
          <w:b/>
          <w:color w:val="000000" w:themeColor="text1"/>
          <w:sz w:val="24"/>
          <w:szCs w:val="24"/>
        </w:rPr>
        <w:t xml:space="preserve"> </w:t>
      </w:r>
    </w:p>
    <w:p w14:paraId="0F5C2A18" w14:textId="77777777" w:rsidR="007730D3" w:rsidRDefault="007730D3" w:rsidP="007730D3">
      <w:pPr>
        <w:rPr>
          <w:rFonts w:ascii="Times New Roman" w:hAnsi="Times New Roman" w:cs="Times New Roman"/>
          <w:b/>
          <w:sz w:val="24"/>
          <w:szCs w:val="24"/>
        </w:rPr>
      </w:pPr>
      <w:r>
        <w:rPr>
          <w:rFonts w:ascii="Times New Roman" w:hAnsi="Times New Roman" w:cs="Times New Roman"/>
          <w:b/>
          <w:sz w:val="24"/>
          <w:szCs w:val="24"/>
        </w:rPr>
        <w:br w:type="page"/>
      </w:r>
    </w:p>
    <w:p w14:paraId="5DC783DA" w14:textId="77777777" w:rsidR="00FC7A99" w:rsidRPr="00FC7A99" w:rsidRDefault="00FC7A99" w:rsidP="00FC7A99">
      <w:pPr>
        <w:spacing w:line="372" w:lineRule="auto"/>
        <w:jc w:val="both"/>
        <w:rPr>
          <w:rFonts w:ascii="Times New Roman" w:hAnsi="Times New Roman" w:cs="Times New Roman"/>
          <w:b/>
          <w:sz w:val="24"/>
          <w:szCs w:val="24"/>
        </w:rPr>
      </w:pPr>
      <w:r w:rsidRPr="00FC7A99">
        <w:rPr>
          <w:rFonts w:ascii="Times New Roman" w:hAnsi="Times New Roman" w:cs="Times New Roman"/>
          <w:b/>
          <w:sz w:val="24"/>
          <w:szCs w:val="24"/>
        </w:rPr>
        <w:lastRenderedPageBreak/>
        <w:t xml:space="preserve">Conclusion </w:t>
      </w:r>
    </w:p>
    <w:p w14:paraId="4A1A37AF" w14:textId="77777777" w:rsidR="00FC7A99" w:rsidRDefault="00FC7A99" w:rsidP="00FC7A99">
      <w:pPr>
        <w:spacing w:line="372" w:lineRule="auto"/>
        <w:jc w:val="both"/>
        <w:rPr>
          <w:rFonts w:ascii="Times New Roman" w:hAnsi="Times New Roman" w:cs="Times New Roman"/>
          <w:sz w:val="24"/>
          <w:szCs w:val="24"/>
        </w:rPr>
      </w:pPr>
      <w:r w:rsidRPr="00885932">
        <w:rPr>
          <w:rFonts w:ascii="Times New Roman" w:hAnsi="Times New Roman" w:cs="Times New Roman"/>
          <w:sz w:val="24"/>
          <w:szCs w:val="24"/>
        </w:rPr>
        <w:t xml:space="preserve">On the basis of summarized result it may be concluded that the nutritional status </w:t>
      </w:r>
      <w:r>
        <w:rPr>
          <w:rFonts w:ascii="Times New Roman" w:hAnsi="Times New Roman" w:cs="Times New Roman"/>
          <w:sz w:val="24"/>
          <w:szCs w:val="24"/>
        </w:rPr>
        <w:t xml:space="preserve">were </w:t>
      </w:r>
      <w:r w:rsidRPr="00885932">
        <w:rPr>
          <w:rFonts w:ascii="Times New Roman" w:hAnsi="Times New Roman" w:cs="Times New Roman"/>
          <w:sz w:val="24"/>
          <w:szCs w:val="24"/>
        </w:rPr>
        <w:t>not good because</w:t>
      </w:r>
      <w:r>
        <w:rPr>
          <w:rFonts w:ascii="Times New Roman" w:hAnsi="Times New Roman" w:cs="Times New Roman"/>
          <w:sz w:val="24"/>
          <w:szCs w:val="24"/>
        </w:rPr>
        <w:t xml:space="preserve"> they added</w:t>
      </w:r>
      <w:r w:rsidRPr="00885932">
        <w:rPr>
          <w:rFonts w:ascii="Times New Roman" w:hAnsi="Times New Roman" w:cs="Times New Roman"/>
          <w:sz w:val="24"/>
          <w:szCs w:val="24"/>
        </w:rPr>
        <w:t xml:space="preserve"> low intake of nutrient rich food sources in their</w:t>
      </w:r>
      <w:r>
        <w:rPr>
          <w:rFonts w:ascii="Times New Roman" w:hAnsi="Times New Roman" w:cs="Times New Roman"/>
          <w:sz w:val="24"/>
          <w:szCs w:val="24"/>
        </w:rPr>
        <w:t xml:space="preserve"> diet. Poverty, </w:t>
      </w:r>
      <w:r w:rsidRPr="00885932">
        <w:rPr>
          <w:rFonts w:ascii="Times New Roman" w:hAnsi="Times New Roman" w:cs="Times New Roman"/>
          <w:sz w:val="24"/>
          <w:szCs w:val="24"/>
        </w:rPr>
        <w:t>lack of awareness, and lack of knowledge about nutrition causes poor nutritional status and disease. Study area in found most</w:t>
      </w:r>
      <w:r>
        <w:rPr>
          <w:rFonts w:ascii="Times New Roman" w:hAnsi="Times New Roman" w:cs="Times New Roman"/>
          <w:sz w:val="24"/>
          <w:szCs w:val="24"/>
        </w:rPr>
        <w:t>ly peoples had undernourished. Low nutritional intake and p</w:t>
      </w:r>
      <w:r w:rsidRPr="00885932">
        <w:rPr>
          <w:rFonts w:ascii="Times New Roman" w:hAnsi="Times New Roman" w:cs="Times New Roman"/>
          <w:sz w:val="24"/>
          <w:szCs w:val="24"/>
        </w:rPr>
        <w:t xml:space="preserve">ollution </w:t>
      </w:r>
      <w:r>
        <w:rPr>
          <w:rFonts w:ascii="Times New Roman" w:hAnsi="Times New Roman" w:cs="Times New Roman"/>
          <w:sz w:val="24"/>
          <w:szCs w:val="24"/>
        </w:rPr>
        <w:t>due to garbage affected human health. Communicable disease had more found comparison to non- communicable diseases. Some peoples in found both communicable and non- communicable diseases in study area and mostly peoples were health status affected by garbage index, low nutritional status, lack of nutritional knowledge and awareness.</w:t>
      </w:r>
    </w:p>
    <w:p w14:paraId="6AD70738" w14:textId="77777777" w:rsidR="000239BE" w:rsidRPr="00FC7A99" w:rsidRDefault="00FC7A99" w:rsidP="00FC7A99">
      <w:pPr>
        <w:spacing w:line="37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239BE">
        <w:rPr>
          <w:rFonts w:ascii="Times New Roman" w:hAnsi="Times New Roman" w:cs="Times New Roman"/>
          <w:b/>
          <w:color w:val="000000" w:themeColor="text1"/>
          <w:sz w:val="24"/>
          <w:szCs w:val="24"/>
        </w:rPr>
        <w:t xml:space="preserve">Reference </w:t>
      </w:r>
    </w:p>
    <w:p w14:paraId="563CD698" w14:textId="77777777" w:rsidR="005A4CFA" w:rsidRDefault="005A4CFA" w:rsidP="005A4CFA">
      <w:pPr>
        <w:spacing w:line="336" w:lineRule="auto"/>
        <w:ind w:left="1440" w:hanging="1440"/>
        <w:jc w:val="both"/>
        <w:rPr>
          <w:rFonts w:ascii="Times New Roman" w:hAnsi="Times New Roman" w:cs="Times New Roman"/>
          <w:b/>
          <w:sz w:val="24"/>
          <w:szCs w:val="24"/>
        </w:rPr>
      </w:pPr>
      <w:proofErr w:type="spellStart"/>
      <w:r w:rsidRPr="00C920AE">
        <w:rPr>
          <w:rFonts w:ascii="Times New Roman" w:hAnsi="Times New Roman" w:cs="Times New Roman"/>
          <w:b/>
          <w:color w:val="000000" w:themeColor="text1"/>
          <w:sz w:val="24"/>
          <w:szCs w:val="24"/>
        </w:rPr>
        <w:t>Mc</w:t>
      </w:r>
      <w:proofErr w:type="spellEnd"/>
      <w:r w:rsidRPr="00C920AE">
        <w:rPr>
          <w:rFonts w:ascii="Times New Roman" w:hAnsi="Times New Roman" w:cs="Times New Roman"/>
          <w:b/>
          <w:color w:val="000000" w:themeColor="text1"/>
          <w:sz w:val="24"/>
          <w:szCs w:val="24"/>
        </w:rPr>
        <w:t xml:space="preserve"> </w:t>
      </w:r>
      <w:proofErr w:type="spellStart"/>
      <w:r w:rsidRPr="00C920AE">
        <w:rPr>
          <w:rFonts w:ascii="Times New Roman" w:hAnsi="Times New Roman" w:cs="Times New Roman"/>
          <w:b/>
          <w:color w:val="000000" w:themeColor="text1"/>
          <w:sz w:val="24"/>
          <w:szCs w:val="24"/>
        </w:rPr>
        <w:t>Graw</w:t>
      </w:r>
      <w:proofErr w:type="spellEnd"/>
      <w:r w:rsidRPr="00C920AE">
        <w:rPr>
          <w:rFonts w:ascii="Times New Roman" w:hAnsi="Times New Roman" w:cs="Times New Roman"/>
          <w:b/>
          <w:color w:val="000000" w:themeColor="text1"/>
          <w:sz w:val="24"/>
          <w:szCs w:val="24"/>
        </w:rPr>
        <w:t xml:space="preserve"> Hill, Ryan  </w:t>
      </w:r>
      <w:proofErr w:type="spellStart"/>
      <w:r w:rsidRPr="00C920AE">
        <w:rPr>
          <w:rFonts w:ascii="Times New Roman" w:hAnsi="Times New Roman" w:cs="Times New Roman"/>
          <w:b/>
          <w:color w:val="000000" w:themeColor="text1"/>
          <w:sz w:val="24"/>
          <w:szCs w:val="24"/>
        </w:rPr>
        <w:t>Kj</w:t>
      </w:r>
      <w:proofErr w:type="spellEnd"/>
      <w:r w:rsidRPr="00C920AE">
        <w:rPr>
          <w:rFonts w:ascii="Times New Roman" w:hAnsi="Times New Roman" w:cs="Times New Roman"/>
          <w:b/>
          <w:color w:val="000000" w:themeColor="text1"/>
          <w:sz w:val="24"/>
          <w:szCs w:val="24"/>
        </w:rPr>
        <w:t>, Ray CG.</w:t>
      </w:r>
      <w:r w:rsidRPr="005A4CFA">
        <w:rPr>
          <w:rFonts w:ascii="Times New Roman" w:hAnsi="Times New Roman" w:cs="Times New Roman"/>
          <w:b/>
          <w:color w:val="000000" w:themeColor="text1"/>
          <w:sz w:val="24"/>
          <w:szCs w:val="24"/>
        </w:rPr>
        <w:t xml:space="preserve"> </w:t>
      </w:r>
      <w:r w:rsidRPr="00C920AE">
        <w:rPr>
          <w:rFonts w:ascii="Times New Roman" w:hAnsi="Times New Roman" w:cs="Times New Roman"/>
          <w:b/>
          <w:color w:val="000000" w:themeColor="text1"/>
          <w:sz w:val="24"/>
          <w:szCs w:val="24"/>
        </w:rPr>
        <w:t xml:space="preserve">(2004) </w:t>
      </w:r>
      <w:proofErr w:type="spellStart"/>
      <w:r w:rsidRPr="00C920AE">
        <w:rPr>
          <w:rFonts w:ascii="Times New Roman" w:hAnsi="Times New Roman" w:cs="Times New Roman"/>
          <w:color w:val="000000" w:themeColor="text1"/>
          <w:sz w:val="24"/>
          <w:szCs w:val="24"/>
        </w:rPr>
        <w:t>Sherris</w:t>
      </w:r>
      <w:proofErr w:type="spellEnd"/>
      <w:r w:rsidRPr="00C920AE">
        <w:rPr>
          <w:rFonts w:ascii="Times New Roman" w:hAnsi="Times New Roman" w:cs="Times New Roman"/>
          <w:color w:val="000000" w:themeColor="text1"/>
          <w:sz w:val="24"/>
          <w:szCs w:val="24"/>
        </w:rPr>
        <w:t xml:space="preserve"> Medical </w:t>
      </w:r>
      <w:proofErr w:type="spellStart"/>
      <w:r w:rsidRPr="00C920AE">
        <w:rPr>
          <w:rFonts w:ascii="Times New Roman" w:hAnsi="Times New Roman" w:cs="Times New Roman"/>
          <w:color w:val="000000" w:themeColor="text1"/>
          <w:sz w:val="24"/>
          <w:szCs w:val="24"/>
        </w:rPr>
        <w:t>Mi</w:t>
      </w:r>
      <w:r w:rsidR="0057010F">
        <w:rPr>
          <w:rFonts w:ascii="Times New Roman" w:hAnsi="Times New Roman" w:cs="Times New Roman"/>
          <w:color w:val="000000" w:themeColor="text1"/>
          <w:sz w:val="24"/>
          <w:szCs w:val="24"/>
        </w:rPr>
        <w:t>cro</w:t>
      </w:r>
      <w:r w:rsidRPr="00C920AE">
        <w:rPr>
          <w:rFonts w:ascii="Times New Roman" w:hAnsi="Times New Roman" w:cs="Times New Roman"/>
          <w:color w:val="000000" w:themeColor="text1"/>
          <w:sz w:val="24"/>
          <w:szCs w:val="24"/>
        </w:rPr>
        <w:t>obiology</w:t>
      </w:r>
      <w:proofErr w:type="spellEnd"/>
      <w:r w:rsidRPr="00C920AE">
        <w:rPr>
          <w:rFonts w:ascii="Times New Roman" w:hAnsi="Times New Roman" w:cs="Times New Roman"/>
          <w:color w:val="000000" w:themeColor="text1"/>
          <w:sz w:val="24"/>
          <w:szCs w:val="24"/>
        </w:rPr>
        <w:t xml:space="preserve"> (4ed</w:t>
      </w:r>
      <w:r w:rsidRPr="00C920AE">
        <w:rPr>
          <w:rFonts w:ascii="Times New Roman" w:hAnsi="Times New Roman" w:cs="Times New Roman"/>
          <w:b/>
          <w:color w:val="000000" w:themeColor="text1"/>
          <w:sz w:val="24"/>
          <w:szCs w:val="24"/>
        </w:rPr>
        <w:t>.)</w:t>
      </w:r>
      <w:r w:rsidRPr="00C920AE">
        <w:rPr>
          <w:rFonts w:ascii="Times New Roman" w:hAnsi="Times New Roman" w:cs="Times New Roman"/>
          <w:color w:val="000000" w:themeColor="text1"/>
          <w:sz w:val="24"/>
          <w:szCs w:val="24"/>
        </w:rPr>
        <w:t>.</w:t>
      </w:r>
      <w:r w:rsidRPr="005A4CFA">
        <w:rPr>
          <w:rFonts w:ascii="Times New Roman" w:hAnsi="Times New Roman" w:cs="Times New Roman"/>
          <w:b/>
          <w:color w:val="000000" w:themeColor="text1"/>
          <w:sz w:val="24"/>
          <w:szCs w:val="24"/>
        </w:rPr>
        <w:t xml:space="preserve"> </w:t>
      </w:r>
    </w:p>
    <w:p w14:paraId="77016ABE" w14:textId="77777777" w:rsidR="00524350" w:rsidRPr="00C920AE" w:rsidRDefault="00524350" w:rsidP="00524350">
      <w:pPr>
        <w:widowControl w:val="0"/>
        <w:spacing w:line="336" w:lineRule="auto"/>
        <w:ind w:left="1440" w:hanging="1440"/>
        <w:jc w:val="both"/>
        <w:rPr>
          <w:rFonts w:ascii="Times New Roman" w:eastAsia="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Lee IM., et al. (2012). </w:t>
      </w:r>
      <w:r w:rsidRPr="00C920AE">
        <w:rPr>
          <w:rFonts w:ascii="Times New Roman" w:eastAsia="Times New Roman" w:hAnsi="Times New Roman" w:cs="Times New Roman"/>
          <w:color w:val="000000" w:themeColor="text1"/>
          <w:sz w:val="24"/>
          <w:szCs w:val="24"/>
        </w:rPr>
        <w:t xml:space="preserve">Impact of Physical Inactivity on the World’s Major Non Communicable Diseases. Lancet. 380 (9838), 219-229. </w:t>
      </w:r>
      <w:proofErr w:type="spellStart"/>
      <w:r w:rsidRPr="00C920AE">
        <w:rPr>
          <w:rFonts w:ascii="Times New Roman" w:eastAsia="Times New Roman" w:hAnsi="Times New Roman" w:cs="Times New Roman"/>
          <w:color w:val="000000" w:themeColor="text1"/>
          <w:sz w:val="24"/>
          <w:szCs w:val="24"/>
        </w:rPr>
        <w:t>Doi</w:t>
      </w:r>
      <w:proofErr w:type="spellEnd"/>
      <w:r w:rsidRPr="00C920AE">
        <w:rPr>
          <w:rFonts w:ascii="Times New Roman" w:eastAsia="Times New Roman" w:hAnsi="Times New Roman" w:cs="Times New Roman"/>
          <w:color w:val="000000" w:themeColor="text1"/>
          <w:sz w:val="24"/>
          <w:szCs w:val="24"/>
        </w:rPr>
        <w:t>: 10.1016/S0140 6736(12)61031-9.</w:t>
      </w:r>
    </w:p>
    <w:p w14:paraId="0C68FFF3" w14:textId="77777777" w:rsidR="00524350" w:rsidRPr="00C920AE" w:rsidRDefault="00524350" w:rsidP="00524350">
      <w:pPr>
        <w:widowControl w:val="0"/>
        <w:spacing w:line="336" w:lineRule="auto"/>
        <w:ind w:left="1440" w:hanging="1440"/>
        <w:jc w:val="both"/>
        <w:rPr>
          <w:rFonts w:ascii="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Lucky </w:t>
      </w:r>
      <w:proofErr w:type="spellStart"/>
      <w:r w:rsidRPr="00C920AE">
        <w:rPr>
          <w:rFonts w:ascii="Times New Roman" w:eastAsia="Times New Roman" w:hAnsi="Times New Roman" w:cs="Times New Roman"/>
          <w:b/>
          <w:color w:val="000000" w:themeColor="text1"/>
          <w:sz w:val="24"/>
          <w:szCs w:val="24"/>
        </w:rPr>
        <w:t>Prithviraj</w:t>
      </w:r>
      <w:proofErr w:type="spellEnd"/>
      <w:r w:rsidRPr="00C920AE">
        <w:rPr>
          <w:rFonts w:ascii="Times New Roman" w:eastAsia="Times New Roman" w:hAnsi="Times New Roman" w:cs="Times New Roman"/>
          <w:b/>
          <w:color w:val="000000" w:themeColor="text1"/>
          <w:sz w:val="24"/>
          <w:szCs w:val="24"/>
        </w:rPr>
        <w:t xml:space="preserve"> (2012).</w:t>
      </w:r>
      <w:r w:rsidRPr="00C920AE">
        <w:rPr>
          <w:rFonts w:ascii="Times New Roman" w:eastAsia="Times New Roman" w:hAnsi="Times New Roman" w:cs="Times New Roman"/>
          <w:color w:val="000000" w:themeColor="text1"/>
          <w:sz w:val="24"/>
          <w:szCs w:val="24"/>
        </w:rPr>
        <w:t xml:space="preserve"> Department of Tribal studies, Kannada University </w:t>
      </w:r>
      <w:proofErr w:type="spellStart"/>
      <w:r w:rsidRPr="00C920AE">
        <w:rPr>
          <w:rFonts w:ascii="Times New Roman" w:eastAsia="Times New Roman" w:hAnsi="Times New Roman" w:cs="Times New Roman"/>
          <w:color w:val="000000" w:themeColor="text1"/>
          <w:sz w:val="24"/>
          <w:szCs w:val="24"/>
        </w:rPr>
        <w:t>Hampi</w:t>
      </w:r>
      <w:proofErr w:type="spellEnd"/>
      <w:r w:rsidRPr="00C920AE">
        <w:rPr>
          <w:rFonts w:ascii="Times New Roman" w:eastAsia="Times New Roman" w:hAnsi="Times New Roman" w:cs="Times New Roman"/>
          <w:color w:val="000000" w:themeColor="text1"/>
          <w:sz w:val="24"/>
          <w:szCs w:val="24"/>
        </w:rPr>
        <w:t xml:space="preserve">, India and D. </w:t>
      </w:r>
      <w:proofErr w:type="spellStart"/>
      <w:r w:rsidRPr="00C920AE">
        <w:rPr>
          <w:rFonts w:ascii="Times New Roman" w:eastAsia="Times New Roman" w:hAnsi="Times New Roman" w:cs="Times New Roman"/>
          <w:color w:val="000000" w:themeColor="text1"/>
          <w:sz w:val="24"/>
          <w:szCs w:val="24"/>
        </w:rPr>
        <w:t>Murahari</w:t>
      </w:r>
      <w:proofErr w:type="spellEnd"/>
      <w:r w:rsidRPr="00C920AE">
        <w:rPr>
          <w:rFonts w:ascii="Times New Roman" w:eastAsia="Times New Roman" w:hAnsi="Times New Roman" w:cs="Times New Roman"/>
          <w:color w:val="000000" w:themeColor="text1"/>
          <w:sz w:val="24"/>
          <w:szCs w:val="24"/>
        </w:rPr>
        <w:t xml:space="preserve"> </w:t>
      </w:r>
      <w:proofErr w:type="spellStart"/>
      <w:r w:rsidRPr="00C920AE">
        <w:rPr>
          <w:rFonts w:ascii="Times New Roman" w:eastAsia="Times New Roman" w:hAnsi="Times New Roman" w:cs="Times New Roman"/>
          <w:color w:val="000000" w:themeColor="text1"/>
          <w:sz w:val="24"/>
          <w:szCs w:val="24"/>
        </w:rPr>
        <w:t>Naik</w:t>
      </w:r>
      <w:proofErr w:type="spellEnd"/>
      <w:r w:rsidRPr="00C920AE">
        <w:rPr>
          <w:rFonts w:ascii="Times New Roman" w:eastAsia="Times New Roman" w:hAnsi="Times New Roman" w:cs="Times New Roman"/>
          <w:color w:val="000000" w:themeColor="text1"/>
          <w:sz w:val="24"/>
          <w:szCs w:val="24"/>
        </w:rPr>
        <w:t>, Department of Studies in Anthropology, Karnatak</w:t>
      </w:r>
      <w:r w:rsidR="00FC7A99">
        <w:rPr>
          <w:rFonts w:ascii="Times New Roman" w:eastAsia="Times New Roman" w:hAnsi="Times New Roman" w:cs="Times New Roman"/>
          <w:color w:val="000000" w:themeColor="text1"/>
          <w:sz w:val="24"/>
          <w:szCs w:val="24"/>
        </w:rPr>
        <w:t>a</w:t>
      </w:r>
      <w:r w:rsidRPr="00C920AE">
        <w:rPr>
          <w:rFonts w:ascii="Times New Roman" w:eastAsia="Times New Roman" w:hAnsi="Times New Roman" w:cs="Times New Roman"/>
          <w:color w:val="000000" w:themeColor="text1"/>
          <w:sz w:val="24"/>
          <w:szCs w:val="24"/>
        </w:rPr>
        <w:t xml:space="preserve"> University Dharwad, India, ‘Health problems and health care practices of </w:t>
      </w:r>
      <w:proofErr w:type="spellStart"/>
      <w:r w:rsidRPr="00C920AE">
        <w:rPr>
          <w:rFonts w:ascii="Times New Roman" w:eastAsia="Times New Roman" w:hAnsi="Times New Roman" w:cs="Times New Roman"/>
          <w:color w:val="000000" w:themeColor="text1"/>
          <w:sz w:val="24"/>
          <w:szCs w:val="24"/>
        </w:rPr>
        <w:t>Lambani</w:t>
      </w:r>
      <w:proofErr w:type="spellEnd"/>
      <w:r w:rsidRPr="00C920AE">
        <w:rPr>
          <w:rFonts w:ascii="Times New Roman" w:eastAsia="Times New Roman" w:hAnsi="Times New Roman" w:cs="Times New Roman"/>
          <w:color w:val="000000" w:themeColor="text1"/>
          <w:sz w:val="24"/>
          <w:szCs w:val="24"/>
        </w:rPr>
        <w:t xml:space="preserve"> women of Gulbarga district’. Recent Research in Science and Technology 2012, 4(12): 24-27, ISSN: 2076-5061, Available Online: </w:t>
      </w:r>
      <w:hyperlink r:id="rId11" w:history="1">
        <w:r w:rsidRPr="00C920AE">
          <w:rPr>
            <w:rFonts w:ascii="Times New Roman" w:eastAsia="Times New Roman" w:hAnsi="Times New Roman" w:cs="Times New Roman"/>
            <w:color w:val="000000" w:themeColor="text1"/>
            <w:sz w:val="24"/>
            <w:szCs w:val="24"/>
            <w:u w:val="single"/>
          </w:rPr>
          <w:t>http://recent-science.com</w:t>
        </w:r>
      </w:hyperlink>
      <w:r w:rsidRPr="00C920AE">
        <w:rPr>
          <w:rFonts w:ascii="Times New Roman" w:eastAsia="Times New Roman" w:hAnsi="Times New Roman" w:cs="Times New Roman"/>
          <w:color w:val="000000" w:themeColor="text1"/>
          <w:sz w:val="24"/>
          <w:szCs w:val="24"/>
        </w:rPr>
        <w:t>.</w:t>
      </w:r>
    </w:p>
    <w:p w14:paraId="332FC9BF" w14:textId="77777777" w:rsidR="00524350" w:rsidRPr="00C920AE" w:rsidRDefault="00524350" w:rsidP="00524350">
      <w:pPr>
        <w:spacing w:line="336" w:lineRule="auto"/>
        <w:ind w:left="1440" w:hanging="1440"/>
        <w:jc w:val="both"/>
        <w:rPr>
          <w:rFonts w:ascii="Times New Roman" w:hAnsi="Times New Roman" w:cs="Times New Roman"/>
          <w:color w:val="000000" w:themeColor="text1"/>
          <w:sz w:val="24"/>
          <w:szCs w:val="24"/>
        </w:rPr>
      </w:pPr>
      <w:r w:rsidRPr="00C920AE">
        <w:rPr>
          <w:rFonts w:ascii="Times New Roman" w:hAnsi="Times New Roman" w:cs="Times New Roman"/>
          <w:b/>
          <w:color w:val="000000" w:themeColor="text1"/>
          <w:sz w:val="24"/>
          <w:szCs w:val="24"/>
        </w:rPr>
        <w:t>Ministry of Health and Family Welfare, Government of India.</w:t>
      </w:r>
      <w:r w:rsidR="00FC7A99">
        <w:rPr>
          <w:rFonts w:ascii="Times New Roman" w:hAnsi="Times New Roman" w:cs="Times New Roman"/>
          <w:b/>
          <w:color w:val="000000" w:themeColor="text1"/>
          <w:sz w:val="24"/>
          <w:szCs w:val="24"/>
        </w:rPr>
        <w:t xml:space="preserve"> </w:t>
      </w:r>
      <w:r w:rsidRPr="00C920AE">
        <w:rPr>
          <w:rFonts w:ascii="Times New Roman" w:hAnsi="Times New Roman" w:cs="Times New Roman"/>
          <w:b/>
          <w:color w:val="000000" w:themeColor="text1"/>
          <w:sz w:val="24"/>
          <w:szCs w:val="24"/>
        </w:rPr>
        <w:t>(2015)</w:t>
      </w:r>
      <w:r w:rsidRPr="00C920AE">
        <w:rPr>
          <w:rFonts w:ascii="Times New Roman" w:hAnsi="Times New Roman" w:cs="Times New Roman"/>
          <w:color w:val="000000" w:themeColor="text1"/>
          <w:sz w:val="24"/>
          <w:szCs w:val="24"/>
        </w:rPr>
        <w:t xml:space="preserve"> Forecasting vascular disease and associated mortality in India. Burden of Disease in India. National Commission on Macroeconomics and Health New Delhi: Ministry of Health and Family Welfare, Government of India.</w:t>
      </w:r>
    </w:p>
    <w:p w14:paraId="4B5B6E44" w14:textId="77777777" w:rsidR="00524350" w:rsidRPr="00C920AE" w:rsidRDefault="00524350" w:rsidP="00524350">
      <w:pPr>
        <w:widowControl w:val="0"/>
        <w:spacing w:line="336" w:lineRule="auto"/>
        <w:ind w:left="1440" w:hanging="1440"/>
        <w:jc w:val="both"/>
        <w:rPr>
          <w:rFonts w:ascii="Times New Roman" w:hAnsi="Times New Roman" w:cs="Times New Roman"/>
          <w:color w:val="000000" w:themeColor="text1"/>
          <w:sz w:val="24"/>
          <w:szCs w:val="24"/>
        </w:rPr>
      </w:pPr>
      <w:r w:rsidRPr="00C920AE">
        <w:rPr>
          <w:rFonts w:ascii="Times New Roman" w:eastAsia="Times New Roman" w:hAnsi="Times New Roman" w:cs="Times New Roman"/>
          <w:b/>
          <w:color w:val="000000" w:themeColor="text1"/>
          <w:sz w:val="24"/>
          <w:szCs w:val="24"/>
        </w:rPr>
        <w:t xml:space="preserve">Must A., </w:t>
      </w:r>
      <w:proofErr w:type="spellStart"/>
      <w:r w:rsidRPr="00C920AE">
        <w:rPr>
          <w:rFonts w:ascii="Times New Roman" w:eastAsia="Times New Roman" w:hAnsi="Times New Roman" w:cs="Times New Roman"/>
          <w:b/>
          <w:color w:val="000000" w:themeColor="text1"/>
          <w:sz w:val="24"/>
          <w:szCs w:val="24"/>
        </w:rPr>
        <w:t>McKeown</w:t>
      </w:r>
      <w:proofErr w:type="spellEnd"/>
      <w:r w:rsidRPr="00C920AE">
        <w:rPr>
          <w:rFonts w:ascii="Times New Roman" w:eastAsia="Times New Roman" w:hAnsi="Times New Roman" w:cs="Times New Roman"/>
          <w:b/>
          <w:color w:val="000000" w:themeColor="text1"/>
          <w:sz w:val="24"/>
          <w:szCs w:val="24"/>
        </w:rPr>
        <w:t xml:space="preserve"> M. (2012).</w:t>
      </w:r>
      <w:r w:rsidRPr="00C920AE">
        <w:rPr>
          <w:rFonts w:ascii="Times New Roman" w:eastAsia="Times New Roman" w:hAnsi="Times New Roman" w:cs="Times New Roman"/>
          <w:color w:val="000000" w:themeColor="text1"/>
          <w:sz w:val="24"/>
          <w:szCs w:val="24"/>
        </w:rPr>
        <w:t xml:space="preserve"> The Disease Burden Associated with Overweight and Obesity. </w:t>
      </w:r>
      <w:hyperlink r:id="rId12" w:history="1">
        <w:r w:rsidRPr="00C920AE">
          <w:rPr>
            <w:rFonts w:ascii="Times New Roman" w:eastAsia="Times New Roman" w:hAnsi="Times New Roman" w:cs="Times New Roman"/>
            <w:color w:val="000000" w:themeColor="text1"/>
            <w:sz w:val="24"/>
            <w:szCs w:val="24"/>
            <w:u w:val="single"/>
          </w:rPr>
          <w:t>https://www.ncbi.nlm.nih.gov/</w:t>
        </w:r>
      </w:hyperlink>
      <w:r w:rsidRPr="00C920AE">
        <w:rPr>
          <w:rFonts w:ascii="Times New Roman" w:eastAsia="Times New Roman" w:hAnsi="Times New Roman" w:cs="Times New Roman"/>
          <w:color w:val="000000" w:themeColor="text1"/>
          <w:sz w:val="24"/>
          <w:szCs w:val="24"/>
        </w:rPr>
        <w:t xml:space="preserve"> Books/NBK279095/.</w:t>
      </w:r>
    </w:p>
    <w:sectPr w:rsidR="00524350" w:rsidRPr="00C920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35D3A" w14:textId="77777777" w:rsidR="00D270DB" w:rsidRDefault="00D270DB" w:rsidP="002E2BC8">
      <w:pPr>
        <w:spacing w:after="0" w:line="240" w:lineRule="auto"/>
      </w:pPr>
      <w:r>
        <w:separator/>
      </w:r>
    </w:p>
  </w:endnote>
  <w:endnote w:type="continuationSeparator" w:id="0">
    <w:p w14:paraId="7BA111DF" w14:textId="77777777" w:rsidR="00D270DB" w:rsidRDefault="00D270DB" w:rsidP="002E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EE00" w14:textId="77777777" w:rsidR="002E2BC8" w:rsidRDefault="002E2B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312D2" w14:textId="77777777" w:rsidR="002E2BC8" w:rsidRDefault="002E2B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DE2D8" w14:textId="77777777" w:rsidR="002E2BC8" w:rsidRDefault="002E2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6DC97" w14:textId="77777777" w:rsidR="00D270DB" w:rsidRDefault="00D270DB" w:rsidP="002E2BC8">
      <w:pPr>
        <w:spacing w:after="0" w:line="240" w:lineRule="auto"/>
      </w:pPr>
      <w:r>
        <w:separator/>
      </w:r>
    </w:p>
  </w:footnote>
  <w:footnote w:type="continuationSeparator" w:id="0">
    <w:p w14:paraId="637F2ADB" w14:textId="77777777" w:rsidR="00D270DB" w:rsidRDefault="00D270DB" w:rsidP="002E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C8D49" w14:textId="77777777" w:rsidR="002E2BC8" w:rsidRDefault="002E2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29B47" w14:textId="77777777" w:rsidR="002E2BC8" w:rsidRDefault="002E2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9E269" w14:textId="77777777" w:rsidR="002E2BC8" w:rsidRDefault="002E2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61D"/>
    <w:rsid w:val="000206F0"/>
    <w:rsid w:val="000239BE"/>
    <w:rsid w:val="00026382"/>
    <w:rsid w:val="000345EB"/>
    <w:rsid w:val="00090773"/>
    <w:rsid w:val="000A2801"/>
    <w:rsid w:val="000C1DCE"/>
    <w:rsid w:val="002E2BC8"/>
    <w:rsid w:val="00353490"/>
    <w:rsid w:val="003A5A05"/>
    <w:rsid w:val="00432A7C"/>
    <w:rsid w:val="005004EC"/>
    <w:rsid w:val="00524350"/>
    <w:rsid w:val="00542BDA"/>
    <w:rsid w:val="0057010F"/>
    <w:rsid w:val="005847EE"/>
    <w:rsid w:val="005A4CFA"/>
    <w:rsid w:val="005F55F1"/>
    <w:rsid w:val="006719E1"/>
    <w:rsid w:val="00772F25"/>
    <w:rsid w:val="007730D3"/>
    <w:rsid w:val="007762F0"/>
    <w:rsid w:val="00790E7F"/>
    <w:rsid w:val="007B5CEB"/>
    <w:rsid w:val="007F0D70"/>
    <w:rsid w:val="007F26C0"/>
    <w:rsid w:val="008622EE"/>
    <w:rsid w:val="0087688A"/>
    <w:rsid w:val="008A37DA"/>
    <w:rsid w:val="0091161D"/>
    <w:rsid w:val="00A108F4"/>
    <w:rsid w:val="00A464F3"/>
    <w:rsid w:val="00A57E29"/>
    <w:rsid w:val="00A60D5B"/>
    <w:rsid w:val="00AD415C"/>
    <w:rsid w:val="00AF240E"/>
    <w:rsid w:val="00B23F05"/>
    <w:rsid w:val="00C31DD0"/>
    <w:rsid w:val="00C766FA"/>
    <w:rsid w:val="00C96D87"/>
    <w:rsid w:val="00CB732E"/>
    <w:rsid w:val="00CF49C9"/>
    <w:rsid w:val="00D24D12"/>
    <w:rsid w:val="00D270DB"/>
    <w:rsid w:val="00D4316D"/>
    <w:rsid w:val="00D647D7"/>
    <w:rsid w:val="00DA0D9C"/>
    <w:rsid w:val="00E81EB1"/>
    <w:rsid w:val="00FC7A99"/>
    <w:rsid w:val="00FE4A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1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762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62F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unhideWhenUsed/>
    <w:rsid w:val="007762F0"/>
    <w:pPr>
      <w:spacing w:after="0" w:line="240" w:lineRule="auto"/>
    </w:pPr>
    <w:rPr>
      <w:rFonts w:eastAsiaTheme="minorEastAsia"/>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62F0"/>
    <w:pPr>
      <w:spacing w:after="160" w:line="259" w:lineRule="auto"/>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23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05"/>
    <w:rPr>
      <w:rFonts w:ascii="Tahoma" w:eastAsia="Calibri" w:hAnsi="Tahoma" w:cs="Tahoma"/>
      <w:sz w:val="16"/>
      <w:szCs w:val="16"/>
    </w:rPr>
  </w:style>
  <w:style w:type="paragraph" w:styleId="Header">
    <w:name w:val="header"/>
    <w:basedOn w:val="Normal"/>
    <w:link w:val="HeaderChar"/>
    <w:uiPriority w:val="99"/>
    <w:unhideWhenUsed/>
    <w:rsid w:val="002E2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C8"/>
    <w:rPr>
      <w:rFonts w:ascii="Calibri" w:eastAsia="Calibri" w:hAnsi="Calibri" w:cs="Calibri"/>
    </w:rPr>
  </w:style>
  <w:style w:type="paragraph" w:styleId="Footer">
    <w:name w:val="footer"/>
    <w:basedOn w:val="Normal"/>
    <w:link w:val="FooterChar"/>
    <w:uiPriority w:val="99"/>
    <w:unhideWhenUsed/>
    <w:rsid w:val="002E2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C8"/>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1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762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762F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unhideWhenUsed/>
    <w:rsid w:val="007762F0"/>
    <w:pPr>
      <w:spacing w:after="0" w:line="240" w:lineRule="auto"/>
    </w:pPr>
    <w:rPr>
      <w:rFonts w:eastAsiaTheme="minorEastAsia"/>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62F0"/>
    <w:pPr>
      <w:spacing w:after="160" w:line="259" w:lineRule="auto"/>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23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F05"/>
    <w:rPr>
      <w:rFonts w:ascii="Tahoma" w:eastAsia="Calibri" w:hAnsi="Tahoma" w:cs="Tahoma"/>
      <w:sz w:val="16"/>
      <w:szCs w:val="16"/>
    </w:rPr>
  </w:style>
  <w:style w:type="paragraph" w:styleId="Header">
    <w:name w:val="header"/>
    <w:basedOn w:val="Normal"/>
    <w:link w:val="HeaderChar"/>
    <w:uiPriority w:val="99"/>
    <w:unhideWhenUsed/>
    <w:rsid w:val="002E2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C8"/>
    <w:rPr>
      <w:rFonts w:ascii="Calibri" w:eastAsia="Calibri" w:hAnsi="Calibri" w:cs="Calibri"/>
    </w:rPr>
  </w:style>
  <w:style w:type="paragraph" w:styleId="Footer">
    <w:name w:val="footer"/>
    <w:basedOn w:val="Normal"/>
    <w:link w:val="FooterChar"/>
    <w:uiPriority w:val="99"/>
    <w:unhideWhenUsed/>
    <w:rsid w:val="002E2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C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ncbi.nlm.nih.gov/"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recent-scienc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G:\FINAL%20THESIS%20KAUSHIKI%2030.11.2021%20FOR%20PRINTING\graph%20two%2030.11.202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FINAL%20THESIS%20KAUSHIKI%2030.11.2021%20FOR%20PRINTING\graph%20two%2030.11.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Per</a:t>
            </a:r>
            <a:r>
              <a:rPr lang="en-US" baseline="0"/>
              <a:t> cent</a:t>
            </a:r>
            <a:endParaRPr lang="en-US"/>
          </a:p>
        </c:rich>
      </c:tx>
      <c:overlay val="1"/>
    </c:title>
    <c:autoTitleDeleted val="0"/>
    <c:plotArea>
      <c:layout/>
      <c:barChart>
        <c:barDir val="col"/>
        <c:grouping val="clustered"/>
        <c:varyColors val="0"/>
        <c:ser>
          <c:idx val="0"/>
          <c:order val="0"/>
          <c:tx>
            <c:strRef>
              <c:f>Sheet1!$A$661</c:f>
              <c:strCache>
                <c:ptCount val="1"/>
                <c:pt idx="0">
                  <c:v>Knowledge about disease</c:v>
                </c:pt>
              </c:strCache>
            </c:strRef>
          </c:tx>
          <c:spPr>
            <a:solidFill>
              <a:srgbClr val="D422AE"/>
            </a:solidFill>
            <a:ln>
              <a:solidFill>
                <a:schemeClr val="bg2"/>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Sheet1!$B$661:$E$661</c:f>
              <c:numCache>
                <c:formatCode>General</c:formatCode>
                <c:ptCount val="4"/>
                <c:pt idx="0">
                  <c:v>50</c:v>
                </c:pt>
                <c:pt idx="2">
                  <c:v>35</c:v>
                </c:pt>
              </c:numCache>
            </c:numRef>
          </c:val>
          <c:extLst xmlns:c16r2="http://schemas.microsoft.com/office/drawing/2015/06/chart">
            <c:ext xmlns:c16="http://schemas.microsoft.com/office/drawing/2014/chart" uri="{C3380CC4-5D6E-409C-BE32-E72D297353CC}">
              <c16:uniqueId val="{00000000-9295-A249-8A8B-14B916D0AE1C}"/>
            </c:ext>
          </c:extLst>
        </c:ser>
        <c:ser>
          <c:idx val="1"/>
          <c:order val="1"/>
          <c:tx>
            <c:strRef>
              <c:f>Sheet1!$A$662</c:f>
              <c:strCache>
                <c:ptCount val="1"/>
                <c:pt idx="0">
                  <c:v>Know about causes</c:v>
                </c:pt>
              </c:strCache>
            </c:strRef>
          </c:tx>
          <c:spPr>
            <a:solidFill>
              <a:srgbClr val="00B0F0"/>
            </a:solidFill>
          </c:spPr>
          <c:invertIfNegative val="0"/>
          <c:dPt>
            <c:idx val="0"/>
            <c:invertIfNegative val="0"/>
            <c:bubble3D val="0"/>
            <c:spPr>
              <a:solidFill>
                <a:srgbClr val="00B0F0"/>
              </a:solidFill>
              <a:ln>
                <a:solidFill>
                  <a:schemeClr val="bg2"/>
                </a:solidFill>
              </a:ln>
            </c:spPr>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Sheet1!$B$662:$E$662</c:f>
              <c:numCache>
                <c:formatCode>General</c:formatCode>
                <c:ptCount val="4"/>
                <c:pt idx="0">
                  <c:v>31</c:v>
                </c:pt>
                <c:pt idx="2">
                  <c:v>16</c:v>
                </c:pt>
              </c:numCache>
            </c:numRef>
          </c:val>
          <c:extLst xmlns:c16r2="http://schemas.microsoft.com/office/drawing/2015/06/chart">
            <c:ext xmlns:c16="http://schemas.microsoft.com/office/drawing/2014/chart" uri="{C3380CC4-5D6E-409C-BE32-E72D297353CC}">
              <c16:uniqueId val="{00000001-9295-A249-8A8B-14B916D0AE1C}"/>
            </c:ext>
          </c:extLst>
        </c:ser>
        <c:ser>
          <c:idx val="2"/>
          <c:order val="2"/>
          <c:tx>
            <c:strRef>
              <c:f>Sheet1!$A$663</c:f>
              <c:strCache>
                <c:ptCount val="1"/>
                <c:pt idx="0">
                  <c:v>Effect of disease on health</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Sheet1!$B$663:$E$663</c:f>
              <c:numCache>
                <c:formatCode>General</c:formatCode>
                <c:ptCount val="4"/>
                <c:pt idx="0">
                  <c:v>16</c:v>
                </c:pt>
                <c:pt idx="2">
                  <c:v>15</c:v>
                </c:pt>
              </c:numCache>
            </c:numRef>
          </c:val>
          <c:extLst xmlns:c16r2="http://schemas.microsoft.com/office/drawing/2015/06/chart">
            <c:ext xmlns:c16="http://schemas.microsoft.com/office/drawing/2014/chart" uri="{C3380CC4-5D6E-409C-BE32-E72D297353CC}">
              <c16:uniqueId val="{00000002-9295-A249-8A8B-14B916D0AE1C}"/>
            </c:ext>
          </c:extLst>
        </c:ser>
        <c:ser>
          <c:idx val="3"/>
          <c:order val="3"/>
          <c:tx>
            <c:strRef>
              <c:f>Sheet1!$A$664</c:f>
              <c:strCache>
                <c:ptCount val="1"/>
                <c:pt idx="0">
                  <c:v>Know symptoms of disease</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Sheet1!$B$660:$E$660</c:f>
              <c:strCache>
                <c:ptCount val="3"/>
                <c:pt idx="0">
                  <c:v>Communicable disease</c:v>
                </c:pt>
                <c:pt idx="2">
                  <c:v>Non-communicable disease</c:v>
                </c:pt>
              </c:strCache>
            </c:strRef>
          </c:cat>
          <c:val>
            <c:numRef>
              <c:f>Sheet1!$B$664:$E$664</c:f>
              <c:numCache>
                <c:formatCode>General</c:formatCode>
                <c:ptCount val="4"/>
                <c:pt idx="0">
                  <c:v>30</c:v>
                </c:pt>
                <c:pt idx="2">
                  <c:v>28</c:v>
                </c:pt>
              </c:numCache>
            </c:numRef>
          </c:val>
          <c:extLst xmlns:c16r2="http://schemas.microsoft.com/office/drawing/2015/06/chart">
            <c:ext xmlns:c16="http://schemas.microsoft.com/office/drawing/2014/chart" uri="{C3380CC4-5D6E-409C-BE32-E72D297353CC}">
              <c16:uniqueId val="{00000003-9295-A249-8A8B-14B916D0AE1C}"/>
            </c:ext>
          </c:extLst>
        </c:ser>
        <c:dLbls>
          <c:showLegendKey val="0"/>
          <c:showVal val="0"/>
          <c:showCatName val="0"/>
          <c:showSerName val="0"/>
          <c:showPercent val="0"/>
          <c:showBubbleSize val="0"/>
        </c:dLbls>
        <c:gapWidth val="150"/>
        <c:axId val="191124992"/>
        <c:axId val="138575168"/>
      </c:barChart>
      <c:catAx>
        <c:axId val="191124992"/>
        <c:scaling>
          <c:orientation val="minMax"/>
        </c:scaling>
        <c:delete val="0"/>
        <c:axPos val="b"/>
        <c:numFmt formatCode="General" sourceLinked="0"/>
        <c:majorTickMark val="out"/>
        <c:minorTickMark val="none"/>
        <c:tickLblPos val="nextTo"/>
        <c:crossAx val="138575168"/>
        <c:crosses val="autoZero"/>
        <c:auto val="1"/>
        <c:lblAlgn val="ctr"/>
        <c:lblOffset val="100"/>
        <c:noMultiLvlLbl val="0"/>
      </c:catAx>
      <c:valAx>
        <c:axId val="138575168"/>
        <c:scaling>
          <c:orientation val="minMax"/>
        </c:scaling>
        <c:delete val="0"/>
        <c:axPos val="l"/>
        <c:numFmt formatCode="General" sourceLinked="1"/>
        <c:majorTickMark val="out"/>
        <c:minorTickMark val="none"/>
        <c:tickLblPos val="nextTo"/>
        <c:crossAx val="191124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US" sz="1000"/>
              <a:t>Fig. 4.11.2,3 Distribution of respondents according to suffer from any communicable diseases and  Non communicable diseases</a:t>
            </a:r>
          </a:p>
        </c:rich>
      </c:tx>
      <c:layout>
        <c:manualLayout>
          <c:xMode val="edge"/>
          <c:yMode val="edge"/>
          <c:x val="1.7395517867958812E-2"/>
          <c:y val="3.6345835425027666E-2"/>
        </c:manualLayout>
      </c:layout>
      <c:overlay val="0"/>
      <c:spPr>
        <a:noFill/>
        <a:ln w="25400">
          <a:noFill/>
        </a:ln>
      </c:spPr>
    </c:title>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2282157676348549E-2"/>
          <c:y val="8.1607795371498176E-2"/>
          <c:w val="0.93858921161825726"/>
          <c:h val="0.67939692638807614"/>
        </c:manualLayout>
      </c:layout>
      <c:bar3DChart>
        <c:barDir val="col"/>
        <c:grouping val="clustered"/>
        <c:varyColors val="0"/>
        <c:ser>
          <c:idx val="0"/>
          <c:order val="0"/>
          <c:spPr>
            <a:solidFill>
              <a:schemeClr val="accent3"/>
            </a:solidFill>
            <a:ln w="38100" cap="flat" cmpd="sng" algn="ctr">
              <a:solidFill>
                <a:schemeClr val="lt1"/>
              </a:solidFill>
              <a:prstDash val="solid"/>
            </a:ln>
            <a:effectLst>
              <a:outerShdw blurRad="40000" dist="20000" dir="5400000" rotWithShape="0">
                <a:srgbClr val="000000">
                  <a:alpha val="38000"/>
                </a:srgbClr>
              </a:outerShdw>
            </a:effectLst>
          </c:spPr>
          <c:invertIfNegative val="0"/>
          <c:dPt>
            <c:idx val="0"/>
            <c:invertIfNegative val="0"/>
            <c:bubble3D val="0"/>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dPt>
          <c:dPt>
            <c:idx val="1"/>
            <c:invertIfNegative val="0"/>
            <c:bubble3D val="0"/>
          </c:dPt>
          <c:dPt>
            <c:idx val="3"/>
            <c:invertIfNegative val="0"/>
            <c:bubble3D val="0"/>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dPt>
          <c:dPt>
            <c:idx val="4"/>
            <c:invertIfNegative val="0"/>
            <c:bubble3D val="0"/>
          </c:dPt>
          <c:dLbls>
            <c:dLbl>
              <c:idx val="0"/>
              <c:layout>
                <c:manualLayout>
                  <c:x val="1.5218653684886873E-2"/>
                  <c:y val="-5.90917548217556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1.2576208056980433E-2"/>
                  <c:y val="-3.883043852161597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layout>
                <c:manualLayout>
                  <c:x val="1.3930320950545068E-2"/>
                  <c:y val="-4.68529192681608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layout>
                <c:manualLayout>
                  <c:x val="1.5437252915999553E-2"/>
                  <c:y val="-4.61971668888526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w="25400">
                <a:noFill/>
              </a:ln>
            </c:spPr>
            <c:txPr>
              <a:bodyPr/>
              <a:lstStyle/>
              <a:p>
                <a:pPr>
                  <a:defRPr sz="10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Sheet1!$A$12:$A$16</c:f>
              <c:strCache>
                <c:ptCount val="5"/>
                <c:pt idx="0">
                  <c:v>Yes</c:v>
                </c:pt>
                <c:pt idx="1">
                  <c:v>No</c:v>
                </c:pt>
                <c:pt idx="3">
                  <c:v>Yes</c:v>
                </c:pt>
                <c:pt idx="4">
                  <c:v>No</c:v>
                </c:pt>
              </c:strCache>
            </c:strRef>
          </c:cat>
          <c:val>
            <c:numRef>
              <c:f>Sheet1!$B$12:$B$16</c:f>
              <c:numCache>
                <c:formatCode>General</c:formatCode>
                <c:ptCount val="5"/>
                <c:pt idx="0">
                  <c:v>23</c:v>
                </c:pt>
                <c:pt idx="1">
                  <c:v>27</c:v>
                </c:pt>
                <c:pt idx="3">
                  <c:v>17</c:v>
                </c:pt>
                <c:pt idx="4">
                  <c:v>33</c:v>
                </c:pt>
              </c:numCache>
            </c:numRef>
          </c:val>
          <c:extLst xmlns:c16r2="http://schemas.microsoft.com/office/drawing/2015/06/chart">
            <c:ext xmlns:c16="http://schemas.microsoft.com/office/drawing/2014/chart" uri="{C3380CC4-5D6E-409C-BE32-E72D297353CC}">
              <c16:uniqueId val="{00000000-566E-274C-8904-C3CFC3579899}"/>
            </c:ext>
          </c:extLst>
        </c:ser>
        <c:dLbls>
          <c:showLegendKey val="0"/>
          <c:showVal val="0"/>
          <c:showCatName val="0"/>
          <c:showSerName val="0"/>
          <c:showPercent val="0"/>
          <c:showBubbleSize val="0"/>
        </c:dLbls>
        <c:gapWidth val="150"/>
        <c:shape val="box"/>
        <c:axId val="221472256"/>
        <c:axId val="168739392"/>
        <c:axId val="0"/>
      </c:bar3DChart>
      <c:catAx>
        <c:axId val="22147225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sz="1000"/>
                  <a:t>Communicable Diseases                          Non-communicable Diseases</a:t>
                </a:r>
              </a:p>
            </c:rich>
          </c:tx>
          <c:layout>
            <c:manualLayout>
              <c:xMode val="edge"/>
              <c:yMode val="edge"/>
              <c:x val="0.1662499158759001"/>
              <c:y val="0.8159002975984113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8739392"/>
        <c:crosses val="autoZero"/>
        <c:auto val="1"/>
        <c:lblAlgn val="ctr"/>
        <c:lblOffset val="100"/>
        <c:tickLblSkip val="1"/>
        <c:tickMarkSkip val="1"/>
        <c:noMultiLvlLbl val="0"/>
      </c:catAx>
      <c:valAx>
        <c:axId val="1687393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sz="1000"/>
                  <a:t>Per cent </a:t>
                </a:r>
              </a:p>
            </c:rich>
          </c:tx>
          <c:layout>
            <c:manualLayout>
              <c:xMode val="edge"/>
              <c:yMode val="edge"/>
              <c:x val="3.1535228054342883E-2"/>
              <c:y val="0.483556680007594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21472256"/>
        <c:crosses val="autoZero"/>
        <c:crossBetween val="between"/>
      </c:valAx>
      <c:spPr>
        <a:noFill/>
        <a:ln w="25400">
          <a:noFill/>
        </a:ln>
      </c:spPr>
    </c:plotArea>
    <c:legend>
      <c:legendPos val="b"/>
      <c:layout>
        <c:manualLayout>
          <c:xMode val="edge"/>
          <c:yMode val="edge"/>
          <c:x val="0.28196261525001681"/>
          <c:y val="0.9466638746592041"/>
          <c:w val="0.45661232249814926"/>
          <c:h val="2.8014668367673301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legend>
    <c:plotVisOnly val="1"/>
    <c:dispBlanksAs val="gap"/>
    <c:showDLblsOverMax val="0"/>
  </c:chart>
  <c:spPr>
    <a:noFill/>
    <a:ln w="25400">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900" b="1"/>
              <a:t>Fig. 4.11.4  Distribution of the respondents according to suffer from both communicable and non- communicable diseases</a:t>
            </a:r>
          </a:p>
        </c:rich>
      </c:tx>
      <c:layout>
        <c:manualLayout>
          <c:xMode val="edge"/>
          <c:yMode val="edge"/>
          <c:x val="0.23433444658426986"/>
          <c:y val="9.1960479462360207E-3"/>
        </c:manualLayout>
      </c:layout>
      <c:overlay val="0"/>
      <c:spPr>
        <a:noFill/>
        <a:ln w="25400">
          <a:noFill/>
        </a:ln>
      </c:spPr>
    </c:title>
    <c:autoTitleDeleted val="0"/>
    <c:view3D>
      <c:rotX val="15"/>
      <c:hPercent val="60"/>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5669160432252696E-2"/>
          <c:y val="8.7912087912087919E-2"/>
          <c:w val="0.92518703241895262"/>
          <c:h val="0.67169714989708751"/>
        </c:manualLayout>
      </c:layout>
      <c:bar3DChart>
        <c:barDir val="col"/>
        <c:grouping val="clustered"/>
        <c:varyColors val="0"/>
        <c:ser>
          <c:idx val="0"/>
          <c:order val="0"/>
          <c:tx>
            <c:strRef>
              <c:f>Sheet1!$B$1</c:f>
              <c:strCache>
                <c:ptCount val="1"/>
                <c:pt idx="0">
                  <c:v>Per cent</c:v>
                </c:pt>
              </c:strCache>
            </c:strRef>
          </c:tx>
          <c:spPr>
            <a:solidFill>
              <a:schemeClr val="accent5"/>
            </a:solidFill>
            <a:ln w="38100" cap="flat" cmpd="sng" algn="ctr">
              <a:solidFill>
                <a:schemeClr val="lt1"/>
              </a:solidFill>
              <a:prstDash val="solid"/>
            </a:ln>
            <a:effectLst>
              <a:outerShdw blurRad="40000" dist="20000" dir="5400000" rotWithShape="0">
                <a:srgbClr val="000000">
                  <a:alpha val="38000"/>
                </a:srgbClr>
              </a:outerShdw>
            </a:effectLst>
          </c:spPr>
          <c:invertIfNegative val="0"/>
          <c:dPt>
            <c:idx val="1"/>
            <c:invertIfNegative val="0"/>
            <c:bubble3D val="0"/>
            <c:spPr>
              <a:solidFill>
                <a:schemeClr val="accent6"/>
              </a:solidFill>
              <a:ln w="38100" cap="flat" cmpd="sng" algn="ctr">
                <a:solidFill>
                  <a:schemeClr val="lt1"/>
                </a:solidFill>
                <a:prstDash val="solid"/>
              </a:ln>
              <a:effectLst>
                <a:outerShdw blurRad="40000" dist="20000" dir="5400000" rotWithShape="0">
                  <a:srgbClr val="000000">
                    <a:alpha val="38000"/>
                  </a:srgbClr>
                </a:outerShdw>
              </a:effectLst>
            </c:spPr>
          </c:dPt>
          <c:dLbls>
            <c:dLbl>
              <c:idx val="0"/>
              <c:layout>
                <c:manualLayout>
                  <c:x val="1.4042003007508562E-2"/>
                  <c:y val="-3.77876717680426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layout>
                <c:manualLayout>
                  <c:x val="1.6385325428469658E-2"/>
                  <c:y val="-3.91761728959426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w="25400">
                <a:noFill/>
              </a:ln>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Communicable diseases </c:v>
                </c:pt>
                <c:pt idx="1">
                  <c:v>Non- communicable diseases</c:v>
                </c:pt>
              </c:strCache>
            </c:strRef>
          </c:cat>
          <c:val>
            <c:numRef>
              <c:f>Sheet1!$B$2:$B$3</c:f>
              <c:numCache>
                <c:formatCode>General</c:formatCode>
                <c:ptCount val="2"/>
                <c:pt idx="0">
                  <c:v>13</c:v>
                </c:pt>
                <c:pt idx="1">
                  <c:v>11</c:v>
                </c:pt>
              </c:numCache>
            </c:numRef>
          </c:val>
          <c:extLst xmlns:c16r2="http://schemas.microsoft.com/office/drawing/2015/06/chart">
            <c:ext xmlns:c16="http://schemas.microsoft.com/office/drawing/2014/chart" uri="{C3380CC4-5D6E-409C-BE32-E72D297353CC}">
              <c16:uniqueId val="{00000000-9FA2-E347-86C3-D5DD6C62FFF8}"/>
            </c:ext>
          </c:extLst>
        </c:ser>
        <c:dLbls>
          <c:showLegendKey val="0"/>
          <c:showVal val="0"/>
          <c:showCatName val="0"/>
          <c:showSerName val="0"/>
          <c:showPercent val="0"/>
          <c:showBubbleSize val="0"/>
        </c:dLbls>
        <c:gapWidth val="500"/>
        <c:shape val="box"/>
        <c:axId val="221471232"/>
        <c:axId val="168741120"/>
        <c:axId val="0"/>
      </c:bar3DChart>
      <c:catAx>
        <c:axId val="221471232"/>
        <c:scaling>
          <c:orientation val="minMax"/>
        </c:scaling>
        <c:delete val="0"/>
        <c:axPos val="b"/>
        <c:title>
          <c:tx>
            <c:rich>
              <a:bodyPr/>
              <a:lstStyle/>
              <a:p>
                <a:pPr>
                  <a:defRPr/>
                </a:pPr>
                <a:r>
                  <a:rPr lang="en-US"/>
                  <a:t>Both communicable and non- communicable diseases</a:t>
                </a:r>
              </a:p>
            </c:rich>
          </c:tx>
          <c:layout>
            <c:manualLayout>
              <c:xMode val="edge"/>
              <c:yMode val="edge"/>
              <c:x val="0.28822716871929471"/>
              <c:y val="0.84259896857309402"/>
            </c:manualLayout>
          </c:layout>
          <c:overlay val="0"/>
          <c:spPr>
            <a:noFill/>
            <a:ln w="25400">
              <a:noFill/>
            </a:ln>
          </c:spPr>
        </c:title>
        <c:numFmt formatCode="General" sourceLinked="1"/>
        <c:majorTickMark val="out"/>
        <c:minorTickMark val="none"/>
        <c:tickLblPos val="low"/>
        <c:spPr>
          <a:ln w="3175">
            <a:solidFill>
              <a:srgbClr val="000000"/>
            </a:solidFill>
            <a:prstDash val="solid"/>
          </a:ln>
        </c:spPr>
        <c:txPr>
          <a:bodyPr rot="0" vert="horz"/>
          <a:lstStyle/>
          <a:p>
            <a:pPr>
              <a:defRPr/>
            </a:pPr>
            <a:endParaRPr lang="en-US"/>
          </a:p>
        </c:txPr>
        <c:crossAx val="168741120"/>
        <c:crosses val="autoZero"/>
        <c:auto val="1"/>
        <c:lblAlgn val="ctr"/>
        <c:lblOffset val="100"/>
        <c:tickLblSkip val="1"/>
        <c:tickMarkSkip val="1"/>
        <c:noMultiLvlLbl val="0"/>
      </c:catAx>
      <c:valAx>
        <c:axId val="168741120"/>
        <c:scaling>
          <c:orientation val="minMax"/>
        </c:scaling>
        <c:delete val="0"/>
        <c:axPos val="l"/>
        <c:title>
          <c:tx>
            <c:rich>
              <a:bodyPr/>
              <a:lstStyle/>
              <a:p>
                <a:pPr>
                  <a:defRPr/>
                </a:pPr>
                <a:r>
                  <a:rPr lang="en-US"/>
                  <a:t>Per cent </a:t>
                </a:r>
              </a:p>
            </c:rich>
          </c:tx>
          <c:layout>
            <c:manualLayout>
              <c:xMode val="edge"/>
              <c:yMode val="edge"/>
              <c:x val="1.4962584606300264E-2"/>
              <c:y val="0.4456654011463884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221471232"/>
        <c:crosses val="autoZero"/>
        <c:crossBetween val="between"/>
      </c:valAx>
      <c:spPr>
        <a:noFill/>
        <a:ln w="25400">
          <a:noFill/>
        </a:ln>
      </c:spPr>
    </c:plotArea>
    <c:legend>
      <c:legendPos val="b"/>
      <c:layout>
        <c:manualLayout>
          <c:xMode val="edge"/>
          <c:yMode val="edge"/>
          <c:x val="0.1498768423177872"/>
          <c:y val="0.91865237751805495"/>
          <c:w val="0.76678982434887943"/>
          <c:h val="3.0524983662864935E-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25400">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Sheet1!$B$672</c:f>
              <c:strCache>
                <c:ptCount val="1"/>
                <c:pt idx="0">
                  <c:v>Per cent</c:v>
                </c:pt>
              </c:strCache>
            </c:strRef>
          </c:tx>
          <c:spPr>
            <a:ln>
              <a:solidFill>
                <a:schemeClr val="bg2"/>
              </a:solidFill>
            </a:ln>
          </c:spPr>
          <c:invertIfNegative val="0"/>
          <c:dPt>
            <c:idx val="0"/>
            <c:invertIfNegative val="0"/>
            <c:bubble3D val="0"/>
            <c:spPr>
              <a:solidFill>
                <a:schemeClr val="tx1"/>
              </a:solidFill>
              <a:ln>
                <a:solidFill>
                  <a:schemeClr val="bg2"/>
                </a:solidFill>
              </a:ln>
            </c:spPr>
          </c:dPt>
          <c:dPt>
            <c:idx val="1"/>
            <c:invertIfNegative val="0"/>
            <c:bubble3D val="0"/>
            <c:spPr>
              <a:solidFill>
                <a:srgbClr val="00B0F0"/>
              </a:solidFill>
              <a:ln>
                <a:solidFill>
                  <a:schemeClr val="bg2"/>
                </a:solidFill>
              </a:ln>
            </c:spPr>
          </c:dPt>
          <c:dPt>
            <c:idx val="2"/>
            <c:invertIfNegative val="0"/>
            <c:bubble3D val="0"/>
            <c:spPr>
              <a:solidFill>
                <a:srgbClr val="00B050"/>
              </a:solidFill>
              <a:ln>
                <a:solidFill>
                  <a:schemeClr val="bg2"/>
                </a:solidFill>
              </a:ln>
            </c:spPr>
          </c:dPt>
          <c:dPt>
            <c:idx val="3"/>
            <c:invertIfNegative val="0"/>
            <c:bubble3D val="0"/>
            <c:spPr>
              <a:solidFill>
                <a:srgbClr val="FF0000"/>
              </a:solidFill>
              <a:ln>
                <a:solidFill>
                  <a:schemeClr val="bg2"/>
                </a:solidFill>
              </a:ln>
            </c:spPr>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Sheet1!$A$673:$A$677</c:f>
              <c:strCache>
                <c:ptCount val="5"/>
                <c:pt idx="0">
                  <c:v>Once in 3months</c:v>
                </c:pt>
                <c:pt idx="1">
                  <c:v>Once in 6 months</c:v>
                </c:pt>
                <c:pt idx="2">
                  <c:v>Once in 1 years</c:v>
                </c:pt>
                <c:pt idx="3">
                  <c:v>When needed</c:v>
                </c:pt>
                <c:pt idx="4">
                  <c:v>Never </c:v>
                </c:pt>
              </c:strCache>
            </c:strRef>
          </c:cat>
          <c:val>
            <c:numRef>
              <c:f>Sheet1!$B$673:$B$677</c:f>
              <c:numCache>
                <c:formatCode>General</c:formatCode>
                <c:ptCount val="5"/>
                <c:pt idx="0">
                  <c:v>3</c:v>
                </c:pt>
                <c:pt idx="1">
                  <c:v>6</c:v>
                </c:pt>
                <c:pt idx="2">
                  <c:v>12</c:v>
                </c:pt>
                <c:pt idx="3">
                  <c:v>74</c:v>
                </c:pt>
                <c:pt idx="4">
                  <c:v>5</c:v>
                </c:pt>
              </c:numCache>
            </c:numRef>
          </c:val>
          <c:extLst xmlns:c16r2="http://schemas.microsoft.com/office/drawing/2015/06/chart">
            <c:ext xmlns:c16="http://schemas.microsoft.com/office/drawing/2014/chart" uri="{C3380CC4-5D6E-409C-BE32-E72D297353CC}">
              <c16:uniqueId val="{00000000-8644-2044-A2F9-EBBC90D0CB45}"/>
            </c:ext>
          </c:extLst>
        </c:ser>
        <c:dLbls>
          <c:showLegendKey val="0"/>
          <c:showVal val="0"/>
          <c:showCatName val="0"/>
          <c:showSerName val="0"/>
          <c:showPercent val="0"/>
          <c:showBubbleSize val="0"/>
        </c:dLbls>
        <c:gapWidth val="150"/>
        <c:shape val="box"/>
        <c:axId val="191126016"/>
        <c:axId val="168742848"/>
        <c:axId val="0"/>
      </c:bar3DChart>
      <c:catAx>
        <c:axId val="191126016"/>
        <c:scaling>
          <c:orientation val="minMax"/>
        </c:scaling>
        <c:delete val="0"/>
        <c:axPos val="b"/>
        <c:numFmt formatCode="General" sourceLinked="0"/>
        <c:majorTickMark val="out"/>
        <c:minorTickMark val="none"/>
        <c:tickLblPos val="nextTo"/>
        <c:crossAx val="168742848"/>
        <c:crosses val="autoZero"/>
        <c:auto val="1"/>
        <c:lblAlgn val="ctr"/>
        <c:lblOffset val="100"/>
        <c:noMultiLvlLbl val="0"/>
      </c:catAx>
      <c:valAx>
        <c:axId val="168742848"/>
        <c:scaling>
          <c:orientation val="minMax"/>
        </c:scaling>
        <c:delete val="0"/>
        <c:axPos val="l"/>
        <c:numFmt formatCode="General" sourceLinked="1"/>
        <c:majorTickMark val="out"/>
        <c:minorTickMark val="none"/>
        <c:tickLblPos val="nextTo"/>
        <c:crossAx val="1911260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anoop</dc:creator>
  <cp:lastModifiedBy>qwert</cp:lastModifiedBy>
  <cp:revision>3</cp:revision>
  <dcterms:created xsi:type="dcterms:W3CDTF">2026-04-15T10:54:00Z</dcterms:created>
  <dcterms:modified xsi:type="dcterms:W3CDTF">2026-04-16T09:02:00Z</dcterms:modified>
</cp:coreProperties>
</file>