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705BA9" w:rsidRDefault="00152435">
      <w:pPr>
        <w:pStyle w:val="Heading1"/>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800" w:line="360" w:lineRule="auto"/>
        <w:jc w:val="center"/>
        <w:rPr>
          <w:rFonts w:ascii="Times New Roman" w:eastAsia="Times New Roman" w:hAnsi="Times New Roman" w:cs="Times New Roman"/>
          <w:b/>
          <w:bCs/>
          <w:sz w:val="32"/>
          <w:szCs w:val="32"/>
          <w:u w:val="single"/>
        </w:rPr>
      </w:pPr>
      <w:bookmarkStart w:id="0" w:name="_z7rdddmpw5pn" w:colFirst="0" w:colLast="0"/>
      <w:bookmarkEnd w:id="0"/>
      <w:r>
        <w:rPr>
          <w:rFonts w:ascii="Times New Roman" w:eastAsia="Times New Roman" w:hAnsi="Times New Roman" w:cs="Times New Roman"/>
          <w:b/>
          <w:bCs/>
          <w:sz w:val="32"/>
          <w:szCs w:val="32"/>
          <w:u w:val="single"/>
        </w:rPr>
        <w:t>CLIMATE GEOENGINEERING AND ENVIRONMENTAL LAW: A CRITICAL STUDY OF INDIA'S REGULATORY PREPAREDNESS FOR EMERGING CLIMATE INTERVENTION TECHNOLOGIES</w:t>
      </w:r>
    </w:p>
    <w:p w14:paraId="00000002" w14:textId="77777777" w:rsidR="00705BA9" w:rsidRDefault="00705BA9">
      <w:pPr>
        <w:spacing w:line="360" w:lineRule="auto"/>
        <w:jc w:val="center"/>
        <w:rPr>
          <w:rFonts w:ascii="Times New Roman" w:eastAsia="Times New Roman" w:hAnsi="Times New Roman" w:cs="Times New Roman"/>
          <w:b/>
          <w:bCs/>
          <w:sz w:val="28"/>
          <w:szCs w:val="28"/>
        </w:rPr>
      </w:pPr>
    </w:p>
    <w:p w14:paraId="00000004" w14:textId="77777777" w:rsidR="00705BA9" w:rsidRDefault="00705BA9">
      <w:pPr>
        <w:shd w:val="clear" w:color="auto" w:fill="FFFFFF"/>
        <w:spacing w:line="360" w:lineRule="auto"/>
        <w:jc w:val="center"/>
        <w:rPr>
          <w:rFonts w:ascii="Times New Roman" w:eastAsia="Times New Roman" w:hAnsi="Times New Roman" w:cs="Times New Roman"/>
          <w:b/>
          <w:bCs/>
          <w:sz w:val="28"/>
          <w:szCs w:val="28"/>
        </w:rPr>
      </w:pPr>
      <w:bookmarkStart w:id="1" w:name="_GoBack"/>
      <w:bookmarkEnd w:id="1"/>
    </w:p>
    <w:p w14:paraId="00000005"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center"/>
        <w:rPr>
          <w:rFonts w:ascii="Times New Roman" w:eastAsia="Times New Roman" w:hAnsi="Times New Roman" w:cs="Times New Roman"/>
          <w:b/>
          <w:bCs/>
          <w:sz w:val="28"/>
          <w:szCs w:val="28"/>
          <w:u w:val="single"/>
        </w:rPr>
      </w:pPr>
      <w:bookmarkStart w:id="2" w:name="_s0wzhm8i4po7" w:colFirst="0" w:colLast="0"/>
      <w:bookmarkEnd w:id="2"/>
      <w:r>
        <w:rPr>
          <w:rFonts w:ascii="Times New Roman" w:eastAsia="Times New Roman" w:hAnsi="Times New Roman" w:cs="Times New Roman"/>
          <w:b/>
          <w:bCs/>
          <w:sz w:val="28"/>
          <w:szCs w:val="28"/>
          <w:u w:val="single"/>
        </w:rPr>
        <w:t>ABSTRACT</w:t>
      </w:r>
    </w:p>
    <w:p w14:paraId="00000006"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geoengineering, defined as large-scale human interference in the climate system to counteract climate change, has emerged as one of the most important, controversial and legally underexamined contemporary environmental governance frontiers. This st</w:t>
      </w:r>
      <w:r>
        <w:rPr>
          <w:rFonts w:ascii="Times New Roman" w:eastAsia="Times New Roman" w:hAnsi="Times New Roman" w:cs="Times New Roman"/>
          <w:sz w:val="24"/>
          <w:szCs w:val="24"/>
        </w:rPr>
        <w:t>udy evaluates preparedness of India’s regulatory regime for governance of the emerging climate intervention technologies, namely Solar Radiation Management and Carbon Dioxide Removal techniques, in the context of international environmental law, as well as</w:t>
      </w:r>
      <w:r>
        <w:rPr>
          <w:rFonts w:ascii="Times New Roman" w:eastAsia="Times New Roman" w:hAnsi="Times New Roman" w:cs="Times New Roman"/>
          <w:sz w:val="24"/>
          <w:szCs w:val="24"/>
        </w:rPr>
        <w:t xml:space="preserve"> existing domestic laws of India. The study takes a doctrinal research approach by analysing the constitutional provisions of India along with environmental laws and international treaties of India. The findings are also compared with the European Union, U</w:t>
      </w:r>
      <w:r>
        <w:rPr>
          <w:rFonts w:ascii="Times New Roman" w:eastAsia="Times New Roman" w:hAnsi="Times New Roman" w:cs="Times New Roman"/>
          <w:sz w:val="24"/>
          <w:szCs w:val="24"/>
        </w:rPr>
        <w:t>SA and other emerging international governance. India lacks a comprehensive regulatory framework for climate geoengineering. However, the situation on the ground is more complicated. Important environmental laws including   Environment Protection Act, 1986</w:t>
      </w:r>
      <w:r>
        <w:rPr>
          <w:rFonts w:ascii="Times New Roman" w:eastAsia="Times New Roman" w:hAnsi="Times New Roman" w:cs="Times New Roman"/>
          <w:sz w:val="24"/>
          <w:szCs w:val="24"/>
        </w:rPr>
        <w:t>, National Green Tribunal Act, 2010, and others, cannot adequately govern the complex, transboundary, and potentially catastrophic risks associated with large-scale climate intervention technologies. The paper outlines crucial governance failures at the na</w:t>
      </w:r>
      <w:r>
        <w:rPr>
          <w:rFonts w:ascii="Times New Roman" w:eastAsia="Times New Roman" w:hAnsi="Times New Roman" w:cs="Times New Roman"/>
          <w:sz w:val="24"/>
          <w:szCs w:val="24"/>
        </w:rPr>
        <w:t>tional and international levels, assesses the limitations of existing multilateral environmental agreements to deal with the said risks, and critically evaluates India’s ambiguous and evolving response towards international geoengineering governance. The s</w:t>
      </w:r>
      <w:r>
        <w:rPr>
          <w:rFonts w:ascii="Times New Roman" w:eastAsia="Times New Roman" w:hAnsi="Times New Roman" w:cs="Times New Roman"/>
          <w:sz w:val="24"/>
          <w:szCs w:val="24"/>
        </w:rPr>
        <w:t xml:space="preserve">tudy recommends a framework at the end for regulatory reform involving creation of </w:t>
      </w:r>
      <w:r>
        <w:rPr>
          <w:rFonts w:ascii="Times New Roman" w:eastAsia="Times New Roman" w:hAnsi="Times New Roman" w:cs="Times New Roman"/>
          <w:sz w:val="24"/>
          <w:szCs w:val="24"/>
        </w:rPr>
        <w:lastRenderedPageBreak/>
        <w:t>geo-engineering law, setting up of specialised regulatory authority and active Indian involvement in creation of binding international governance norms for climate intervent</w:t>
      </w:r>
      <w:r>
        <w:rPr>
          <w:rFonts w:ascii="Times New Roman" w:eastAsia="Times New Roman" w:hAnsi="Times New Roman" w:cs="Times New Roman"/>
          <w:sz w:val="24"/>
          <w:szCs w:val="24"/>
        </w:rPr>
        <w:t>ion technologies.This paper attempts to analyze the inherent barriers to climate geoengineering in India through the prism of environmental law.</w:t>
      </w:r>
    </w:p>
    <w:p w14:paraId="00000007"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Climate Geoengineering, Solar Radiation Management, Carbon Dioxide Removal, Environmental Law, India,</w:t>
      </w:r>
      <w:r>
        <w:rPr>
          <w:rFonts w:ascii="Times New Roman" w:eastAsia="Times New Roman" w:hAnsi="Times New Roman" w:cs="Times New Roman"/>
          <w:sz w:val="24"/>
          <w:szCs w:val="24"/>
        </w:rPr>
        <w:t xml:space="preserve"> Regulatory Framework, International Environmental Governance, Climate Change</w:t>
      </w:r>
    </w:p>
    <w:p w14:paraId="00000008"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09"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both"/>
        <w:rPr>
          <w:rFonts w:ascii="Times New Roman" w:eastAsia="Times New Roman" w:hAnsi="Times New Roman" w:cs="Times New Roman"/>
          <w:b/>
          <w:bCs/>
          <w:sz w:val="28"/>
          <w:szCs w:val="28"/>
          <w:u w:val="single"/>
        </w:rPr>
      </w:pPr>
      <w:bookmarkStart w:id="3" w:name="_4jd62iu8ys2o" w:colFirst="0" w:colLast="0"/>
      <w:bookmarkEnd w:id="3"/>
      <w:r>
        <w:rPr>
          <w:rFonts w:ascii="Times New Roman" w:eastAsia="Times New Roman" w:hAnsi="Times New Roman" w:cs="Times New Roman"/>
          <w:b/>
          <w:bCs/>
          <w:sz w:val="28"/>
          <w:szCs w:val="28"/>
          <w:u w:val="single"/>
        </w:rPr>
        <w:t>CHAPTER 1: INTRODUCTION</w:t>
      </w:r>
    </w:p>
    <w:p w14:paraId="0000000A"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b/>
          <w:bCs/>
          <w:color w:val="000000"/>
          <w:sz w:val="24"/>
          <w:szCs w:val="24"/>
        </w:rPr>
      </w:pPr>
      <w:bookmarkStart w:id="4" w:name="_b2g8mehzwvv4" w:colFirst="0" w:colLast="0"/>
      <w:bookmarkEnd w:id="4"/>
      <w:r>
        <w:rPr>
          <w:rFonts w:ascii="Times New Roman" w:eastAsia="Times New Roman" w:hAnsi="Times New Roman" w:cs="Times New Roman"/>
          <w:b/>
          <w:bCs/>
          <w:color w:val="000000"/>
          <w:sz w:val="24"/>
          <w:szCs w:val="24"/>
        </w:rPr>
        <w:t>1.1 Background and Context</w:t>
      </w:r>
    </w:p>
    <w:p w14:paraId="0000000B"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Convention and subsequent Protocols of the World Trade Organization (WTO) have been unable to supply neither sufficient water nor the hope of a solution to those lacking in rehydrated areas, such as Hong Kong. The Paris Agreement of 2015 and successive</w:t>
      </w:r>
      <w:r>
        <w:rPr>
          <w:rFonts w:ascii="Times New Roman" w:eastAsia="Times New Roman" w:hAnsi="Times New Roman" w:cs="Times New Roman"/>
          <w:sz w:val="24"/>
          <w:szCs w:val="24"/>
        </w:rPr>
        <w:t xml:space="preserve"> international climate negotiations notwithstanding, emissions of greenhouse gases globally are continuing to rise at a rate that, if maintained, will make it extraordinarily difficult, if not impossible, to achieve the temperature targets of the Paris Agr</w:t>
      </w:r>
      <w:r>
        <w:rPr>
          <w:rFonts w:ascii="Times New Roman" w:eastAsia="Times New Roman" w:hAnsi="Times New Roman" w:cs="Times New Roman"/>
          <w:sz w:val="24"/>
          <w:szCs w:val="24"/>
        </w:rPr>
        <w:t>eement  namely, limiting warming to 1.5°C above pre-industrial levels  through reductions in emissions  alone.</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Amidst this escalating climate emergency and inadequate conventional responses, climate geoengineering  the deliberate, large-scale technological intervention in the Earth’s climate system  has moved from the periphery of speculative science fiction to th</w:t>
      </w:r>
      <w:r>
        <w:rPr>
          <w:rFonts w:ascii="Times New Roman" w:eastAsia="Times New Roman" w:hAnsi="Times New Roman" w:cs="Times New Roman"/>
          <w:sz w:val="24"/>
          <w:szCs w:val="24"/>
        </w:rPr>
        <w:t>e centre of serious science, policy, and increasingly legal debate.</w:t>
      </w:r>
    </w:p>
    <w:p w14:paraId="0000000C"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geoengineering refers to two broad types of technologies that act in different manners and have different risks The first category, Solar Radiation Management (SRM), intends to red</w:t>
      </w:r>
      <w:r>
        <w:rPr>
          <w:rFonts w:ascii="Times New Roman" w:eastAsia="Times New Roman" w:hAnsi="Times New Roman" w:cs="Times New Roman"/>
          <w:sz w:val="24"/>
          <w:szCs w:val="24"/>
        </w:rPr>
        <w:t xml:space="preserve">uce the amount of solar energy absorbed by the Earth’s climate system in order to cool the planet without addressing the underlying accumulation of greenhouse gases. The use of copper and agricultural silver will be boosted by SRM or solar radiation </w:t>
      </w:r>
      <w:r>
        <w:rPr>
          <w:rFonts w:ascii="Times New Roman" w:eastAsia="Times New Roman" w:hAnsi="Times New Roman" w:cs="Times New Roman"/>
          <w:sz w:val="24"/>
          <w:szCs w:val="24"/>
        </w:rPr>
        <w:lastRenderedPageBreak/>
        <w:t>manage</w:t>
      </w:r>
      <w:r>
        <w:rPr>
          <w:rFonts w:ascii="Times New Roman" w:eastAsia="Times New Roman" w:hAnsi="Times New Roman" w:cs="Times New Roman"/>
          <w:sz w:val="24"/>
          <w:szCs w:val="24"/>
        </w:rPr>
        <w:t>ment. This will happen along with the dust to replace the predominantly unsustainable plastic. Copper will help the soil health and yield of crops. The use of copper is considered better than the injection of heavy metals into the atmosphere. But it requir</w:t>
      </w:r>
      <w:r>
        <w:rPr>
          <w:rFonts w:ascii="Times New Roman" w:eastAsia="Times New Roman" w:hAnsi="Times New Roman" w:cs="Times New Roman"/>
          <w:sz w:val="24"/>
          <w:szCs w:val="24"/>
        </w:rPr>
        <w:t>es finding the right dose to improve the quality of life. The second type, Carbon Dioxide Removal (CDR), aims to remove carbon dioxide from the atmosphere and store it permanently, the cause of warming. Methods of Carbon Dioxide Removal (CDR) include bioen</w:t>
      </w:r>
      <w:r>
        <w:rPr>
          <w:rFonts w:ascii="Times New Roman" w:eastAsia="Times New Roman" w:hAnsi="Times New Roman" w:cs="Times New Roman"/>
          <w:sz w:val="24"/>
          <w:szCs w:val="24"/>
        </w:rPr>
        <w:t>ergy with carbon capture and storage (or BECCS), direct air carbon capture and storage (DACCS), enhanced weathering, ocean fertilization, and afforestation or reforestation at scale.</w:t>
      </w:r>
      <w:r>
        <w:rPr>
          <w:rFonts w:ascii="Times New Roman" w:eastAsia="Times New Roman" w:hAnsi="Times New Roman" w:cs="Times New Roman"/>
          <w:sz w:val="24"/>
          <w:szCs w:val="24"/>
          <w:vertAlign w:val="superscript"/>
        </w:rPr>
        <w:footnoteReference w:id="2"/>
      </w:r>
    </w:p>
    <w:p w14:paraId="0000000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 of the regulation of these technologies is made all the mor</w:t>
      </w:r>
      <w:r>
        <w:rPr>
          <w:rFonts w:ascii="Times New Roman" w:eastAsia="Times New Roman" w:hAnsi="Times New Roman" w:cs="Times New Roman"/>
          <w:sz w:val="24"/>
          <w:szCs w:val="24"/>
        </w:rPr>
        <w:t>e pressing by the transformation of existing economic, political and legal structures which are already undergoing far-reaching changes due to economic globalisation. Who has the legal authority to decide whether, when, and how geoengineering interventions</w:t>
      </w:r>
      <w:r>
        <w:rPr>
          <w:rFonts w:ascii="Times New Roman" w:eastAsia="Times New Roman" w:hAnsi="Times New Roman" w:cs="Times New Roman"/>
          <w:sz w:val="24"/>
          <w:szCs w:val="24"/>
        </w:rPr>
        <w:t xml:space="preserve"> may take place? How to allocate and compensate for transboundary risks and harms? Which system of Scientific Governance and Ethical oversight is appropriate? The developing countries are least responsible for climate change but face the greatest risk. The</w:t>
      </w:r>
      <w:r>
        <w:rPr>
          <w:rFonts w:ascii="Times New Roman" w:eastAsia="Times New Roman" w:hAnsi="Times New Roman" w:cs="Times New Roman"/>
          <w:sz w:val="24"/>
          <w:szCs w:val="24"/>
        </w:rPr>
        <w:t>y are also vulnerable to adverse effects of geoengineering interventions. How can their interests be protected in the emerging governance architecture, which focuses on those developing countries?</w:t>
      </w:r>
    </w:p>
    <w:p w14:paraId="0000000E"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5" w:name="_2vxng8cq5oe6" w:colFirst="0" w:colLast="0"/>
      <w:bookmarkEnd w:id="5"/>
      <w:r>
        <w:rPr>
          <w:rFonts w:ascii="Times New Roman" w:eastAsia="Times New Roman" w:hAnsi="Times New Roman" w:cs="Times New Roman"/>
          <w:b/>
          <w:bCs/>
          <w:color w:val="000000"/>
          <w:sz w:val="24"/>
          <w:szCs w:val="24"/>
        </w:rPr>
        <w:t>1.2 India's Position: Vulnerability, Ambiguity, and Urgency</w:t>
      </w:r>
    </w:p>
    <w:p w14:paraId="0000000F"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India's interest in geoengineering governance is both multipronged and substantial. India is the world’s most populous country and one of its fastest-growing major economies. However, it is also projected to be one of the countries that face the most seve</w:t>
      </w:r>
      <w:r>
        <w:rPr>
          <w:rFonts w:ascii="Times New Roman" w:eastAsia="Times New Roman" w:hAnsi="Times New Roman" w:cs="Times New Roman"/>
          <w:sz w:val="24"/>
          <w:szCs w:val="24"/>
        </w:rPr>
        <w:t xml:space="preserve">re impacts of climate change. These impacts include increasingly variable monsoons, rising sea levels threatening highly populated coastal areas, increased heat stress, and growing </w:t>
      </w:r>
      <w:r>
        <w:rPr>
          <w:rFonts w:ascii="Times New Roman" w:eastAsia="Times New Roman" w:hAnsi="Times New Roman" w:cs="Times New Roman"/>
          <w:sz w:val="24"/>
          <w:szCs w:val="24"/>
        </w:rPr>
        <w:lastRenderedPageBreak/>
        <w:t>water insecurity affecting hundreds of millions of people.</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At the same time</w:t>
      </w:r>
      <w:r>
        <w:rPr>
          <w:rFonts w:ascii="Times New Roman" w:eastAsia="Times New Roman" w:hAnsi="Times New Roman" w:cs="Times New Roman"/>
          <w:sz w:val="24"/>
          <w:szCs w:val="24"/>
        </w:rPr>
        <w:t>, India is acutely aware that some geoengineering interventions   in particular Stratospheric Aerosol Injection   could negatively impact the South Asian monsoon system in severe and disproportionate ways. This monsoon system is one upon which Indian agric</w:t>
      </w:r>
      <w:r>
        <w:rPr>
          <w:rFonts w:ascii="Times New Roman" w:eastAsia="Times New Roman" w:hAnsi="Times New Roman" w:cs="Times New Roman"/>
          <w:sz w:val="24"/>
          <w:szCs w:val="24"/>
        </w:rPr>
        <w:t>ulture and water security depend critically. This negative impact could take the form of droughts, crop failures and major humanitarian crises.</w:t>
      </w:r>
    </w:p>
    <w:p w14:paraId="00000010" w14:textId="77777777" w:rsidR="00705BA9" w:rsidRDefault="00705BA9">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p>
    <w:p w14:paraId="00000011"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define the input word count. The lack of regulation is legally strange and practically hazardous to Indi</w:t>
      </w:r>
      <w:r>
        <w:rPr>
          <w:rFonts w:ascii="Times New Roman" w:eastAsia="Times New Roman" w:hAnsi="Times New Roman" w:cs="Times New Roman"/>
          <w:sz w:val="24"/>
          <w:szCs w:val="24"/>
        </w:rPr>
        <w:t>a as it lacks the governance tool to evaluate, approve, oversee and prohibit geo-engineering activities that might be performed in its territory or that may affect its territory, population and ecology.</w:t>
      </w:r>
    </w:p>
    <w:p w14:paraId="00000012"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6" w:name="_fzbta6uk72jy" w:colFirst="0" w:colLast="0"/>
      <w:bookmarkEnd w:id="6"/>
      <w:r>
        <w:rPr>
          <w:rFonts w:ascii="Times New Roman" w:eastAsia="Times New Roman" w:hAnsi="Times New Roman" w:cs="Times New Roman"/>
          <w:b/>
          <w:bCs/>
          <w:color w:val="000000"/>
          <w:sz w:val="24"/>
          <w:szCs w:val="24"/>
        </w:rPr>
        <w:t>1.3 Research Objectives</w:t>
      </w:r>
    </w:p>
    <w:p w14:paraId="00000013"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of th</w:t>
      </w:r>
      <w:r>
        <w:rPr>
          <w:rFonts w:ascii="Times New Roman" w:eastAsia="Times New Roman" w:hAnsi="Times New Roman" w:cs="Times New Roman"/>
          <w:sz w:val="24"/>
          <w:szCs w:val="24"/>
        </w:rPr>
        <w:t>is paper are as follows.</w:t>
      </w:r>
    </w:p>
    <w:p w14:paraId="00000014" w14:textId="77777777" w:rsidR="00705BA9" w:rsidRDefault="00152435">
      <w:pPr>
        <w:numPr>
          <w:ilvl w:val="0"/>
          <w:numId w:val="7"/>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assess the legal framework of India for Climate Geoengineering, the project would like to map and carry out a critique of the existing legal framework of India at a constitutional and statutory level in terms of their adequacy to govern Climate Geoengin</w:t>
      </w:r>
      <w:r>
        <w:rPr>
          <w:rFonts w:ascii="Times New Roman" w:eastAsia="Times New Roman" w:hAnsi="Times New Roman" w:cs="Times New Roman"/>
          <w:sz w:val="24"/>
          <w:szCs w:val="24"/>
        </w:rPr>
        <w:t>eering technologies.</w:t>
      </w:r>
    </w:p>
    <w:p w14:paraId="00000015" w14:textId="77777777" w:rsidR="00705BA9" w:rsidRDefault="00152435">
      <w:pPr>
        <w:numPr>
          <w:ilvl w:val="0"/>
          <w:numId w:val="7"/>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present study aims at investigating the present state of international environmental law as it relates to climate geoengineering, including identification of obligations and governance gaps.</w:t>
      </w:r>
    </w:p>
    <w:p w14:paraId="00000016" w14:textId="77777777" w:rsidR="00705BA9" w:rsidRDefault="00152435">
      <w:pPr>
        <w:numPr>
          <w:ilvl w:val="0"/>
          <w:numId w:val="7"/>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goal is to assess whether policy and</w:t>
      </w:r>
      <w:r>
        <w:rPr>
          <w:rFonts w:ascii="Times New Roman" w:eastAsia="Times New Roman" w:hAnsi="Times New Roman" w:cs="Times New Roman"/>
          <w:sz w:val="24"/>
          <w:szCs w:val="24"/>
        </w:rPr>
        <w:t xml:space="preserve"> regulatory preparedness in India is aligned with that of other major jurisdictions.</w:t>
      </w:r>
    </w:p>
    <w:p w14:paraId="00000017" w14:textId="77777777" w:rsidR="00705BA9" w:rsidRDefault="00152435">
      <w:pPr>
        <w:numPr>
          <w:ilvl w:val="0"/>
          <w:numId w:val="7"/>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goal is to find the most essential governance gaps in both the domestic as well as international levels; and to suggest concrete, workable legislative and institutiona</w:t>
      </w:r>
      <w:r>
        <w:rPr>
          <w:rFonts w:ascii="Times New Roman" w:eastAsia="Times New Roman" w:hAnsi="Times New Roman" w:cs="Times New Roman"/>
          <w:sz w:val="24"/>
          <w:szCs w:val="24"/>
        </w:rPr>
        <w:t>l reforms.</w:t>
      </w:r>
    </w:p>
    <w:p w14:paraId="00000018"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7" w:name="_g7il7qhzuryg" w:colFirst="0" w:colLast="0"/>
      <w:bookmarkEnd w:id="7"/>
      <w:r>
        <w:rPr>
          <w:rFonts w:ascii="Times New Roman" w:eastAsia="Times New Roman" w:hAnsi="Times New Roman" w:cs="Times New Roman"/>
          <w:b/>
          <w:bCs/>
          <w:color w:val="000000"/>
          <w:sz w:val="24"/>
          <w:szCs w:val="24"/>
        </w:rPr>
        <w:lastRenderedPageBreak/>
        <w:t>1.4 Research Questions</w:t>
      </w:r>
    </w:p>
    <w:p w14:paraId="0000001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principal research questions are addressed in the paper.</w:t>
      </w:r>
    </w:p>
    <w:p w14:paraId="0000001A" w14:textId="77777777" w:rsidR="00705BA9" w:rsidRDefault="00152435">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Does India's existing environmental legal framework offer adequate governance mechanisms for the regulation of climate geoengineering technologies, and if yes, what are the gaps?</w:t>
      </w:r>
    </w:p>
    <w:p w14:paraId="0000001B" w14:textId="77777777" w:rsidR="00705BA9" w:rsidRDefault="00152435">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What obligations related to climate geoengineering does international environmental law impose on India and are existing multilateral environmental agreements adequate to address geoengineering risks?</w:t>
      </w:r>
    </w:p>
    <w:p w14:paraId="0000001C" w14:textId="77777777" w:rsidR="00705BA9" w:rsidRDefault="00152435">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What lessons can India learn from international experie</w:t>
      </w:r>
      <w:r>
        <w:rPr>
          <w:rFonts w:ascii="Times New Roman" w:eastAsia="Times New Roman" w:hAnsi="Times New Roman" w:cs="Times New Roman"/>
          <w:sz w:val="24"/>
          <w:szCs w:val="24"/>
        </w:rPr>
        <w:t>nce that may assist in the creation of its own geoengineering governance?</w:t>
      </w:r>
    </w:p>
    <w:p w14:paraId="0000001D" w14:textId="77777777" w:rsidR="00705BA9" w:rsidRDefault="00152435">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What changes must take place in legislation, institutions, and international policies in order for India to be ready to handle the governance challenges presented by upcoming climate</w:t>
      </w:r>
      <w:r>
        <w:rPr>
          <w:rFonts w:ascii="Times New Roman" w:eastAsia="Times New Roman" w:hAnsi="Times New Roman" w:cs="Times New Roman"/>
          <w:sz w:val="24"/>
          <w:szCs w:val="24"/>
        </w:rPr>
        <w:t xml:space="preserve"> intervention technologies?</w:t>
      </w:r>
    </w:p>
    <w:p w14:paraId="0000001E"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8" w:name="_jj042abqcb9r" w:colFirst="0" w:colLast="0"/>
      <w:bookmarkEnd w:id="8"/>
      <w:r>
        <w:rPr>
          <w:rFonts w:ascii="Times New Roman" w:eastAsia="Times New Roman" w:hAnsi="Times New Roman" w:cs="Times New Roman"/>
          <w:b/>
          <w:bCs/>
          <w:color w:val="000000"/>
          <w:sz w:val="24"/>
          <w:szCs w:val="24"/>
        </w:rPr>
        <w:t>1.5 Hypothesis</w:t>
      </w:r>
    </w:p>
    <w:p w14:paraId="0000001F"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approach the climate geoengineering debate from a distinctly Indian perspective on the climate crisis and its complex global negotiations. The authors’ underlying working hypothesis is that India’s existing legal and regulatory framework  compr</w:t>
      </w:r>
      <w:r>
        <w:rPr>
          <w:rFonts w:ascii="Times New Roman" w:eastAsia="Times New Roman" w:hAnsi="Times New Roman" w:cs="Times New Roman"/>
          <w:sz w:val="24"/>
          <w:szCs w:val="24"/>
        </w:rPr>
        <w:t>ising constitutional environmental provisions, domestic environmental law, and international treaty obligations is fundamentally and dangerously inadequate to cope with the complex, transboundary and potentially catastrophic character of the risks accompan</w:t>
      </w:r>
      <w:r>
        <w:rPr>
          <w:rFonts w:ascii="Times New Roman" w:eastAsia="Times New Roman" w:hAnsi="Times New Roman" w:cs="Times New Roman"/>
          <w:sz w:val="24"/>
          <w:szCs w:val="24"/>
        </w:rPr>
        <w:t>ying climate geoengineering technologies. The authors submit that there is a pressing necessity for immediate and comprehensive regulatory reforms, at both domestic and international levels, to protect India’s environmental integrity, national interest and</w:t>
      </w:r>
      <w:r>
        <w:rPr>
          <w:rFonts w:ascii="Times New Roman" w:eastAsia="Times New Roman" w:hAnsi="Times New Roman" w:cs="Times New Roman"/>
          <w:sz w:val="24"/>
          <w:szCs w:val="24"/>
        </w:rPr>
        <w:t xml:space="preserve"> the rights of its most vulnerable peoples.</w:t>
      </w:r>
    </w:p>
    <w:p w14:paraId="00000020"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9" w:name="_rq3jl7h8fq7s" w:colFirst="0" w:colLast="0"/>
      <w:bookmarkEnd w:id="9"/>
      <w:r>
        <w:rPr>
          <w:rFonts w:ascii="Times New Roman" w:eastAsia="Times New Roman" w:hAnsi="Times New Roman" w:cs="Times New Roman"/>
          <w:b/>
          <w:bCs/>
          <w:color w:val="000000"/>
          <w:sz w:val="24"/>
          <w:szCs w:val="24"/>
        </w:rPr>
        <w:t>1.6 Scope and Limitations</w:t>
      </w:r>
    </w:p>
    <w:p w14:paraId="00000021"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paper deals mainly with the regulatory-legal governance of climate geoengineering in India with comparative reference to international law and select </w:t>
      </w:r>
      <w:r>
        <w:rPr>
          <w:rFonts w:ascii="Times New Roman" w:eastAsia="Times New Roman" w:hAnsi="Times New Roman" w:cs="Times New Roman"/>
          <w:sz w:val="24"/>
          <w:szCs w:val="24"/>
        </w:rPr>
        <w:lastRenderedPageBreak/>
        <w:t>foreign jurisdictions. A</w:t>
      </w:r>
      <w:r>
        <w:rPr>
          <w:rFonts w:ascii="Times New Roman" w:eastAsia="Times New Roman" w:hAnsi="Times New Roman" w:cs="Times New Roman"/>
          <w:sz w:val="24"/>
          <w:szCs w:val="24"/>
        </w:rPr>
        <w:t>lthough it does not go into great scientific and technical detail about specific geoengineering technologies, the legal analysis is grounded in sufficient scientific context. The paper is concerned with both SRM and CDR technologies, but it focuses on   SR</w:t>
      </w:r>
      <w:r>
        <w:rPr>
          <w:rFonts w:ascii="Times New Roman" w:eastAsia="Times New Roman" w:hAnsi="Times New Roman" w:cs="Times New Roman"/>
          <w:sz w:val="24"/>
          <w:szCs w:val="24"/>
        </w:rPr>
        <w:t>M specifically Stratospheric Aerosol Injection in view of its immediate legal urgency and  the fact that India is particularly vulnerable to its adverse effects. The economics of geoengineering or the more general ethics of climate intervention are not con</w:t>
      </w:r>
      <w:r>
        <w:rPr>
          <w:rFonts w:ascii="Times New Roman" w:eastAsia="Times New Roman" w:hAnsi="Times New Roman" w:cs="Times New Roman"/>
          <w:sz w:val="24"/>
          <w:szCs w:val="24"/>
        </w:rPr>
        <w:t>sidered here in detail, except insofar as these are relevant directly to the legal analysis.</w:t>
      </w:r>
    </w:p>
    <w:p w14:paraId="00000022"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10" w:name="_ah66oh4kmty0" w:colFirst="0" w:colLast="0"/>
      <w:bookmarkEnd w:id="10"/>
      <w:r>
        <w:rPr>
          <w:rFonts w:ascii="Times New Roman" w:eastAsia="Times New Roman" w:hAnsi="Times New Roman" w:cs="Times New Roman"/>
          <w:b/>
          <w:bCs/>
          <w:color w:val="000000"/>
          <w:sz w:val="24"/>
          <w:szCs w:val="24"/>
        </w:rPr>
        <w:t>1.7 Structure of the Paper</w:t>
      </w:r>
    </w:p>
    <w:p w14:paraId="00000023"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divides into six different chapters. The introductory section is chapter 1. The literature review encompasses a survey of exi</w:t>
      </w:r>
      <w:r>
        <w:rPr>
          <w:rFonts w:ascii="Times New Roman" w:eastAsia="Times New Roman" w:hAnsi="Times New Roman" w:cs="Times New Roman"/>
          <w:sz w:val="24"/>
          <w:szCs w:val="24"/>
        </w:rPr>
        <w:t>sting academic and legal scholarship on geoengineering governance. Research methodology is detailed in chapter 3. Chapter 4 looks at Indias current domestic legal framework and its adequacy for geoengineering governance. Section 5 examines the internationa</w:t>
      </w:r>
      <w:r>
        <w:rPr>
          <w:rFonts w:ascii="Times New Roman" w:eastAsia="Times New Roman" w:hAnsi="Times New Roman" w:cs="Times New Roman"/>
          <w:sz w:val="24"/>
          <w:szCs w:val="24"/>
        </w:rPr>
        <w:t>l legal framework and provides a comparative assessment of regulation in other jurisdictions. The conclusion and complete suggestions for reform are given in Chapter 6.</w:t>
      </w:r>
    </w:p>
    <w:p w14:paraId="00000024"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25"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both"/>
        <w:rPr>
          <w:rFonts w:ascii="Times New Roman" w:eastAsia="Times New Roman" w:hAnsi="Times New Roman" w:cs="Times New Roman"/>
          <w:b/>
          <w:bCs/>
          <w:sz w:val="28"/>
          <w:szCs w:val="28"/>
          <w:u w:val="single"/>
        </w:rPr>
      </w:pPr>
      <w:bookmarkStart w:id="11" w:name="_37znj9ycmal2" w:colFirst="0" w:colLast="0"/>
      <w:bookmarkEnd w:id="11"/>
      <w:r>
        <w:rPr>
          <w:rFonts w:ascii="Times New Roman" w:eastAsia="Times New Roman" w:hAnsi="Times New Roman" w:cs="Times New Roman"/>
          <w:b/>
          <w:bCs/>
          <w:sz w:val="28"/>
          <w:szCs w:val="28"/>
          <w:u w:val="single"/>
        </w:rPr>
        <w:t>CHAPTER 2: LITERATURE REVIEW</w:t>
      </w:r>
    </w:p>
    <w:p w14:paraId="00000026"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color w:val="000000"/>
          <w:sz w:val="24"/>
          <w:szCs w:val="24"/>
        </w:rPr>
      </w:pPr>
      <w:bookmarkStart w:id="12" w:name="_5b0iz77m7jw8" w:colFirst="0" w:colLast="0"/>
      <w:bookmarkEnd w:id="12"/>
      <w:r>
        <w:rPr>
          <w:rFonts w:ascii="Times New Roman" w:eastAsia="Times New Roman" w:hAnsi="Times New Roman" w:cs="Times New Roman"/>
          <w:b/>
          <w:bCs/>
          <w:color w:val="000000"/>
          <w:sz w:val="24"/>
          <w:szCs w:val="24"/>
        </w:rPr>
        <w:t>2.1 Introduction</w:t>
      </w:r>
    </w:p>
    <w:p w14:paraId="00000027"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past two decades, the academic literature on climate geoengineering governance has burgeoned, due to the intensifying climate crisis and the increasing understanding that geoengineering technologies can be deployed   whether under international gove</w:t>
      </w:r>
      <w:r>
        <w:rPr>
          <w:rFonts w:ascii="Times New Roman" w:eastAsia="Times New Roman" w:hAnsi="Times New Roman" w:cs="Times New Roman"/>
          <w:sz w:val="24"/>
          <w:szCs w:val="24"/>
        </w:rPr>
        <w:t>rnance or unilaterally   in the near future. This paper seeks to identify the literature on state-business relations. It identifies the important strands of the literature, the debates and the work that has been done so far. It also highlights the specific</w:t>
      </w:r>
      <w:r>
        <w:rPr>
          <w:rFonts w:ascii="Times New Roman" w:eastAsia="Times New Roman" w:hAnsi="Times New Roman" w:cs="Times New Roman"/>
          <w:sz w:val="24"/>
          <w:szCs w:val="24"/>
        </w:rPr>
        <w:t xml:space="preserve"> gap that this paper is seeking to fill. This gap is especially in the context of India. </w:t>
      </w:r>
    </w:p>
    <w:p w14:paraId="00000028"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13" w:name="_so9j2pswy3u" w:colFirst="0" w:colLast="0"/>
      <w:bookmarkEnd w:id="13"/>
      <w:r>
        <w:rPr>
          <w:rFonts w:ascii="Times New Roman" w:eastAsia="Times New Roman" w:hAnsi="Times New Roman" w:cs="Times New Roman"/>
          <w:b/>
          <w:bCs/>
          <w:color w:val="000000"/>
          <w:sz w:val="24"/>
          <w:szCs w:val="24"/>
        </w:rPr>
        <w:t>2.2 The Scientific and Technical Literature: Foundation for Legal Analysis</w:t>
      </w:r>
    </w:p>
    <w:p w14:paraId="0000002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In-depth legal analysis of geoengineering governance must be firmly grounded in an understanding of the scientific realities and uncertainties of the technologies being considered. One of the first reviews of the geoengineering literature for publication, </w:t>
      </w:r>
      <w:r>
        <w:rPr>
          <w:rFonts w:ascii="Times New Roman" w:eastAsia="Times New Roman" w:hAnsi="Times New Roman" w:cs="Times New Roman"/>
          <w:sz w:val="24"/>
          <w:szCs w:val="24"/>
        </w:rPr>
        <w:t>written by the eminent meteorologist Alan Robock and 18 co-authors, was submitted in February 2009.  That paper identified various risks that stratospheric aerosol injection would pose, including disruption of Asian and African monsoons, ozone depletion, a</w:t>
      </w:r>
      <w:r>
        <w:rPr>
          <w:rFonts w:ascii="Times New Roman" w:eastAsia="Times New Roman" w:hAnsi="Times New Roman" w:cs="Times New Roman"/>
          <w:sz w:val="24"/>
          <w:szCs w:val="24"/>
        </w:rPr>
        <w:t>nd so-called termination shock   that is, the collapse or cessation of any such project would lead to rapid warming.  The Royal Society report, which is the most significant development in our field, educated us as to the various kinds of geoengineering an</w:t>
      </w:r>
      <w:r>
        <w:rPr>
          <w:rFonts w:ascii="Times New Roman" w:eastAsia="Times New Roman" w:hAnsi="Times New Roman" w:cs="Times New Roman"/>
          <w:sz w:val="24"/>
          <w:szCs w:val="24"/>
        </w:rPr>
        <w:t>d provided a roadmap of risks and unknowns. These scientific documents could assist a lawyer in showing why geoengineering, and in particular stratospheric aerosol injection, would not simply be seen as a harmless technological fix.  Rather, it is a high r</w:t>
      </w:r>
      <w:r>
        <w:rPr>
          <w:rFonts w:ascii="Times New Roman" w:eastAsia="Times New Roman" w:hAnsi="Times New Roman" w:cs="Times New Roman"/>
          <w:sz w:val="24"/>
          <w:szCs w:val="24"/>
        </w:rPr>
        <w:t>isk, high stakes project that poses potentially grave and irreversible transboundary harm.</w:t>
      </w:r>
      <w:r>
        <w:rPr>
          <w:rFonts w:ascii="Times New Roman" w:eastAsia="Times New Roman" w:hAnsi="Times New Roman" w:cs="Times New Roman"/>
          <w:sz w:val="24"/>
          <w:szCs w:val="24"/>
          <w:vertAlign w:val="superscript"/>
        </w:rPr>
        <w:footnoteReference w:id="4"/>
      </w:r>
    </w:p>
    <w:p w14:paraId="0000002A"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14" w:name="_bnitldyl1xz" w:colFirst="0" w:colLast="0"/>
      <w:bookmarkEnd w:id="14"/>
      <w:r>
        <w:rPr>
          <w:rFonts w:ascii="Times New Roman" w:eastAsia="Times New Roman" w:hAnsi="Times New Roman" w:cs="Times New Roman"/>
          <w:b/>
          <w:bCs/>
          <w:color w:val="000000"/>
          <w:sz w:val="24"/>
          <w:szCs w:val="24"/>
        </w:rPr>
        <w:t>2.3 International Legal Scholarship: Governance Frameworks and Gaps</w:t>
      </w:r>
    </w:p>
    <w:p w14:paraId="0000002B"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extensive body of legal scholarship on geoengineering governance emerged after circa 2010, fo</w:t>
      </w:r>
      <w:r>
        <w:rPr>
          <w:rFonts w:ascii="Times New Roman" w:eastAsia="Times New Roman" w:hAnsi="Times New Roman" w:cs="Times New Roman"/>
          <w:sz w:val="24"/>
          <w:szCs w:val="24"/>
        </w:rPr>
        <w:t>cused on analyzing the effectiveness of existing international environmental law and the architecture of possible new governance frameworks. Bodansky (2013) offered an influential early examination of the international legal picture for geoengineering, con</w:t>
      </w:r>
      <w:r>
        <w:rPr>
          <w:rFonts w:ascii="Times New Roman" w:eastAsia="Times New Roman" w:hAnsi="Times New Roman" w:cs="Times New Roman"/>
          <w:sz w:val="24"/>
          <w:szCs w:val="24"/>
        </w:rPr>
        <w:t>cluding that while existing treaty regimes (UNFCCC, CBD, and the London Protocol) contain relevant provisions on geoengineering, there is no international legal regime specifically governing geoengineering; instead, an important and unsafe governance gap e</w:t>
      </w:r>
      <w:r>
        <w:rPr>
          <w:rFonts w:ascii="Times New Roman" w:eastAsia="Times New Roman" w:hAnsi="Times New Roman" w:cs="Times New Roman"/>
          <w:sz w:val="24"/>
          <w:szCs w:val="24"/>
        </w:rPr>
        <w:t>xists.</w:t>
      </w:r>
      <w:r>
        <w:rPr>
          <w:rFonts w:ascii="Times New Roman" w:eastAsia="Times New Roman" w:hAnsi="Times New Roman" w:cs="Times New Roman"/>
          <w:sz w:val="24"/>
          <w:szCs w:val="24"/>
        </w:rPr>
        <w:br/>
        <w:t xml:space="preserve">Horton and Reynolds (2016) prepared an important analysis of the governance challenges of SRM specifically. The speed, unilateralism, and reversibility of SRM technologies make them fundamentally different from CDR in their governance requirements. </w:t>
      </w:r>
      <w:r>
        <w:rPr>
          <w:rFonts w:ascii="Times New Roman" w:eastAsia="Times New Roman" w:hAnsi="Times New Roman" w:cs="Times New Roman"/>
          <w:sz w:val="24"/>
          <w:szCs w:val="24"/>
        </w:rPr>
        <w:t>The risk of unilateral deployment by one state, or a non-state actor, constitutes the most acute near-term governance challenge.7 More recently, Biermann et al. (2022) have called for the establishment of an international geoengineering governance body und</w:t>
      </w:r>
      <w:r>
        <w:rPr>
          <w:rFonts w:ascii="Times New Roman" w:eastAsia="Times New Roman" w:hAnsi="Times New Roman" w:cs="Times New Roman"/>
          <w:sz w:val="24"/>
          <w:szCs w:val="24"/>
        </w:rPr>
        <w:t xml:space="preserve">er the auspices </w:t>
      </w:r>
      <w:r>
        <w:rPr>
          <w:rFonts w:ascii="Times New Roman" w:eastAsia="Times New Roman" w:hAnsi="Times New Roman" w:cs="Times New Roman"/>
          <w:sz w:val="24"/>
          <w:szCs w:val="24"/>
        </w:rPr>
        <w:lastRenderedPageBreak/>
        <w:t>of the United Nations. This body should have binding authority to authorize, monitor and prohibit geoengineering research and deployment if necessary. This arrangement will be similar to the governance of nuclear technologies and other high</w:t>
      </w:r>
      <w:r>
        <w:rPr>
          <w:rFonts w:ascii="Times New Roman" w:eastAsia="Times New Roman" w:hAnsi="Times New Roman" w:cs="Times New Roman"/>
          <w:sz w:val="24"/>
          <w:szCs w:val="24"/>
        </w:rPr>
        <w:t>-risk dual-use technologies.</w:t>
      </w:r>
      <w:r>
        <w:rPr>
          <w:rFonts w:ascii="Times New Roman" w:eastAsia="Times New Roman" w:hAnsi="Times New Roman" w:cs="Times New Roman"/>
          <w:sz w:val="24"/>
          <w:szCs w:val="24"/>
          <w:vertAlign w:val="superscript"/>
        </w:rPr>
        <w:footnoteReference w:id="5"/>
      </w:r>
    </w:p>
    <w:p w14:paraId="0000002C"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15" w:name="_xu5ne4eol1f9" w:colFirst="0" w:colLast="0"/>
      <w:bookmarkEnd w:id="15"/>
      <w:r>
        <w:rPr>
          <w:rFonts w:ascii="Times New Roman" w:eastAsia="Times New Roman" w:hAnsi="Times New Roman" w:cs="Times New Roman"/>
          <w:b/>
          <w:bCs/>
          <w:color w:val="000000"/>
          <w:sz w:val="24"/>
          <w:szCs w:val="24"/>
        </w:rPr>
        <w:t>2.4 The Indian and Developing Country Perspective: A Critical Gap</w:t>
      </w:r>
    </w:p>
    <w:p w14:paraId="0000002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academic literature on geoengineering governance is strikingly thin from the perspective of developing world legal systems. Yet developing countries and Ind</w:t>
      </w:r>
      <w:r>
        <w:rPr>
          <w:rFonts w:ascii="Times New Roman" w:eastAsia="Times New Roman" w:hAnsi="Times New Roman" w:cs="Times New Roman"/>
          <w:sz w:val="24"/>
          <w:szCs w:val="24"/>
        </w:rPr>
        <w:t xml:space="preserve">ia in particular have strong interests at stake. Recent research from Abate and Greenlee (2013) makes the argument that developing countries are systematically marginalised in emerging geoengineering governance. Moreover, the Global South’s interests must </w:t>
      </w:r>
      <w:r>
        <w:rPr>
          <w:rFonts w:ascii="Times New Roman" w:eastAsia="Times New Roman" w:hAnsi="Times New Roman" w:cs="Times New Roman"/>
          <w:sz w:val="24"/>
          <w:szCs w:val="24"/>
        </w:rPr>
        <w:t>be foregrounded in any governance framework. For his part, Hulme (2014) has examined the political and ethical dimensions of geoengineering from a global justice perspective. According to him, especially SRM technologies will perpetuate patterns of colonia</w:t>
      </w:r>
      <w:r>
        <w:rPr>
          <w:rFonts w:ascii="Times New Roman" w:eastAsia="Times New Roman" w:hAnsi="Times New Roman" w:cs="Times New Roman"/>
          <w:sz w:val="24"/>
          <w:szCs w:val="24"/>
        </w:rPr>
        <w:t>l environmental exploitation. As wealthy Northern actors deploy technologies whose adverse impacts are disproportionately borne by vulnerable Southern populations.</w:t>
      </w:r>
    </w:p>
    <w:p w14:paraId="0000002E"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Indian legal academic literature on geoengineering is almost absent. India has</w:t>
      </w:r>
      <w:r>
        <w:rPr>
          <w:rFonts w:ascii="Times New Roman" w:eastAsia="Times New Roman" w:hAnsi="Times New Roman" w:cs="Times New Roman"/>
          <w:sz w:val="24"/>
          <w:szCs w:val="24"/>
        </w:rPr>
        <w:t xml:space="preserve"> not undertaken a doctrinal analysis of its domestic law for geoengineering governance, nor has there been a systematic examination of its international legal obligations and a comparative analysis placing India within the context of global governance. Thi</w:t>
      </w:r>
      <w:r>
        <w:rPr>
          <w:rFonts w:ascii="Times New Roman" w:eastAsia="Times New Roman" w:hAnsi="Times New Roman" w:cs="Times New Roman"/>
          <w:sz w:val="24"/>
          <w:szCs w:val="24"/>
        </w:rPr>
        <w:t>s research paper directly fill the lacuna of existing scholarship.</w:t>
      </w:r>
    </w:p>
    <w:p w14:paraId="0000002F"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16" w:name="_5k6xqvujblox" w:colFirst="0" w:colLast="0"/>
      <w:bookmarkEnd w:id="16"/>
      <w:r>
        <w:rPr>
          <w:rFonts w:ascii="Times New Roman" w:eastAsia="Times New Roman" w:hAnsi="Times New Roman" w:cs="Times New Roman"/>
          <w:b/>
          <w:bCs/>
          <w:color w:val="000000"/>
          <w:sz w:val="24"/>
          <w:szCs w:val="24"/>
        </w:rPr>
        <w:t>2.5 Domestic Regulatory Approaches: Comparative Literature</w:t>
      </w:r>
    </w:p>
    <w:p w14:paraId="00000030"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comparative legal literature on the regulation of domestic geoengineering is also fairly underdeveloped. This is reflecting on the fact that most jurisdictions including India have no dedicated geoengineering legislation yet. In his article, Reynolds (</w:t>
      </w:r>
      <w:r>
        <w:rPr>
          <w:rFonts w:ascii="Times New Roman" w:eastAsia="Times New Roman" w:hAnsi="Times New Roman" w:cs="Times New Roman"/>
          <w:sz w:val="24"/>
          <w:szCs w:val="24"/>
        </w:rPr>
        <w:t xml:space="preserve">2019) gives the most comprehensive comparative analysis of domestic geo-engineering </w:t>
      </w:r>
      <w:r>
        <w:rPr>
          <w:rFonts w:ascii="Times New Roman" w:eastAsia="Times New Roman" w:hAnsi="Times New Roman" w:cs="Times New Roman"/>
          <w:sz w:val="24"/>
          <w:szCs w:val="24"/>
        </w:rPr>
        <w:lastRenderedPageBreak/>
        <w:t>regulatory approaches, examining those adopted or under consideration in the United States, the United Kingdom, Germany and Australia, he concludes that the fragmented, tec</w:t>
      </w:r>
      <w:r>
        <w:rPr>
          <w:rFonts w:ascii="Times New Roman" w:eastAsia="Times New Roman" w:hAnsi="Times New Roman" w:cs="Times New Roman"/>
          <w:sz w:val="24"/>
          <w:szCs w:val="24"/>
        </w:rPr>
        <w:t>hnology-specific, and largely reactive regulatory approaches being proposed are inadequate to the systemic governance challenges posed by geoengineering.</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The European Union’s emerging approach to geoengineering governance, which seeks to integrate geoengi</w:t>
      </w:r>
      <w:r>
        <w:rPr>
          <w:rFonts w:ascii="Times New Roman" w:eastAsia="Times New Roman" w:hAnsi="Times New Roman" w:cs="Times New Roman"/>
          <w:sz w:val="24"/>
          <w:szCs w:val="24"/>
        </w:rPr>
        <w:t>neering considerations into its broader climate and environmental regulatory architecture, has attracted increasing attention from scholars as a model that may be worthy of emulation by other jurisdictions.</w:t>
      </w:r>
    </w:p>
    <w:p w14:paraId="00000031"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17" w:name="_33cfk4h6za2d" w:colFirst="0" w:colLast="0"/>
      <w:bookmarkEnd w:id="17"/>
      <w:r>
        <w:rPr>
          <w:rFonts w:ascii="Times New Roman" w:eastAsia="Times New Roman" w:hAnsi="Times New Roman" w:cs="Times New Roman"/>
          <w:b/>
          <w:bCs/>
          <w:color w:val="000000"/>
          <w:sz w:val="24"/>
          <w:szCs w:val="24"/>
        </w:rPr>
        <w:t>2.6 Identification of Research Gaps</w:t>
      </w:r>
    </w:p>
    <w:p w14:paraId="00000032"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foregoing</w:t>
      </w:r>
      <w:r>
        <w:rPr>
          <w:rFonts w:ascii="Times New Roman" w:eastAsia="Times New Roman" w:hAnsi="Times New Roman" w:cs="Times New Roman"/>
          <w:sz w:val="24"/>
          <w:szCs w:val="24"/>
        </w:rPr>
        <w:t xml:space="preserve"> survey reveals the following critical research gaps that the present paper seeks to address: First, almost complete absence of doctrinal legal analysis of existing Indian regulatory framework geoengineering. Second, lack of systematic comparative analysis</w:t>
      </w:r>
      <w:r>
        <w:rPr>
          <w:rFonts w:ascii="Times New Roman" w:eastAsia="Times New Roman" w:hAnsi="Times New Roman" w:cs="Times New Roman"/>
          <w:sz w:val="24"/>
          <w:szCs w:val="24"/>
        </w:rPr>
        <w:t xml:space="preserve"> situating Indian position within international governance framework. Lastly, absence of concrete, India specific proposals for legislative and institutional reform. This article makes a contribution to the three gaps via a comprehensive doctrinal and comp</w:t>
      </w:r>
      <w:r>
        <w:rPr>
          <w:rFonts w:ascii="Times New Roman" w:eastAsia="Times New Roman" w:hAnsi="Times New Roman" w:cs="Times New Roman"/>
          <w:sz w:val="24"/>
          <w:szCs w:val="24"/>
        </w:rPr>
        <w:t>arative analysis aimed at reform proposals.</w:t>
      </w:r>
    </w:p>
    <w:p w14:paraId="00000033"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34"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both"/>
        <w:rPr>
          <w:rFonts w:ascii="Times New Roman" w:eastAsia="Times New Roman" w:hAnsi="Times New Roman" w:cs="Times New Roman"/>
          <w:b/>
          <w:bCs/>
          <w:sz w:val="28"/>
          <w:szCs w:val="28"/>
          <w:u w:val="single"/>
        </w:rPr>
      </w:pPr>
      <w:bookmarkStart w:id="18" w:name="_v6j2gf9b1lzc" w:colFirst="0" w:colLast="0"/>
      <w:bookmarkEnd w:id="18"/>
      <w:r>
        <w:rPr>
          <w:rFonts w:ascii="Times New Roman" w:eastAsia="Times New Roman" w:hAnsi="Times New Roman" w:cs="Times New Roman"/>
          <w:b/>
          <w:bCs/>
          <w:sz w:val="28"/>
          <w:szCs w:val="28"/>
          <w:u w:val="single"/>
        </w:rPr>
        <w:t>CHAPTER 3: RESEARCH METHODOLOGY</w:t>
      </w:r>
    </w:p>
    <w:p w14:paraId="00000035"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b/>
          <w:bCs/>
          <w:color w:val="000000"/>
          <w:sz w:val="24"/>
          <w:szCs w:val="24"/>
        </w:rPr>
      </w:pPr>
      <w:bookmarkStart w:id="19" w:name="_jzb10y410f0p" w:colFirst="0" w:colLast="0"/>
      <w:bookmarkEnd w:id="19"/>
      <w:r>
        <w:rPr>
          <w:rFonts w:ascii="Times New Roman" w:eastAsia="Times New Roman" w:hAnsi="Times New Roman" w:cs="Times New Roman"/>
          <w:b/>
          <w:bCs/>
          <w:color w:val="000000"/>
          <w:sz w:val="24"/>
          <w:szCs w:val="24"/>
        </w:rPr>
        <w:t>3.1 Introduction</w:t>
      </w:r>
    </w:p>
    <w:p w14:paraId="00000036"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 articulation of the research methodology enhances the credibility and integrity of legal scholarship. The methodological framework used by the paper is set out in this chapter. This chapter will discuss the research design, sources of data, methods o</w:t>
      </w:r>
      <w:r>
        <w:rPr>
          <w:rFonts w:ascii="Times New Roman" w:eastAsia="Times New Roman" w:hAnsi="Times New Roman" w:cs="Times New Roman"/>
          <w:sz w:val="24"/>
          <w:szCs w:val="24"/>
        </w:rPr>
        <w:t>f analysis, and ethical issues.</w:t>
      </w:r>
    </w:p>
    <w:p w14:paraId="00000037"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0" w:name="_i3hp66ter14u" w:colFirst="0" w:colLast="0"/>
      <w:bookmarkEnd w:id="20"/>
      <w:r>
        <w:rPr>
          <w:rFonts w:ascii="Times New Roman" w:eastAsia="Times New Roman" w:hAnsi="Times New Roman" w:cs="Times New Roman"/>
          <w:b/>
          <w:bCs/>
          <w:color w:val="000000"/>
          <w:sz w:val="24"/>
          <w:szCs w:val="24"/>
        </w:rPr>
        <w:t>3.2 Research Design and Approach</w:t>
      </w:r>
    </w:p>
    <w:p w14:paraId="00000038"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paper uses a doctrinal legal research method complemented by the comparative legal method. Doctrinal research refers to the systematic analysis and critical evaluation of primary legal sources   constitutional provisions, statutes, judicial decisions,</w:t>
      </w:r>
      <w:r>
        <w:rPr>
          <w:rFonts w:ascii="Times New Roman" w:eastAsia="Times New Roman" w:hAnsi="Times New Roman" w:cs="Times New Roman"/>
          <w:sz w:val="24"/>
          <w:szCs w:val="24"/>
        </w:rPr>
        <w:t xml:space="preserve"> and treaty texts   and secondary legal sources   academic commentary, law commission reports, and policy documents   with a view to identifying, describing, explaining, and critically evaluating the law as it currently stands (lex lata) and as it ought to</w:t>
      </w:r>
      <w:r>
        <w:rPr>
          <w:rFonts w:ascii="Times New Roman" w:eastAsia="Times New Roman" w:hAnsi="Times New Roman" w:cs="Times New Roman"/>
          <w:sz w:val="24"/>
          <w:szCs w:val="24"/>
        </w:rPr>
        <w:t xml:space="preserve"> be reformed (lex ferenda)</w:t>
      </w:r>
    </w:p>
    <w:p w14:paraId="0000003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doctrinal approach will be appropriate for the objectives of this study especially because the key research questions which relate to the ambit and adequacy of the existing legal framework for geoengineering governance in Ind</w:t>
      </w:r>
      <w:r>
        <w:rPr>
          <w:rFonts w:ascii="Times New Roman" w:eastAsia="Times New Roman" w:hAnsi="Times New Roman" w:cs="Times New Roman"/>
          <w:sz w:val="24"/>
          <w:szCs w:val="24"/>
        </w:rPr>
        <w:t xml:space="preserve">ia and the reforms required for the remedying of the identified deficiencies are essentially legal in nature which will require orderly analysis of legal authorities. </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The comparative method used along with the doctrinal method to elicit lessons from the r</w:t>
      </w:r>
      <w:r>
        <w:rPr>
          <w:rFonts w:ascii="Times New Roman" w:eastAsia="Times New Roman" w:hAnsi="Times New Roman" w:cs="Times New Roman"/>
          <w:sz w:val="24"/>
          <w:szCs w:val="24"/>
        </w:rPr>
        <w:t>egulatory experiences of other jurisdictions especially United States, European Union and United Kingdom as well as the evolving corpus of international environmental law will help in developing India-specific reform ideas and recommendations.</w:t>
      </w:r>
    </w:p>
    <w:p w14:paraId="0000003A"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1" w:name="_aboou6rdlxr1" w:colFirst="0" w:colLast="0"/>
      <w:bookmarkEnd w:id="21"/>
      <w:r>
        <w:rPr>
          <w:rFonts w:ascii="Times New Roman" w:eastAsia="Times New Roman" w:hAnsi="Times New Roman" w:cs="Times New Roman"/>
          <w:b/>
          <w:bCs/>
          <w:color w:val="000000"/>
          <w:sz w:val="24"/>
          <w:szCs w:val="24"/>
        </w:rPr>
        <w:t>3.3 Nature o</w:t>
      </w:r>
      <w:r>
        <w:rPr>
          <w:rFonts w:ascii="Times New Roman" w:eastAsia="Times New Roman" w:hAnsi="Times New Roman" w:cs="Times New Roman"/>
          <w:b/>
          <w:bCs/>
          <w:color w:val="000000"/>
          <w:sz w:val="24"/>
          <w:szCs w:val="24"/>
        </w:rPr>
        <w:t>f Research</w:t>
      </w:r>
    </w:p>
    <w:p w14:paraId="0000003B"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employs a doctrinal primary method and a comparative secondary method. The research study is not only descriptive on the existing law but also normative in nature. It evaluates the adequacy of the existing law against relevant normati</w:t>
      </w:r>
      <w:r>
        <w:rPr>
          <w:rFonts w:ascii="Times New Roman" w:eastAsia="Times New Roman" w:hAnsi="Times New Roman" w:cs="Times New Roman"/>
          <w:sz w:val="24"/>
          <w:szCs w:val="24"/>
        </w:rPr>
        <w:t>ve criteria. The criteria are included in the prevention of environmental harm, protection of vulnerable groups, inter-generational equity and common but differentiated responsibilities, as well as democratic accountability and scientific integrity. The st</w:t>
      </w:r>
      <w:r>
        <w:rPr>
          <w:rFonts w:ascii="Times New Roman" w:eastAsia="Times New Roman" w:hAnsi="Times New Roman" w:cs="Times New Roman"/>
          <w:sz w:val="24"/>
          <w:szCs w:val="24"/>
        </w:rPr>
        <w:t>udy proposes changes which are grounded in these normative commitments.</w:t>
      </w:r>
    </w:p>
    <w:p w14:paraId="0000003C"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methodology of the research is not empirical as it does not entail any survey, interview, or statistical analysis of social or economic data. Nevertheless, it relies on </w:t>
      </w:r>
      <w:r>
        <w:rPr>
          <w:rFonts w:ascii="Times New Roman" w:eastAsia="Times New Roman" w:hAnsi="Times New Roman" w:cs="Times New Roman"/>
          <w:sz w:val="24"/>
          <w:szCs w:val="24"/>
        </w:rPr>
        <w:lastRenderedPageBreak/>
        <w:t>empirical s</w:t>
      </w:r>
      <w:r>
        <w:rPr>
          <w:rFonts w:ascii="Times New Roman" w:eastAsia="Times New Roman" w:hAnsi="Times New Roman" w:cs="Times New Roman"/>
          <w:sz w:val="24"/>
          <w:szCs w:val="24"/>
        </w:rPr>
        <w:t>cientific evidence available regarding the risks and likely effects of geoengineering technologies only to the extent that this is directly relevant to the legal analysis, as good environmental law must be based on sound science.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 first method of this </w:t>
      </w:r>
      <w:r>
        <w:rPr>
          <w:rFonts w:ascii="Times New Roman" w:eastAsia="Times New Roman" w:hAnsi="Times New Roman" w:cs="Times New Roman"/>
          <w:sz w:val="24"/>
          <w:szCs w:val="24"/>
        </w:rPr>
        <w:t>research is doctrinal and the second is comparative. The following uses of the phrase “the existing law” during the course of these years have not changed and it is said that the existing law provides for the following: the development of law; the developm</w:t>
      </w:r>
      <w:r>
        <w:rPr>
          <w:rFonts w:ascii="Times New Roman" w:eastAsia="Times New Roman" w:hAnsi="Times New Roman" w:cs="Times New Roman"/>
          <w:sz w:val="24"/>
          <w:szCs w:val="24"/>
        </w:rPr>
        <w:t>ent of the treaties; the development of resolutions; the development of the procedure; and the development of the equality clause.</w:t>
      </w:r>
      <w:r>
        <w:rPr>
          <w:rFonts w:ascii="Times New Roman" w:eastAsia="Times New Roman" w:hAnsi="Times New Roman" w:cs="Times New Roman"/>
          <w:sz w:val="24"/>
          <w:szCs w:val="24"/>
          <w:vertAlign w:val="superscript"/>
        </w:rPr>
        <w:footnoteReference w:id="8"/>
      </w:r>
    </w:p>
    <w:p w14:paraId="0000003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 does not use an empirical methodology that is it does not involve surveys, interviews and statistical analysi</w:t>
      </w:r>
      <w:r>
        <w:rPr>
          <w:rFonts w:ascii="Times New Roman" w:eastAsia="Times New Roman" w:hAnsi="Times New Roman" w:cs="Times New Roman"/>
          <w:sz w:val="24"/>
          <w:szCs w:val="24"/>
        </w:rPr>
        <w:t xml:space="preserve">s of social or economic data. Nonetheless, it relies on scientific evidence and maximum risk of geoengineering technologies and their potential effects which is directly relevant to the legal analysis. Good environmental law must also be based on the best </w:t>
      </w:r>
      <w:r>
        <w:rPr>
          <w:rFonts w:ascii="Times New Roman" w:eastAsia="Times New Roman" w:hAnsi="Times New Roman" w:cs="Times New Roman"/>
          <w:sz w:val="24"/>
          <w:szCs w:val="24"/>
        </w:rPr>
        <w:t>available scientific evidence.</w:t>
      </w:r>
    </w:p>
    <w:p w14:paraId="0000003E"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2" w:name="_wwfc4d96qc85" w:colFirst="0" w:colLast="0"/>
      <w:bookmarkEnd w:id="22"/>
      <w:r>
        <w:rPr>
          <w:rFonts w:ascii="Times New Roman" w:eastAsia="Times New Roman" w:hAnsi="Times New Roman" w:cs="Times New Roman"/>
          <w:b/>
          <w:bCs/>
          <w:color w:val="000000"/>
          <w:sz w:val="24"/>
          <w:szCs w:val="24"/>
        </w:rPr>
        <w:t>3.4 Sources of Data</w:t>
      </w:r>
    </w:p>
    <w:p w14:paraId="0000003F"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adopts the following categories of primary and secondary legal sources.</w:t>
      </w:r>
    </w:p>
    <w:p w14:paraId="00000040"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essential legal sources comprise Articles 21, 48A and 51A (g) of Constitution of India, 1950; Environment (Protectio</w:t>
      </w:r>
      <w:r>
        <w:rPr>
          <w:rFonts w:ascii="Times New Roman" w:eastAsia="Times New Roman" w:hAnsi="Times New Roman" w:cs="Times New Roman"/>
          <w:sz w:val="24"/>
          <w:szCs w:val="24"/>
        </w:rPr>
        <w:t xml:space="preserve">n) Act 1986; National Green Tribunal Act 2010; Air (Prevention and Control of Pollution) Act, 1981, Water (Prevention and Control of Pollution) Act, 1974; Biological Diversity Act, 2002 and Disaster Management Act, 2005 and other Indian Laws of relevance. </w:t>
      </w:r>
      <w:r>
        <w:rPr>
          <w:rFonts w:ascii="Times New Roman" w:eastAsia="Times New Roman" w:hAnsi="Times New Roman" w:cs="Times New Roman"/>
          <w:sz w:val="24"/>
          <w:szCs w:val="24"/>
        </w:rPr>
        <w:t xml:space="preserve">International primary sources include the United Nations Framework Convention on Climate Change (UNFCCC), 1992; the Paris </w:t>
      </w:r>
      <w:r>
        <w:rPr>
          <w:rFonts w:ascii="Times New Roman" w:eastAsia="Times New Roman" w:hAnsi="Times New Roman" w:cs="Times New Roman"/>
          <w:sz w:val="24"/>
          <w:szCs w:val="24"/>
        </w:rPr>
        <w:lastRenderedPageBreak/>
        <w:t>Agreement, 2015; the Convention on Biological Diversity (CBD), 1992 and its decisions; the London Protocol on Marine Pollution; and pr</w:t>
      </w:r>
      <w:r>
        <w:rPr>
          <w:rFonts w:ascii="Times New Roman" w:eastAsia="Times New Roman" w:hAnsi="Times New Roman" w:cs="Times New Roman"/>
          <w:sz w:val="24"/>
          <w:szCs w:val="24"/>
        </w:rPr>
        <w:t>inciples of customary international environmental law. The relevant legislation and regulatory instruments from the United States, European Union and United Kingdom are comparative primary sources.</w:t>
      </w:r>
    </w:p>
    <w:p w14:paraId="00000041"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sources consulted for the purpose of this paper includ</w:t>
      </w:r>
      <w:r>
        <w:rPr>
          <w:rFonts w:ascii="Times New Roman" w:eastAsia="Times New Roman" w:hAnsi="Times New Roman" w:cs="Times New Roman"/>
          <w:sz w:val="24"/>
          <w:szCs w:val="24"/>
        </w:rPr>
        <w:t>e geoengineering governance, international environmental law and Indian environmental law; the Intergovernmental Panel on Climate Change, UNEP, Royal Society and other relevant scientific and intergovernmental bodies; the Indian Law Commission and Parliame</w:t>
      </w:r>
      <w:r>
        <w:rPr>
          <w:rFonts w:ascii="Times New Roman" w:eastAsia="Times New Roman" w:hAnsi="Times New Roman" w:cs="Times New Roman"/>
          <w:sz w:val="24"/>
          <w:szCs w:val="24"/>
        </w:rPr>
        <w:t>ntary Standing Committees on environment; SCC Online, Manupatra, and other international legal databases including Westlaw and HeinOnline.</w:t>
      </w:r>
      <w:r>
        <w:rPr>
          <w:rFonts w:ascii="Times New Roman" w:eastAsia="Times New Roman" w:hAnsi="Times New Roman" w:cs="Times New Roman"/>
          <w:sz w:val="24"/>
          <w:szCs w:val="24"/>
          <w:vertAlign w:val="superscript"/>
        </w:rPr>
        <w:footnoteReference w:id="9"/>
      </w:r>
    </w:p>
    <w:p w14:paraId="00000042"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3" w:name="_t35usfo2n09j" w:colFirst="0" w:colLast="0"/>
      <w:bookmarkEnd w:id="23"/>
      <w:r>
        <w:rPr>
          <w:rFonts w:ascii="Times New Roman" w:eastAsia="Times New Roman" w:hAnsi="Times New Roman" w:cs="Times New Roman"/>
          <w:b/>
          <w:bCs/>
          <w:color w:val="000000"/>
          <w:sz w:val="24"/>
          <w:szCs w:val="24"/>
        </w:rPr>
        <w:t>3.5 Methods of Legal Analysis</w:t>
      </w:r>
    </w:p>
    <w:p w14:paraId="00000043"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key methods of legal analysis are as follows. Examining the precise language of relevant statutory and treaty provisions, textual analysis reveals their scope of application and interpretive ambiguities, where relevant to geoengineering. Purposive inte</w:t>
      </w:r>
      <w:r>
        <w:rPr>
          <w:rFonts w:ascii="Times New Roman" w:eastAsia="Times New Roman" w:hAnsi="Times New Roman" w:cs="Times New Roman"/>
          <w:sz w:val="24"/>
          <w:szCs w:val="24"/>
        </w:rPr>
        <w:t>rpretation helps locate provisions within the context of legislation and treaties resources and the policy goals which the provision seeks to achieve. Case analysis essentially surveys the relevant judgments of Indian courts, especially the Supreme Court a</w:t>
      </w:r>
      <w:r>
        <w:rPr>
          <w:rFonts w:ascii="Times New Roman" w:eastAsia="Times New Roman" w:hAnsi="Times New Roman" w:cs="Times New Roman"/>
          <w:sz w:val="24"/>
          <w:szCs w:val="24"/>
        </w:rPr>
        <w:t>nd National Green Tribunal, on environmental governance principles which are relevant to new-age technological risks. Lessons from foreign regulations for reforms in India through comparison. Normative analysis assesses the measures that currently exist or</w:t>
      </w:r>
      <w:r>
        <w:rPr>
          <w:rFonts w:ascii="Times New Roman" w:eastAsia="Times New Roman" w:hAnsi="Times New Roman" w:cs="Times New Roman"/>
          <w:sz w:val="24"/>
          <w:szCs w:val="24"/>
        </w:rPr>
        <w:t xml:space="preserve"> are proposed against the principles of international environmental law, including precautionary principle, common but differentiated responsibilities and no-harm principles.</w:t>
      </w:r>
      <w:r>
        <w:rPr>
          <w:rFonts w:ascii="Times New Roman" w:eastAsia="Times New Roman" w:hAnsi="Times New Roman" w:cs="Times New Roman"/>
          <w:sz w:val="24"/>
          <w:szCs w:val="24"/>
          <w:vertAlign w:val="superscript"/>
        </w:rPr>
        <w:footnoteReference w:id="10"/>
      </w:r>
    </w:p>
    <w:p w14:paraId="00000044"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4" w:name="_ojp32l5xjcxd" w:colFirst="0" w:colLast="0"/>
      <w:bookmarkEnd w:id="24"/>
      <w:r>
        <w:rPr>
          <w:rFonts w:ascii="Times New Roman" w:eastAsia="Times New Roman" w:hAnsi="Times New Roman" w:cs="Times New Roman"/>
          <w:b/>
          <w:bCs/>
          <w:color w:val="000000"/>
          <w:sz w:val="24"/>
          <w:szCs w:val="24"/>
        </w:rPr>
        <w:t>3.6 Ethical Considerations</w:t>
      </w:r>
    </w:p>
    <w:p w14:paraId="00000045"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information of this paper is entirely based on pu</w:t>
      </w:r>
      <w:r>
        <w:rPr>
          <w:rFonts w:ascii="Times New Roman" w:eastAsia="Times New Roman" w:hAnsi="Times New Roman" w:cs="Times New Roman"/>
          <w:sz w:val="24"/>
          <w:szCs w:val="24"/>
        </w:rPr>
        <w:t>blic legal and scientific sources. It does not collect primary data on humans. All sources are completely cited. The ethical concerns of the study are highly significant. Although it is an exercise in academic integrity, the geoengineering technologies can</w:t>
      </w:r>
      <w:r>
        <w:rPr>
          <w:rFonts w:ascii="Times New Roman" w:eastAsia="Times New Roman" w:hAnsi="Times New Roman" w:cs="Times New Roman"/>
          <w:sz w:val="24"/>
          <w:szCs w:val="24"/>
        </w:rPr>
        <w:t xml:space="preserve"> affect billions of people’s lives and livelihoods who have had no say in whether these must be developed or deployed. This must make the study more involved.</w:t>
      </w:r>
    </w:p>
    <w:p w14:paraId="00000046"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47"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both"/>
        <w:rPr>
          <w:rFonts w:ascii="Times New Roman" w:eastAsia="Times New Roman" w:hAnsi="Times New Roman" w:cs="Times New Roman"/>
          <w:b/>
          <w:bCs/>
          <w:sz w:val="28"/>
          <w:szCs w:val="28"/>
          <w:u w:val="single"/>
        </w:rPr>
      </w:pPr>
      <w:bookmarkStart w:id="25" w:name="_3nsr37whekgy" w:colFirst="0" w:colLast="0"/>
      <w:bookmarkEnd w:id="25"/>
      <w:r>
        <w:rPr>
          <w:rFonts w:ascii="Times New Roman" w:eastAsia="Times New Roman" w:hAnsi="Times New Roman" w:cs="Times New Roman"/>
          <w:b/>
          <w:bCs/>
          <w:sz w:val="28"/>
          <w:szCs w:val="28"/>
          <w:u w:val="single"/>
        </w:rPr>
        <w:t>CHAPTER 4: INDIA'S DOMESTIC LEGAL FRAMEWORK   ADEQUACY AND GAPS</w:t>
      </w:r>
    </w:p>
    <w:p w14:paraId="00000048"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b/>
          <w:bCs/>
          <w:color w:val="000000"/>
          <w:sz w:val="24"/>
          <w:szCs w:val="24"/>
        </w:rPr>
      </w:pPr>
      <w:bookmarkStart w:id="26" w:name="_i0y49obq1fsq" w:colFirst="0" w:colLast="0"/>
      <w:bookmarkEnd w:id="26"/>
      <w:r>
        <w:rPr>
          <w:rFonts w:ascii="Times New Roman" w:eastAsia="Times New Roman" w:hAnsi="Times New Roman" w:cs="Times New Roman"/>
          <w:b/>
          <w:bCs/>
          <w:color w:val="000000"/>
          <w:sz w:val="24"/>
          <w:szCs w:val="24"/>
        </w:rPr>
        <w:t>4.1 Introduction</w:t>
      </w:r>
    </w:p>
    <w:p w14:paraId="0000004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Indian domestic legal framework is examined at constitutional, statutory and institutional level in this chapter for its adequacy in regulating climate geoengineering technology in India. It goes through each key element of the framework one by one, pinpoi</w:t>
      </w:r>
      <w:r>
        <w:rPr>
          <w:rFonts w:ascii="Times New Roman" w:eastAsia="Times New Roman" w:hAnsi="Times New Roman" w:cs="Times New Roman"/>
          <w:sz w:val="24"/>
          <w:szCs w:val="24"/>
        </w:rPr>
        <w:t>nts the governance gaps that each opens up within the geoengineering context and reaches an overall assessment of the collective adequacy of the framework.</w:t>
      </w:r>
    </w:p>
    <w:p w14:paraId="0000004A"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7" w:name="_8ddf3siacuuh" w:colFirst="0" w:colLast="0"/>
      <w:bookmarkEnd w:id="27"/>
      <w:r>
        <w:rPr>
          <w:rFonts w:ascii="Times New Roman" w:eastAsia="Times New Roman" w:hAnsi="Times New Roman" w:cs="Times New Roman"/>
          <w:b/>
          <w:bCs/>
          <w:color w:val="000000"/>
          <w:sz w:val="24"/>
          <w:szCs w:val="24"/>
        </w:rPr>
        <w:t>4.2 Constitutional Framework: Articles 21, 48A, and 51A(g)</w:t>
      </w:r>
    </w:p>
    <w:p w14:paraId="0000004B"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Constitution of India lays the normative foundation for Environmental Governance. Article 48A of the Constitution, which was added by the Forty Second Amendment in 1976, says that the State shall endeavour to protect and improve the environment and to </w:t>
      </w:r>
      <w:r>
        <w:rPr>
          <w:rFonts w:ascii="Times New Roman" w:eastAsia="Times New Roman" w:hAnsi="Times New Roman" w:cs="Times New Roman"/>
          <w:sz w:val="24"/>
          <w:szCs w:val="24"/>
        </w:rPr>
        <w:t>safeguard the forests and wildlife of the country. 13 It will be noticed that it is formulated in the same manner as the directive principles of the State. Article 51A(g) imposes the fundamental duty upon every citizen to protect and improve the natural en</w:t>
      </w:r>
      <w:r>
        <w:rPr>
          <w:rFonts w:ascii="Times New Roman" w:eastAsia="Times New Roman" w:hAnsi="Times New Roman" w:cs="Times New Roman"/>
          <w:sz w:val="24"/>
          <w:szCs w:val="24"/>
        </w:rPr>
        <w:t>vironment including forests, lakes, rivers and wildlife and to have compassion for living creatures. These provisions are not enforceable as a fundamental right but nevertheless, they provide a strong constitutional sanction for legislation on environmenta</w:t>
      </w:r>
      <w:r>
        <w:rPr>
          <w:rFonts w:ascii="Times New Roman" w:eastAsia="Times New Roman" w:hAnsi="Times New Roman" w:cs="Times New Roman"/>
          <w:sz w:val="24"/>
          <w:szCs w:val="24"/>
        </w:rPr>
        <w:t xml:space="preserve">l protection. It has </w:t>
      </w:r>
      <w:r>
        <w:rPr>
          <w:rFonts w:ascii="Times New Roman" w:eastAsia="Times New Roman" w:hAnsi="Times New Roman" w:cs="Times New Roman"/>
          <w:sz w:val="24"/>
          <w:szCs w:val="24"/>
        </w:rPr>
        <w:lastRenderedPageBreak/>
        <w:t>been extensively used by the Supreme Court in evolving environmental jurisprudence of India.</w:t>
      </w:r>
      <w:r>
        <w:rPr>
          <w:rFonts w:ascii="Times New Roman" w:eastAsia="Times New Roman" w:hAnsi="Times New Roman" w:cs="Times New Roman"/>
          <w:sz w:val="24"/>
          <w:szCs w:val="24"/>
          <w:vertAlign w:val="superscript"/>
        </w:rPr>
        <w:footnoteReference w:id="11"/>
      </w:r>
    </w:p>
    <w:p w14:paraId="0000004C"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importantly for present purposes the Supreme Court of India has interpreted the right to life under Article 21 of the Constitution to in</w:t>
      </w:r>
      <w:r>
        <w:rPr>
          <w:rFonts w:ascii="Times New Roman" w:eastAsia="Times New Roman" w:hAnsi="Times New Roman" w:cs="Times New Roman"/>
          <w:sz w:val="24"/>
          <w:szCs w:val="24"/>
        </w:rPr>
        <w:t>clude right to clean, healthy and sustainable environment in a series of landmark decisions. In Subhash Kumar v. State of Bihar (1991), the Court ruled that the right to life includes the right to enjoyment of pollution-free water and air. In M.C. Mehta v.</w:t>
      </w:r>
      <w:r>
        <w:rPr>
          <w:rFonts w:ascii="Times New Roman" w:eastAsia="Times New Roman" w:hAnsi="Times New Roman" w:cs="Times New Roman"/>
          <w:sz w:val="24"/>
          <w:szCs w:val="24"/>
        </w:rPr>
        <w:t xml:space="preserve"> Union of India, the Court developed a rich body of environmental rights jurisprudence under article 21, establishing the positive constitutional obligation of the State to take effective measures to protect the environment from degradation.</w:t>
      </w:r>
    </w:p>
    <w:p w14:paraId="0000004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geoenginee</w:t>
      </w:r>
      <w:r>
        <w:rPr>
          <w:rFonts w:ascii="Times New Roman" w:eastAsia="Times New Roman" w:hAnsi="Times New Roman" w:cs="Times New Roman"/>
          <w:sz w:val="24"/>
          <w:szCs w:val="24"/>
        </w:rPr>
        <w:t>ring context is directly relevant to these constitutional provisions. Any large geoengineering intervention that causes or is likely to cause significant environmental damage particularly by way of atmospheric pollution, disruption of precipitation pattern</w:t>
      </w:r>
      <w:r>
        <w:rPr>
          <w:rFonts w:ascii="Times New Roman" w:eastAsia="Times New Roman" w:hAnsi="Times New Roman" w:cs="Times New Roman"/>
          <w:sz w:val="24"/>
          <w:szCs w:val="24"/>
        </w:rPr>
        <w:t xml:space="preserve">s, ozone depletion, etc. Would trigger Article 21 rights and the State’s corresponding constitutional obligations. The constitutional provision creates a normative authority for a regulatory action, but does not itself provide for mechanisms of governance </w:t>
      </w:r>
      <w:r>
        <w:rPr>
          <w:rFonts w:ascii="Times New Roman" w:eastAsia="Times New Roman" w:hAnsi="Times New Roman" w:cs="Times New Roman"/>
          <w:sz w:val="24"/>
          <w:szCs w:val="24"/>
        </w:rPr>
        <w:t xml:space="preserve">  licensing systems, environmental impact assessment requirements, monitoring and enforcement mechanisms   for effective regulation of geoengineering activities. Useful Instructions: </w:t>
      </w:r>
    </w:p>
    <w:p w14:paraId="0000004E"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must be either introduced or provided for by specific legislation. As the following analysis illustrates, it is currently completely absent in the geoengineering context. </w:t>
      </w:r>
    </w:p>
    <w:p w14:paraId="0000004F"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8" w:name="_6ny1bq9fx6yv" w:colFirst="0" w:colLast="0"/>
      <w:bookmarkEnd w:id="28"/>
      <w:r>
        <w:rPr>
          <w:rFonts w:ascii="Times New Roman" w:eastAsia="Times New Roman" w:hAnsi="Times New Roman" w:cs="Times New Roman"/>
          <w:b/>
          <w:bCs/>
          <w:color w:val="000000"/>
          <w:sz w:val="24"/>
          <w:szCs w:val="24"/>
        </w:rPr>
        <w:t xml:space="preserve">4.3 The Environment (Protection) Act, 1986: Potential Application and </w:t>
      </w:r>
      <w:r>
        <w:rPr>
          <w:rFonts w:ascii="Times New Roman" w:eastAsia="Times New Roman" w:hAnsi="Times New Roman" w:cs="Times New Roman"/>
          <w:b/>
          <w:bCs/>
          <w:color w:val="000000"/>
          <w:sz w:val="24"/>
          <w:szCs w:val="24"/>
        </w:rPr>
        <w:t>Limitations</w:t>
      </w:r>
    </w:p>
    <w:p w14:paraId="00000050"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Environmental Protection Act of the year 1986 is the main legislation regarding environmental law in India. After the Bhopal Gas Disaster, EPA was enacted. It is an umbrella legislation which confers wide powers on the Central Government to</w:t>
      </w:r>
      <w:r>
        <w:rPr>
          <w:rFonts w:ascii="Times New Roman" w:eastAsia="Times New Roman" w:hAnsi="Times New Roman" w:cs="Times New Roman"/>
          <w:sz w:val="24"/>
          <w:szCs w:val="24"/>
        </w:rPr>
        <w:t xml:space="preserve"> take </w:t>
      </w:r>
      <w:r>
        <w:rPr>
          <w:rFonts w:ascii="Times New Roman" w:eastAsia="Times New Roman" w:hAnsi="Times New Roman" w:cs="Times New Roman"/>
          <w:sz w:val="24"/>
          <w:szCs w:val="24"/>
        </w:rPr>
        <w:lastRenderedPageBreak/>
        <w:t>measures for the protection and improvement of the environment. Section 3 of the EPA gives the Central Government the power to take "all such measures as it deems necessary or expedient for the purpose of protecting and improving the quality of the e</w:t>
      </w:r>
      <w:r>
        <w:rPr>
          <w:rFonts w:ascii="Times New Roman" w:eastAsia="Times New Roman" w:hAnsi="Times New Roman" w:cs="Times New Roman"/>
          <w:sz w:val="24"/>
          <w:szCs w:val="24"/>
        </w:rPr>
        <w:t>nvironment and preventing, controlling and abating environmental pollution". Section 6 gives the Central Government the power to make rules which prescribe environmental quality standards and/or which prohibit or restrict the handling of hazardous substanc</w:t>
      </w:r>
      <w:r>
        <w:rPr>
          <w:rFonts w:ascii="Times New Roman" w:eastAsia="Times New Roman" w:hAnsi="Times New Roman" w:cs="Times New Roman"/>
          <w:sz w:val="24"/>
          <w:szCs w:val="24"/>
        </w:rPr>
        <w:t>es.</w:t>
      </w:r>
      <w:r>
        <w:rPr>
          <w:rFonts w:ascii="Times New Roman" w:eastAsia="Times New Roman" w:hAnsi="Times New Roman" w:cs="Times New Roman"/>
          <w:sz w:val="24"/>
          <w:szCs w:val="24"/>
          <w:vertAlign w:val="superscript"/>
        </w:rPr>
        <w:footnoteReference w:id="12"/>
      </w:r>
    </w:p>
    <w:p w14:paraId="00000051"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Central Government may give directions, including directions to close, prohibit, or regulate an industry, operation or process by an order under Section 5 to any person, officer or authority.</w:t>
      </w:r>
    </w:p>
    <w:p w14:paraId="00000052"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principle, these broad powers are expansive enough </w:t>
      </w:r>
      <w:r>
        <w:rPr>
          <w:rFonts w:ascii="Times New Roman" w:eastAsia="Times New Roman" w:hAnsi="Times New Roman" w:cs="Times New Roman"/>
          <w:sz w:val="24"/>
          <w:szCs w:val="24"/>
        </w:rPr>
        <w:t>to include various forms of geoengineering regulation. In theory, the Central Government may prescribe standards for atmospheric interventions under Section 3 and Section 6 or use its powers under Section 5 to direct restrictions on geoengineering activiti</w:t>
      </w:r>
      <w:r>
        <w:rPr>
          <w:rFonts w:ascii="Times New Roman" w:eastAsia="Times New Roman" w:hAnsi="Times New Roman" w:cs="Times New Roman"/>
          <w:sz w:val="24"/>
          <w:szCs w:val="24"/>
        </w:rPr>
        <w:t>es. Nevertheless, there are a number of major limitations that significantly weaken the EPA's status as a geoengineering governance tool. The EPA was instituted to take care of standard forms of industrial environmental pollution, and they were not designe</w:t>
      </w:r>
      <w:r>
        <w:rPr>
          <w:rFonts w:ascii="Times New Roman" w:eastAsia="Times New Roman" w:hAnsi="Times New Roman" w:cs="Times New Roman"/>
          <w:sz w:val="24"/>
          <w:szCs w:val="24"/>
        </w:rPr>
        <w:t>d for the new global and large-scale risks of geoengineering technologies. The provisions do not provide a basis for addressing specific regulatory issues facing geoengineering, including governance of transboundary risks, scientific uncertainty, and overs</w:t>
      </w:r>
      <w:r>
        <w:rPr>
          <w:rFonts w:ascii="Times New Roman" w:eastAsia="Times New Roman" w:hAnsi="Times New Roman" w:cs="Times New Roman"/>
          <w:sz w:val="24"/>
          <w:szCs w:val="24"/>
        </w:rPr>
        <w:t>ight of high-altitude interventions. Secondly, the EPA’s enforcement mechanisms mainly criminal penalties and directions to industry are not the best suited for the governance of geoengineering. In particular, many geoengineering projects may involve state</w:t>
      </w:r>
      <w:r>
        <w:rPr>
          <w:rFonts w:ascii="Times New Roman" w:eastAsia="Times New Roman" w:hAnsi="Times New Roman" w:cs="Times New Roman"/>
          <w:sz w:val="24"/>
          <w:szCs w:val="24"/>
        </w:rPr>
        <w:t xml:space="preserve"> actors, international research coordination, or private actors that will operate in many jurisdictions. The EPA does not account for the proactive, precautionary, and scientifically informed regulatory oversight that governance of geoengineering requires </w:t>
      </w:r>
      <w:r>
        <w:rPr>
          <w:rFonts w:ascii="Times New Roman" w:eastAsia="Times New Roman" w:hAnsi="Times New Roman" w:cs="Times New Roman"/>
          <w:sz w:val="24"/>
          <w:szCs w:val="24"/>
        </w:rPr>
        <w:t>but rather a predominantly reactive enforcement model.</w:t>
      </w:r>
      <w:r>
        <w:rPr>
          <w:rFonts w:ascii="Times New Roman" w:eastAsia="Times New Roman" w:hAnsi="Times New Roman" w:cs="Times New Roman"/>
          <w:sz w:val="24"/>
          <w:szCs w:val="24"/>
          <w:vertAlign w:val="superscript"/>
        </w:rPr>
        <w:footnoteReference w:id="13"/>
      </w:r>
    </w:p>
    <w:p w14:paraId="00000053"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29" w:name="_ig4p4h7cy6k8" w:colFirst="0" w:colLast="0"/>
      <w:bookmarkEnd w:id="29"/>
      <w:r>
        <w:rPr>
          <w:rFonts w:ascii="Times New Roman" w:eastAsia="Times New Roman" w:hAnsi="Times New Roman" w:cs="Times New Roman"/>
          <w:b/>
          <w:bCs/>
          <w:color w:val="000000"/>
          <w:sz w:val="24"/>
          <w:szCs w:val="24"/>
        </w:rPr>
        <w:lastRenderedPageBreak/>
        <w:t>4.4 Environmental Impact Assessment Framework</w:t>
      </w:r>
    </w:p>
    <w:p w14:paraId="00000054"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Impact Assessment (EIA) is a key component of the environmental regime of India. It is governed by the Environmental Impact Assessment Notif</w:t>
      </w:r>
      <w:r>
        <w:rPr>
          <w:rFonts w:ascii="Times New Roman" w:eastAsia="Times New Roman" w:hAnsi="Times New Roman" w:cs="Times New Roman"/>
          <w:sz w:val="24"/>
          <w:szCs w:val="24"/>
        </w:rPr>
        <w:t>ication, 2006, published under the EPA.</w:t>
      </w:r>
    </w:p>
    <w:p w14:paraId="00000055"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Before projects can get regulatory approval, there is an EIA process that project proponents must follow. EIA requires proponents to get a detailed report on the likely environmental impacts of proposed projects. In</w:t>
      </w:r>
      <w:r>
        <w:rPr>
          <w:rFonts w:ascii="Times New Roman" w:eastAsia="Times New Roman" w:hAnsi="Times New Roman" w:cs="Times New Roman"/>
          <w:sz w:val="24"/>
          <w:szCs w:val="24"/>
        </w:rPr>
        <w:t xml:space="preserve"> principle, EIA norms may be applicable to geoengineering research projects and deployment activities in India or by Indian entities.</w:t>
      </w:r>
    </w:p>
    <w:p w14:paraId="00000056"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the current EIA framework is not adequate for geoengineering governance. The Notification EIA, 2006, lists d</w:t>
      </w:r>
      <w:r>
        <w:rPr>
          <w:rFonts w:ascii="Times New Roman" w:eastAsia="Times New Roman" w:hAnsi="Times New Roman" w:cs="Times New Roman"/>
          <w:sz w:val="24"/>
          <w:szCs w:val="24"/>
        </w:rPr>
        <w:t>ifferent project and activities categories that need EIA and does not include geoengineering activities in any such category. The framework was designed for conventional infrastructure and industrial projects roads, mines, industries, dams and its methodol</w:t>
      </w:r>
      <w:r>
        <w:rPr>
          <w:rFonts w:ascii="Times New Roman" w:eastAsia="Times New Roman" w:hAnsi="Times New Roman" w:cs="Times New Roman"/>
          <w:sz w:val="24"/>
          <w:szCs w:val="24"/>
        </w:rPr>
        <w:t>ogy and institutional architecture are not adapted to the unique features of geoengineering activities, including their atmospheric or oceanic theatre of operation, their transboundary reach, their scientific novelty, and the extraordinary uncertainties su</w:t>
      </w:r>
      <w:r>
        <w:rPr>
          <w:rFonts w:ascii="Times New Roman" w:eastAsia="Times New Roman" w:hAnsi="Times New Roman" w:cs="Times New Roman"/>
          <w:sz w:val="24"/>
          <w:szCs w:val="24"/>
        </w:rPr>
        <w:t>rrounding their environmental impacts.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There is no provision in the current framework for the assessment of transboundary environmental impacts a critical omission in the geoengineering context, where the significant impacts of an intervention may be felt</w:t>
      </w:r>
      <w:r>
        <w:rPr>
          <w:rFonts w:ascii="Times New Roman" w:eastAsia="Times New Roman" w:hAnsi="Times New Roman" w:cs="Times New Roman"/>
          <w:sz w:val="24"/>
          <w:szCs w:val="24"/>
        </w:rPr>
        <w:t xml:space="preserve"> thousands of miles from the location of the activity.</w:t>
      </w:r>
    </w:p>
    <w:p w14:paraId="00000057"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0" w:name="_e37ldpyj9h91" w:colFirst="0" w:colLast="0"/>
      <w:bookmarkEnd w:id="30"/>
      <w:r>
        <w:rPr>
          <w:rFonts w:ascii="Times New Roman" w:eastAsia="Times New Roman" w:hAnsi="Times New Roman" w:cs="Times New Roman"/>
          <w:b/>
          <w:bCs/>
          <w:color w:val="000000"/>
          <w:sz w:val="24"/>
          <w:szCs w:val="24"/>
        </w:rPr>
        <w:t>4.5 The National Green Tribunal: Jurisdiction and Limitations</w:t>
      </w:r>
    </w:p>
    <w:p w14:paraId="00000058"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Green Tribunal 2. 4.5 Jurisdiction and Limitations.</w:t>
      </w:r>
    </w:p>
    <w:p w14:paraId="0000005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Green Tribunal (NGT) is established under the National Green Tribunal Act, 2010. It is a specialized environmental court of India. Further, the NGT has a jurisdiction to resolve all the disputes concerning the enforcement of environmental laws</w:t>
      </w:r>
      <w:r>
        <w:rPr>
          <w:rFonts w:ascii="Times New Roman" w:eastAsia="Times New Roman" w:hAnsi="Times New Roman" w:cs="Times New Roman"/>
          <w:sz w:val="24"/>
          <w:szCs w:val="24"/>
        </w:rPr>
        <w:t xml:space="preserve">. Moreover, it also has a jurisdiction to grant compensation for damage to the environment. </w:t>
      </w:r>
      <w:r>
        <w:rPr>
          <w:rFonts w:ascii="Times New Roman" w:eastAsia="Times New Roman" w:hAnsi="Times New Roman" w:cs="Times New Roman"/>
          <w:sz w:val="24"/>
          <w:szCs w:val="24"/>
        </w:rPr>
        <w:lastRenderedPageBreak/>
        <w:t>Since its inception, the NGT has proved to be an important and activist institution in the sphere of environmental governance in India. It has passed various import</w:t>
      </w:r>
      <w:r>
        <w:rPr>
          <w:rFonts w:ascii="Times New Roman" w:eastAsia="Times New Roman" w:hAnsi="Times New Roman" w:cs="Times New Roman"/>
          <w:sz w:val="24"/>
          <w:szCs w:val="24"/>
        </w:rPr>
        <w:t>ant orders related to air pollution, water pollution, solid waste management and much more.</w:t>
      </w:r>
    </w:p>
    <w:p w14:paraId="0000005A"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uniqueness of geoengineering issues, broader interpretation of section 14 of the NGT Act may be necessary to determine the viability of the technology in</w:t>
      </w:r>
      <w:r>
        <w:rPr>
          <w:rFonts w:ascii="Times New Roman" w:eastAsia="Times New Roman" w:hAnsi="Times New Roman" w:cs="Times New Roman"/>
          <w:sz w:val="24"/>
          <w:szCs w:val="24"/>
        </w:rPr>
        <w:t>volving heavy metals, hazardous chemicals and radioactive substances. The NGT is restricted to the topics which arise under the specified environmental laws listed in Schedule I of the NGT Act. Furthermore, the institutional capacity and expertise of the N</w:t>
      </w:r>
      <w:r>
        <w:rPr>
          <w:rFonts w:ascii="Times New Roman" w:eastAsia="Times New Roman" w:hAnsi="Times New Roman" w:cs="Times New Roman"/>
          <w:sz w:val="24"/>
          <w:szCs w:val="24"/>
        </w:rPr>
        <w:t>GT are presently not structured to deal with the highly complicated, scientifically uncertain and transboundary issues involved in geoengineering disputes.¹⁶ NGT does not have express jurisdiction over atmospheric geoengineering and lacks the scientific ad</w:t>
      </w:r>
      <w:r>
        <w:rPr>
          <w:rFonts w:ascii="Times New Roman" w:eastAsia="Times New Roman" w:hAnsi="Times New Roman" w:cs="Times New Roman"/>
          <w:sz w:val="24"/>
          <w:szCs w:val="24"/>
        </w:rPr>
        <w:t>visory capacity to assess the complex technical evidence that such disputes would necessarily involve.</w:t>
      </w:r>
    </w:p>
    <w:p w14:paraId="0000005B"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1" w:name="_fkubv4pfhslr" w:colFirst="0" w:colLast="0"/>
      <w:bookmarkEnd w:id="31"/>
      <w:r>
        <w:rPr>
          <w:rFonts w:ascii="Times New Roman" w:eastAsia="Times New Roman" w:hAnsi="Times New Roman" w:cs="Times New Roman"/>
          <w:b/>
          <w:bCs/>
          <w:color w:val="000000"/>
          <w:sz w:val="24"/>
          <w:szCs w:val="24"/>
        </w:rPr>
        <w:t>4.6 Other Relevant Legislation and Overall Assessment</w:t>
      </w:r>
    </w:p>
    <w:p w14:paraId="0000005C"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other Indian pieces of legislation have some potential, though limited, relevance to geoeng</w:t>
      </w:r>
      <w:r>
        <w:rPr>
          <w:rFonts w:ascii="Times New Roman" w:eastAsia="Times New Roman" w:hAnsi="Times New Roman" w:cs="Times New Roman"/>
          <w:sz w:val="24"/>
          <w:szCs w:val="24"/>
        </w:rPr>
        <w:t>ineering governance. The Air (Prevention and Control of Pollution) Act, 1981 regulates the emission of air pollutants. This law could apply to some CDR techniques that involve interventions in the atmosphere. The Act’s regulatory framework relates to conve</w:t>
      </w:r>
      <w:r>
        <w:rPr>
          <w:rFonts w:ascii="Times New Roman" w:eastAsia="Times New Roman" w:hAnsi="Times New Roman" w:cs="Times New Roman"/>
          <w:sz w:val="24"/>
          <w:szCs w:val="24"/>
        </w:rPr>
        <w:t>ntional industrial air pollution rather than atmospheric tinkering in a deliberate manner. The Biological Diversity Act, 2002, is relevant for geoengineering techniques which may affect biodiversity such as Ocean Fertilization and Enhanced Weathering. Chap</w:t>
      </w:r>
      <w:r>
        <w:rPr>
          <w:rFonts w:ascii="Times New Roman" w:eastAsia="Times New Roman" w:hAnsi="Times New Roman" w:cs="Times New Roman"/>
          <w:sz w:val="24"/>
          <w:szCs w:val="24"/>
        </w:rPr>
        <w:t>ter 5 examines India’s obligations under the Convention on Biological Diversity in the context of geoengineering. The Disaster Management Act, 2005, is a framework for governmental response to disasters but may be invoked only in case of a disastrous incid</w:t>
      </w:r>
      <w:r>
        <w:rPr>
          <w:rFonts w:ascii="Times New Roman" w:eastAsia="Times New Roman" w:hAnsi="Times New Roman" w:cs="Times New Roman"/>
          <w:sz w:val="24"/>
          <w:szCs w:val="24"/>
        </w:rPr>
        <w:t>ent due to geoengineering. However, it does not offer any proactive regulatory governance.</w:t>
      </w:r>
      <w:r>
        <w:rPr>
          <w:rFonts w:ascii="Times New Roman" w:eastAsia="Times New Roman" w:hAnsi="Times New Roman" w:cs="Times New Roman"/>
          <w:sz w:val="24"/>
          <w:szCs w:val="24"/>
          <w:vertAlign w:val="superscript"/>
        </w:rPr>
        <w:footnoteReference w:id="15"/>
      </w:r>
    </w:p>
    <w:p w14:paraId="0000005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Assessment: The overall domestic legal framework existing in India  although it provides important constitutional and statutory foundations for environmenta</w:t>
      </w:r>
      <w:r>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lastRenderedPageBreak/>
        <w:t>governance, it is fundamentally and dangerously inadequate for governance of climate geoengineering. The framework contains no reference to geoengineering technologies, no proactive regulatory mechanism over geoengineering research or deployment, no fram</w:t>
      </w:r>
      <w:r>
        <w:rPr>
          <w:rFonts w:ascii="Times New Roman" w:eastAsia="Times New Roman" w:hAnsi="Times New Roman" w:cs="Times New Roman"/>
          <w:sz w:val="24"/>
          <w:szCs w:val="24"/>
        </w:rPr>
        <w:t>ework for assessing geoengineering impacts across borders, and no institutional architecture with the technical expertise and governance mandate to regulate these new high-stakes technological interventions. The lack of regulations makes the situation seri</w:t>
      </w:r>
      <w:r>
        <w:rPr>
          <w:rFonts w:ascii="Times New Roman" w:eastAsia="Times New Roman" w:hAnsi="Times New Roman" w:cs="Times New Roman"/>
          <w:sz w:val="24"/>
          <w:szCs w:val="24"/>
        </w:rPr>
        <w:t>ous and urgent.</w:t>
      </w:r>
    </w:p>
    <w:p w14:paraId="0000005E"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5F"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both"/>
        <w:rPr>
          <w:rFonts w:ascii="Times New Roman" w:eastAsia="Times New Roman" w:hAnsi="Times New Roman" w:cs="Times New Roman"/>
          <w:b/>
          <w:bCs/>
          <w:sz w:val="28"/>
          <w:szCs w:val="28"/>
          <w:u w:val="single"/>
        </w:rPr>
      </w:pPr>
      <w:bookmarkStart w:id="32" w:name="_zdcbnnftd803" w:colFirst="0" w:colLast="0"/>
      <w:bookmarkEnd w:id="32"/>
      <w:r>
        <w:rPr>
          <w:rFonts w:ascii="Times New Roman" w:eastAsia="Times New Roman" w:hAnsi="Times New Roman" w:cs="Times New Roman"/>
          <w:b/>
          <w:bCs/>
          <w:sz w:val="28"/>
          <w:szCs w:val="28"/>
          <w:u w:val="single"/>
        </w:rPr>
        <w:t>CHAPTER 5: INTERNATIONAL LEGAL FRAMEWORK AND COMPARATIVE ANALYSIS</w:t>
      </w:r>
    </w:p>
    <w:p w14:paraId="00000060"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b/>
          <w:bCs/>
          <w:color w:val="000000"/>
          <w:sz w:val="24"/>
          <w:szCs w:val="24"/>
        </w:rPr>
      </w:pPr>
      <w:bookmarkStart w:id="33" w:name="_ekd9zcz9aycp" w:colFirst="0" w:colLast="0"/>
      <w:bookmarkEnd w:id="33"/>
      <w:r>
        <w:rPr>
          <w:rFonts w:ascii="Times New Roman" w:eastAsia="Times New Roman" w:hAnsi="Times New Roman" w:cs="Times New Roman"/>
          <w:b/>
          <w:bCs/>
          <w:color w:val="000000"/>
          <w:sz w:val="24"/>
          <w:szCs w:val="24"/>
        </w:rPr>
        <w:t>5.1 Introduction</w:t>
      </w:r>
    </w:p>
    <w:p w14:paraId="00000061"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assesses the current status of international environmental law applicable to climate geoengineering in terms of the obligations and governance gaps for India. The subsequent section provides a comparative analysis of the domestic regulatory r</w:t>
      </w:r>
      <w:r>
        <w:rPr>
          <w:rFonts w:ascii="Times New Roman" w:eastAsia="Times New Roman" w:hAnsi="Times New Roman" w:cs="Times New Roman"/>
          <w:sz w:val="24"/>
          <w:szCs w:val="24"/>
        </w:rPr>
        <w:t>egimes in select jurisdictions and draws lessons for reforms in India. To conclude, it analyses India’s international posture on geoengineering governance at present and its impacts on India’s regulatory preparedness.</w:t>
      </w:r>
    </w:p>
    <w:p w14:paraId="00000062"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4" w:name="_n8dmujkqpdzu" w:colFirst="0" w:colLast="0"/>
      <w:bookmarkEnd w:id="34"/>
      <w:r>
        <w:rPr>
          <w:rFonts w:ascii="Times New Roman" w:eastAsia="Times New Roman" w:hAnsi="Times New Roman" w:cs="Times New Roman"/>
          <w:b/>
          <w:bCs/>
          <w:color w:val="000000"/>
          <w:sz w:val="24"/>
          <w:szCs w:val="24"/>
        </w:rPr>
        <w:t>5.2 The UNFCCC and the Paris Agreement</w:t>
      </w:r>
    </w:p>
    <w:p w14:paraId="00000063"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as a Party to the United Nations Framework Convention on Climate Change (UNFCCC), establishes the basic international law to control climate change. Article 2 of the UNFCCC commits Parties to achieving stabilization of greenhouse gas concentrations</w:t>
      </w:r>
      <w:r>
        <w:rPr>
          <w:rFonts w:ascii="Times New Roman" w:eastAsia="Times New Roman" w:hAnsi="Times New Roman" w:cs="Times New Roman"/>
          <w:sz w:val="24"/>
          <w:szCs w:val="24"/>
        </w:rPr>
        <w:t xml:space="preserve"> “at a level that would prevent dangerous anthropogenic interference with the climate system”.</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This provision is obviously relevant to geoengineering: deliberate large-scale modification of the climate system would seem to constitute precisely the kind of</w:t>
      </w:r>
      <w:r>
        <w:rPr>
          <w:rFonts w:ascii="Times New Roman" w:eastAsia="Times New Roman" w:hAnsi="Times New Roman" w:cs="Times New Roman"/>
          <w:sz w:val="24"/>
          <w:szCs w:val="24"/>
        </w:rPr>
        <w:t xml:space="preserve"> “interference with the climate system” that the UNFCCC was designed to address, </w:t>
      </w:r>
      <w:r>
        <w:rPr>
          <w:rFonts w:ascii="Times New Roman" w:eastAsia="Times New Roman" w:hAnsi="Times New Roman" w:cs="Times New Roman"/>
          <w:sz w:val="24"/>
          <w:szCs w:val="24"/>
        </w:rPr>
        <w:lastRenderedPageBreak/>
        <w:t>though whether it is a dangerous and anthropogenic interference for the purposes of the Convention is something that has not been definitively settled.</w:t>
      </w:r>
    </w:p>
    <w:p w14:paraId="00000064"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Paris Agreement, in 2015, say nothing about geoengineering. The text does not mention climate intervention technologies, while it focuses on emissions reduction, adaptation, and finance. Article 4 of the Paris Agreement establishes the framework for th</w:t>
      </w:r>
      <w:r>
        <w:rPr>
          <w:rFonts w:ascii="Times New Roman" w:eastAsia="Times New Roman" w:hAnsi="Times New Roman" w:cs="Times New Roman"/>
          <w:sz w:val="24"/>
          <w:szCs w:val="24"/>
        </w:rPr>
        <w:t>e Nationally Determined Contributions. This creates an ambiguous space for potetential inclusion of CDR activities in national climate plans. Many countries are applying CDR technologies like BECCS, afforestation, etc in NDCs. The lack of any governance fr</w:t>
      </w:r>
      <w:r>
        <w:rPr>
          <w:rFonts w:ascii="Times New Roman" w:eastAsia="Times New Roman" w:hAnsi="Times New Roman" w:cs="Times New Roman"/>
          <w:sz w:val="24"/>
          <w:szCs w:val="24"/>
        </w:rPr>
        <w:t>amework for SRM technologies within the Paris Agreement architecture is a notable gap that is increasingly recognized by legal scholars and policymakers.</w:t>
      </w:r>
    </w:p>
    <w:p w14:paraId="00000065"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5" w:name="_w9e47bj1rr4x" w:colFirst="0" w:colLast="0"/>
      <w:bookmarkEnd w:id="35"/>
      <w:r>
        <w:rPr>
          <w:rFonts w:ascii="Times New Roman" w:eastAsia="Times New Roman" w:hAnsi="Times New Roman" w:cs="Times New Roman"/>
          <w:b/>
          <w:bCs/>
          <w:color w:val="000000"/>
          <w:sz w:val="24"/>
          <w:szCs w:val="24"/>
        </w:rPr>
        <w:t>5.3 The Convention on Biological Diversity: Decision X/33</w:t>
      </w:r>
    </w:p>
    <w:p w14:paraId="00000066"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CBD is the most important international </w:t>
      </w:r>
      <w:r>
        <w:rPr>
          <w:rFonts w:ascii="Times New Roman" w:eastAsia="Times New Roman" w:hAnsi="Times New Roman" w:cs="Times New Roman"/>
          <w:sz w:val="24"/>
          <w:szCs w:val="24"/>
        </w:rPr>
        <w:t xml:space="preserve">governance framework developed so far for geoengineering. Decision X/33 adopted by the Parties to the CBD at the Nagoya Conference of the Parties in 2010 calls upon the Parties to not undertake geoengineering activities that may affect biodiversity “until </w:t>
      </w:r>
      <w:r>
        <w:rPr>
          <w:rFonts w:ascii="Times New Roman" w:eastAsia="Times New Roman" w:hAnsi="Times New Roman" w:cs="Times New Roman"/>
          <w:sz w:val="24"/>
          <w:szCs w:val="24"/>
        </w:rPr>
        <w:t>there is an adequate scientific basis on which to justify such activities and appropriate consideration of the associated risks for the environment and biodiversity and associated social, economic and cultural impacts”, save for small-scale scientific rese</w:t>
      </w:r>
      <w:r>
        <w:rPr>
          <w:rFonts w:ascii="Times New Roman" w:eastAsia="Times New Roman" w:hAnsi="Times New Roman" w:cs="Times New Roman"/>
          <w:sz w:val="24"/>
          <w:szCs w:val="24"/>
        </w:rPr>
        <w:t>arch that is conducted and controlled under strict conditions.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India being a Party to the CBD is obliged by the Decision   this is by far the closest approximation to an international moratorium on large-scale geoengineering activities in existence.</w:t>
      </w:r>
    </w:p>
    <w:p w14:paraId="00000067"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w:t>
      </w:r>
      <w:r>
        <w:rPr>
          <w:rFonts w:ascii="Times New Roman" w:eastAsia="Times New Roman" w:hAnsi="Times New Roman" w:cs="Times New Roman"/>
          <w:sz w:val="24"/>
          <w:szCs w:val="24"/>
        </w:rPr>
        <w:t>heless, CBD Decision X/33 is not a provision of treaty law with legally binding force, being a non-binding resolution of the Conference of the Parties, so its practical effect depends entirely on Parties’ voluntary compliance. The measure lacks an enforcem</w:t>
      </w:r>
      <w:r>
        <w:rPr>
          <w:rFonts w:ascii="Times New Roman" w:eastAsia="Times New Roman" w:hAnsi="Times New Roman" w:cs="Times New Roman"/>
          <w:sz w:val="24"/>
          <w:szCs w:val="24"/>
        </w:rPr>
        <w:t xml:space="preserve">ent mechanism, a working definition of ‘large-scale,’ criteria for determining an ‘adequate scientific basis,’ and a governance framework for the permitted small-scale </w:t>
      </w:r>
      <w:r>
        <w:rPr>
          <w:rFonts w:ascii="Times New Roman" w:eastAsia="Times New Roman" w:hAnsi="Times New Roman" w:cs="Times New Roman"/>
          <w:sz w:val="24"/>
          <w:szCs w:val="24"/>
        </w:rPr>
        <w:lastRenderedPageBreak/>
        <w:t>research exception. The legal strength and practical effectiveness of this are therefore</w:t>
      </w:r>
      <w:r>
        <w:rPr>
          <w:rFonts w:ascii="Times New Roman" w:eastAsia="Times New Roman" w:hAnsi="Times New Roman" w:cs="Times New Roman"/>
          <w:sz w:val="24"/>
          <w:szCs w:val="24"/>
        </w:rPr>
        <w:t xml:space="preserve"> limited.</w:t>
      </w:r>
    </w:p>
    <w:p w14:paraId="00000068"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6" w:name="_3wy2lsxcvm5g" w:colFirst="0" w:colLast="0"/>
      <w:bookmarkEnd w:id="36"/>
      <w:r>
        <w:rPr>
          <w:rFonts w:ascii="Times New Roman" w:eastAsia="Times New Roman" w:hAnsi="Times New Roman" w:cs="Times New Roman"/>
          <w:b/>
          <w:bCs/>
          <w:color w:val="000000"/>
          <w:sz w:val="24"/>
          <w:szCs w:val="24"/>
        </w:rPr>
        <w:t>5.4 The London Protocol: Marine Geoengineering</w:t>
      </w:r>
    </w:p>
    <w:p w14:paraId="0000006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London Protocol on the Prevention of Marine Pollution by Dumping of Wastes and Other Matter, 1996, the most legally specific international governance instrument for a category of geo</w:t>
      </w:r>
      <w:r>
        <w:rPr>
          <w:rFonts w:ascii="Times New Roman" w:eastAsia="Times New Roman" w:hAnsi="Times New Roman" w:cs="Times New Roman"/>
          <w:sz w:val="24"/>
          <w:szCs w:val="24"/>
        </w:rPr>
        <w:t>engineering. In 2013, the Parties to the London Protocol adopted amendments to Article 6 prohibiting the placement of matter into the sea for ocean fertilization activities, except for legitimate scientific research. The subsequent amendment adopted in 201</w:t>
      </w:r>
      <w:r>
        <w:rPr>
          <w:rFonts w:ascii="Times New Roman" w:eastAsia="Times New Roman" w:hAnsi="Times New Roman" w:cs="Times New Roman"/>
          <w:sz w:val="24"/>
          <w:szCs w:val="24"/>
        </w:rPr>
        <w:t>3 broadened the scope of this framework to "marine geoengineering." The updated regulations mark a substantial step forward in the governance of international geoengineering, establishing a binding prohibition on commercial marine geoengineering and a regu</w:t>
      </w:r>
      <w:r>
        <w:rPr>
          <w:rFonts w:ascii="Times New Roman" w:eastAsia="Times New Roman" w:hAnsi="Times New Roman" w:cs="Times New Roman"/>
          <w:sz w:val="24"/>
          <w:szCs w:val="24"/>
        </w:rPr>
        <w:t>lated pathway for scientific investigations.</w:t>
      </w:r>
    </w:p>
    <w:p w14:paraId="0000006A"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London Protocol Member, India would be bound by the Protocol’s amendments on geoengineering activities when they enter into force. Despite the amendments to the London Protocol, there is no restriction on i</w:t>
      </w:r>
      <w:r>
        <w:rPr>
          <w:rFonts w:ascii="Times New Roman" w:eastAsia="Times New Roman" w:hAnsi="Times New Roman" w:cs="Times New Roman"/>
          <w:sz w:val="24"/>
          <w:szCs w:val="24"/>
        </w:rPr>
        <w:t>ndustrial scale Solar Radiation Management (SRM) which is an Atmospheric Intervention and remains solely unregulated at the international level.</w:t>
      </w:r>
      <w:r>
        <w:rPr>
          <w:rFonts w:ascii="Times New Roman" w:eastAsia="Times New Roman" w:hAnsi="Times New Roman" w:cs="Times New Roman"/>
          <w:sz w:val="24"/>
          <w:szCs w:val="24"/>
          <w:vertAlign w:val="superscript"/>
        </w:rPr>
        <w:footnoteReference w:id="18"/>
      </w:r>
    </w:p>
    <w:p w14:paraId="0000006B"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7" w:name="_cjj0efyk9i4h" w:colFirst="0" w:colLast="0"/>
      <w:bookmarkEnd w:id="37"/>
      <w:r>
        <w:rPr>
          <w:rFonts w:ascii="Times New Roman" w:eastAsia="Times New Roman" w:hAnsi="Times New Roman" w:cs="Times New Roman"/>
          <w:b/>
          <w:bCs/>
          <w:color w:val="000000"/>
          <w:sz w:val="24"/>
          <w:szCs w:val="24"/>
        </w:rPr>
        <w:t>5.5 Customary International Law Principles</w:t>
      </w:r>
    </w:p>
    <w:p w14:paraId="0000006C"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customary international environmental law principles are relevant to the governance of geoengineering and create obligations for India as part of the international community. The no-harm principle used in international law stipulates that States have </w:t>
      </w:r>
      <w:r>
        <w:rPr>
          <w:rFonts w:ascii="Times New Roman" w:eastAsia="Times New Roman" w:hAnsi="Times New Roman" w:cs="Times New Roman"/>
          <w:sz w:val="24"/>
          <w:szCs w:val="24"/>
        </w:rPr>
        <w:t>the duty not to allow their territory to be used for activities causing significant harm to the environment of other States and may be directly applied to geoengineering activities which may have transboundary environmental impacts. The precautionary princ</w:t>
      </w:r>
      <w:r>
        <w:rPr>
          <w:rFonts w:ascii="Times New Roman" w:eastAsia="Times New Roman" w:hAnsi="Times New Roman" w:cs="Times New Roman"/>
          <w:sz w:val="24"/>
          <w:szCs w:val="24"/>
        </w:rPr>
        <w:t xml:space="preserve">iple, as stated in Principle 15 of the Rio Declaration, indicates that "where there are threats of serious or irreversible damage, lack of full scientific certainty shall not be used as a </w:t>
      </w:r>
      <w:r>
        <w:rPr>
          <w:rFonts w:ascii="Times New Roman" w:eastAsia="Times New Roman" w:hAnsi="Times New Roman" w:cs="Times New Roman"/>
          <w:sz w:val="24"/>
          <w:szCs w:val="24"/>
        </w:rPr>
        <w:lastRenderedPageBreak/>
        <w:t>reason for postponing cost-effective measures to prevent environment</w:t>
      </w:r>
      <w:r>
        <w:rPr>
          <w:rFonts w:ascii="Times New Roman" w:eastAsia="Times New Roman" w:hAnsi="Times New Roman" w:cs="Times New Roman"/>
          <w:sz w:val="24"/>
          <w:szCs w:val="24"/>
        </w:rPr>
        <w:t xml:space="preserve">al degradation." </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This principle has particular force in the geoengineering context, given the overwhelming scientific uncertainties as to the likely risks and side effects arising from any extensive climate intervention.</w:t>
      </w:r>
    </w:p>
    <w:p w14:paraId="0000006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concept of common but differ</w:t>
      </w:r>
      <w:r>
        <w:rPr>
          <w:rFonts w:ascii="Times New Roman" w:eastAsia="Times New Roman" w:hAnsi="Times New Roman" w:cs="Times New Roman"/>
          <w:sz w:val="24"/>
          <w:szCs w:val="24"/>
        </w:rPr>
        <w:t>entiated responsibilities is important in international climate law, particularly in relation to international geoengineering governance. It will be necessary that there be an appreciation of the different historical contributions to climate change and Sta</w:t>
      </w:r>
      <w:r>
        <w:rPr>
          <w:rFonts w:ascii="Times New Roman" w:eastAsia="Times New Roman" w:hAnsi="Times New Roman" w:cs="Times New Roman"/>
          <w:sz w:val="24"/>
          <w:szCs w:val="24"/>
        </w:rPr>
        <w:t>tes different capabilities and vulnerabilities.</w:t>
      </w:r>
    </w:p>
    <w:p w14:paraId="0000006E"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8" w:name="_kjpmf9h2dazj" w:colFirst="0" w:colLast="0"/>
      <w:bookmarkEnd w:id="38"/>
      <w:r>
        <w:rPr>
          <w:rFonts w:ascii="Times New Roman" w:eastAsia="Times New Roman" w:hAnsi="Times New Roman" w:cs="Times New Roman"/>
          <w:b/>
          <w:bCs/>
          <w:color w:val="000000"/>
          <w:sz w:val="24"/>
          <w:szCs w:val="24"/>
        </w:rPr>
        <w:t>5.6 Comparative Domestic Regulatory Approaches</w:t>
      </w:r>
    </w:p>
    <w:p w14:paraId="0000006F"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regulatory framework for geoengineering in the US is rapidly evolving to be more consolidated and relevant (word count: 19). The CHIPS and Science Act of 202</w:t>
      </w:r>
      <w:r>
        <w:rPr>
          <w:rFonts w:ascii="Times New Roman" w:eastAsia="Times New Roman" w:hAnsi="Times New Roman" w:cs="Times New Roman"/>
          <w:sz w:val="24"/>
          <w:szCs w:val="24"/>
        </w:rPr>
        <w:t xml:space="preserve">2 required a solar geoengineering research programme, and in 2023 the White House Office of Science and Technology Policy published a research governance framework. There may be scope for the Environmental Protection Agency to regulate certain atmospheric </w:t>
      </w:r>
      <w:r>
        <w:rPr>
          <w:rFonts w:ascii="Times New Roman" w:eastAsia="Times New Roman" w:hAnsi="Times New Roman" w:cs="Times New Roman"/>
          <w:sz w:val="24"/>
          <w:szCs w:val="24"/>
        </w:rPr>
        <w:t>geoengineering activities under the Clean Air Act, although the agency’s authority in this context remains legally uncertain. The United States takes a research-led approach, which values the production of scientific knowledge above governance questions.</w:t>
      </w:r>
    </w:p>
    <w:p w14:paraId="00000070"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European Union is taking a more conservative and precautionary position on geoengineering governance. In 2021, a resolution was adopted by the European Parliament that calls for a global moratorium on solar geoengineering pending proper international go</w:t>
      </w:r>
      <w:r>
        <w:rPr>
          <w:rFonts w:ascii="Times New Roman" w:eastAsia="Times New Roman" w:hAnsi="Times New Roman" w:cs="Times New Roman"/>
          <w:sz w:val="24"/>
          <w:szCs w:val="24"/>
        </w:rPr>
        <w:t>vernance framework. Moreover, geoengineering governance considerations were included in the European Climate Law and the European Green Deal by the European Commission. The EU is more precautionary and engages with transboundary justice more explicitly tha</w:t>
      </w:r>
      <w:r>
        <w:rPr>
          <w:rFonts w:ascii="Times New Roman" w:eastAsia="Times New Roman" w:hAnsi="Times New Roman" w:cs="Times New Roman"/>
          <w:sz w:val="24"/>
          <w:szCs w:val="24"/>
        </w:rPr>
        <w:t>n either IEEE or the US, which is to its credit.</w:t>
      </w:r>
    </w:p>
    <w:p w14:paraId="00000071"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UK has funded geoengineering research including of the cancelled SPICE (Stratospheric Particle Injection for Climate Engineering) project but lessons from this </w:t>
      </w:r>
      <w:r>
        <w:rPr>
          <w:rFonts w:ascii="Times New Roman" w:eastAsia="Times New Roman" w:hAnsi="Times New Roman" w:cs="Times New Roman"/>
          <w:sz w:val="24"/>
          <w:szCs w:val="24"/>
        </w:rPr>
        <w:lastRenderedPageBreak/>
        <w:t xml:space="preserve">offer important lessons for the governance </w:t>
      </w:r>
      <w:r>
        <w:rPr>
          <w:rFonts w:ascii="Times New Roman" w:eastAsia="Times New Roman" w:hAnsi="Times New Roman" w:cs="Times New Roman"/>
          <w:sz w:val="24"/>
          <w:szCs w:val="24"/>
        </w:rPr>
        <w:t>of geoengineering field trials.  The UK has taken a research driven approach to geoengineering, with governance frameworks established on a project-by-project basis via existing research councils and environmental regulators, rather than through geoenginee</w:t>
      </w:r>
      <w:r>
        <w:rPr>
          <w:rFonts w:ascii="Times New Roman" w:eastAsia="Times New Roman" w:hAnsi="Times New Roman" w:cs="Times New Roman"/>
          <w:sz w:val="24"/>
          <w:szCs w:val="24"/>
        </w:rPr>
        <w:t>ring legislation.</w:t>
      </w:r>
      <w:r>
        <w:rPr>
          <w:rFonts w:ascii="Times New Roman" w:eastAsia="Times New Roman" w:hAnsi="Times New Roman" w:cs="Times New Roman"/>
          <w:sz w:val="24"/>
          <w:szCs w:val="24"/>
          <w:vertAlign w:val="superscript"/>
        </w:rPr>
        <w:footnoteReference w:id="20"/>
      </w:r>
    </w:p>
    <w:p w14:paraId="00000072"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39" w:name="_lgu0zrnrfbdq" w:colFirst="0" w:colLast="0"/>
      <w:bookmarkEnd w:id="39"/>
      <w:r>
        <w:rPr>
          <w:rFonts w:ascii="Times New Roman" w:eastAsia="Times New Roman" w:hAnsi="Times New Roman" w:cs="Times New Roman"/>
          <w:b/>
          <w:bCs/>
          <w:color w:val="000000"/>
          <w:sz w:val="24"/>
          <w:szCs w:val="24"/>
        </w:rPr>
        <w:t>5.7 Lessons for India and India's International Posture</w:t>
      </w:r>
    </w:p>
    <w:p w14:paraId="00000073"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comparative analysis reveals a world characterized by fragmented, inadequate and largely reactive geoengineering governance, with no jurisdiction to date having developed a comprehensive dedicated regulatory regime. Despite other nations' shortcomings,</w:t>
      </w:r>
      <w:r>
        <w:rPr>
          <w:rFonts w:ascii="Times New Roman" w:eastAsia="Times New Roman" w:hAnsi="Times New Roman" w:cs="Times New Roman"/>
          <w:sz w:val="24"/>
          <w:szCs w:val="24"/>
        </w:rPr>
        <w:t xml:space="preserve"> India's total lack of a regulatory response is noteworthy.  India’s stance toward geoengineering governance on the international level has been somewhat unclear: India has endorsed the framework set forth by the CBD Decision X/33, but has not taken a clea</w:t>
      </w:r>
      <w:r>
        <w:rPr>
          <w:rFonts w:ascii="Times New Roman" w:eastAsia="Times New Roman" w:hAnsi="Times New Roman" w:cs="Times New Roman"/>
          <w:sz w:val="24"/>
          <w:szCs w:val="24"/>
        </w:rPr>
        <w:t>r public position on the desirability of a binding international governance framework for geoengineering that could apply to India. Moreover, India has not articulated a national policy position on the permissibility of geoengineering research or deploymen</w:t>
      </w:r>
      <w:r>
        <w:rPr>
          <w:rFonts w:ascii="Times New Roman" w:eastAsia="Times New Roman" w:hAnsi="Times New Roman" w:cs="Times New Roman"/>
          <w:sz w:val="24"/>
          <w:szCs w:val="24"/>
        </w:rPr>
        <w:t>t within India’s jurisdiction.</w:t>
      </w:r>
    </w:p>
    <w:p w14:paraId="00000074"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need of the hour for India is to formulate a robust, principled and proactive position for international geoengineering governance. Also, the adverse consequences on South Asian monsoon due to SRM interventions can severe</w:t>
      </w:r>
      <w:r>
        <w:rPr>
          <w:rFonts w:ascii="Times New Roman" w:eastAsia="Times New Roman" w:hAnsi="Times New Roman" w:cs="Times New Roman"/>
          <w:sz w:val="24"/>
          <w:szCs w:val="24"/>
        </w:rPr>
        <w:t>ly affect India. India is unusually vulnerable to climate change impacts. Geoengineering technologies will affect all living beings on this planet. Therefore, these technologies should be governed through an international regime in order to ensure that dev</w:t>
      </w:r>
      <w:r>
        <w:rPr>
          <w:rFonts w:ascii="Times New Roman" w:eastAsia="Times New Roman" w:hAnsi="Times New Roman" w:cs="Times New Roman"/>
          <w:sz w:val="24"/>
          <w:szCs w:val="24"/>
        </w:rPr>
        <w:t>eloping countries and vulnerable communities do not suffer the consequences of unregulated geoengineering or disastrous climate change.</w:t>
      </w:r>
    </w:p>
    <w:p w14:paraId="00000075"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76"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both"/>
        <w:rPr>
          <w:rFonts w:ascii="Times New Roman" w:eastAsia="Times New Roman" w:hAnsi="Times New Roman" w:cs="Times New Roman"/>
          <w:b/>
          <w:bCs/>
          <w:sz w:val="28"/>
          <w:szCs w:val="28"/>
          <w:u w:val="single"/>
        </w:rPr>
      </w:pPr>
      <w:bookmarkStart w:id="40" w:name="_cgwzul4zt3cw" w:colFirst="0" w:colLast="0"/>
      <w:bookmarkEnd w:id="40"/>
      <w:r>
        <w:rPr>
          <w:rFonts w:ascii="Times New Roman" w:eastAsia="Times New Roman" w:hAnsi="Times New Roman" w:cs="Times New Roman"/>
          <w:b/>
          <w:bCs/>
          <w:sz w:val="28"/>
          <w:szCs w:val="28"/>
          <w:u w:val="single"/>
        </w:rPr>
        <w:t>CHAPTER 6: CONCLUSION AND RECOMMENDATIONS</w:t>
      </w:r>
    </w:p>
    <w:p w14:paraId="00000077"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b/>
          <w:bCs/>
          <w:color w:val="000000"/>
          <w:sz w:val="24"/>
          <w:szCs w:val="24"/>
        </w:rPr>
      </w:pPr>
      <w:bookmarkStart w:id="41" w:name="_mo6nmein5r7x" w:colFirst="0" w:colLast="0"/>
      <w:bookmarkEnd w:id="41"/>
      <w:r>
        <w:rPr>
          <w:rFonts w:ascii="Times New Roman" w:eastAsia="Times New Roman" w:hAnsi="Times New Roman" w:cs="Times New Roman"/>
          <w:b/>
          <w:bCs/>
          <w:color w:val="000000"/>
          <w:sz w:val="24"/>
          <w:szCs w:val="24"/>
        </w:rPr>
        <w:t>6.1 Summary of Key Findings</w:t>
      </w:r>
    </w:p>
    <w:p w14:paraId="00000078"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doctrinal and comparative research study of India’s regulatory preparedness for emerging climate geoengineering technology. The most important results of the study are: </w:t>
      </w:r>
    </w:p>
    <w:p w14:paraId="0000007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currently has no dedicated legal or regulatory framework to govern climate geo</w:t>
      </w:r>
      <w:r>
        <w:rPr>
          <w:rFonts w:ascii="Times New Roman" w:eastAsia="Times New Roman" w:hAnsi="Times New Roman" w:cs="Times New Roman"/>
          <w:sz w:val="24"/>
          <w:szCs w:val="24"/>
        </w:rPr>
        <w:t>engineering, and thus there is a total vacuum. The existing laws in the country like  the Environment (Protection) Act of 1986, the EIA framework, and the NGT Act of 2010while do establish basic environmental governance mechanisms, they are entirely ill-su</w:t>
      </w:r>
      <w:r>
        <w:rPr>
          <w:rFonts w:ascii="Times New Roman" w:eastAsia="Times New Roman" w:hAnsi="Times New Roman" w:cs="Times New Roman"/>
          <w:sz w:val="24"/>
          <w:szCs w:val="24"/>
        </w:rPr>
        <w:t>ited for the governance challenges of geoengineering technologies because they are directed at conventional industrial pollution they do not contain provisions for transboundary risks they do not contain mechanisms for governing novel atmospheric intervent</w:t>
      </w:r>
      <w:r>
        <w:rPr>
          <w:rFonts w:ascii="Times New Roman" w:eastAsia="Times New Roman" w:hAnsi="Times New Roman" w:cs="Times New Roman"/>
          <w:sz w:val="24"/>
          <w:szCs w:val="24"/>
        </w:rPr>
        <w:t>ions, and they do not have the institutional capacity or ability to manage the scientific uncertainty of geoengineering.</w:t>
      </w:r>
    </w:p>
    <w:p w14:paraId="0000007A"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Inadequate International Framework The existing international environmental law framework only provides fragmentary and largely inadequate governance for climate geoengineering (Hale and Geden, 2018). The most important existing instrument is CBD decision </w:t>
      </w:r>
      <w:r>
        <w:rPr>
          <w:rFonts w:ascii="Times New Roman" w:eastAsia="Times New Roman" w:hAnsi="Times New Roman" w:cs="Times New Roman"/>
          <w:sz w:val="24"/>
          <w:szCs w:val="24"/>
        </w:rPr>
        <w:t>X/33, which however does not have binding force or operational specificity. The amendments to the London Protocol refer to interventions in marine geoengineering. Thus, the amendments do not apply to interventions in the atmosphere. The governance of SRM i</w:t>
      </w:r>
      <w:r>
        <w:rPr>
          <w:rFonts w:ascii="Times New Roman" w:eastAsia="Times New Roman" w:hAnsi="Times New Roman" w:cs="Times New Roman"/>
          <w:sz w:val="24"/>
          <w:szCs w:val="24"/>
        </w:rPr>
        <w:t>s not mentioned in the UNFCCC and Paris Agreement. The principles of customary international law   including the no-harm principle and the precautionary principle   provide normative guidance but no operational governance framework.</w:t>
      </w:r>
    </w:p>
    <w:p w14:paraId="0000007B"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report</w:t>
      </w:r>
      <w:r>
        <w:rPr>
          <w:rFonts w:ascii="Times New Roman" w:eastAsia="Times New Roman" w:hAnsi="Times New Roman" w:cs="Times New Roman"/>
          <w:sz w:val="24"/>
          <w:szCs w:val="24"/>
        </w:rPr>
        <w:t>, India is one of the most vulnerable countries in the world considering climate change and geoengineering intervention. SAI-induced disruption of the South Asian monsoon is a specifically severe threat to India’s food and water security. India has a stron</w:t>
      </w:r>
      <w:r>
        <w:rPr>
          <w:rFonts w:ascii="Times New Roman" w:eastAsia="Times New Roman" w:hAnsi="Times New Roman" w:cs="Times New Roman"/>
          <w:sz w:val="24"/>
          <w:szCs w:val="24"/>
        </w:rPr>
        <w:t>g and urgent interest in establishing robust governance frameworks, both domestic and international, that will prevent unauthorized geoengineering and poorly governed geoengineering from causing catastrophic harm.</w:t>
      </w:r>
    </w:p>
    <w:p w14:paraId="0000007C"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is poorly prepared to regulate geoen</w:t>
      </w:r>
      <w:r>
        <w:rPr>
          <w:rFonts w:ascii="Times New Roman" w:eastAsia="Times New Roman" w:hAnsi="Times New Roman" w:cs="Times New Roman"/>
          <w:sz w:val="24"/>
          <w:szCs w:val="24"/>
        </w:rPr>
        <w:t xml:space="preserve">gineering, relative to other nations and global standards. Inadequate regulatory readiness and standards have implications for </w:t>
      </w:r>
      <w:r>
        <w:rPr>
          <w:rFonts w:ascii="Times New Roman" w:eastAsia="Times New Roman" w:hAnsi="Times New Roman" w:cs="Times New Roman"/>
          <w:sz w:val="24"/>
          <w:szCs w:val="24"/>
        </w:rPr>
        <w:lastRenderedPageBreak/>
        <w:t>recklessness. While no significant authority has created a comprehensive regulatory structure specifically dealing with geoengine</w:t>
      </w:r>
      <w:r>
        <w:rPr>
          <w:rFonts w:ascii="Times New Roman" w:eastAsia="Times New Roman" w:hAnsi="Times New Roman" w:cs="Times New Roman"/>
          <w:sz w:val="24"/>
          <w:szCs w:val="24"/>
        </w:rPr>
        <w:t>ering, several countries including the USA, the European Union and the United Kingdom have at least started to develop governance structures, carry out systematic research programmes and define national positions. None of these steps have been taken by Ind</w:t>
      </w:r>
      <w:r>
        <w:rPr>
          <w:rFonts w:ascii="Times New Roman" w:eastAsia="Times New Roman" w:hAnsi="Times New Roman" w:cs="Times New Roman"/>
          <w:sz w:val="24"/>
          <w:szCs w:val="24"/>
        </w:rPr>
        <w:t>ia.</w:t>
      </w:r>
    </w:p>
    <w:p w14:paraId="0000007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 5   Hypothesis Confirmed: The working hypothesis of this paper   that India’s current legal and regulatory framework is fundamentally and dangerously inadequate to govern climate geoengineering   is fully confirmed by the analysis undertaken. T</w:t>
      </w:r>
      <w:r>
        <w:rPr>
          <w:rFonts w:ascii="Times New Roman" w:eastAsia="Times New Roman" w:hAnsi="Times New Roman" w:cs="Times New Roman"/>
          <w:sz w:val="24"/>
          <w:szCs w:val="24"/>
        </w:rPr>
        <w:t>he insufficiency is not just technical or procedural; it is fundamental and systemic.</w:t>
      </w:r>
    </w:p>
    <w:p w14:paraId="0000007E"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color w:val="000000"/>
          <w:sz w:val="24"/>
          <w:szCs w:val="24"/>
        </w:rPr>
      </w:pPr>
      <w:bookmarkStart w:id="42" w:name="_xnbrfhwta9i7" w:colFirst="0" w:colLast="0"/>
      <w:bookmarkEnd w:id="42"/>
      <w:r>
        <w:rPr>
          <w:rFonts w:ascii="Times New Roman" w:eastAsia="Times New Roman" w:hAnsi="Times New Roman" w:cs="Times New Roman"/>
          <w:b/>
          <w:bCs/>
          <w:color w:val="000000"/>
          <w:sz w:val="24"/>
          <w:szCs w:val="24"/>
        </w:rPr>
        <w:t>6.2 Restating the Thesis and Final Conclusions</w:t>
      </w:r>
    </w:p>
    <w:p w14:paraId="0000007F"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Parliament of India should pass Climate Geoengineering (Governance &amp;</w:t>
      </w:r>
      <w:r>
        <w:rPr>
          <w:rFonts w:ascii="Times New Roman" w:eastAsia="Times New Roman" w:hAnsi="Times New Roman" w:cs="Times New Roman"/>
          <w:sz w:val="24"/>
          <w:szCs w:val="24"/>
        </w:rPr>
        <w:t xml:space="preserve"> Regulation) Act. A framework should be put in place for permitting, authorizing, monitoring, regulation and prohibition of climate geoengineering or other related research or deployment activity in India. The Act should define terms such as “solar radiati</w:t>
      </w:r>
      <w:r>
        <w:rPr>
          <w:rFonts w:ascii="Times New Roman" w:eastAsia="Times New Roman" w:hAnsi="Times New Roman" w:cs="Times New Roman"/>
          <w:sz w:val="24"/>
          <w:szCs w:val="24"/>
        </w:rPr>
        <w:t>on management”, “carbon dioxide removal” and “large-scale geoengineering”, provide for licenses for geoengineering, mandate environmental impact assessment suited to the distinctive feature of geoengineering, and set out effective enforcement mechanisms in</w:t>
      </w:r>
      <w:r>
        <w:rPr>
          <w:rFonts w:ascii="Times New Roman" w:eastAsia="Times New Roman" w:hAnsi="Times New Roman" w:cs="Times New Roman"/>
          <w:sz w:val="24"/>
          <w:szCs w:val="24"/>
        </w:rPr>
        <w:t>cluding civil and criminal fines.</w:t>
      </w:r>
    </w:p>
    <w:p w14:paraId="00000080"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Establishment of National Geoengineering Regulatory Authority will be a multidisciplinary body with representation from legal, scientific, ethical, civil society and other experts to deal with Geoengineering regulation. It</w:t>
      </w:r>
      <w:r>
        <w:rPr>
          <w:rFonts w:ascii="Times New Roman" w:eastAsia="Times New Roman" w:hAnsi="Times New Roman" w:cs="Times New Roman"/>
          <w:sz w:val="24"/>
          <w:szCs w:val="24"/>
        </w:rPr>
        <w:t xml:space="preserve"> would be appropriate for the Authority to regulate and license research involving geoengineering techniques, draw up and implement technical standards and guidelines for these techniques, develop and maintain a public register of authorized geoengineering</w:t>
      </w:r>
      <w:r>
        <w:rPr>
          <w:rFonts w:ascii="Times New Roman" w:eastAsia="Times New Roman" w:hAnsi="Times New Roman" w:cs="Times New Roman"/>
          <w:sz w:val="24"/>
          <w:szCs w:val="24"/>
        </w:rPr>
        <w:t xml:space="preserve"> activities, and advise the Government on international geoengineering governance issues.</w:t>
      </w:r>
    </w:p>
    <w:p w14:paraId="00000081"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notification on Environmental Impact Assessment should be modified to clearly state that geoengineering activities categorised based on their scale and risk profi</w:t>
      </w:r>
      <w:r>
        <w:rPr>
          <w:rFonts w:ascii="Times New Roman" w:eastAsia="Times New Roman" w:hAnsi="Times New Roman" w:cs="Times New Roman"/>
          <w:sz w:val="24"/>
          <w:szCs w:val="24"/>
        </w:rPr>
        <w:t xml:space="preserve">le will be treated as one of the project categories requiring compulsory environmental clearance. </w:t>
      </w:r>
      <w:r>
        <w:rPr>
          <w:rFonts w:ascii="Times New Roman" w:eastAsia="Times New Roman" w:hAnsi="Times New Roman" w:cs="Times New Roman"/>
          <w:sz w:val="24"/>
          <w:szCs w:val="24"/>
        </w:rPr>
        <w:lastRenderedPageBreak/>
        <w:t>The EIA of geoengineering will need a methodology that is specially adapted to transboundary impacts, scientific uncertainty and cumulative impacts, having re</w:t>
      </w:r>
      <w:r>
        <w:rPr>
          <w:rFonts w:ascii="Times New Roman" w:eastAsia="Times New Roman" w:hAnsi="Times New Roman" w:cs="Times New Roman"/>
          <w:sz w:val="24"/>
          <w:szCs w:val="24"/>
        </w:rPr>
        <w:t>gard to international best practice.</w:t>
      </w:r>
    </w:p>
    <w:p w14:paraId="00000082"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Green Tribunal Act, 2010 should be amended to confer express jurisdiction over geoengineering activities on NGT, including disputes arising therefrom.  The NGT should have a scientific advisory committee ma</w:t>
      </w:r>
      <w:r>
        <w:rPr>
          <w:rFonts w:ascii="Times New Roman" w:eastAsia="Times New Roman" w:hAnsi="Times New Roman" w:cs="Times New Roman"/>
          <w:sz w:val="24"/>
          <w:szCs w:val="24"/>
        </w:rPr>
        <w:t>de up of climate scientists, atmospheric chemists and environmental and ecological risk assessment experts.</w:t>
      </w:r>
    </w:p>
    <w:p w14:paraId="00000083"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government should initiate a national research program for geoengineering in India to study its risks, governance and applications. This should </w:t>
      </w:r>
      <w:r>
        <w:rPr>
          <w:rFonts w:ascii="Times New Roman" w:eastAsia="Times New Roman" w:hAnsi="Times New Roman" w:cs="Times New Roman"/>
          <w:sz w:val="24"/>
          <w:szCs w:val="24"/>
        </w:rPr>
        <w:t>be undertaken by Indian scientific institutions with adequate ethical oversight. India must engage seriously with the science of geoengineering as its stake in the governance outcomes is significant. India would not have an independent scientific base to s</w:t>
      </w:r>
      <w:r>
        <w:rPr>
          <w:rFonts w:ascii="Times New Roman" w:eastAsia="Times New Roman" w:hAnsi="Times New Roman" w:cs="Times New Roman"/>
          <w:sz w:val="24"/>
          <w:szCs w:val="24"/>
        </w:rPr>
        <w:t>ystematically assess the risks and benefits of particular technologies and advocate for governance frameworks protecting its interests.</w:t>
      </w:r>
    </w:p>
    <w:p w14:paraId="00000084"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imperative that the Government of India formulates and publicly communicates a national policy position and approa</w:t>
      </w:r>
      <w:r>
        <w:rPr>
          <w:rFonts w:ascii="Times New Roman" w:eastAsia="Times New Roman" w:hAnsi="Times New Roman" w:cs="Times New Roman"/>
          <w:sz w:val="24"/>
          <w:szCs w:val="24"/>
        </w:rPr>
        <w:t>ch on climate geoengineering at the earliest. This will signal what geoengineering research on Indian territory will be acceptable; what are the views of India on international governance arrangements for geoengineering; which geoengineering technology sho</w:t>
      </w:r>
      <w:r>
        <w:rPr>
          <w:rFonts w:ascii="Times New Roman" w:eastAsia="Times New Roman" w:hAnsi="Times New Roman" w:cs="Times New Roman"/>
          <w:sz w:val="24"/>
          <w:szCs w:val="24"/>
        </w:rPr>
        <w:t>uld be seen as having a greater risk compared to useful/beneficial from the perspective of India and climate vulnerability of India.</w:t>
      </w:r>
    </w:p>
    <w:p w14:paraId="00000085"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must lead international negotiations on developing a binding international geoengineering governance framework.  Indi</w:t>
      </w:r>
      <w:r>
        <w:rPr>
          <w:rFonts w:ascii="Times New Roman" w:eastAsia="Times New Roman" w:hAnsi="Times New Roman" w:cs="Times New Roman"/>
          <w:sz w:val="24"/>
          <w:szCs w:val="24"/>
        </w:rPr>
        <w:t>a must push for the creation of an international geoengineering regulatory body (which may well be an existing UN body or under the banner of the UN) which has the power to authorise geoengineering activities and monitor their impacts and prohibition where</w:t>
      </w:r>
      <w:r>
        <w:rPr>
          <w:rFonts w:ascii="Times New Roman" w:eastAsia="Times New Roman" w:hAnsi="Times New Roman" w:cs="Times New Roman"/>
          <w:sz w:val="24"/>
          <w:szCs w:val="24"/>
        </w:rPr>
        <w:t xml:space="preserve"> appropriate.  A requirement for the environmental impact assessment of large-scale geotechnical research has been established. Fair representation of developing countries in governance decisions. Large-scale SRM should not commence until sufficiently stro</w:t>
      </w:r>
      <w:r>
        <w:rPr>
          <w:rFonts w:ascii="Times New Roman" w:eastAsia="Times New Roman" w:hAnsi="Times New Roman" w:cs="Times New Roman"/>
          <w:sz w:val="24"/>
          <w:szCs w:val="24"/>
        </w:rPr>
        <w:t xml:space="preserve">ng scientific and governance </w:t>
      </w:r>
      <w:r>
        <w:rPr>
          <w:rFonts w:ascii="Times New Roman" w:eastAsia="Times New Roman" w:hAnsi="Times New Roman" w:cs="Times New Roman"/>
          <w:sz w:val="24"/>
          <w:szCs w:val="24"/>
        </w:rPr>
        <w:lastRenderedPageBreak/>
        <w:t>capacities are in place; establishment of moratorium recommended. Liability and compensation for injury caused by geoengineering activities in other countries</w:t>
      </w:r>
    </w:p>
    <w:p w14:paraId="00000086"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43" w:name="_ngffjppowh8v" w:colFirst="0" w:colLast="0"/>
      <w:bookmarkEnd w:id="43"/>
      <w:r>
        <w:rPr>
          <w:rFonts w:ascii="Times New Roman" w:eastAsia="Times New Roman" w:hAnsi="Times New Roman" w:cs="Times New Roman"/>
          <w:b/>
          <w:bCs/>
          <w:color w:val="000000"/>
          <w:sz w:val="24"/>
          <w:szCs w:val="24"/>
        </w:rPr>
        <w:t>6.3 Recommendations</w:t>
      </w:r>
    </w:p>
    <w:p w14:paraId="00000087"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essay has given a detailed analysis and hen</w:t>
      </w:r>
      <w:r>
        <w:rPr>
          <w:rFonts w:ascii="Times New Roman" w:eastAsia="Times New Roman" w:hAnsi="Times New Roman" w:cs="Times New Roman"/>
          <w:sz w:val="24"/>
          <w:szCs w:val="24"/>
        </w:rPr>
        <w:t>ce, has suggested the following specific recommendations.</w:t>
      </w:r>
    </w:p>
    <w:p w14:paraId="00000088"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regard, the Parliament of India should enact a Climate Geoengineering (Governance and Regulation) Act. It should cover the regulation and enablement, and possibly prohibition, of various geo</w:t>
      </w:r>
      <w:r>
        <w:rPr>
          <w:rFonts w:ascii="Times New Roman" w:eastAsia="Times New Roman" w:hAnsi="Times New Roman" w:cs="Times New Roman"/>
          <w:sz w:val="24"/>
          <w:szCs w:val="24"/>
        </w:rPr>
        <w:t>engineering research and deployment activities and monitoring of toxic impacts in India. The Act ought to include definitions of key terms (solar radiation management, carbon dioxide removal, large scale geoengineering, etc), regulations for licensing geoe</w:t>
      </w:r>
      <w:r>
        <w:rPr>
          <w:rFonts w:ascii="Times New Roman" w:eastAsia="Times New Roman" w:hAnsi="Times New Roman" w:cs="Times New Roman"/>
          <w:sz w:val="24"/>
          <w:szCs w:val="24"/>
        </w:rPr>
        <w:t>ngineering activities, mandatory environmental impact assessments (EIA), adapted to the special characteristics of geoengineering, and effective enforcement mechanism, including civil and criminal penalties.</w:t>
      </w:r>
    </w:p>
    <w:p w14:paraId="0000008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2: Create a Separate Regulator A </w:t>
      </w:r>
      <w:r>
        <w:rPr>
          <w:rFonts w:ascii="Times New Roman" w:eastAsia="Times New Roman" w:hAnsi="Times New Roman" w:cs="Times New Roman"/>
          <w:sz w:val="24"/>
          <w:szCs w:val="24"/>
        </w:rPr>
        <w:t>specialized National Geoengineering Regulatory Authority should be established. The regulator should be multisectoral and include members from the legal system, scientific community, ethical community, and civil society. The Authority should be charged wit</w:t>
      </w:r>
      <w:r>
        <w:rPr>
          <w:rFonts w:ascii="Times New Roman" w:eastAsia="Times New Roman" w:hAnsi="Times New Roman" w:cs="Times New Roman"/>
          <w:sz w:val="24"/>
          <w:szCs w:val="24"/>
        </w:rPr>
        <w:t>h the responsibilities of licensing and monitoring geoengineering research activities and developing technical standards and guidelines, as well as maintaining a public register of authorized geoengineering activities and advising the Government on interna</w:t>
      </w:r>
      <w:r>
        <w:rPr>
          <w:rFonts w:ascii="Times New Roman" w:eastAsia="Times New Roman" w:hAnsi="Times New Roman" w:cs="Times New Roman"/>
          <w:sz w:val="24"/>
          <w:szCs w:val="24"/>
        </w:rPr>
        <w:t>tional geoengineering governance issues.</w:t>
      </w:r>
    </w:p>
    <w:p w14:paraId="0000008A"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 3: Amend the EIA Framework: The Environmental Impact Assessment Notification must be amended to clearly state that geoengineering activities must be classified by scale and risk level and should be ca</w:t>
      </w:r>
      <w:r>
        <w:rPr>
          <w:rFonts w:ascii="Times New Roman" w:eastAsia="Times New Roman" w:hAnsi="Times New Roman" w:cs="Times New Roman"/>
          <w:sz w:val="24"/>
          <w:szCs w:val="24"/>
        </w:rPr>
        <w:t>tegories of projects requiring mandatory EIA prior to approval.  Modifying the EIA methodology for geoengineering projects will need to take into account transboundary impacts, scientific uncertainty, and cumulative effects, with lessons drawn from best in</w:t>
      </w:r>
      <w:r>
        <w:rPr>
          <w:rFonts w:ascii="Times New Roman" w:eastAsia="Times New Roman" w:hAnsi="Times New Roman" w:cs="Times New Roman"/>
          <w:sz w:val="24"/>
          <w:szCs w:val="24"/>
        </w:rPr>
        <w:t>ternational practice.</w:t>
      </w:r>
    </w:p>
    <w:p w14:paraId="0000008B"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Recommendation 4   Expand NGT Jurisdiction and Capacity </w:t>
      </w:r>
    </w:p>
    <w:p w14:paraId="0000008C"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Green Tribunal Act, 2010, must be amended to confer explicit jurisdiction on the NGT over disputes arising from geoengineering.  A standing scientific advisory panel should be set up for NGT with experts from climate science, atmospheric chemi</w:t>
      </w:r>
      <w:r>
        <w:rPr>
          <w:rFonts w:ascii="Times New Roman" w:eastAsia="Times New Roman" w:hAnsi="Times New Roman" w:cs="Times New Roman"/>
          <w:sz w:val="24"/>
          <w:szCs w:val="24"/>
        </w:rPr>
        <w:t>stry, environmental risk assessment, etc., to assist in NGT adjudicating technically complex geoengineering disputes.</w:t>
      </w:r>
    </w:p>
    <w:p w14:paraId="0000008D"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government should set up a national research program on the risks, governance and possible applications of geoengineering techn</w:t>
      </w:r>
      <w:r>
        <w:rPr>
          <w:rFonts w:ascii="Times New Roman" w:eastAsia="Times New Roman" w:hAnsi="Times New Roman" w:cs="Times New Roman"/>
          <w:sz w:val="24"/>
          <w:szCs w:val="24"/>
        </w:rPr>
        <w:t>ologies, with research based at Indian scientific institutions and subject to suitable ethical oversight. India’s scientific involvement in geoengineering should correspond to the country’s stake in governance outcomes: India cannot advocate to create a go</w:t>
      </w:r>
      <w:r>
        <w:rPr>
          <w:rFonts w:ascii="Times New Roman" w:eastAsia="Times New Roman" w:hAnsi="Times New Roman" w:cs="Times New Roman"/>
          <w:sz w:val="24"/>
          <w:szCs w:val="24"/>
        </w:rPr>
        <w:t>vernance framework to protect India’s interests without having an independent scientific base to assess the risks and benefits of a particular technology.</w:t>
      </w:r>
    </w:p>
    <w:p w14:paraId="0000008E"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of India should develop and publicly express a national policy position on climate geo</w:t>
      </w:r>
      <w:r>
        <w:rPr>
          <w:rFonts w:ascii="Times New Roman" w:eastAsia="Times New Roman" w:hAnsi="Times New Roman" w:cs="Times New Roman"/>
          <w:sz w:val="24"/>
          <w:szCs w:val="24"/>
        </w:rPr>
        <w:t>engineering. Such a position should make clear whether India considers climate geoengineering research a foreign policy matter and whether its framework is territorial, in which case this research may take place freely within its territory. What is India’s</w:t>
      </w:r>
      <w:r>
        <w:rPr>
          <w:rFonts w:ascii="Times New Roman" w:eastAsia="Times New Roman" w:hAnsi="Times New Roman" w:cs="Times New Roman"/>
          <w:sz w:val="24"/>
          <w:szCs w:val="24"/>
        </w:rPr>
        <w:t xml:space="preserve"> position on international governance? What does India think about relative risks and potentials benefits of different geoengineering technology?</w:t>
      </w:r>
    </w:p>
    <w:p w14:paraId="0000008F"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7 Active International Engagement: India must play an active and leading role in international </w:t>
      </w:r>
      <w:r>
        <w:rPr>
          <w:rFonts w:ascii="Times New Roman" w:eastAsia="Times New Roman" w:hAnsi="Times New Roman" w:cs="Times New Roman"/>
          <w:sz w:val="24"/>
          <w:szCs w:val="24"/>
        </w:rPr>
        <w:t xml:space="preserve">negotiations to develop a binding international geoengineering governance framework. Specifically, India must advocate for: </w:t>
      </w:r>
    </w:p>
    <w:p w14:paraId="00000090"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establishment of an international geoengineering governance body under UN auspices empowered to authorise , monitor and prohibi</w:t>
      </w:r>
      <w:r>
        <w:rPr>
          <w:rFonts w:ascii="Times New Roman" w:eastAsia="Times New Roman" w:hAnsi="Times New Roman" w:cs="Times New Roman"/>
          <w:sz w:val="24"/>
          <w:szCs w:val="24"/>
        </w:rPr>
        <w:t>t geoengineering activities, Mandatory environmental impact assessment for any large-scale geoengineering research, Equitable representation of developing country interests in governance decision-making, A moratorium on large scale SRM deployment pending d</w:t>
      </w:r>
      <w:r>
        <w:rPr>
          <w:rFonts w:ascii="Times New Roman" w:eastAsia="Times New Roman" w:hAnsi="Times New Roman" w:cs="Times New Roman"/>
          <w:sz w:val="24"/>
          <w:szCs w:val="24"/>
        </w:rPr>
        <w:t xml:space="preserve">evelopment of </w:t>
      </w:r>
      <w:r>
        <w:rPr>
          <w:rFonts w:ascii="Times New Roman" w:eastAsia="Times New Roman" w:hAnsi="Times New Roman" w:cs="Times New Roman"/>
          <w:sz w:val="24"/>
          <w:szCs w:val="24"/>
        </w:rPr>
        <w:lastRenderedPageBreak/>
        <w:t>adequate scientific understanding and governance frameworks, and Binding liability and compensation for transboundary geoengineering harm.</w:t>
      </w:r>
    </w:p>
    <w:p w14:paraId="00000091"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44" w:name="_lyh5ng3gcqgz" w:colFirst="0" w:colLast="0"/>
      <w:bookmarkEnd w:id="44"/>
      <w:r>
        <w:rPr>
          <w:rFonts w:ascii="Times New Roman" w:eastAsia="Times New Roman" w:hAnsi="Times New Roman" w:cs="Times New Roman"/>
          <w:b/>
          <w:bCs/>
          <w:color w:val="000000"/>
          <w:sz w:val="24"/>
          <w:szCs w:val="24"/>
        </w:rPr>
        <w:t>6.4 Directions for Future Research</w:t>
      </w:r>
    </w:p>
    <w:p w14:paraId="00000092"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research will be important, study says. The empirical study </w:t>
      </w:r>
      <w:r>
        <w:rPr>
          <w:rFonts w:ascii="Times New Roman" w:eastAsia="Times New Roman" w:hAnsi="Times New Roman" w:cs="Times New Roman"/>
          <w:sz w:val="24"/>
          <w:szCs w:val="24"/>
        </w:rPr>
        <w:t xml:space="preserve">of the specific risks of different geoengineering technologies for the South Asian monsoon system and Indian biodiversity, would produce a stronger scientific case for India-specific regulatory design. A second area of helpful research would be a detailed </w:t>
      </w:r>
      <w:r>
        <w:rPr>
          <w:rFonts w:ascii="Times New Roman" w:eastAsia="Times New Roman" w:hAnsi="Times New Roman" w:cs="Times New Roman"/>
          <w:sz w:val="24"/>
          <w:szCs w:val="24"/>
        </w:rPr>
        <w:t xml:space="preserve">constitutional analysis of whether geoengineering regulation falls within the legislative competence either of the Union Parliament and, if so, whether concurrent or State legislative competence is also engaged. Of prime importance, and certainly distinct </w:t>
      </w:r>
      <w:r>
        <w:rPr>
          <w:rFonts w:ascii="Times New Roman" w:eastAsia="Times New Roman" w:hAnsi="Times New Roman" w:cs="Times New Roman"/>
          <w:sz w:val="24"/>
          <w:szCs w:val="24"/>
        </w:rPr>
        <w:t>from harm caused by geoengineering, there would be a need to investigate dedicated models of liability and compensation for transboundary harm, drawing on nuclear law, outer space law, environmental liability law, amongst others.</w:t>
      </w:r>
    </w:p>
    <w:p w14:paraId="00000093"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520" w:after="140" w:line="360" w:lineRule="auto"/>
        <w:jc w:val="both"/>
        <w:rPr>
          <w:rFonts w:ascii="Times New Roman" w:eastAsia="Times New Roman" w:hAnsi="Times New Roman" w:cs="Times New Roman"/>
          <w:b/>
          <w:bCs/>
          <w:color w:val="000000"/>
          <w:sz w:val="24"/>
          <w:szCs w:val="24"/>
        </w:rPr>
      </w:pPr>
      <w:bookmarkStart w:id="45" w:name="_t1odeehb0rwt" w:colFirst="0" w:colLast="0"/>
      <w:bookmarkEnd w:id="45"/>
      <w:r>
        <w:rPr>
          <w:rFonts w:ascii="Times New Roman" w:eastAsia="Times New Roman" w:hAnsi="Times New Roman" w:cs="Times New Roman"/>
          <w:b/>
          <w:bCs/>
          <w:color w:val="000000"/>
          <w:sz w:val="24"/>
          <w:szCs w:val="24"/>
        </w:rPr>
        <w:t>6.5 Final Observations</w:t>
      </w:r>
    </w:p>
    <w:p w14:paraId="00000094"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and legally unexplored aspect of environmental governance is climate geoengineering. A highly vulnerable country with extreme climatic vulnerability, huge scientific and technological capacity, and unparalleled democratic stakes in globa</w:t>
      </w:r>
      <w:r>
        <w:rPr>
          <w:rFonts w:ascii="Times New Roman" w:eastAsia="Times New Roman" w:hAnsi="Times New Roman" w:cs="Times New Roman"/>
          <w:sz w:val="24"/>
          <w:szCs w:val="24"/>
        </w:rPr>
        <w:t>l climate governance, India must create a robust, equitable and science-based regulatory framework for geoengineering not an academic exercise but an urgent national necessity, the report observes. The proposed reforms in this paper provide a principled ye</w:t>
      </w:r>
      <w:r>
        <w:rPr>
          <w:rFonts w:ascii="Times New Roman" w:eastAsia="Times New Roman" w:hAnsi="Times New Roman" w:cs="Times New Roman"/>
          <w:sz w:val="24"/>
          <w:szCs w:val="24"/>
        </w:rPr>
        <w:t>t comprehensive pathway to a governance framework proportionate to the challenge’s seriousness and complexity. The ramifications of doing nothing are too intolerable to consider; it is time to act.</w:t>
      </w:r>
    </w:p>
    <w:p w14:paraId="00000095"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96" w14:textId="77777777" w:rsidR="00705BA9" w:rsidRDefault="00705BA9">
      <w:pPr>
        <w:shd w:val="clear" w:color="auto" w:fill="FFFFFF"/>
        <w:spacing w:line="360" w:lineRule="auto"/>
        <w:jc w:val="both"/>
        <w:rPr>
          <w:rFonts w:ascii="Times New Roman" w:eastAsia="Times New Roman" w:hAnsi="Times New Roman" w:cs="Times New Roman"/>
          <w:sz w:val="24"/>
          <w:szCs w:val="24"/>
        </w:rPr>
      </w:pPr>
    </w:p>
    <w:p w14:paraId="00000097" w14:textId="77777777" w:rsidR="00705BA9" w:rsidRDefault="0015243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400" w:line="360" w:lineRule="auto"/>
        <w:jc w:val="both"/>
        <w:rPr>
          <w:rFonts w:ascii="Times New Roman" w:eastAsia="Times New Roman" w:hAnsi="Times New Roman" w:cs="Times New Roman"/>
          <w:b/>
          <w:bCs/>
          <w:sz w:val="24"/>
          <w:szCs w:val="24"/>
        </w:rPr>
      </w:pPr>
      <w:bookmarkStart w:id="46" w:name="_lheunqq0ecys" w:colFirst="0" w:colLast="0"/>
      <w:bookmarkEnd w:id="46"/>
      <w:r>
        <w:rPr>
          <w:rFonts w:ascii="Times New Roman" w:eastAsia="Times New Roman" w:hAnsi="Times New Roman" w:cs="Times New Roman"/>
          <w:b/>
          <w:bCs/>
          <w:sz w:val="24"/>
          <w:szCs w:val="24"/>
        </w:rPr>
        <w:t>BIBLIOGRAPHY AND REFERENCES</w:t>
      </w:r>
    </w:p>
    <w:p w14:paraId="00000098"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b/>
          <w:bCs/>
          <w:color w:val="000000"/>
          <w:sz w:val="24"/>
          <w:szCs w:val="24"/>
        </w:rPr>
      </w:pPr>
      <w:bookmarkStart w:id="47" w:name="_nttl9akii8ok" w:colFirst="0" w:colLast="0"/>
      <w:bookmarkEnd w:id="47"/>
      <w:r>
        <w:rPr>
          <w:rFonts w:ascii="Times New Roman" w:eastAsia="Times New Roman" w:hAnsi="Times New Roman" w:cs="Times New Roman"/>
          <w:b/>
          <w:bCs/>
          <w:color w:val="000000"/>
          <w:sz w:val="24"/>
          <w:szCs w:val="24"/>
        </w:rPr>
        <w:lastRenderedPageBreak/>
        <w:t>Primary Sources</w:t>
      </w:r>
    </w:p>
    <w:p w14:paraId="0000009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Constitutional and Statutory Instruments   India</w:t>
      </w:r>
    </w:p>
    <w:p w14:paraId="0000009A"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Constitution of India, 1950, Arts. 21, 48A, and 51A(g).</w:t>
      </w:r>
    </w:p>
    <w:p w14:paraId="0000009B"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Environment (Protection) Act, 1986 (India).</w:t>
      </w:r>
    </w:p>
    <w:p w14:paraId="0000009C"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National Green Tribunal Act, 2010 (India).</w:t>
      </w:r>
    </w:p>
    <w:p w14:paraId="0000009D"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Air (Prevention and Control of Pollution) Act, 1</w:t>
      </w:r>
      <w:r>
        <w:rPr>
          <w:rFonts w:ascii="Times New Roman" w:eastAsia="Times New Roman" w:hAnsi="Times New Roman" w:cs="Times New Roman"/>
          <w:sz w:val="24"/>
          <w:szCs w:val="24"/>
        </w:rPr>
        <w:t>981 (India).</w:t>
      </w:r>
    </w:p>
    <w:p w14:paraId="0000009E"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Water (Prevention and Control of Pollution) Act, 1974 (India).</w:t>
      </w:r>
    </w:p>
    <w:p w14:paraId="0000009F"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Biological Diversity Act, 2002 (India).</w:t>
      </w:r>
    </w:p>
    <w:p w14:paraId="000000A0"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Disaster Management Act, 2005 (India).</w:t>
      </w:r>
    </w:p>
    <w:p w14:paraId="000000A1" w14:textId="77777777" w:rsidR="00705BA9" w:rsidRDefault="00152435">
      <w:pPr>
        <w:numPr>
          <w:ilvl w:val="0"/>
          <w:numId w:val="5"/>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Ministry of Environment, Forest and Climate Change, Environmental Impact Assessment Notification, 2006 (India).</w:t>
      </w:r>
    </w:p>
    <w:p w14:paraId="000000A2"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Instruments</w:t>
      </w:r>
    </w:p>
    <w:p w14:paraId="000000A3" w14:textId="77777777" w:rsidR="00705BA9" w:rsidRDefault="00152435">
      <w:pPr>
        <w:numPr>
          <w:ilvl w:val="0"/>
          <w:numId w:val="6"/>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United Nations Framework Convention on Climate Change (UNFCCC), 1771 UNTS 107 (1992).</w:t>
      </w:r>
    </w:p>
    <w:p w14:paraId="000000A4" w14:textId="77777777" w:rsidR="00705BA9" w:rsidRDefault="00152435">
      <w:pPr>
        <w:numPr>
          <w:ilvl w:val="0"/>
          <w:numId w:val="6"/>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Paris Agreement under the UNFCCC, 55 ILM 740 (2015).</w:t>
      </w:r>
    </w:p>
    <w:p w14:paraId="000000A5" w14:textId="77777777" w:rsidR="00705BA9" w:rsidRDefault="00152435">
      <w:pPr>
        <w:numPr>
          <w:ilvl w:val="0"/>
          <w:numId w:val="6"/>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Convention on Biological Diversity, 1760 UNTS 79 (1992).</w:t>
      </w:r>
    </w:p>
    <w:p w14:paraId="000000A6" w14:textId="77777777" w:rsidR="00705BA9" w:rsidRDefault="00152435">
      <w:pPr>
        <w:numPr>
          <w:ilvl w:val="0"/>
          <w:numId w:val="6"/>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CBD Conference of the Parties, Decision X/33 on Biodiversity and Climate Change (Nagoya, 2010).</w:t>
      </w:r>
    </w:p>
    <w:p w14:paraId="000000A7" w14:textId="77777777" w:rsidR="00705BA9" w:rsidRDefault="00152435">
      <w:pPr>
        <w:numPr>
          <w:ilvl w:val="0"/>
          <w:numId w:val="6"/>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London Protocol on the Prevention of Marine Pollut</w:t>
      </w:r>
      <w:r>
        <w:rPr>
          <w:rFonts w:ascii="Times New Roman" w:eastAsia="Times New Roman" w:hAnsi="Times New Roman" w:cs="Times New Roman"/>
          <w:sz w:val="24"/>
          <w:szCs w:val="24"/>
        </w:rPr>
        <w:t>ion by Dumping of Wastes and Other Matter, 1996, and 2013 Amendments.</w:t>
      </w:r>
    </w:p>
    <w:p w14:paraId="000000A8" w14:textId="77777777" w:rsidR="00705BA9" w:rsidRDefault="00152435">
      <w:pPr>
        <w:numPr>
          <w:ilvl w:val="0"/>
          <w:numId w:val="6"/>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Rio Declaration on Environment and Development (1992), UN Doc. A/CONF.151/26 (Vol. I).</w:t>
      </w:r>
    </w:p>
    <w:p w14:paraId="000000A9"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Law   India</w:t>
      </w:r>
    </w:p>
    <w:p w14:paraId="000000AA" w14:textId="77777777" w:rsidR="00705BA9" w:rsidRDefault="00152435">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sz w:val="24"/>
          <w:szCs w:val="24"/>
        </w:rPr>
        <w:t>Subhash Kumar v. State of Bihar</w:t>
      </w:r>
      <w:r>
        <w:rPr>
          <w:rFonts w:ascii="Times New Roman" w:eastAsia="Times New Roman" w:hAnsi="Times New Roman" w:cs="Times New Roman"/>
          <w:sz w:val="24"/>
          <w:szCs w:val="24"/>
        </w:rPr>
        <w:t>, AIR 1991 SC 420 (Supreme Court of India).</w:t>
      </w:r>
    </w:p>
    <w:p w14:paraId="000000AB" w14:textId="77777777" w:rsidR="00705BA9" w:rsidRDefault="00152435">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sz w:val="24"/>
          <w:szCs w:val="24"/>
        </w:rPr>
        <w:t>M.C. Mehta v. Union of India</w:t>
      </w:r>
      <w:r>
        <w:rPr>
          <w:rFonts w:ascii="Times New Roman" w:eastAsia="Times New Roman" w:hAnsi="Times New Roman" w:cs="Times New Roman"/>
          <w:sz w:val="24"/>
          <w:szCs w:val="24"/>
        </w:rPr>
        <w:t>, AIR 1987 SC 1086 (Supreme Court of India).</w:t>
      </w:r>
    </w:p>
    <w:p w14:paraId="000000AC" w14:textId="77777777" w:rsidR="00705BA9" w:rsidRDefault="00152435">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sz w:val="24"/>
          <w:szCs w:val="24"/>
        </w:rPr>
        <w:t>Vellore Citizens' Welfare Forum v. Union of India</w:t>
      </w:r>
      <w:r>
        <w:rPr>
          <w:rFonts w:ascii="Times New Roman" w:eastAsia="Times New Roman" w:hAnsi="Times New Roman" w:cs="Times New Roman"/>
          <w:sz w:val="24"/>
          <w:szCs w:val="24"/>
        </w:rPr>
        <w:t>, AIR 1996 SC 2715 (Supreme Court of India).</w:t>
      </w:r>
    </w:p>
    <w:p w14:paraId="000000AD" w14:textId="77777777" w:rsidR="00705BA9" w:rsidRDefault="00152435">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140" w:line="360" w:lineRule="auto"/>
        <w:jc w:val="both"/>
        <w:rPr>
          <w:rFonts w:ascii="Times New Roman" w:eastAsia="Times New Roman" w:hAnsi="Times New Roman" w:cs="Times New Roman"/>
          <w:b/>
          <w:bCs/>
          <w:color w:val="000000"/>
          <w:sz w:val="24"/>
          <w:szCs w:val="24"/>
        </w:rPr>
      </w:pPr>
      <w:bookmarkStart w:id="48" w:name="_4ef4vavhlvce" w:colFirst="0" w:colLast="0"/>
      <w:bookmarkEnd w:id="48"/>
      <w:r>
        <w:rPr>
          <w:rFonts w:ascii="Times New Roman" w:eastAsia="Times New Roman" w:hAnsi="Times New Roman" w:cs="Times New Roman"/>
          <w:b/>
          <w:bCs/>
          <w:color w:val="000000"/>
          <w:sz w:val="24"/>
          <w:szCs w:val="24"/>
        </w:rPr>
        <w:lastRenderedPageBreak/>
        <w:t>Secondary Sources</w:t>
      </w:r>
    </w:p>
    <w:p w14:paraId="000000AE"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Books and Monographs</w:t>
      </w:r>
    </w:p>
    <w:p w14:paraId="000000AF" w14:textId="77777777" w:rsidR="00705BA9" w:rsidRDefault="00152435">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Biermann, F., and others, </w:t>
      </w:r>
      <w:r>
        <w:rPr>
          <w:rFonts w:ascii="Times New Roman" w:eastAsia="Times New Roman" w:hAnsi="Times New Roman" w:cs="Times New Roman"/>
          <w:i/>
          <w:iCs/>
          <w:sz w:val="24"/>
          <w:szCs w:val="24"/>
        </w:rPr>
        <w:t>Global Environmental Governance: Technology and Politics</w:t>
      </w:r>
      <w:r>
        <w:rPr>
          <w:rFonts w:ascii="Times New Roman" w:eastAsia="Times New Roman" w:hAnsi="Times New Roman" w:cs="Times New Roman"/>
          <w:sz w:val="24"/>
          <w:szCs w:val="24"/>
        </w:rPr>
        <w:t xml:space="preserve"> (Edward Elgar, 2022).</w:t>
      </w:r>
    </w:p>
    <w:p w14:paraId="000000B0" w14:textId="77777777" w:rsidR="00705BA9" w:rsidRDefault="00152435">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Hulme, M., </w:t>
      </w:r>
      <w:r>
        <w:rPr>
          <w:rFonts w:ascii="Times New Roman" w:eastAsia="Times New Roman" w:hAnsi="Times New Roman" w:cs="Times New Roman"/>
          <w:i/>
          <w:iCs/>
          <w:sz w:val="24"/>
          <w:szCs w:val="24"/>
        </w:rPr>
        <w:t>Can Science Fix Climate Change? A Case Against Climate Engineering</w:t>
      </w:r>
      <w:r>
        <w:rPr>
          <w:rFonts w:ascii="Times New Roman" w:eastAsia="Times New Roman" w:hAnsi="Times New Roman" w:cs="Times New Roman"/>
          <w:sz w:val="24"/>
          <w:szCs w:val="24"/>
        </w:rPr>
        <w:t xml:space="preserve"> (Polity Press, 2014).</w:t>
      </w:r>
    </w:p>
    <w:p w14:paraId="000000B1" w14:textId="77777777" w:rsidR="00705BA9" w:rsidRDefault="00152435">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Reynolds, J.L., </w:t>
      </w:r>
      <w:r>
        <w:rPr>
          <w:rFonts w:ascii="Times New Roman" w:eastAsia="Times New Roman" w:hAnsi="Times New Roman" w:cs="Times New Roman"/>
          <w:i/>
          <w:iCs/>
          <w:sz w:val="24"/>
          <w:szCs w:val="24"/>
        </w:rPr>
        <w:t>The Governance of Solar Geoengineering: Managing Climate Chan</w:t>
      </w:r>
      <w:r>
        <w:rPr>
          <w:rFonts w:ascii="Times New Roman" w:eastAsia="Times New Roman" w:hAnsi="Times New Roman" w:cs="Times New Roman"/>
          <w:i/>
          <w:iCs/>
          <w:sz w:val="24"/>
          <w:szCs w:val="24"/>
        </w:rPr>
        <w:t>ge in the Anthropocene</w:t>
      </w:r>
      <w:r>
        <w:rPr>
          <w:rFonts w:ascii="Times New Roman" w:eastAsia="Times New Roman" w:hAnsi="Times New Roman" w:cs="Times New Roman"/>
          <w:sz w:val="24"/>
          <w:szCs w:val="24"/>
        </w:rPr>
        <w:t xml:space="preserve"> (Cambridge University Press, 2019).</w:t>
      </w:r>
    </w:p>
    <w:p w14:paraId="000000B2" w14:textId="77777777" w:rsidR="00705BA9" w:rsidRDefault="00152435">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Royal Society, </w:t>
      </w:r>
      <w:r>
        <w:rPr>
          <w:rFonts w:ascii="Times New Roman" w:eastAsia="Times New Roman" w:hAnsi="Times New Roman" w:cs="Times New Roman"/>
          <w:i/>
          <w:iCs/>
          <w:sz w:val="24"/>
          <w:szCs w:val="24"/>
        </w:rPr>
        <w:t>Geoengineering the Climate: Science, Governance and Uncertainty</w:t>
      </w:r>
      <w:r>
        <w:rPr>
          <w:rFonts w:ascii="Times New Roman" w:eastAsia="Times New Roman" w:hAnsi="Times New Roman" w:cs="Times New Roman"/>
          <w:sz w:val="24"/>
          <w:szCs w:val="24"/>
        </w:rPr>
        <w:t xml:space="preserve"> (Royal Society, 2009).</w:t>
      </w:r>
    </w:p>
    <w:p w14:paraId="000000B3" w14:textId="77777777" w:rsidR="00705BA9" w:rsidRDefault="00152435">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Divan, S., and Rosencranz, A., </w:t>
      </w:r>
      <w:r>
        <w:rPr>
          <w:rFonts w:ascii="Times New Roman" w:eastAsia="Times New Roman" w:hAnsi="Times New Roman" w:cs="Times New Roman"/>
          <w:i/>
          <w:iCs/>
          <w:sz w:val="24"/>
          <w:szCs w:val="24"/>
        </w:rPr>
        <w:t>Environmental Law and Policy in India</w:t>
      </w:r>
      <w:r>
        <w:rPr>
          <w:rFonts w:ascii="Times New Roman" w:eastAsia="Times New Roman" w:hAnsi="Times New Roman" w:cs="Times New Roman"/>
          <w:sz w:val="24"/>
          <w:szCs w:val="24"/>
        </w:rPr>
        <w:t>, 2nd edn (Oxford Universit</w:t>
      </w:r>
      <w:r>
        <w:rPr>
          <w:rFonts w:ascii="Times New Roman" w:eastAsia="Times New Roman" w:hAnsi="Times New Roman" w:cs="Times New Roman"/>
          <w:sz w:val="24"/>
          <w:szCs w:val="24"/>
        </w:rPr>
        <w:t>y Press, 2001).</w:t>
      </w:r>
    </w:p>
    <w:p w14:paraId="000000B4" w14:textId="77777777" w:rsidR="00705BA9" w:rsidRDefault="00152435">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Journal Articles</w:t>
      </w:r>
    </w:p>
    <w:p w14:paraId="000000B5" w14:textId="77777777" w:rsidR="00705BA9" w:rsidRDefault="00152435">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Abate, R.S., and Greenlee, A.B., "Sow What You Reap: Anachronistic Farmland Practices, Climate Change, and the Legal Framework for a Transition to Sustainable Agriculture" (2013) 23 </w:t>
      </w:r>
      <w:r>
        <w:rPr>
          <w:rFonts w:ascii="Times New Roman" w:eastAsia="Times New Roman" w:hAnsi="Times New Roman" w:cs="Times New Roman"/>
          <w:i/>
          <w:iCs/>
          <w:sz w:val="24"/>
          <w:szCs w:val="24"/>
        </w:rPr>
        <w:t>Fordham Environmental Law Review</w:t>
      </w:r>
      <w:r>
        <w:rPr>
          <w:rFonts w:ascii="Times New Roman" w:eastAsia="Times New Roman" w:hAnsi="Times New Roman" w:cs="Times New Roman"/>
          <w:sz w:val="24"/>
          <w:szCs w:val="24"/>
        </w:rPr>
        <w:t xml:space="preserve"> 99.</w:t>
      </w:r>
    </w:p>
    <w:p w14:paraId="000000B6" w14:textId="77777777" w:rsidR="00705BA9" w:rsidRDefault="00152435">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Bodansky, D., "The Who, What and Wherefore of Geoengineering Governance" (2013) 121 </w:t>
      </w:r>
      <w:r>
        <w:rPr>
          <w:rFonts w:ascii="Times New Roman" w:eastAsia="Times New Roman" w:hAnsi="Times New Roman" w:cs="Times New Roman"/>
          <w:i/>
          <w:iCs/>
          <w:sz w:val="24"/>
          <w:szCs w:val="24"/>
        </w:rPr>
        <w:t>Climatic Change</w:t>
      </w:r>
      <w:r>
        <w:rPr>
          <w:rFonts w:ascii="Times New Roman" w:eastAsia="Times New Roman" w:hAnsi="Times New Roman" w:cs="Times New Roman"/>
          <w:sz w:val="24"/>
          <w:szCs w:val="24"/>
        </w:rPr>
        <w:t xml:space="preserve"> 539.</w:t>
      </w:r>
    </w:p>
    <w:p w14:paraId="000000B7" w14:textId="77777777" w:rsidR="00705BA9" w:rsidRDefault="00152435">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Horton, J.B., and Reynolds, J.L., "The International Politics of Climate Engineering: A Review and Prospectus for International Relations" (2016) 17 </w:t>
      </w:r>
      <w:r>
        <w:rPr>
          <w:rFonts w:ascii="Times New Roman" w:eastAsia="Times New Roman" w:hAnsi="Times New Roman" w:cs="Times New Roman"/>
          <w:i/>
          <w:iCs/>
          <w:sz w:val="24"/>
          <w:szCs w:val="24"/>
        </w:rPr>
        <w:t>In</w:t>
      </w:r>
      <w:r>
        <w:rPr>
          <w:rFonts w:ascii="Times New Roman" w:eastAsia="Times New Roman" w:hAnsi="Times New Roman" w:cs="Times New Roman"/>
          <w:i/>
          <w:iCs/>
          <w:sz w:val="24"/>
          <w:szCs w:val="24"/>
        </w:rPr>
        <w:t>ternational Studies Review</w:t>
      </w:r>
      <w:r>
        <w:rPr>
          <w:rFonts w:ascii="Times New Roman" w:eastAsia="Times New Roman" w:hAnsi="Times New Roman" w:cs="Times New Roman"/>
          <w:sz w:val="24"/>
          <w:szCs w:val="24"/>
        </w:rPr>
        <w:t xml:space="preserve"> 462.</w:t>
      </w:r>
    </w:p>
    <w:p w14:paraId="000000B8" w14:textId="77777777" w:rsidR="00705BA9" w:rsidRDefault="00152435">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Robock, A., and others, "Benefits, Risks and Costs of Stratospheric Geoengineering" (2009) 36 </w:t>
      </w:r>
      <w:r>
        <w:rPr>
          <w:rFonts w:ascii="Times New Roman" w:eastAsia="Times New Roman" w:hAnsi="Times New Roman" w:cs="Times New Roman"/>
          <w:i/>
          <w:iCs/>
          <w:sz w:val="24"/>
          <w:szCs w:val="24"/>
        </w:rPr>
        <w:t>Geophysical Research Letters</w:t>
      </w:r>
      <w:r>
        <w:rPr>
          <w:rFonts w:ascii="Times New Roman" w:eastAsia="Times New Roman" w:hAnsi="Times New Roman" w:cs="Times New Roman"/>
          <w:sz w:val="24"/>
          <w:szCs w:val="24"/>
        </w:rPr>
        <w:t xml:space="preserve"> L19703.</w:t>
      </w:r>
    </w:p>
    <w:p w14:paraId="000000B9" w14:textId="77777777" w:rsidR="00705BA9" w:rsidRDefault="00152435">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Biermann, F., and others, "</w:t>
      </w:r>
      <w:r>
        <w:rPr>
          <w:rFonts w:ascii="Times New Roman" w:eastAsia="Times New Roman" w:hAnsi="Times New Roman" w:cs="Times New Roman"/>
          <w:sz w:val="24"/>
          <w:szCs w:val="24"/>
        </w:rPr>
        <w:t xml:space="preserve">Solar Geoengineering: The Case for an International Non-Use Agreement" (2022) 13 </w:t>
      </w:r>
      <w:r>
        <w:rPr>
          <w:rFonts w:ascii="Times New Roman" w:eastAsia="Times New Roman" w:hAnsi="Times New Roman" w:cs="Times New Roman"/>
          <w:i/>
          <w:iCs/>
          <w:sz w:val="24"/>
          <w:szCs w:val="24"/>
        </w:rPr>
        <w:t>WIREs Climate Change</w:t>
      </w:r>
      <w:r>
        <w:rPr>
          <w:rFonts w:ascii="Times New Roman" w:eastAsia="Times New Roman" w:hAnsi="Times New Roman" w:cs="Times New Roman"/>
          <w:sz w:val="24"/>
          <w:szCs w:val="24"/>
        </w:rPr>
        <w:t xml:space="preserve"> e754.</w:t>
      </w:r>
    </w:p>
    <w:sectPr w:rsidR="00705BA9">
      <w:footerReference w:type="default" r:id="rId8"/>
      <w:footerReference w:type="first" r:id="rId9"/>
      <w:pgSz w:w="12240" w:h="15840"/>
      <w:pgMar w:top="1440" w:right="1440" w:bottom="1440" w:left="216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6FAEC" w14:textId="77777777" w:rsidR="00152435" w:rsidRDefault="00152435">
      <w:pPr>
        <w:spacing w:line="240" w:lineRule="auto"/>
      </w:pPr>
      <w:r>
        <w:separator/>
      </w:r>
    </w:p>
  </w:endnote>
  <w:endnote w:type="continuationSeparator" w:id="0">
    <w:p w14:paraId="3C304469" w14:textId="77777777" w:rsidR="00152435" w:rsidRDefault="001524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17C3CD-29CD-43A0-8A02-7662E0111D08}"/>
  </w:font>
  <w:font w:name="Cambria">
    <w:panose1 w:val="02040503050406030204"/>
    <w:charset w:val="00"/>
    <w:family w:val="roman"/>
    <w:pitch w:val="variable"/>
    <w:sig w:usb0="E00006FF" w:usb1="420024FF" w:usb2="02000000" w:usb3="00000000" w:csb0="0000019F" w:csb1="00000000"/>
    <w:embedRegular r:id="rId2" w:fontKey="{F0FCE1FD-9829-4C47-A10E-A48EC6B9A6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BB" w14:textId="77777777" w:rsidR="00705BA9" w:rsidRDefault="00152435">
    <w:pPr>
      <w:jc w:val="right"/>
    </w:pPr>
    <w:r>
      <w:fldChar w:fldCharType="begin"/>
    </w:r>
    <w:r>
      <w:instrText>PAGE</w:instrText>
    </w:r>
    <w:r w:rsidR="00EC3562">
      <w:fldChar w:fldCharType="separate"/>
    </w:r>
    <w:r w:rsidR="00EC3562">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BA" w14:textId="77777777" w:rsidR="00705BA9" w:rsidRDefault="00705B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0E17A" w14:textId="77777777" w:rsidR="00152435" w:rsidRDefault="00152435">
      <w:pPr>
        <w:spacing w:line="240" w:lineRule="auto"/>
      </w:pPr>
      <w:r>
        <w:separator/>
      </w:r>
    </w:p>
  </w:footnote>
  <w:footnote w:type="continuationSeparator" w:id="0">
    <w:p w14:paraId="1A99A6A2" w14:textId="77777777" w:rsidR="00152435" w:rsidRDefault="00152435">
      <w:pPr>
        <w:spacing w:line="240" w:lineRule="auto"/>
      </w:pPr>
      <w:r>
        <w:continuationSeparator/>
      </w:r>
    </w:p>
  </w:footnote>
  <w:footnote w:id="1">
    <w:p w14:paraId="000000BC" w14:textId="77777777" w:rsidR="00705BA9" w:rsidRDefault="00152435">
      <w:pPr>
        <w:spacing w:line="240" w:lineRule="auto"/>
        <w:rPr>
          <w:sz w:val="20"/>
          <w:szCs w:val="20"/>
        </w:rPr>
      </w:pPr>
      <w:r>
        <w:rPr>
          <w:vertAlign w:val="superscript"/>
        </w:rPr>
        <w:footnoteRef/>
      </w:r>
      <w:r>
        <w:rPr>
          <w:sz w:val="20"/>
          <w:szCs w:val="20"/>
        </w:rPr>
        <w:t xml:space="preserve"> Intergovernmental Panel on Climate Change, </w:t>
      </w:r>
      <w:r>
        <w:rPr>
          <w:i/>
          <w:iCs/>
          <w:sz w:val="20"/>
          <w:szCs w:val="20"/>
        </w:rPr>
        <w:t>Sixth Assessment Report: Mitigation of Climate Change</w:t>
      </w:r>
      <w:r>
        <w:rPr>
          <w:sz w:val="20"/>
          <w:szCs w:val="20"/>
        </w:rPr>
        <w:t xml:space="preserve"> (IPCC 2022) 5.</w:t>
      </w:r>
    </w:p>
  </w:footnote>
  <w:footnote w:id="2">
    <w:p w14:paraId="000000BD" w14:textId="77777777" w:rsidR="00705BA9" w:rsidRDefault="00152435">
      <w:pPr>
        <w:spacing w:line="240" w:lineRule="auto"/>
        <w:rPr>
          <w:sz w:val="20"/>
          <w:szCs w:val="20"/>
        </w:rPr>
      </w:pPr>
      <w:r>
        <w:rPr>
          <w:vertAlign w:val="superscript"/>
        </w:rPr>
        <w:footnoteRef/>
      </w:r>
      <w:r>
        <w:rPr>
          <w:sz w:val="20"/>
          <w:szCs w:val="20"/>
        </w:rPr>
        <w:t xml:space="preserve"> Royal Society, </w:t>
      </w:r>
      <w:r>
        <w:rPr>
          <w:i/>
          <w:iCs/>
          <w:sz w:val="20"/>
          <w:szCs w:val="20"/>
        </w:rPr>
        <w:t>Geoengineering the Climate: Science, Governance and Uncertainty</w:t>
      </w:r>
      <w:r>
        <w:rPr>
          <w:sz w:val="20"/>
          <w:szCs w:val="20"/>
        </w:rPr>
        <w:t xml:space="preserve"> (Royal Society 2009) 1 10.</w:t>
      </w:r>
    </w:p>
  </w:footnote>
  <w:footnote w:id="3">
    <w:p w14:paraId="000000BE" w14:textId="77777777" w:rsidR="00705BA9" w:rsidRDefault="00152435">
      <w:pPr>
        <w:spacing w:line="240" w:lineRule="auto"/>
        <w:rPr>
          <w:sz w:val="20"/>
          <w:szCs w:val="20"/>
        </w:rPr>
      </w:pPr>
      <w:r>
        <w:rPr>
          <w:vertAlign w:val="superscript"/>
        </w:rPr>
        <w:footnoteRef/>
      </w:r>
      <w:r>
        <w:rPr>
          <w:sz w:val="20"/>
          <w:szCs w:val="20"/>
        </w:rPr>
        <w:t xml:space="preserve"> Intergovernmental Panel on Climate Change, </w:t>
      </w:r>
      <w:r>
        <w:rPr>
          <w:i/>
          <w:iCs/>
          <w:sz w:val="20"/>
          <w:szCs w:val="20"/>
        </w:rPr>
        <w:t xml:space="preserve">Sixth Assessment Report: Impacts, </w:t>
      </w:r>
      <w:r>
        <w:rPr>
          <w:i/>
          <w:iCs/>
          <w:sz w:val="20"/>
          <w:szCs w:val="20"/>
        </w:rPr>
        <w:t>Adaptation and Vulnerability</w:t>
      </w:r>
      <w:r>
        <w:rPr>
          <w:sz w:val="20"/>
          <w:szCs w:val="20"/>
        </w:rPr>
        <w:t xml:space="preserve"> (IPCC 2022) ch 10, 1457 1519.</w:t>
      </w:r>
    </w:p>
  </w:footnote>
  <w:footnote w:id="4">
    <w:p w14:paraId="000000BF" w14:textId="77777777" w:rsidR="00705BA9" w:rsidRDefault="00152435">
      <w:pPr>
        <w:spacing w:line="240" w:lineRule="auto"/>
        <w:rPr>
          <w:sz w:val="20"/>
          <w:szCs w:val="20"/>
        </w:rPr>
      </w:pPr>
      <w:r>
        <w:rPr>
          <w:vertAlign w:val="superscript"/>
        </w:rPr>
        <w:footnoteRef/>
      </w:r>
      <w:r>
        <w:rPr>
          <w:sz w:val="20"/>
          <w:szCs w:val="20"/>
        </w:rPr>
        <w:t xml:space="preserve"> Royal Society, </w:t>
      </w:r>
      <w:r>
        <w:rPr>
          <w:i/>
          <w:iCs/>
          <w:sz w:val="20"/>
          <w:szCs w:val="20"/>
        </w:rPr>
        <w:t>Geoengineering the Climate: Science, Governance and Uncertainty</w:t>
      </w:r>
      <w:r>
        <w:rPr>
          <w:sz w:val="20"/>
          <w:szCs w:val="20"/>
        </w:rPr>
        <w:t xml:space="preserve"> (Royal Society 2009) ix.</w:t>
      </w:r>
    </w:p>
  </w:footnote>
  <w:footnote w:id="5">
    <w:p w14:paraId="000000C0" w14:textId="77777777" w:rsidR="00705BA9" w:rsidRDefault="00152435">
      <w:pPr>
        <w:spacing w:line="240" w:lineRule="auto"/>
        <w:rPr>
          <w:sz w:val="20"/>
          <w:szCs w:val="20"/>
        </w:rPr>
      </w:pPr>
      <w:r>
        <w:rPr>
          <w:vertAlign w:val="superscript"/>
        </w:rPr>
        <w:footnoteRef/>
      </w:r>
      <w:r>
        <w:rPr>
          <w:sz w:val="20"/>
          <w:szCs w:val="20"/>
        </w:rPr>
        <w:t xml:space="preserve">  A. Robock and others, “Benefits, Risks and Costs of Stratospheric Geoengineering” (2009)</w:t>
      </w:r>
      <w:r>
        <w:rPr>
          <w:sz w:val="20"/>
          <w:szCs w:val="20"/>
        </w:rPr>
        <w:t xml:space="preserve"> 36 </w:t>
      </w:r>
      <w:r>
        <w:rPr>
          <w:i/>
          <w:iCs/>
          <w:sz w:val="20"/>
          <w:szCs w:val="20"/>
        </w:rPr>
        <w:t>Geophysical Research Letters</w:t>
      </w:r>
      <w:r>
        <w:rPr>
          <w:sz w:val="20"/>
          <w:szCs w:val="20"/>
        </w:rPr>
        <w:t xml:space="preserve"> L19703.</w:t>
      </w:r>
    </w:p>
  </w:footnote>
  <w:footnote w:id="6">
    <w:p w14:paraId="000000C1" w14:textId="77777777" w:rsidR="00705BA9" w:rsidRDefault="00152435">
      <w:pPr>
        <w:spacing w:line="240" w:lineRule="auto"/>
        <w:rPr>
          <w:sz w:val="20"/>
          <w:szCs w:val="20"/>
        </w:rPr>
      </w:pPr>
      <w:r>
        <w:rPr>
          <w:vertAlign w:val="superscript"/>
        </w:rPr>
        <w:footnoteRef/>
      </w:r>
      <w:r>
        <w:rPr>
          <w:sz w:val="20"/>
          <w:szCs w:val="20"/>
        </w:rPr>
        <w:t xml:space="preserve">  D. Bodansky, “The Who, What and Wherefore of Geoengineering Governance” (2013) 121 </w:t>
      </w:r>
      <w:r>
        <w:rPr>
          <w:i/>
          <w:iCs/>
          <w:sz w:val="20"/>
          <w:szCs w:val="20"/>
        </w:rPr>
        <w:t>Climatic Change</w:t>
      </w:r>
      <w:r>
        <w:rPr>
          <w:sz w:val="20"/>
          <w:szCs w:val="20"/>
        </w:rPr>
        <w:t xml:space="preserve"> 539, 541–545.</w:t>
      </w:r>
    </w:p>
  </w:footnote>
  <w:footnote w:id="7">
    <w:p w14:paraId="000000C2" w14:textId="77777777" w:rsidR="00705BA9" w:rsidRDefault="00152435">
      <w:pPr>
        <w:spacing w:line="240" w:lineRule="auto"/>
        <w:rPr>
          <w:sz w:val="20"/>
          <w:szCs w:val="20"/>
        </w:rPr>
      </w:pPr>
      <w:r>
        <w:rPr>
          <w:vertAlign w:val="superscript"/>
        </w:rPr>
        <w:footnoteRef/>
      </w:r>
      <w:r>
        <w:rPr>
          <w:sz w:val="20"/>
          <w:szCs w:val="20"/>
        </w:rPr>
        <w:t xml:space="preserve">  J.B. Horton &amp; J.L. Reynolds, “The International Politics of Climate Engineering: A Review and Pr</w:t>
      </w:r>
      <w:r>
        <w:rPr>
          <w:sz w:val="20"/>
          <w:szCs w:val="20"/>
        </w:rPr>
        <w:t xml:space="preserve">ospectus for International Relations” (2016) 17 </w:t>
      </w:r>
      <w:r>
        <w:rPr>
          <w:i/>
          <w:iCs/>
          <w:sz w:val="20"/>
          <w:szCs w:val="20"/>
        </w:rPr>
        <w:t>International Studies Review</w:t>
      </w:r>
      <w:r>
        <w:rPr>
          <w:sz w:val="20"/>
          <w:szCs w:val="20"/>
        </w:rPr>
        <w:t xml:space="preserve"> 462, 468–472.</w:t>
      </w:r>
    </w:p>
  </w:footnote>
  <w:footnote w:id="8">
    <w:p w14:paraId="000000C3" w14:textId="77777777" w:rsidR="00705BA9" w:rsidRDefault="00152435">
      <w:pPr>
        <w:spacing w:line="240" w:lineRule="auto"/>
        <w:rPr>
          <w:sz w:val="20"/>
          <w:szCs w:val="20"/>
        </w:rPr>
      </w:pPr>
      <w:r>
        <w:rPr>
          <w:vertAlign w:val="superscript"/>
        </w:rPr>
        <w:footnoteRef/>
      </w:r>
      <w:r>
        <w:rPr>
          <w:sz w:val="20"/>
          <w:szCs w:val="20"/>
        </w:rPr>
        <w:t xml:space="preserve">  F. Biermann and others, “Solar Geoengineering: The Case for an International Non-Use Agreement” (2022) 13 </w:t>
      </w:r>
      <w:r>
        <w:rPr>
          <w:i/>
          <w:iCs/>
          <w:sz w:val="20"/>
          <w:szCs w:val="20"/>
        </w:rPr>
        <w:t>WIREs Climate Change</w:t>
      </w:r>
      <w:r>
        <w:rPr>
          <w:sz w:val="20"/>
          <w:szCs w:val="20"/>
        </w:rPr>
        <w:t xml:space="preserve"> e754, 3–7.</w:t>
      </w:r>
    </w:p>
  </w:footnote>
  <w:footnote w:id="9">
    <w:p w14:paraId="000000C4" w14:textId="77777777" w:rsidR="00705BA9" w:rsidRDefault="00152435">
      <w:pPr>
        <w:spacing w:line="240" w:lineRule="auto"/>
        <w:rPr>
          <w:sz w:val="20"/>
          <w:szCs w:val="20"/>
        </w:rPr>
      </w:pPr>
      <w:r>
        <w:rPr>
          <w:vertAlign w:val="superscript"/>
        </w:rPr>
        <w:footnoteRef/>
      </w:r>
      <w:r>
        <w:rPr>
          <w:sz w:val="20"/>
          <w:szCs w:val="20"/>
        </w:rPr>
        <w:t xml:space="preserve">  R.S. Abate &amp; A.B. Gre</w:t>
      </w:r>
      <w:r>
        <w:rPr>
          <w:sz w:val="20"/>
          <w:szCs w:val="20"/>
        </w:rPr>
        <w:t xml:space="preserve">enlee, “Climate Geoengineering and International Governance” (2013) 23 </w:t>
      </w:r>
      <w:r>
        <w:rPr>
          <w:i/>
          <w:iCs/>
          <w:sz w:val="20"/>
          <w:szCs w:val="20"/>
        </w:rPr>
        <w:t>Fordham Environmental Law Review</w:t>
      </w:r>
      <w:r>
        <w:rPr>
          <w:sz w:val="20"/>
          <w:szCs w:val="20"/>
        </w:rPr>
        <w:t xml:space="preserve"> 99, 112–115.</w:t>
      </w:r>
    </w:p>
  </w:footnote>
  <w:footnote w:id="10">
    <w:p w14:paraId="000000C5" w14:textId="77777777" w:rsidR="00705BA9" w:rsidRDefault="00152435">
      <w:pPr>
        <w:spacing w:line="240" w:lineRule="auto"/>
        <w:rPr>
          <w:sz w:val="20"/>
          <w:szCs w:val="20"/>
        </w:rPr>
      </w:pPr>
      <w:r>
        <w:rPr>
          <w:vertAlign w:val="superscript"/>
        </w:rPr>
        <w:footnoteRef/>
      </w:r>
      <w:r>
        <w:rPr>
          <w:sz w:val="20"/>
          <w:szCs w:val="20"/>
        </w:rPr>
        <w:t xml:space="preserve"> M. Hulme, </w:t>
      </w:r>
      <w:r>
        <w:rPr>
          <w:i/>
          <w:iCs/>
          <w:sz w:val="20"/>
          <w:szCs w:val="20"/>
        </w:rPr>
        <w:t>Can Science Fix Climate Change? A Case Against Climate Engineering</w:t>
      </w:r>
      <w:r>
        <w:rPr>
          <w:sz w:val="20"/>
          <w:szCs w:val="20"/>
        </w:rPr>
        <w:t xml:space="preserve"> (Polity Press 2014) 88–112.</w:t>
      </w:r>
    </w:p>
  </w:footnote>
  <w:footnote w:id="11">
    <w:p w14:paraId="000000C6" w14:textId="77777777" w:rsidR="00705BA9" w:rsidRDefault="00152435">
      <w:pPr>
        <w:spacing w:line="240" w:lineRule="auto"/>
        <w:rPr>
          <w:sz w:val="20"/>
          <w:szCs w:val="20"/>
        </w:rPr>
      </w:pPr>
      <w:r>
        <w:rPr>
          <w:vertAlign w:val="superscript"/>
        </w:rPr>
        <w:footnoteRef/>
      </w:r>
      <w:r>
        <w:rPr>
          <w:sz w:val="20"/>
          <w:szCs w:val="20"/>
        </w:rPr>
        <w:t xml:space="preserve"> J.L. Reynolds, </w:t>
      </w:r>
      <w:r>
        <w:rPr>
          <w:i/>
          <w:iCs/>
          <w:sz w:val="20"/>
          <w:szCs w:val="20"/>
        </w:rPr>
        <w:t>The Governance of Solar Geoengineering: Managing Climate Change in the Anthropocene</w:t>
      </w:r>
      <w:r>
        <w:rPr>
          <w:sz w:val="20"/>
          <w:szCs w:val="20"/>
        </w:rPr>
        <w:t xml:space="preserve"> (Cambridge University Press 2019) 45–89.</w:t>
      </w:r>
    </w:p>
  </w:footnote>
  <w:footnote w:id="12">
    <w:p w14:paraId="000000C7" w14:textId="77777777" w:rsidR="00705BA9" w:rsidRDefault="00152435">
      <w:pPr>
        <w:spacing w:line="240" w:lineRule="auto"/>
        <w:rPr>
          <w:sz w:val="20"/>
          <w:szCs w:val="20"/>
        </w:rPr>
      </w:pPr>
      <w:r>
        <w:rPr>
          <w:vertAlign w:val="superscript"/>
        </w:rPr>
        <w:footnoteRef/>
      </w:r>
      <w:r>
        <w:rPr>
          <w:sz w:val="20"/>
          <w:szCs w:val="20"/>
        </w:rPr>
        <w:t xml:space="preserve"> S. Divan &amp; A. Rosencranz, </w:t>
      </w:r>
      <w:r>
        <w:rPr>
          <w:i/>
          <w:iCs/>
          <w:sz w:val="20"/>
          <w:szCs w:val="20"/>
        </w:rPr>
        <w:t>Environmental Law and Policy in India</w:t>
      </w:r>
      <w:r>
        <w:rPr>
          <w:sz w:val="20"/>
          <w:szCs w:val="20"/>
        </w:rPr>
        <w:t xml:space="preserve"> (2nd edn, Oxford University Press 2001) 12.</w:t>
      </w:r>
    </w:p>
  </w:footnote>
  <w:footnote w:id="13">
    <w:p w14:paraId="000000C8" w14:textId="77777777" w:rsidR="00705BA9" w:rsidRDefault="00152435">
      <w:pPr>
        <w:spacing w:line="240" w:lineRule="auto"/>
        <w:rPr>
          <w:sz w:val="20"/>
          <w:szCs w:val="20"/>
        </w:rPr>
      </w:pPr>
      <w:r>
        <w:rPr>
          <w:vertAlign w:val="superscript"/>
        </w:rPr>
        <w:footnoteRef/>
      </w:r>
      <w:r>
        <w:rPr>
          <w:sz w:val="20"/>
          <w:szCs w:val="20"/>
        </w:rPr>
        <w:t xml:space="preserve">  The Constitution o</w:t>
      </w:r>
      <w:r>
        <w:rPr>
          <w:sz w:val="20"/>
          <w:szCs w:val="20"/>
        </w:rPr>
        <w:t>f India, 1950, art 48A.</w:t>
      </w:r>
    </w:p>
  </w:footnote>
  <w:footnote w:id="14">
    <w:p w14:paraId="000000C9" w14:textId="77777777" w:rsidR="00705BA9" w:rsidRDefault="00152435">
      <w:pPr>
        <w:spacing w:line="240" w:lineRule="auto"/>
        <w:rPr>
          <w:sz w:val="20"/>
          <w:szCs w:val="20"/>
        </w:rPr>
      </w:pPr>
      <w:r>
        <w:rPr>
          <w:vertAlign w:val="superscript"/>
        </w:rPr>
        <w:footnoteRef/>
      </w:r>
      <w:r>
        <w:rPr>
          <w:sz w:val="20"/>
          <w:szCs w:val="20"/>
        </w:rPr>
        <w:t xml:space="preserve"> </w:t>
      </w:r>
      <w:r>
        <w:rPr>
          <w:i/>
          <w:iCs/>
          <w:sz w:val="20"/>
          <w:szCs w:val="20"/>
        </w:rPr>
        <w:t>Subhash Kumar v State of Bihar</w:t>
      </w:r>
      <w:r>
        <w:rPr>
          <w:sz w:val="20"/>
          <w:szCs w:val="20"/>
        </w:rPr>
        <w:t xml:space="preserve"> AIR 1991 SC 420.</w:t>
      </w:r>
    </w:p>
  </w:footnote>
  <w:footnote w:id="15">
    <w:p w14:paraId="000000CA" w14:textId="77777777" w:rsidR="00705BA9" w:rsidRDefault="00152435">
      <w:pPr>
        <w:spacing w:line="240" w:lineRule="auto"/>
        <w:rPr>
          <w:sz w:val="20"/>
          <w:szCs w:val="20"/>
        </w:rPr>
      </w:pPr>
      <w:r>
        <w:rPr>
          <w:vertAlign w:val="superscript"/>
        </w:rPr>
        <w:footnoteRef/>
      </w:r>
      <w:r>
        <w:rPr>
          <w:sz w:val="20"/>
          <w:szCs w:val="20"/>
        </w:rPr>
        <w:t xml:space="preserve"> The Environment (Protection) Act, 1986, s 3(1) (India).</w:t>
      </w:r>
    </w:p>
  </w:footnote>
  <w:footnote w:id="16">
    <w:p w14:paraId="000000CB" w14:textId="77777777" w:rsidR="00705BA9" w:rsidRDefault="00152435">
      <w:pPr>
        <w:spacing w:line="240" w:lineRule="auto"/>
        <w:rPr>
          <w:sz w:val="20"/>
          <w:szCs w:val="20"/>
        </w:rPr>
      </w:pPr>
      <w:r>
        <w:rPr>
          <w:vertAlign w:val="superscript"/>
        </w:rPr>
        <w:footnoteRef/>
      </w:r>
      <w:r>
        <w:rPr>
          <w:sz w:val="20"/>
          <w:szCs w:val="20"/>
        </w:rPr>
        <w:t xml:space="preserve"> Ministry of Environment, Forest and Climate Change, </w:t>
      </w:r>
      <w:r>
        <w:rPr>
          <w:i/>
          <w:iCs/>
          <w:sz w:val="20"/>
          <w:szCs w:val="20"/>
        </w:rPr>
        <w:t>Environmental Impact Assessment Notification</w:t>
      </w:r>
      <w:r>
        <w:rPr>
          <w:sz w:val="20"/>
          <w:szCs w:val="20"/>
        </w:rPr>
        <w:t xml:space="preserve"> 2006, sch I.</w:t>
      </w:r>
    </w:p>
  </w:footnote>
  <w:footnote w:id="17">
    <w:p w14:paraId="000000CC" w14:textId="77777777" w:rsidR="00705BA9" w:rsidRDefault="00152435">
      <w:pPr>
        <w:spacing w:line="240" w:lineRule="auto"/>
        <w:rPr>
          <w:sz w:val="20"/>
          <w:szCs w:val="20"/>
        </w:rPr>
      </w:pPr>
      <w:r>
        <w:rPr>
          <w:vertAlign w:val="superscript"/>
        </w:rPr>
        <w:footnoteRef/>
      </w:r>
      <w:r>
        <w:rPr>
          <w:sz w:val="20"/>
          <w:szCs w:val="20"/>
        </w:rPr>
        <w:t xml:space="preserve"> The Nation</w:t>
      </w:r>
      <w:r>
        <w:rPr>
          <w:sz w:val="20"/>
          <w:szCs w:val="20"/>
        </w:rPr>
        <w:t>al Green Tribunal Act, 2010, s 14 (India).</w:t>
      </w:r>
    </w:p>
  </w:footnote>
  <w:footnote w:id="18">
    <w:p w14:paraId="000000CD" w14:textId="77777777" w:rsidR="00705BA9" w:rsidRDefault="00152435">
      <w:pPr>
        <w:spacing w:line="240" w:lineRule="auto"/>
        <w:rPr>
          <w:sz w:val="20"/>
          <w:szCs w:val="20"/>
        </w:rPr>
      </w:pPr>
      <w:r>
        <w:rPr>
          <w:vertAlign w:val="superscript"/>
        </w:rPr>
        <w:footnoteRef/>
      </w:r>
      <w:r>
        <w:rPr>
          <w:sz w:val="20"/>
          <w:szCs w:val="20"/>
        </w:rPr>
        <w:t xml:space="preserve"> United Nations Framework Convention on Climate Change 1992, art 2</w:t>
      </w:r>
    </w:p>
  </w:footnote>
  <w:footnote w:id="19">
    <w:p w14:paraId="000000CE" w14:textId="77777777" w:rsidR="00705BA9" w:rsidRDefault="00152435">
      <w:pPr>
        <w:spacing w:line="240" w:lineRule="auto"/>
        <w:rPr>
          <w:sz w:val="20"/>
          <w:szCs w:val="20"/>
        </w:rPr>
      </w:pPr>
      <w:r>
        <w:rPr>
          <w:vertAlign w:val="superscript"/>
        </w:rPr>
        <w:footnoteRef/>
      </w:r>
      <w:r>
        <w:rPr>
          <w:sz w:val="20"/>
          <w:szCs w:val="20"/>
        </w:rPr>
        <w:t xml:space="preserve"> Convention on Biological Diversity, COP Decision X/33 (Nagoya, 2010) para 8(w).</w:t>
      </w:r>
    </w:p>
  </w:footnote>
  <w:footnote w:id="20">
    <w:p w14:paraId="000000CF" w14:textId="77777777" w:rsidR="00705BA9" w:rsidRDefault="00152435">
      <w:pPr>
        <w:spacing w:line="240" w:lineRule="auto"/>
        <w:rPr>
          <w:sz w:val="20"/>
          <w:szCs w:val="20"/>
        </w:rPr>
      </w:pPr>
      <w:r>
        <w:rPr>
          <w:vertAlign w:val="superscript"/>
        </w:rPr>
        <w:footnoteRef/>
      </w:r>
      <w:r>
        <w:rPr>
          <w:sz w:val="20"/>
          <w:szCs w:val="20"/>
        </w:rPr>
        <w:t xml:space="preserve"> London Protocol 1996, 2013 Amendments (Ocean Fertilization Provisions).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62204"/>
    <w:multiLevelType w:val="multilevel"/>
    <w:tmpl w:val="5B50905E"/>
    <w:lvl w:ilvl="0">
      <w:start w:val="1"/>
      <w:numFmt w:val="bullet"/>
      <w:lvlText w:val="●"/>
      <w:lvlJc w:val="left"/>
      <w:pPr>
        <w:ind w:left="720" w:hanging="360"/>
      </w:pPr>
      <w:rPr>
        <w:rFonts w:ascii="Arial" w:eastAsia="Arial" w:hAnsi="Arial" w:cs="Arial"/>
        <w:color w:val="F4F0E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3B58AE"/>
    <w:multiLevelType w:val="multilevel"/>
    <w:tmpl w:val="B2DEA56C"/>
    <w:lvl w:ilvl="0">
      <w:start w:val="1"/>
      <w:numFmt w:val="decimal"/>
      <w:lvlText w:val="%1."/>
      <w:lvlJc w:val="left"/>
      <w:pPr>
        <w:ind w:left="720" w:hanging="360"/>
      </w:pPr>
      <w:rPr>
        <w:rFonts w:ascii="Arial" w:eastAsia="Arial" w:hAnsi="Arial" w:cs="Arial"/>
        <w:color w:val="F4F0EB"/>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0ABA3AD9"/>
    <w:multiLevelType w:val="multilevel"/>
    <w:tmpl w:val="C3788224"/>
    <w:lvl w:ilvl="0">
      <w:start w:val="1"/>
      <w:numFmt w:val="bullet"/>
      <w:lvlText w:val="●"/>
      <w:lvlJc w:val="left"/>
      <w:pPr>
        <w:ind w:left="720" w:hanging="360"/>
      </w:pPr>
      <w:rPr>
        <w:rFonts w:ascii="Arial" w:eastAsia="Arial" w:hAnsi="Arial" w:cs="Arial"/>
        <w:color w:val="F4F0E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641D06"/>
    <w:multiLevelType w:val="multilevel"/>
    <w:tmpl w:val="3D30ADC0"/>
    <w:lvl w:ilvl="0">
      <w:start w:val="1"/>
      <w:numFmt w:val="bullet"/>
      <w:lvlText w:val="●"/>
      <w:lvlJc w:val="left"/>
      <w:pPr>
        <w:ind w:left="720" w:hanging="360"/>
      </w:pPr>
      <w:rPr>
        <w:rFonts w:ascii="Arial" w:eastAsia="Arial" w:hAnsi="Arial" w:cs="Arial"/>
        <w:color w:val="F4F0E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F955BCE"/>
    <w:multiLevelType w:val="multilevel"/>
    <w:tmpl w:val="6FB042BA"/>
    <w:lvl w:ilvl="0">
      <w:start w:val="1"/>
      <w:numFmt w:val="bullet"/>
      <w:lvlText w:val="●"/>
      <w:lvlJc w:val="left"/>
      <w:pPr>
        <w:ind w:left="720" w:hanging="360"/>
      </w:pPr>
      <w:rPr>
        <w:rFonts w:ascii="Arial" w:eastAsia="Arial" w:hAnsi="Arial" w:cs="Arial"/>
        <w:color w:val="F4F0E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1C1309C"/>
    <w:multiLevelType w:val="multilevel"/>
    <w:tmpl w:val="1938B9B0"/>
    <w:lvl w:ilvl="0">
      <w:start w:val="1"/>
      <w:numFmt w:val="decimal"/>
      <w:lvlText w:val="%1."/>
      <w:lvlJc w:val="left"/>
      <w:pPr>
        <w:ind w:left="720" w:hanging="360"/>
      </w:pPr>
      <w:rPr>
        <w:rFonts w:ascii="Arial" w:eastAsia="Arial" w:hAnsi="Arial" w:cs="Arial"/>
        <w:color w:val="F4F0EB"/>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586A1E31"/>
    <w:multiLevelType w:val="multilevel"/>
    <w:tmpl w:val="CB16BCDE"/>
    <w:lvl w:ilvl="0">
      <w:start w:val="1"/>
      <w:numFmt w:val="bullet"/>
      <w:lvlText w:val="●"/>
      <w:lvlJc w:val="left"/>
      <w:pPr>
        <w:ind w:left="720" w:hanging="360"/>
      </w:pPr>
      <w:rPr>
        <w:rFonts w:ascii="Arial" w:eastAsia="Arial" w:hAnsi="Arial" w:cs="Arial"/>
        <w:color w:val="F4F0E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05BA9"/>
    <w:rsid w:val="00152435"/>
    <w:rsid w:val="00705BA9"/>
    <w:rsid w:val="00EC35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8620</Words>
  <Characters>49135</Characters>
  <Application>Microsoft Office Word</Application>
  <DocSecurity>0</DocSecurity>
  <Lines>409</Lines>
  <Paragraphs>115</Paragraphs>
  <ScaleCrop>false</ScaleCrop>
  <Company/>
  <LinksUpToDate>false</LinksUpToDate>
  <CharactersWithSpaces>57640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2026-04-17T09:26:00Z</dcterms:created>
  <dcterms:modified xsi:type="dcterms:W3CDTF">2026-04-17T09:27:00Z</dcterms:modified>
</cp:coreProperties>
</file>