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C7" w:rsidRDefault="009537F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bookmarkStart w:id="0" w:name="_Toc152146804"/>
      <w:r>
        <w:rPr>
          <w:rFonts w:ascii="Times New Roman" w:eastAsia="Times New Roman" w:hAnsi="Times New Roman" w:cs="Times New Roman"/>
          <w:b/>
          <w:bCs/>
          <w:kern w:val="36"/>
          <w:sz w:val="24"/>
          <w:szCs w:val="24"/>
        </w:rPr>
        <w:t>Human Rights Challenges of Children in Detention: A Qualitative Study from Multiple Stakeholder Perspectives in Zambia</w:t>
      </w:r>
    </w:p>
    <w:p w:rsidR="008A7CC7" w:rsidRDefault="008A7CC7">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bookmarkStart w:id="1" w:name="_GoBack"/>
      <w:bookmarkEnd w:id="1"/>
    </w:p>
    <w:p w:rsidR="008A7CC7" w:rsidRDefault="009537F9">
      <w:pPr>
        <w:spacing w:before="100" w:beforeAutospacing="1" w:after="100" w:afterAutospacing="1" w:line="360" w:lineRule="auto"/>
        <w:outlineLvl w:val="1"/>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Abstract</w:t>
      </w:r>
    </w:p>
    <w:p w:rsidR="008A7CC7" w:rsidRDefault="009537F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examines the human rights challenges faced by children in detention in Zambia from multiple stakeholder perspectives. Guided by the interpretivist paradigm, the study employed a qualitative descriptive </w:t>
      </w:r>
      <w:r>
        <w:rPr>
          <w:rFonts w:ascii="Times New Roman" w:eastAsia="Times New Roman" w:hAnsi="Times New Roman" w:cs="Times New Roman"/>
          <w:sz w:val="24"/>
          <w:szCs w:val="24"/>
        </w:rPr>
        <w:t>research design to explore lived experiences and institutional practices affecting detained children. Data were collected through semi-structured interviews and focus group discussions involving correctional officers, parents, and teachers (n = 15), select</w:t>
      </w:r>
      <w:r>
        <w:rPr>
          <w:rFonts w:ascii="Times New Roman" w:eastAsia="Times New Roman" w:hAnsi="Times New Roman" w:cs="Times New Roman"/>
          <w:sz w:val="24"/>
          <w:szCs w:val="24"/>
        </w:rPr>
        <w:t>ed using purposive heterogeneous sampling. Thematic analysis was used to analyse the data. The findings reveal that children in detention experience multiple human rights violations, including restrictions on freedom of movement and assembly, engagement in</w:t>
      </w:r>
      <w:r>
        <w:rPr>
          <w:rFonts w:ascii="Times New Roman" w:eastAsia="Times New Roman" w:hAnsi="Times New Roman" w:cs="Times New Roman"/>
          <w:sz w:val="24"/>
          <w:szCs w:val="24"/>
        </w:rPr>
        <w:t xml:space="preserve"> hard labour, limited access to education, and constrained interaction with family members. These conditions undermine children’s psychological well-being, social development, and prospects for successful reintegration into society. Drawing on child welfar</w:t>
      </w:r>
      <w:r>
        <w:rPr>
          <w:rFonts w:ascii="Times New Roman" w:eastAsia="Times New Roman" w:hAnsi="Times New Roman" w:cs="Times New Roman"/>
          <w:sz w:val="24"/>
          <w:szCs w:val="24"/>
        </w:rPr>
        <w:t>e theory, the study argues that current detention practices are largely punitive and inconsistent with international child rights standards. The study recommends strengthening monitoring systems, expanding access to education and psychosocial services, and</w:t>
      </w:r>
      <w:r>
        <w:rPr>
          <w:rFonts w:ascii="Times New Roman" w:eastAsia="Times New Roman" w:hAnsi="Times New Roman" w:cs="Times New Roman"/>
          <w:sz w:val="24"/>
          <w:szCs w:val="24"/>
        </w:rPr>
        <w:t xml:space="preserve"> promoting non-custodial alternatives to detention. The findings contribute to ongoing debates on juvenile justice reform in developing contexts.</w:t>
      </w:r>
    </w:p>
    <w:p w:rsidR="008A7CC7" w:rsidRDefault="009537F9">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children in detention, human rights, juvenile justice, Zambia, qualitative research</w:t>
      </w:r>
    </w:p>
    <w:p w:rsidR="008A7CC7" w:rsidRDefault="008A7CC7">
      <w:pPr>
        <w:keepNext/>
        <w:keepLines/>
        <w:spacing w:before="240" w:after="0" w:line="360" w:lineRule="auto"/>
        <w:outlineLvl w:val="0"/>
        <w:rPr>
          <w:rFonts w:ascii="Times New Roman" w:eastAsia="SimSun" w:hAnsi="Times New Roman" w:cs="Times New Roman"/>
          <w:b/>
          <w:i/>
          <w:sz w:val="24"/>
          <w:szCs w:val="24"/>
          <w:lang w:val="en-ZA"/>
        </w:rPr>
      </w:pPr>
    </w:p>
    <w:p w:rsidR="008A7CC7" w:rsidRDefault="008A7CC7">
      <w:pPr>
        <w:keepNext/>
        <w:keepLines/>
        <w:spacing w:before="240" w:after="0" w:line="360" w:lineRule="auto"/>
        <w:outlineLvl w:val="0"/>
        <w:rPr>
          <w:rFonts w:ascii="Times New Roman" w:eastAsia="SimSun" w:hAnsi="Times New Roman" w:cs="Times New Roman"/>
          <w:b/>
          <w:i/>
          <w:sz w:val="24"/>
          <w:szCs w:val="24"/>
          <w:lang w:val="en-ZA"/>
        </w:rPr>
      </w:pPr>
    </w:p>
    <w:p w:rsidR="008A7CC7" w:rsidRDefault="008A7CC7">
      <w:pPr>
        <w:keepNext/>
        <w:keepLines/>
        <w:spacing w:before="240" w:after="0" w:line="360" w:lineRule="auto"/>
        <w:outlineLvl w:val="0"/>
        <w:rPr>
          <w:rFonts w:ascii="Times New Roman" w:eastAsia="SimSun" w:hAnsi="Times New Roman" w:cs="Times New Roman"/>
          <w:b/>
          <w:i/>
          <w:sz w:val="24"/>
          <w:szCs w:val="24"/>
          <w:lang w:val="en-ZA"/>
        </w:rPr>
      </w:pPr>
    </w:p>
    <w:p w:rsidR="008A7CC7" w:rsidRDefault="009537F9">
      <w:pPr>
        <w:spacing w:after="0" w:line="240" w:lineRule="auto"/>
        <w:rPr>
          <w:rFonts w:ascii="Times New Roman" w:eastAsia="SimSun" w:hAnsi="Times New Roman" w:cs="Times New Roman"/>
          <w:b/>
          <w:i/>
          <w:sz w:val="24"/>
          <w:szCs w:val="24"/>
          <w:lang w:val="en-ZA"/>
        </w:rPr>
      </w:pPr>
      <w:r>
        <w:rPr>
          <w:rFonts w:ascii="Times New Roman" w:eastAsia="SimSun" w:hAnsi="Times New Roman" w:cs="Times New Roman"/>
          <w:b/>
          <w:i/>
          <w:sz w:val="24"/>
          <w:szCs w:val="24"/>
          <w:lang w:val="en-ZA"/>
        </w:rPr>
        <w:br w:type="page"/>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2" w:name="_Toc216630059"/>
      <w:bookmarkStart w:id="3" w:name="_Toc149976492"/>
      <w:bookmarkEnd w:id="0"/>
      <w:r>
        <w:rPr>
          <w:rFonts w:ascii="Times New Roman" w:eastAsia="Times New Roman" w:hAnsi="Times New Roman" w:cs="Times New Roman"/>
          <w:b/>
          <w:sz w:val="24"/>
          <w:szCs w:val="24"/>
        </w:rPr>
        <w:lastRenderedPageBreak/>
        <w:t>1.0 Introdu</w:t>
      </w:r>
      <w:r>
        <w:rPr>
          <w:rFonts w:ascii="Times New Roman" w:eastAsia="Times New Roman" w:hAnsi="Times New Roman" w:cs="Times New Roman"/>
          <w:b/>
          <w:sz w:val="24"/>
          <w:szCs w:val="24"/>
        </w:rPr>
        <w:t>ction</w:t>
      </w:r>
      <w:bookmarkEnd w:id="2"/>
      <w:bookmarkEnd w:id="3"/>
    </w:p>
    <w:p w:rsidR="008A7CC7" w:rsidRDefault="009537F9">
      <w:pPr>
        <w:pStyle w:val="NormalWeb"/>
        <w:spacing w:line="360" w:lineRule="auto"/>
        <w:jc w:val="both"/>
      </w:pPr>
      <w:bookmarkStart w:id="4" w:name="_Toc140039009"/>
      <w:bookmarkStart w:id="5" w:name="_Toc149976495"/>
      <w:bookmarkStart w:id="6" w:name="_Toc132762367"/>
      <w:bookmarkStart w:id="7" w:name="_Toc216630062"/>
      <w:bookmarkStart w:id="8" w:name="_Toc132762377"/>
      <w:r>
        <w:t>The deprivation of liberty among children remains a critical global human rights concern. It is estimated that millions of children are detained annually in various custodial settings, including juvenile facilities and prisons (Human Rights Watch, 20</w:t>
      </w:r>
      <w:r>
        <w:t>21). International legal frameworks, particularly the United Nations Convention on the Rights of the Child (CRC), stipulate that detention should be used only as a measure of last resort and for the shortest appropriate period (United Nations, 2022). Despi</w:t>
      </w:r>
      <w:r>
        <w:t>te these provisions, children in detention frequently experience conditions that compromise their rights and well-being.</w:t>
      </w:r>
    </w:p>
    <w:p w:rsidR="008A7CC7" w:rsidRDefault="009537F9">
      <w:pPr>
        <w:pStyle w:val="NormalWeb"/>
        <w:spacing w:line="360" w:lineRule="auto"/>
        <w:jc w:val="both"/>
      </w:pPr>
      <w:r>
        <w:t xml:space="preserve">Empirical evidence suggests that detained children are often subjected to overcrowded environments, inadequate healthcare, and limited </w:t>
      </w:r>
      <w:r>
        <w:t>access to education (Human Rights Watch, 2022; World Health Organization [WHO], 2020). Furthermore, many children in detention come from marginalized and socio-economically disadvantaged backgrounds, which exacerbates their vulnerability (UNICEF, 2021). St</w:t>
      </w:r>
      <w:r>
        <w:t>udies indicate that a significant proportion of detained children suffer from mental health challenges, including anxiety and depression (Dumont &amp; Ainsworth, 2020).</w:t>
      </w:r>
    </w:p>
    <w:p w:rsidR="008A7CC7" w:rsidRDefault="009537F9">
      <w:pPr>
        <w:pStyle w:val="NormalWeb"/>
        <w:spacing w:line="360" w:lineRule="auto"/>
        <w:jc w:val="both"/>
      </w:pPr>
      <w:r>
        <w:t>In the African context, systemic challenges such as overcrowding, inadequate infrastructure</w:t>
      </w:r>
      <w:r>
        <w:t xml:space="preserve">, and weak policy implementation have been widely documented (Sibisi et al., 2024; Baffoe-Bonnie et al., 2024). In Zambia, the situation is equally concerning. Reports indicate that a considerable number of children are held in detention, many of whom are </w:t>
      </w:r>
      <w:r>
        <w:t>in pre-trial custody (UNICEF, 2021). Additionally, limited access to education and healthcare services has been identified as a major barrier to rehabilitation and reintegration (Zambia Human Rights Commission, 2022).</w:t>
      </w:r>
    </w:p>
    <w:p w:rsidR="008A7CC7" w:rsidRDefault="009537F9">
      <w:pPr>
        <w:pStyle w:val="NormalWeb"/>
        <w:spacing w:line="360" w:lineRule="auto"/>
        <w:jc w:val="both"/>
      </w:pPr>
      <w:r>
        <w:t xml:space="preserve">Despite growing scholarly attention, </w:t>
      </w:r>
      <w:r>
        <w:t>there remains limited empirical research that captures the lived experiences of children in detention from multiple stakeholder perspectives in Zambia. This study addresses this gap by examining the human rights challenges faced by children in detention th</w:t>
      </w:r>
      <w:r>
        <w:t>rough the perspectives of correctional officers, parents, and teachers</w:t>
      </w:r>
    </w:p>
    <w:p w:rsidR="008A7CC7" w:rsidRDefault="009537F9">
      <w:pPr>
        <w:keepNext/>
        <w:keepLines/>
        <w:spacing w:before="240" w:after="0" w:line="36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Statement of the Problem</w:t>
      </w:r>
      <w:bookmarkEnd w:id="4"/>
      <w:bookmarkEnd w:id="5"/>
      <w:bookmarkEnd w:id="6"/>
      <w:bookmarkEnd w:id="7"/>
    </w:p>
    <w:p w:rsidR="008A7CC7" w:rsidRDefault="009537F9">
      <w:pPr>
        <w:keepNext/>
        <w:keepLines/>
        <w:spacing w:before="240" w:after="0" w:line="360" w:lineRule="auto"/>
        <w:jc w:val="both"/>
        <w:outlineLvl w:val="0"/>
        <w:rPr>
          <w:rFonts w:ascii="Times New Roman" w:hAnsi="Times New Roman" w:cs="Times New Roman"/>
          <w:sz w:val="24"/>
          <w:szCs w:val="24"/>
        </w:rPr>
      </w:pPr>
      <w:bookmarkStart w:id="9" w:name="_Toc132762369"/>
      <w:bookmarkStart w:id="10" w:name="_Toc140039011"/>
      <w:bookmarkStart w:id="11" w:name="_Toc216630064"/>
      <w:bookmarkStart w:id="12" w:name="_Toc149976496"/>
      <w:r>
        <w:rPr>
          <w:rFonts w:ascii="Times New Roman" w:hAnsi="Times New Roman" w:cs="Times New Roman"/>
          <w:sz w:val="24"/>
          <w:szCs w:val="24"/>
        </w:rPr>
        <w:t xml:space="preserve">Although Zambia has established legal and policy frameworks aligned with international child rights standards, children in detention continue to experience </w:t>
      </w:r>
      <w:r>
        <w:rPr>
          <w:rFonts w:ascii="Times New Roman" w:hAnsi="Times New Roman" w:cs="Times New Roman"/>
          <w:sz w:val="24"/>
          <w:szCs w:val="24"/>
        </w:rPr>
        <w:t>significant human rights violations. These include overcrowding, inadequate access to education and healthcare, restricted family contact, and exposure to abuse (Zambia Human Rights Commission, 2022; Save the Children, 2023). However, there is limited empi</w:t>
      </w:r>
      <w:r>
        <w:rPr>
          <w:rFonts w:ascii="Times New Roman" w:hAnsi="Times New Roman" w:cs="Times New Roman"/>
          <w:sz w:val="24"/>
          <w:szCs w:val="24"/>
        </w:rPr>
        <w:t>rical evidence that holistically examines these challenges from multiple stakeholder perspectives. This study seeks to address this gap.</w:t>
      </w:r>
    </w:p>
    <w:p w:rsidR="008A7CC7" w:rsidRDefault="009537F9">
      <w:pPr>
        <w:keepNext/>
        <w:keepLines/>
        <w:spacing w:before="240" w:after="0" w:line="360" w:lineRule="auto"/>
        <w:outlineLvl w:val="0"/>
        <w:rPr>
          <w:rFonts w:ascii="Times New Roman" w:eastAsia="SimSun" w:hAnsi="Times New Roman" w:cs="Times New Roman"/>
          <w:b/>
          <w:sz w:val="24"/>
          <w:szCs w:val="24"/>
        </w:rPr>
      </w:pPr>
      <w:r>
        <w:rPr>
          <w:rFonts w:ascii="Times New Roman" w:eastAsia="SimSun" w:hAnsi="Times New Roman" w:cs="Times New Roman"/>
          <w:b/>
          <w:sz w:val="24"/>
          <w:szCs w:val="24"/>
        </w:rPr>
        <w:t>1.2</w:t>
      </w:r>
      <w:r>
        <w:rPr>
          <w:rFonts w:ascii="Times New Roman" w:eastAsia="Times New Roman" w:hAnsi="Times New Roman" w:cs="Times New Roman"/>
          <w:b/>
          <w:sz w:val="24"/>
          <w:szCs w:val="24"/>
        </w:rPr>
        <w:t xml:space="preserve"> </w:t>
      </w:r>
      <w:bookmarkEnd w:id="9"/>
      <w:r>
        <w:rPr>
          <w:rFonts w:ascii="Times New Roman" w:eastAsia="SimSun" w:hAnsi="Times New Roman" w:cs="Times New Roman"/>
          <w:b/>
          <w:sz w:val="24"/>
          <w:szCs w:val="24"/>
        </w:rPr>
        <w:t>Objective of the study</w:t>
      </w:r>
      <w:bookmarkEnd w:id="10"/>
      <w:bookmarkEnd w:id="11"/>
      <w:bookmarkEnd w:id="12"/>
    </w:p>
    <w:p w:rsidR="008A7CC7" w:rsidRDefault="009537F9">
      <w:pPr>
        <w:keepNext/>
        <w:keepLines/>
        <w:spacing w:before="240" w:after="0" w:line="360" w:lineRule="auto"/>
        <w:outlineLvl w:val="0"/>
        <w:rPr>
          <w:rFonts w:ascii="Times New Roman" w:eastAsia="Times New Roman" w:hAnsi="Times New Roman" w:cs="Times New Roman"/>
          <w:b/>
          <w:sz w:val="24"/>
          <w:szCs w:val="24"/>
        </w:rPr>
      </w:pPr>
      <w:r>
        <w:rPr>
          <w:rFonts w:ascii="Times New Roman" w:hAnsi="Times New Roman" w:cs="Times New Roman"/>
          <w:sz w:val="24"/>
          <w:szCs w:val="24"/>
        </w:rPr>
        <w:t xml:space="preserve">The study aimed to identify and analyse the major human rights challenges faced by children </w:t>
      </w:r>
      <w:r>
        <w:rPr>
          <w:rFonts w:ascii="Times New Roman" w:hAnsi="Times New Roman" w:cs="Times New Roman"/>
          <w:sz w:val="24"/>
          <w:szCs w:val="24"/>
        </w:rPr>
        <w:t>in detention centres in Zambia.</w:t>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13" w:name="_Toc215206911"/>
      <w:bookmarkStart w:id="14" w:name="_Toc203652998"/>
      <w:bookmarkStart w:id="15" w:name="_Toc216630066"/>
      <w:bookmarkEnd w:id="8"/>
      <w:r>
        <w:rPr>
          <w:rFonts w:ascii="Times New Roman" w:eastAsia="Times New Roman" w:hAnsi="Times New Roman" w:cs="Times New Roman"/>
          <w:b/>
          <w:sz w:val="24"/>
          <w:szCs w:val="24"/>
        </w:rPr>
        <w:t>1.3 Significance of the study</w:t>
      </w:r>
      <w:bookmarkEnd w:id="13"/>
      <w:bookmarkEnd w:id="14"/>
      <w:bookmarkEnd w:id="15"/>
    </w:p>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hoped that the findings mightl assess the living conditions and treatment of children in these institutions. The findings may spotlight human rights abuses, leading to advocacy for better </w:t>
      </w:r>
      <w:r>
        <w:rPr>
          <w:rFonts w:ascii="Times New Roman" w:eastAsia="Times New Roman" w:hAnsi="Times New Roman" w:cs="Times New Roman"/>
          <w:color w:val="000000"/>
          <w:sz w:val="24"/>
          <w:szCs w:val="24"/>
        </w:rPr>
        <w:t>laws and practices that protect children’s rights. Insights gained from this study might inform policymakers, guiding reforms in juvenile justice systems and ensuring that children's rights are recognized and upheld. Studying their human rights may lead to</w:t>
      </w:r>
      <w:r>
        <w:rPr>
          <w:rFonts w:ascii="Times New Roman" w:eastAsia="Times New Roman" w:hAnsi="Times New Roman" w:cs="Times New Roman"/>
          <w:color w:val="000000"/>
          <w:sz w:val="24"/>
          <w:szCs w:val="24"/>
        </w:rPr>
        <w:t xml:space="preserve"> improved rehabilitation programs that focus on education, mental health, and social skills, aiming to reintegrate children into society positively. The study might raise awareness about children's rights within the community which mat help to foster a mor</w:t>
      </w:r>
      <w:r>
        <w:rPr>
          <w:rFonts w:ascii="Times New Roman" w:eastAsia="Times New Roman" w:hAnsi="Times New Roman" w:cs="Times New Roman"/>
          <w:color w:val="000000"/>
          <w:sz w:val="24"/>
          <w:szCs w:val="24"/>
        </w:rPr>
        <w:t>e supportive environment for reintegrating young offenders.</w:t>
      </w:r>
      <w:r>
        <w:rPr>
          <w:rFonts w:ascii="Times New Roman" w:eastAsia="Calibri" w:hAnsi="Times New Roman" w:cs="Times New Roman"/>
          <w:sz w:val="24"/>
          <w:szCs w:val="24"/>
        </w:rPr>
        <w:t xml:space="preserve"> </w:t>
      </w:r>
    </w:p>
    <w:p w:rsidR="008A7CC7" w:rsidRDefault="009537F9">
      <w:pPr>
        <w:keepNext/>
        <w:keepLines/>
        <w:spacing w:before="240" w:after="0" w:line="360" w:lineRule="auto"/>
        <w:outlineLvl w:val="0"/>
        <w:rPr>
          <w:rFonts w:ascii="Times New Roman" w:eastAsia="Calibri" w:hAnsi="Times New Roman" w:cs="Times New Roman"/>
          <w:b/>
          <w:sz w:val="24"/>
          <w:szCs w:val="24"/>
        </w:rPr>
      </w:pPr>
      <w:bookmarkStart w:id="16" w:name="_Toc203653000"/>
      <w:bookmarkStart w:id="17" w:name="_Toc215206913"/>
      <w:bookmarkStart w:id="18" w:name="_Toc216630068"/>
      <w:r>
        <w:rPr>
          <w:rFonts w:ascii="Times New Roman" w:eastAsia="Calibri" w:hAnsi="Times New Roman" w:cs="Times New Roman"/>
          <w:b/>
          <w:sz w:val="24"/>
          <w:szCs w:val="24"/>
        </w:rPr>
        <w:t>1.4 Theoretical Framework</w:t>
      </w:r>
      <w:bookmarkEnd w:id="16"/>
      <w:bookmarkEnd w:id="17"/>
      <w:bookmarkEnd w:id="18"/>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Child welfare theory was used to anchor, guide and position this study. Child welfare theory is integral to understanding the rights of children in reformatories. This t</w:t>
      </w:r>
      <w:r>
        <w:rPr>
          <w:rFonts w:ascii="Times New Roman" w:eastAsia="Calibri" w:hAnsi="Times New Roman" w:cs="Times New Roman"/>
          <w:sz w:val="24"/>
          <w:szCs w:val="24"/>
        </w:rPr>
        <w:t>heory emphasizes the importance of promoting the well-being of children through protective and supportive measures, recognizing their unique vulnerabilities and developmental needs. Within the context of reformatories, applying child welfare theory encoura</w:t>
      </w:r>
      <w:r>
        <w:rPr>
          <w:rFonts w:ascii="Times New Roman" w:eastAsia="Calibri" w:hAnsi="Times New Roman" w:cs="Times New Roman"/>
          <w:sz w:val="24"/>
          <w:szCs w:val="24"/>
        </w:rPr>
        <w:t>ges a focus on rehabilitation and holistic care rather than punitive measures, aligning with international human rights standards (Hill and Prout, 2021).</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background of child welfare theory is rooted in the belief that all children deserve a nurturing e</w:t>
      </w:r>
      <w:r>
        <w:rPr>
          <w:rFonts w:ascii="Times New Roman" w:eastAsia="Calibri" w:hAnsi="Times New Roman" w:cs="Times New Roman"/>
          <w:sz w:val="24"/>
          <w:szCs w:val="24"/>
        </w:rPr>
        <w:t xml:space="preserve">nvironment that supports their physical, emotional, and social development. This perspective is particularly relevant for those in reformatories, as these children often come from challenging backgrounds that may contribute to their behaviors (Rittner and </w:t>
      </w:r>
      <w:r>
        <w:rPr>
          <w:rFonts w:ascii="Times New Roman" w:eastAsia="Calibri" w:hAnsi="Times New Roman" w:cs="Times New Roman"/>
          <w:sz w:val="24"/>
          <w:szCs w:val="24"/>
        </w:rPr>
        <w:t>Carnochan, 2020). Through prioritizing the welfare of children, reformatories can provide the necessary support to address the root causes of delinquency, fostering environments conducive to positive growth and rehabilitation.</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practical terms, child wel</w:t>
      </w:r>
      <w:r>
        <w:rPr>
          <w:rFonts w:ascii="Times New Roman" w:eastAsia="Calibri" w:hAnsi="Times New Roman" w:cs="Times New Roman"/>
          <w:sz w:val="24"/>
          <w:szCs w:val="24"/>
        </w:rPr>
        <w:t xml:space="preserve">fare theory advocates for a comprehensive assessment of each child's needs, ensuring that interventions are tailored to their specific circumstances. Within reformatories in Zambia, this might involve individualized education plans, mental health support, </w:t>
      </w:r>
      <w:r>
        <w:rPr>
          <w:rFonts w:ascii="Times New Roman" w:eastAsia="Calibri" w:hAnsi="Times New Roman" w:cs="Times New Roman"/>
          <w:sz w:val="24"/>
          <w:szCs w:val="24"/>
        </w:rPr>
        <w:t>and opportunities for social engagement (Child Welfare Information Gateway. 2021). These strategies not only respect the rights of children but also empower them to make constructive choices, aligning with their rights to education, protection, and partici</w:t>
      </w:r>
      <w:r>
        <w:rPr>
          <w:rFonts w:ascii="Times New Roman" w:eastAsia="Calibri" w:hAnsi="Times New Roman" w:cs="Times New Roman"/>
          <w:sz w:val="24"/>
          <w:szCs w:val="24"/>
        </w:rPr>
        <w:t>pation in decisions affecting their lives.</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Moreover, child welfare theory supports the idea that a child’s best interests must be the primary consideration in all actions involving them. This principle is crucial in reformatories, where decisions regarding</w:t>
      </w:r>
      <w:r>
        <w:rPr>
          <w:rFonts w:ascii="Times New Roman" w:eastAsia="Calibri" w:hAnsi="Times New Roman" w:cs="Times New Roman"/>
          <w:sz w:val="24"/>
          <w:szCs w:val="24"/>
        </w:rPr>
        <w:t xml:space="preserve"> discipline, education, and rehabilitation should prioritize the child’s developmental needs Child (McGowan, 2019). Through ensuring that children's rights are front and center, these institutions can create policies that reflect compassion and support, ul</w:t>
      </w:r>
      <w:r>
        <w:rPr>
          <w:rFonts w:ascii="Times New Roman" w:eastAsia="Calibri" w:hAnsi="Times New Roman" w:cs="Times New Roman"/>
          <w:sz w:val="24"/>
          <w:szCs w:val="24"/>
        </w:rPr>
        <w:t>timately aiding in the successful reintegration of youth into society.</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implementation of child welfare principles in reformatories also requires collaboration among various stakeholders, including social workers, educators, and community organizations.</w:t>
      </w:r>
      <w:r>
        <w:rPr>
          <w:rFonts w:ascii="Times New Roman" w:eastAsia="Calibri" w:hAnsi="Times New Roman" w:cs="Times New Roman"/>
          <w:sz w:val="24"/>
          <w:szCs w:val="24"/>
        </w:rPr>
        <w:t xml:space="preserve"> Such partnerships can help to create a more holistic approach where children receive a continuum of care, further enhancing their chances for positive outcomes (Hill and Prout, 2021). This aligns with the social service framework that prioritizes protecti</w:t>
      </w:r>
      <w:r>
        <w:rPr>
          <w:rFonts w:ascii="Times New Roman" w:eastAsia="Calibri" w:hAnsi="Times New Roman" w:cs="Times New Roman"/>
          <w:sz w:val="24"/>
          <w:szCs w:val="24"/>
        </w:rPr>
        <w:t xml:space="preserve">ng and promoting children's rights, especially those in vulnerable positions. This theory was deemed to be fit because it advocates for guiding practices and policies that aim to protect and support vulnerable children and families. </w:t>
      </w:r>
    </w:p>
    <w:p w:rsidR="008A7CC7" w:rsidRDefault="009537F9">
      <w:pPr>
        <w:keepNext/>
        <w:keepLines/>
        <w:spacing w:before="240" w:after="0" w:line="360" w:lineRule="auto"/>
        <w:jc w:val="both"/>
        <w:outlineLvl w:val="0"/>
        <w:rPr>
          <w:rFonts w:ascii="Times New Roman" w:eastAsia="Times New Roman" w:hAnsi="Times New Roman" w:cs="Times New Roman"/>
          <w:b/>
          <w:color w:val="000000"/>
          <w:sz w:val="24"/>
          <w:szCs w:val="24"/>
        </w:rPr>
      </w:pPr>
      <w:bookmarkStart w:id="19" w:name="_Toc131361947"/>
      <w:bookmarkStart w:id="20" w:name="_Toc216630072"/>
      <w:bookmarkStart w:id="21" w:name="_Toc203653003"/>
      <w:bookmarkStart w:id="22" w:name="_Toc215206917"/>
      <w:bookmarkStart w:id="23" w:name="_Toc21750"/>
      <w:r>
        <w:rPr>
          <w:rFonts w:ascii="Times New Roman" w:eastAsia="Times New Roman" w:hAnsi="Times New Roman" w:cs="Times New Roman"/>
          <w:b/>
          <w:color w:val="000000"/>
          <w:sz w:val="24"/>
          <w:szCs w:val="24"/>
        </w:rPr>
        <w:lastRenderedPageBreak/>
        <w:t xml:space="preserve">1.5 Literature Review </w:t>
      </w:r>
      <w:bookmarkEnd w:id="19"/>
      <w:bookmarkEnd w:id="20"/>
      <w:bookmarkEnd w:id="21"/>
      <w:bookmarkEnd w:id="22"/>
      <w:bookmarkEnd w:id="23"/>
    </w:p>
    <w:p w:rsidR="008A7CC7" w:rsidRDefault="009537F9">
      <w:pPr>
        <w:pStyle w:val="ListParagraph"/>
        <w:keepNext/>
        <w:keepLines/>
        <w:numPr>
          <w:ilvl w:val="0"/>
          <w:numId w:val="1"/>
        </w:numPr>
        <w:spacing w:before="240" w:after="0" w:line="360" w:lineRule="auto"/>
        <w:outlineLvl w:val="0"/>
        <w:rPr>
          <w:rFonts w:ascii="Times New Roman" w:eastAsia="Times New Roman" w:hAnsi="Times New Roman" w:cs="Times New Roman"/>
          <w:b/>
          <w:color w:val="000000"/>
          <w:sz w:val="24"/>
          <w:szCs w:val="24"/>
        </w:rPr>
      </w:pPr>
      <w:bookmarkStart w:id="24" w:name="_Toc216630076"/>
      <w:bookmarkStart w:id="25" w:name="_Toc215206921"/>
      <w:bookmarkStart w:id="26" w:name="_Toc203653007"/>
      <w:r>
        <w:rPr>
          <w:rFonts w:ascii="Times New Roman" w:eastAsia="Times New Roman" w:hAnsi="Times New Roman" w:cs="Times New Roman"/>
          <w:b/>
          <w:color w:val="000000"/>
          <w:sz w:val="24"/>
          <w:szCs w:val="24"/>
        </w:rPr>
        <w:t>Human Rights Challenges Faced by Children in Reformatory Centres/Detention</w:t>
      </w:r>
      <w:bookmarkEnd w:id="24"/>
      <w:r>
        <w:rPr>
          <w:rFonts w:ascii="Times New Roman" w:eastAsia="Times New Roman" w:hAnsi="Times New Roman" w:cs="Times New Roman"/>
          <w:b/>
          <w:color w:val="000000"/>
          <w:sz w:val="24"/>
          <w:szCs w:val="24"/>
        </w:rPr>
        <w:t xml:space="preserve"> </w:t>
      </w:r>
    </w:p>
    <w:bookmarkEnd w:id="25"/>
    <w:bookmarkEnd w:id="26"/>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done in Thailand, Brazil, Asia, and Oceania highlighted a 57% increase in the global women's prison population since 2000, significantly higher than the 22% increase for m</w:t>
      </w:r>
      <w:r>
        <w:rPr>
          <w:rFonts w:ascii="Times New Roman" w:eastAsia="Times New Roman" w:hAnsi="Times New Roman" w:cs="Times New Roman"/>
          <w:color w:val="000000"/>
          <w:sz w:val="24"/>
          <w:szCs w:val="24"/>
        </w:rPr>
        <w:t>en. It finds that women in detention face specific challenges including inadequate gender-responsive healthcare, poor menstrual hygiene management, and higher rates of mental health issues (suicide, self-harm). Limited data on the long-term impact of deten</w:t>
      </w:r>
      <w:r>
        <w:rPr>
          <w:rFonts w:ascii="Times New Roman" w:eastAsia="Times New Roman" w:hAnsi="Times New Roman" w:cs="Times New Roman"/>
          <w:color w:val="000000"/>
          <w:sz w:val="24"/>
          <w:szCs w:val="24"/>
        </w:rPr>
        <w:t>tion on children living with incarcerated mothers and inadequate implementation of gender-responsive alternatives to detention (PRI &amp; TIJ, Global Prison Trends 2025). According to Gjøsund et al., (2024) investigated on breaking down barriers to mental heal</w:t>
      </w:r>
      <w:r>
        <w:rPr>
          <w:rFonts w:ascii="Times New Roman" w:eastAsia="Times New Roman" w:hAnsi="Times New Roman" w:cs="Times New Roman"/>
          <w:color w:val="000000"/>
          <w:sz w:val="24"/>
          <w:szCs w:val="24"/>
        </w:rPr>
        <w:t>thcare access in prison. The study explored individual and systemic barriers for male prisoners. Key findings indicate that distrust in the system, slow referral routines, and the "prison mask" (need to appear strong) are major barriers to seeking care. In</w:t>
      </w:r>
      <w:r>
        <w:rPr>
          <w:rFonts w:ascii="Times New Roman" w:eastAsia="Times New Roman" w:hAnsi="Times New Roman" w:cs="Times New Roman"/>
          <w:color w:val="000000"/>
          <w:sz w:val="24"/>
          <w:szCs w:val="24"/>
        </w:rPr>
        <w:t xml:space="preserve">carcerated individuals are reluctant to seek help unless it's for physical or drug-related problems, often relying on peers rather than professionals. The study revealed there is less knowledge about the situation in low- and middle-income countries; this </w:t>
      </w:r>
      <w:r>
        <w:rPr>
          <w:rFonts w:ascii="Times New Roman" w:eastAsia="Times New Roman" w:hAnsi="Times New Roman" w:cs="Times New Roman"/>
          <w:color w:val="000000"/>
          <w:sz w:val="24"/>
          <w:szCs w:val="24"/>
        </w:rPr>
        <w:t>study focuses on a high-income, Scandinavian context.</w:t>
      </w:r>
    </w:p>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 Ministry of Justice, (2025) shows that prisoners in overcrowded cells are 19% more likely to be involved in an assault over a one-year period compared to those in cells that are not overcrowded. It h</w:t>
      </w:r>
      <w:r>
        <w:rPr>
          <w:rFonts w:ascii="Times New Roman" w:eastAsia="Times New Roman" w:hAnsi="Times New Roman" w:cs="Times New Roman"/>
          <w:color w:val="000000"/>
          <w:sz w:val="24"/>
          <w:szCs w:val="24"/>
        </w:rPr>
        <w:t xml:space="preserve">ighlights that overcrowded conditions reduce space for rehabilitation, strain prison staff resources, and increase mental health distress. The analysis focuses on public sector prisons, with limited coverage of private, contracted facilities, and suggests </w:t>
      </w:r>
      <w:r>
        <w:rPr>
          <w:rFonts w:ascii="Times New Roman" w:eastAsia="Times New Roman" w:hAnsi="Times New Roman" w:cs="Times New Roman"/>
          <w:color w:val="000000"/>
          <w:sz w:val="24"/>
          <w:szCs w:val="24"/>
        </w:rPr>
        <w:t>further research into the impact of specific, high-turnover prisons. In Ghana (Selected prison facilities) Baffoe-Bonnie, et al. (2024) found that extreme overcrowding leads to severe shortages of basic resources, inadequate healthcare staffing, and limite</w:t>
      </w:r>
      <w:r>
        <w:rPr>
          <w:rFonts w:ascii="Times New Roman" w:eastAsia="Times New Roman" w:hAnsi="Times New Roman" w:cs="Times New Roman"/>
          <w:color w:val="000000"/>
          <w:sz w:val="24"/>
          <w:szCs w:val="24"/>
        </w:rPr>
        <w:t>d access to essential drugs. Inmates reported poor nutrition, limited ventilation, and high stress, which aggravated existing health conditions. While some in-prison healthcare staff were seen as trying their best, the sheer number of inmates made it impos</w:t>
      </w:r>
      <w:r>
        <w:rPr>
          <w:rFonts w:ascii="Times New Roman" w:eastAsia="Times New Roman" w:hAnsi="Times New Roman" w:cs="Times New Roman"/>
          <w:color w:val="000000"/>
          <w:sz w:val="24"/>
          <w:szCs w:val="24"/>
        </w:rPr>
        <w:t>sible to provide quality care. The research identified a major gap in the ability to provide specialized care for non-communicable diseases and chronic conditions, which are rising in the prison population.</w:t>
      </w:r>
    </w:p>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study in West and Central Africa (13 countries,</w:t>
      </w:r>
      <w:r>
        <w:rPr>
          <w:rFonts w:ascii="Times New Roman" w:eastAsia="Times New Roman" w:hAnsi="Times New Roman" w:cs="Times New Roman"/>
          <w:color w:val="000000"/>
          <w:sz w:val="24"/>
          <w:szCs w:val="24"/>
        </w:rPr>
        <w:t xml:space="preserve"> including Benin, Burkina Faso, Cameroon, Ghana, Mali). The comparative study found that migrant detention is used as a default response rather than a last resort. Key challenges include the lack of clear, gender-sensitive, and child-sensitive approaches i</w:t>
      </w:r>
      <w:r>
        <w:rPr>
          <w:rFonts w:ascii="Times New Roman" w:eastAsia="Times New Roman" w:hAnsi="Times New Roman" w:cs="Times New Roman"/>
          <w:color w:val="000000"/>
          <w:sz w:val="24"/>
          <w:szCs w:val="24"/>
        </w:rPr>
        <w:t>n national legislation. There is a major disconnect between regional agreements (e.g., ECOWAS) that favor free movement and national laws that often allow for arbitrary detention of migrants. The study identified a critical lack of alternatives to detentio</w:t>
      </w:r>
      <w:r>
        <w:rPr>
          <w:rFonts w:ascii="Times New Roman" w:eastAsia="Times New Roman" w:hAnsi="Times New Roman" w:cs="Times New Roman"/>
          <w:color w:val="000000"/>
          <w:sz w:val="24"/>
          <w:szCs w:val="24"/>
        </w:rPr>
        <w:t xml:space="preserve">n, such as bail, regular reporting, or community placement, which are only sporadically used International Organization for Migration (IOM). 2024). A survey by Avocats Sans Frontières (ASF). (2023) reported that the penitentiary system is overwhelmed by a </w:t>
      </w:r>
      <w:r>
        <w:rPr>
          <w:rFonts w:ascii="Times New Roman" w:eastAsia="Times New Roman" w:hAnsi="Times New Roman" w:cs="Times New Roman"/>
          <w:color w:val="000000"/>
          <w:sz w:val="24"/>
          <w:szCs w:val="24"/>
        </w:rPr>
        <w:t>lack of resources and capacity. The study highlights the excessive use of pre-trial detention (remand), with many individuals held for prolonged periods without appearing before a judge. The report notes a severe lack of judicial follow-up on cases, causin</w:t>
      </w:r>
      <w:r>
        <w:rPr>
          <w:rFonts w:ascii="Times New Roman" w:eastAsia="Times New Roman" w:hAnsi="Times New Roman" w:cs="Times New Roman"/>
          <w:color w:val="000000"/>
          <w:sz w:val="24"/>
          <w:szCs w:val="24"/>
        </w:rPr>
        <w:t>g extreme overcrowding and leading to inhumane conditions, including lack of clean food and adequate sanitation.</w:t>
      </w:r>
    </w:p>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by Sibisi, Masuku and Mphatheni, (2024) in South Africa indicates that shortly before the pandemic, facilities were 37% congested, hou</w:t>
      </w:r>
      <w:r>
        <w:rPr>
          <w:rFonts w:ascii="Times New Roman" w:eastAsia="Times New Roman" w:hAnsi="Times New Roman" w:cs="Times New Roman"/>
          <w:color w:val="000000"/>
          <w:sz w:val="24"/>
          <w:szCs w:val="24"/>
        </w:rPr>
        <w:t xml:space="preserve">sing over 162,000 inmates in spaces designed for 118,572. Overcrowding made social distancing impossible, turning prisons into COVID-19 hotspots. Inmates with underlying conditions like HIV and TB were highly vulnerable due to poor ventilation and lack of </w:t>
      </w:r>
      <w:r>
        <w:rPr>
          <w:rFonts w:ascii="Times New Roman" w:eastAsia="Times New Roman" w:hAnsi="Times New Roman" w:cs="Times New Roman"/>
          <w:color w:val="000000"/>
          <w:sz w:val="24"/>
          <w:szCs w:val="24"/>
        </w:rPr>
        <w:t>sanitation. The study showed that prisons suffered a "material crisis" involving a shortage of beds, leading inmates to sleep on floors near pests like rats. The study highlights a critical lack of up-to-date, reliable data on incarcerated populations, whi</w:t>
      </w:r>
      <w:r>
        <w:rPr>
          <w:rFonts w:ascii="Times New Roman" w:eastAsia="Times New Roman" w:hAnsi="Times New Roman" w:cs="Times New Roman"/>
          <w:color w:val="000000"/>
          <w:sz w:val="24"/>
          <w:szCs w:val="24"/>
        </w:rPr>
        <w:t>ch hindered effective government responses during the health crisis. In Malawi a study indicated that male youths are at high risk of sexual violence and victimization when housed with adult offenders due to a lack of separation. 100% of sentenced young me</w:t>
      </w:r>
      <w:r>
        <w:rPr>
          <w:rFonts w:ascii="Times New Roman" w:eastAsia="Times New Roman" w:hAnsi="Times New Roman" w:cs="Times New Roman"/>
          <w:color w:val="000000"/>
          <w:sz w:val="24"/>
          <w:szCs w:val="24"/>
        </w:rPr>
        <w:t>n (under 21) in the audit lacked legal representation at trial, often remaining in detention longer than legally permitted. The study showed that common challenges included poor sanitation, lack of potable water, and insufficient food and bedding. Existing</w:t>
      </w:r>
      <w:r>
        <w:rPr>
          <w:rFonts w:ascii="Times New Roman" w:eastAsia="Times New Roman" w:hAnsi="Times New Roman" w:cs="Times New Roman"/>
          <w:color w:val="000000"/>
          <w:sz w:val="24"/>
          <w:szCs w:val="24"/>
        </w:rPr>
        <w:t xml:space="preserve"> research lacks a large enough sample size to generalize findings across all age groups and genders; there is a specific need for mixed-methods research that includes more female and older participants (Nkambule, Wella and Mbakaya, 2023). </w:t>
      </w:r>
    </w:p>
    <w:p w:rsidR="008A7CC7" w:rsidRDefault="009537F9">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Scholars such as</w:t>
      </w:r>
      <w:r>
        <w:rPr>
          <w:rFonts w:ascii="Times New Roman" w:eastAsia="Times New Roman" w:hAnsi="Times New Roman" w:cs="Times New Roman"/>
          <w:color w:val="000000"/>
          <w:sz w:val="24"/>
          <w:szCs w:val="24"/>
        </w:rPr>
        <w:t xml:space="preserve"> Goredema, (2022) detention centers face chronic water shortages, power outages, and a severe lack of medicines and adequate ventilation. The standard of care is heavily </w:t>
      </w:r>
      <w:r>
        <w:rPr>
          <w:rFonts w:ascii="Times New Roman" w:eastAsia="Times New Roman" w:hAnsi="Times New Roman" w:cs="Times New Roman"/>
          <w:color w:val="000000"/>
          <w:sz w:val="24"/>
          <w:szCs w:val="24"/>
        </w:rPr>
        <w:lastRenderedPageBreak/>
        <w:t>reliant on non-governmental and faith-based organizations to provide basic PPE and med</w:t>
      </w:r>
      <w:r>
        <w:rPr>
          <w:rFonts w:ascii="Times New Roman" w:eastAsia="Times New Roman" w:hAnsi="Times New Roman" w:cs="Times New Roman"/>
          <w:color w:val="000000"/>
          <w:sz w:val="24"/>
          <w:szCs w:val="24"/>
        </w:rPr>
        <w:t>ication, as government resourcing is insufficient. Overcrowding is exacerbated by outdated infrastructure and massive backlogs in the judicial system. There is a lack of transparency regarding prison audits; the Zimbabwe Prisons and Correctional Service (Z</w:t>
      </w:r>
      <w:r>
        <w:rPr>
          <w:rFonts w:ascii="Times New Roman" w:eastAsia="Times New Roman" w:hAnsi="Times New Roman" w:cs="Times New Roman"/>
          <w:color w:val="000000"/>
          <w:sz w:val="24"/>
          <w:szCs w:val="24"/>
        </w:rPr>
        <w:t>PCS) inspection unit rarely releases official assessment results to the public. Researchers such as Mundende, Daka and Mbewe, (2022) explored on challenges and prospects of education in correctional facilities in Zambia. The study focused on one facility i</w:t>
      </w:r>
      <w:r>
        <w:rPr>
          <w:rFonts w:ascii="Times New Roman" w:eastAsia="Times New Roman" w:hAnsi="Times New Roman" w:cs="Times New Roman"/>
          <w:color w:val="000000"/>
          <w:sz w:val="24"/>
          <w:szCs w:val="24"/>
        </w:rPr>
        <w:t>n Lusaka and two in Central province, covering male/female inmates. The study revealed that despite legal mandates (Prisons Act, Chapter 97) requiring education for prisoners, education is not inclusive or adequately provided. Main challenges included a se</w:t>
      </w:r>
      <w:r>
        <w:rPr>
          <w:rFonts w:ascii="Times New Roman" w:eastAsia="Times New Roman" w:hAnsi="Times New Roman" w:cs="Times New Roman"/>
          <w:color w:val="000000"/>
          <w:sz w:val="24"/>
          <w:szCs w:val="24"/>
        </w:rPr>
        <w:t>vere lack of teaching materials, lack of training for educator inmates, insufficient government funding, and poor infrastructure. A significant gap exists between policy (the law mandate) and implementation, leading to the continued marginalization of inma</w:t>
      </w:r>
      <w:r>
        <w:rPr>
          <w:rFonts w:ascii="Times New Roman" w:eastAsia="Times New Roman" w:hAnsi="Times New Roman" w:cs="Times New Roman"/>
          <w:color w:val="000000"/>
          <w:sz w:val="24"/>
          <w:szCs w:val="24"/>
        </w:rPr>
        <w:t>tes despite potential support from NGOs.</w:t>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27" w:name="_Toc114237558"/>
      <w:bookmarkStart w:id="28" w:name="_Toc208570044"/>
      <w:bookmarkStart w:id="29" w:name="_Toc131361958"/>
      <w:bookmarkStart w:id="30" w:name="_Toc216630091"/>
      <w:bookmarkStart w:id="31" w:name="_Toc204854978"/>
      <w:bookmarkStart w:id="32" w:name="_Toc213677377"/>
      <w:r>
        <w:rPr>
          <w:rFonts w:ascii="Times New Roman" w:eastAsia="Times New Roman" w:hAnsi="Times New Roman" w:cs="Times New Roman"/>
          <w:b/>
          <w:sz w:val="24"/>
          <w:szCs w:val="24"/>
        </w:rPr>
        <w:t>1.6 Methodology</w:t>
      </w:r>
      <w:bookmarkEnd w:id="27"/>
      <w:bookmarkEnd w:id="28"/>
      <w:bookmarkEnd w:id="29"/>
      <w:bookmarkEnd w:id="30"/>
      <w:bookmarkEnd w:id="31"/>
      <w:bookmarkEnd w:id="32"/>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33" w:name="_Toc65477213"/>
      <w:bookmarkStart w:id="34" w:name="_Toc216630093"/>
      <w:bookmarkStart w:id="35" w:name="_Toc86698966"/>
      <w:bookmarkStart w:id="36" w:name="_Toc131361960"/>
      <w:bookmarkStart w:id="37" w:name="_Toc213677379"/>
      <w:bookmarkStart w:id="38" w:name="_Toc204854980"/>
      <w:bookmarkStart w:id="39" w:name="_Toc118301002"/>
      <w:bookmarkStart w:id="40" w:name="_Toc85176680"/>
      <w:bookmarkStart w:id="41" w:name="_Toc208570046"/>
      <w:r>
        <w:rPr>
          <w:rFonts w:ascii="Times New Roman" w:eastAsia="Times New Roman" w:hAnsi="Times New Roman" w:cs="Times New Roman"/>
          <w:b/>
          <w:sz w:val="24"/>
          <w:szCs w:val="24"/>
        </w:rPr>
        <w:t xml:space="preserve">Research </w:t>
      </w:r>
      <w:bookmarkEnd w:id="33"/>
      <w:r>
        <w:rPr>
          <w:rFonts w:ascii="Times New Roman" w:eastAsia="Times New Roman" w:hAnsi="Times New Roman" w:cs="Times New Roman"/>
          <w:b/>
          <w:sz w:val="24"/>
          <w:szCs w:val="24"/>
        </w:rPr>
        <w:t>Paradigm</w:t>
      </w:r>
      <w:bookmarkEnd w:id="34"/>
      <w:bookmarkEnd w:id="35"/>
      <w:bookmarkEnd w:id="36"/>
      <w:bookmarkEnd w:id="37"/>
      <w:bookmarkEnd w:id="38"/>
      <w:bookmarkEnd w:id="39"/>
      <w:bookmarkEnd w:id="40"/>
      <w:bookmarkEnd w:id="41"/>
    </w:p>
    <w:p w:rsidR="008A7CC7" w:rsidRDefault="009537F9">
      <w:pPr>
        <w:spacing w:after="166" w:line="360" w:lineRule="auto"/>
        <w:ind w:left="10" w:right="8" w:hanging="1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This study utilized interpretisim paradigm. Interpretivism is a research paradigm that emphasizes the understanding of social phenomena through the subjective interpretations and experiences of individuals. The justification for using interpretivism paradi</w:t>
      </w:r>
      <w:r>
        <w:rPr>
          <w:rFonts w:ascii="Times New Roman" w:eastAsia="Times New Roman" w:hAnsi="Times New Roman" w:cs="Times New Roman"/>
          <w:color w:val="000000"/>
          <w:sz w:val="24"/>
          <w:szCs w:val="24"/>
          <w:shd w:val="clear" w:color="auto" w:fill="FFFFFF"/>
        </w:rPr>
        <w:t xml:space="preserve">gm is that it allows researchers to explore the context in which social phenomena occur, enabling a deeper understanding of participants' experiences and cultural influences. It also recognizes the importance of personal perspectives and emotions, helping </w:t>
      </w:r>
      <w:r>
        <w:rPr>
          <w:rFonts w:ascii="Times New Roman" w:eastAsia="Times New Roman" w:hAnsi="Times New Roman" w:cs="Times New Roman"/>
          <w:color w:val="000000"/>
          <w:sz w:val="24"/>
          <w:szCs w:val="24"/>
          <w:shd w:val="clear" w:color="auto" w:fill="FFFFFF"/>
        </w:rPr>
        <w:t xml:space="preserve">to capture the nuances of human behavior. </w:t>
      </w:r>
    </w:p>
    <w:p w:rsidR="008A7CC7" w:rsidRDefault="009537F9">
      <w:pPr>
        <w:keepNext/>
        <w:keepLines/>
        <w:spacing w:before="240" w:after="0" w:line="360" w:lineRule="auto"/>
        <w:outlineLvl w:val="0"/>
        <w:rPr>
          <w:rFonts w:ascii="Times New Roman" w:eastAsia="SimSun" w:hAnsi="Times New Roman" w:cs="Times New Roman"/>
          <w:b/>
          <w:sz w:val="24"/>
          <w:szCs w:val="24"/>
        </w:rPr>
      </w:pPr>
      <w:bookmarkStart w:id="42" w:name="_Toc204854981"/>
      <w:bookmarkStart w:id="43" w:name="_Toc216630094"/>
      <w:bookmarkStart w:id="44" w:name="_Toc213677380"/>
      <w:bookmarkStart w:id="45" w:name="_Toc208570047"/>
      <w:bookmarkStart w:id="46" w:name="_Toc193958290"/>
      <w:bookmarkStart w:id="47" w:name="_Toc164710306"/>
      <w:r>
        <w:rPr>
          <w:rFonts w:ascii="Times New Roman" w:eastAsia="SimSun" w:hAnsi="Times New Roman" w:cs="Times New Roman"/>
          <w:b/>
          <w:sz w:val="24"/>
          <w:szCs w:val="24"/>
        </w:rPr>
        <w:t>Research Approach</w:t>
      </w:r>
      <w:bookmarkEnd w:id="42"/>
      <w:bookmarkEnd w:id="43"/>
      <w:bookmarkEnd w:id="44"/>
      <w:bookmarkEnd w:id="45"/>
      <w:bookmarkEnd w:id="46"/>
      <w:bookmarkEnd w:id="47"/>
      <w:r>
        <w:rPr>
          <w:rFonts w:ascii="Times New Roman" w:eastAsia="SimSun" w:hAnsi="Times New Roman" w:cs="Times New Roman"/>
          <w:b/>
          <w:sz w:val="24"/>
          <w:szCs w:val="24"/>
        </w:rPr>
        <w:t xml:space="preserve"> </w:t>
      </w:r>
    </w:p>
    <w:p w:rsidR="008A7CC7" w:rsidRDefault="009537F9">
      <w:pPr>
        <w:spacing w:after="166" w:line="360" w:lineRule="auto"/>
        <w:ind w:left="10" w:right="8" w:hanging="1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In this study, qualitative research approach was used. Qualitative research is a method of inquiry that focuses on exploring and understanding the meaning individuals or groups ascribe to social</w:t>
      </w:r>
      <w:r>
        <w:rPr>
          <w:rFonts w:ascii="Times New Roman" w:eastAsia="Times New Roman" w:hAnsi="Times New Roman" w:cs="Times New Roman"/>
          <w:color w:val="000000"/>
          <w:sz w:val="24"/>
          <w:szCs w:val="24"/>
          <w:shd w:val="clear" w:color="auto" w:fill="FFFFFF"/>
        </w:rPr>
        <w:t xml:space="preserve"> or human experiences. It utilizes various data collection techniques, such as interviews, focus groups, observations, and open-ended surveys, to gather rich, in-depth insights. This approach is often exploratory and aims to capture the complexities of hum</w:t>
      </w:r>
      <w:r>
        <w:rPr>
          <w:rFonts w:ascii="Times New Roman" w:eastAsia="Times New Roman" w:hAnsi="Times New Roman" w:cs="Times New Roman"/>
          <w:color w:val="000000"/>
          <w:sz w:val="24"/>
          <w:szCs w:val="24"/>
          <w:shd w:val="clear" w:color="auto" w:fill="FFFFFF"/>
        </w:rPr>
        <w:t xml:space="preserve">an behavior, thoughts, emotions and social contexts. </w:t>
      </w:r>
      <w:r>
        <w:rPr>
          <w:rFonts w:ascii="Times New Roman" w:eastAsia="Calibri" w:hAnsi="Times New Roman" w:cs="Times New Roman"/>
          <w:sz w:val="24"/>
          <w:szCs w:val="24"/>
        </w:rPr>
        <w:t xml:space="preserve">The justification for using this method is that </w:t>
      </w:r>
      <w:r>
        <w:rPr>
          <w:rFonts w:ascii="Times New Roman" w:eastAsia="Times New Roman" w:hAnsi="Times New Roman" w:cs="Times New Roman"/>
          <w:color w:val="000000"/>
          <w:sz w:val="24"/>
          <w:szCs w:val="24"/>
          <w:shd w:val="clear" w:color="auto" w:fill="FFFFFF"/>
        </w:rPr>
        <w:t xml:space="preserve">it allows for an in-depth understanding of the context, enabling researchers to grasp the nuances of social phenomena. It </w:t>
      </w:r>
      <w:r>
        <w:rPr>
          <w:rFonts w:ascii="Times New Roman" w:eastAsia="Times New Roman" w:hAnsi="Times New Roman" w:cs="Times New Roman"/>
          <w:color w:val="000000"/>
          <w:sz w:val="24"/>
          <w:szCs w:val="24"/>
          <w:shd w:val="clear" w:color="auto" w:fill="FFFFFF"/>
        </w:rPr>
        <w:lastRenderedPageBreak/>
        <w:t>is well-suited for studying compl</w:t>
      </w:r>
      <w:r>
        <w:rPr>
          <w:rFonts w:ascii="Times New Roman" w:eastAsia="Times New Roman" w:hAnsi="Times New Roman" w:cs="Times New Roman"/>
          <w:color w:val="000000"/>
          <w:sz w:val="24"/>
          <w:szCs w:val="24"/>
          <w:shd w:val="clear" w:color="auto" w:fill="FFFFFF"/>
        </w:rPr>
        <w:t xml:space="preserve">ex issues or phenomena that cannot be easily quantified, such as emotions, beliefs, and motivations thus it was deemed to be fit in this study. </w:t>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48" w:name="_Toc131361961"/>
      <w:bookmarkStart w:id="49" w:name="_Toc114237560"/>
      <w:bookmarkStart w:id="50" w:name="_Toc213677381"/>
      <w:bookmarkStart w:id="51" w:name="_Toc208570048"/>
      <w:bookmarkStart w:id="52" w:name="_Toc204854982"/>
      <w:bookmarkStart w:id="53" w:name="_Toc216630095"/>
      <w:r>
        <w:rPr>
          <w:rFonts w:ascii="Times New Roman" w:eastAsia="Times New Roman" w:hAnsi="Times New Roman" w:cs="Times New Roman"/>
          <w:b/>
          <w:sz w:val="24"/>
          <w:szCs w:val="24"/>
        </w:rPr>
        <w:t>Research Design</w:t>
      </w:r>
      <w:bookmarkEnd w:id="48"/>
      <w:bookmarkEnd w:id="49"/>
      <w:bookmarkEnd w:id="50"/>
      <w:bookmarkEnd w:id="51"/>
      <w:bookmarkEnd w:id="52"/>
      <w:bookmarkEnd w:id="53"/>
    </w:p>
    <w:p w:rsidR="008A7CC7" w:rsidRDefault="009537F9">
      <w:pPr>
        <w:spacing w:after="166" w:line="360" w:lineRule="auto"/>
        <w:ind w:left="10" w:right="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study, a qualitative descriptive design was employed. A descriptive research refers to </w:t>
      </w:r>
      <w:r>
        <w:rPr>
          <w:rFonts w:ascii="Times New Roman" w:eastAsia="Times New Roman" w:hAnsi="Times New Roman" w:cs="Times New Roman"/>
          <w:color w:val="000000"/>
          <w:sz w:val="24"/>
          <w:szCs w:val="24"/>
        </w:rPr>
        <w:t>research studies that have their main objective the accurate portrayal of the characteristics of persons, situations or groups. The descriptive approach in data collection gives the ability to collect accurate data on and provide a clear picture of the phe</w:t>
      </w:r>
      <w:r>
        <w:rPr>
          <w:rFonts w:ascii="Times New Roman" w:eastAsia="Times New Roman" w:hAnsi="Times New Roman" w:cs="Times New Roman"/>
          <w:color w:val="000000"/>
          <w:sz w:val="24"/>
          <w:szCs w:val="24"/>
        </w:rPr>
        <w:t>nomenon under study. The essence of a qualitative descriptive research design is first to state the status quo, then formulating important principles of knowledge and later provides solutions to the problem.</w:t>
      </w:r>
    </w:p>
    <w:p w:rsidR="008A7CC7" w:rsidRDefault="009537F9">
      <w:pPr>
        <w:keepNext/>
        <w:keepLines/>
        <w:spacing w:before="240" w:after="0" w:line="360" w:lineRule="auto"/>
        <w:outlineLvl w:val="0"/>
        <w:rPr>
          <w:rFonts w:ascii="Times New Roman" w:eastAsia="SimSun" w:hAnsi="Times New Roman" w:cs="Times New Roman"/>
          <w:b/>
          <w:sz w:val="24"/>
          <w:szCs w:val="24"/>
        </w:rPr>
      </w:pPr>
      <w:bookmarkStart w:id="54" w:name="_Toc213677382"/>
      <w:bookmarkStart w:id="55" w:name="_Toc164710309"/>
      <w:bookmarkStart w:id="56" w:name="_Toc189229215"/>
      <w:bookmarkStart w:id="57" w:name="_Toc202179355"/>
      <w:bookmarkStart w:id="58" w:name="_Toc130887315"/>
      <w:bookmarkStart w:id="59" w:name="_Toc216630096"/>
      <w:bookmarkStart w:id="60" w:name="_Toc209775873"/>
      <w:r>
        <w:rPr>
          <w:rFonts w:ascii="Times New Roman" w:eastAsia="SimSun" w:hAnsi="Times New Roman" w:cs="Times New Roman"/>
          <w:b/>
          <w:sz w:val="24"/>
          <w:szCs w:val="24"/>
        </w:rPr>
        <w:t>Target Population</w:t>
      </w:r>
      <w:bookmarkEnd w:id="54"/>
      <w:bookmarkEnd w:id="55"/>
      <w:bookmarkEnd w:id="56"/>
      <w:bookmarkEnd w:id="57"/>
      <w:bookmarkEnd w:id="58"/>
      <w:bookmarkEnd w:id="59"/>
      <w:bookmarkEnd w:id="60"/>
      <w:r>
        <w:rPr>
          <w:rFonts w:ascii="Times New Roman" w:eastAsia="SimSun" w:hAnsi="Times New Roman" w:cs="Times New Roman"/>
          <w:b/>
          <w:sz w:val="24"/>
          <w:szCs w:val="24"/>
        </w:rPr>
        <w:t xml:space="preserve">, </w:t>
      </w:r>
      <w:r>
        <w:rPr>
          <w:rFonts w:ascii="Times New Roman" w:eastAsia="Times New Roman" w:hAnsi="Times New Roman" w:cs="Times New Roman"/>
          <w:b/>
          <w:color w:val="000000"/>
          <w:sz w:val="24"/>
          <w:szCs w:val="24"/>
        </w:rPr>
        <w:t>Sample size and Sampling Proc</w:t>
      </w:r>
      <w:r>
        <w:rPr>
          <w:rFonts w:ascii="Times New Roman" w:eastAsia="Times New Roman" w:hAnsi="Times New Roman" w:cs="Times New Roman"/>
          <w:b/>
          <w:color w:val="000000"/>
          <w:sz w:val="24"/>
          <w:szCs w:val="24"/>
        </w:rPr>
        <w:t>edure</w:t>
      </w:r>
    </w:p>
    <w:p w:rsidR="008A7CC7" w:rsidRDefault="009537F9">
      <w:pPr>
        <w:spacing w:line="360" w:lineRule="auto"/>
        <w:jc w:val="both"/>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The target population of the study included; collection officers, parents and teachers. </w:t>
      </w:r>
      <w:r>
        <w:rPr>
          <w:rFonts w:ascii="Times New Roman" w:eastAsia="Times New Roman" w:hAnsi="Times New Roman" w:cs="Times New Roman"/>
          <w:color w:val="000000"/>
          <w:sz w:val="24"/>
          <w:szCs w:val="24"/>
        </w:rPr>
        <w:t>The sample size consisted of</w:t>
      </w:r>
      <w:r>
        <w:rPr>
          <w:rFonts w:ascii="Times New Roman" w:eastAsia="Calibri" w:hAnsi="Times New Roman" w:cs="Times New Roman"/>
          <w:color w:val="000000"/>
          <w:sz w:val="24"/>
          <w:szCs w:val="24"/>
        </w:rPr>
        <w:t xml:space="preserve"> 15 </w:t>
      </w:r>
      <w:r>
        <w:rPr>
          <w:rFonts w:ascii="Times New Roman" w:eastAsia="Times New Roman" w:hAnsi="Times New Roman" w:cs="Times New Roman"/>
          <w:color w:val="000000"/>
          <w:sz w:val="24"/>
          <w:szCs w:val="24"/>
        </w:rPr>
        <w:t xml:space="preserve">participants broken down as follows: </w:t>
      </w:r>
      <w:bookmarkStart w:id="61" w:name="_Toc131361964"/>
      <w:bookmarkStart w:id="62" w:name="_Toc208570050"/>
      <w:bookmarkStart w:id="63" w:name="_Toc204854984"/>
      <w:bookmarkStart w:id="64" w:name="_Toc114237564"/>
      <w:r>
        <w:rPr>
          <w:rFonts w:ascii="Times New Roman" w:eastAsia="Times New Roman" w:hAnsi="Times New Roman" w:cs="Times New Roman"/>
          <w:color w:val="000000"/>
          <w:sz w:val="24"/>
          <w:szCs w:val="24"/>
        </w:rPr>
        <w:t xml:space="preserve">five (5) </w:t>
      </w:r>
      <w:r>
        <w:rPr>
          <w:rFonts w:ascii="Times New Roman" w:eastAsia="Calibri" w:hAnsi="Times New Roman" w:cs="Times New Roman"/>
          <w:color w:val="000000"/>
          <w:sz w:val="24"/>
          <w:szCs w:val="24"/>
        </w:rPr>
        <w:t>collection officers, five (5) parents and five (5) teachers</w:t>
      </w:r>
      <w:r>
        <w:rPr>
          <w:rFonts w:ascii="Times New Roman" w:eastAsia="Times New Roman" w:hAnsi="Times New Roman" w:cs="Times New Roman"/>
          <w:color w:val="000000"/>
          <w:sz w:val="24"/>
          <w:szCs w:val="24"/>
        </w:rPr>
        <w:t>.</w:t>
      </w:r>
      <w:bookmarkEnd w:id="61"/>
      <w:bookmarkEnd w:id="62"/>
      <w:bookmarkEnd w:id="63"/>
      <w:bookmarkEnd w:id="64"/>
      <w:r>
        <w:rPr>
          <w:rFonts w:ascii="Times New Roman" w:eastAsia="Times New Roman" w:hAnsi="Times New Roman" w:cs="Times New Roman"/>
          <w:color w:val="000000"/>
          <w:sz w:val="24"/>
          <w:szCs w:val="24"/>
        </w:rPr>
        <w:t xml:space="preserve"> In this study heterogen</w:t>
      </w:r>
      <w:r>
        <w:rPr>
          <w:rFonts w:ascii="Times New Roman" w:eastAsia="Times New Roman" w:hAnsi="Times New Roman" w:cs="Times New Roman"/>
          <w:color w:val="000000"/>
          <w:sz w:val="24"/>
          <w:szCs w:val="24"/>
        </w:rPr>
        <w:t>eous and convenient sampling was utilized. The reason for using both samplings was that it allows researchers to select specific individuals who have particular characteristics or experiences relevant to the study. This targeted approach ensures that the d</w:t>
      </w:r>
      <w:r>
        <w:rPr>
          <w:rFonts w:ascii="Times New Roman" w:eastAsia="Times New Roman" w:hAnsi="Times New Roman" w:cs="Times New Roman"/>
          <w:color w:val="000000"/>
          <w:sz w:val="24"/>
          <w:szCs w:val="24"/>
        </w:rPr>
        <w:t xml:space="preserve">ata collected directly addresses the research questions. </w:t>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65" w:name="_Toc131361967"/>
      <w:bookmarkStart w:id="66" w:name="_Toc216630103"/>
      <w:bookmarkStart w:id="67" w:name="_Toc204854990"/>
      <w:bookmarkStart w:id="68" w:name="_Toc208570057"/>
      <w:bookmarkStart w:id="69" w:name="_Toc114237567"/>
      <w:bookmarkStart w:id="70" w:name="_Toc213677389"/>
      <w:r>
        <w:rPr>
          <w:rFonts w:ascii="Times New Roman" w:eastAsia="Times New Roman" w:hAnsi="Times New Roman" w:cs="Times New Roman"/>
          <w:b/>
          <w:sz w:val="24"/>
          <w:szCs w:val="24"/>
        </w:rPr>
        <w:t>Data Analysis</w:t>
      </w:r>
      <w:bookmarkEnd w:id="65"/>
      <w:bookmarkEnd w:id="66"/>
      <w:bookmarkEnd w:id="67"/>
      <w:bookmarkEnd w:id="68"/>
      <w:bookmarkEnd w:id="69"/>
      <w:bookmarkEnd w:id="70"/>
    </w:p>
    <w:p w:rsidR="008A7CC7" w:rsidRDefault="009537F9">
      <w:pPr>
        <w:spacing w:after="166" w:line="360" w:lineRule="auto"/>
        <w:ind w:left="10" w:right="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employed thematic analysis, a qualitative research method used to identify, analyze, and interpret patterns of shared meaning (themes) within a specific data set, which may </w:t>
      </w:r>
      <w:r>
        <w:rPr>
          <w:rFonts w:ascii="Times New Roman" w:eastAsia="Times New Roman" w:hAnsi="Times New Roman" w:cs="Times New Roman"/>
          <w:color w:val="000000"/>
          <w:sz w:val="24"/>
          <w:szCs w:val="24"/>
        </w:rPr>
        <w:t>include interviews, focus group discussions, surveys, or other textual data. It allows researchers to convert data into a coherent narrative. Information collected from audio recordings and mobile phone interviews were transcribed after a thorough review o</w:t>
      </w:r>
      <w:r>
        <w:rPr>
          <w:rFonts w:ascii="Times New Roman" w:eastAsia="Times New Roman" w:hAnsi="Times New Roman" w:cs="Times New Roman"/>
          <w:color w:val="000000"/>
          <w:sz w:val="24"/>
          <w:szCs w:val="24"/>
        </w:rPr>
        <w:t xml:space="preserve">f the text files and recordings for overall understanding. Thematic analysis was particularly beneficial for research aimed at comprehending people's views, opinions, knowledge, experiences, or values from qualitative data (Braun and Clarke, 2019). Common </w:t>
      </w:r>
      <w:r>
        <w:rPr>
          <w:rFonts w:ascii="Times New Roman" w:eastAsia="Times New Roman" w:hAnsi="Times New Roman" w:cs="Times New Roman"/>
          <w:color w:val="000000"/>
          <w:sz w:val="24"/>
          <w:szCs w:val="24"/>
        </w:rPr>
        <w:t>themes were identified and arranged into data categories. Pertinent information was labeled and grouped according to these categories. The data was then distilled to its fundamental essence, with significant and impactful quotes emphasized and presented ve</w:t>
      </w:r>
      <w:r>
        <w:rPr>
          <w:rFonts w:ascii="Times New Roman" w:eastAsia="Times New Roman" w:hAnsi="Times New Roman" w:cs="Times New Roman"/>
          <w:color w:val="000000"/>
          <w:sz w:val="24"/>
          <w:szCs w:val="24"/>
        </w:rPr>
        <w:t>rbatim. Codes that align with the study's objectives were identified, leading to a thematic analysis. The figure below summarizes the steps involved in analyzing the qualitative data, summarizing the process of using thematic analysis.</w:t>
      </w:r>
    </w:p>
    <w:p w:rsidR="008A7CC7" w:rsidRDefault="009537F9">
      <w:pPr>
        <w:spacing w:after="166" w:line="360" w:lineRule="auto"/>
        <w:ind w:left="10" w:right="8"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IN" w:eastAsia="en-IN"/>
        </w:rPr>
        <w:lastRenderedPageBreak/>
        <w:drawing>
          <wp:inline distT="0" distB="0" distL="0" distR="0">
            <wp:extent cx="4625340" cy="2263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l="8875" t="44215" r="51446" b="9570"/>
                    <a:stretch>
                      <a:fillRect/>
                    </a:stretch>
                  </pic:blipFill>
                  <pic:spPr>
                    <a:xfrm>
                      <a:off x="0" y="0"/>
                      <a:ext cx="4625340" cy="2263140"/>
                    </a:xfrm>
                    <a:prstGeom prst="rect">
                      <a:avLst/>
                    </a:prstGeom>
                    <a:noFill/>
                    <a:ln>
                      <a:noFill/>
                    </a:ln>
                  </pic:spPr>
                </pic:pic>
              </a:graphicData>
            </a:graphic>
          </wp:inline>
        </w:drawing>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71" w:name="_Toc131361969"/>
      <w:bookmarkStart w:id="72" w:name="_Toc216630105"/>
      <w:bookmarkStart w:id="73" w:name="_Toc213677391"/>
      <w:bookmarkStart w:id="74" w:name="_Toc208570059"/>
      <w:bookmarkStart w:id="75" w:name="_Toc114237569"/>
      <w:bookmarkStart w:id="76" w:name="_Toc204854992"/>
      <w:r>
        <w:rPr>
          <w:rFonts w:ascii="Times New Roman" w:eastAsia="Times New Roman" w:hAnsi="Times New Roman" w:cs="Times New Roman"/>
          <w:b/>
          <w:sz w:val="24"/>
          <w:szCs w:val="24"/>
        </w:rPr>
        <w:t>Ethical Considerat</w:t>
      </w:r>
      <w:r>
        <w:rPr>
          <w:rFonts w:ascii="Times New Roman" w:eastAsia="Times New Roman" w:hAnsi="Times New Roman" w:cs="Times New Roman"/>
          <w:b/>
          <w:sz w:val="24"/>
          <w:szCs w:val="24"/>
        </w:rPr>
        <w:t>ions</w:t>
      </w:r>
      <w:bookmarkEnd w:id="71"/>
      <w:bookmarkEnd w:id="72"/>
      <w:bookmarkEnd w:id="73"/>
      <w:bookmarkEnd w:id="74"/>
      <w:bookmarkEnd w:id="75"/>
      <w:bookmarkEnd w:id="76"/>
    </w:p>
    <w:p w:rsidR="008A7CC7" w:rsidRDefault="009537F9">
      <w:pPr>
        <w:spacing w:after="166" w:line="360" w:lineRule="auto"/>
        <w:ind w:left="10" w:right="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Ethics The researchers strictly adhered to ethical guidelines, ensuring voluntary participation, confidentiality, and the right to privacy, all while minimizing disruption to the daily operations of the involved universities and education offices. Inf</w:t>
      </w:r>
      <w:r>
        <w:rPr>
          <w:rFonts w:ascii="Times New Roman" w:eastAsia="Times New Roman" w:hAnsi="Times New Roman" w:cs="Times New Roman"/>
          <w:color w:val="000000"/>
          <w:sz w:val="24"/>
          <w:szCs w:val="24"/>
        </w:rPr>
        <w:t>ormed consent was secured from all participants, who were fully briefed and debriefed regarding the study’s purpose, which was solely academic. To guarantee anonymity, pseudonyms were used in place of real names in the findings, and the researchers took pr</w:t>
      </w:r>
      <w:r>
        <w:rPr>
          <w:rFonts w:ascii="Times New Roman" w:eastAsia="Times New Roman" w:hAnsi="Times New Roman" w:cs="Times New Roman"/>
          <w:color w:val="000000"/>
          <w:sz w:val="24"/>
          <w:szCs w:val="24"/>
        </w:rPr>
        <w:t>ecautions to protect participants from any potential harm.</w:t>
      </w:r>
    </w:p>
    <w:p w:rsidR="008A7CC7" w:rsidRDefault="009537F9">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Results and Discussion</w:t>
      </w:r>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lang w:val="en-ZA" w:eastAsia="en-ZA"/>
        </w:rPr>
      </w:pPr>
      <w:bookmarkStart w:id="77" w:name="_Toc216630110"/>
      <w:r>
        <w:rPr>
          <w:rFonts w:ascii="Times New Roman" w:hAnsi="Times New Roman" w:cs="Times New Roman"/>
          <w:sz w:val="24"/>
          <w:szCs w:val="24"/>
        </w:rPr>
        <w:t>The study focused on establishing the on major Human Rights challenges children faced in reformatory centres/detention. One on one interviews guide was used to collect da</w:t>
      </w:r>
      <w:r>
        <w:rPr>
          <w:rFonts w:ascii="Times New Roman" w:hAnsi="Times New Roman" w:cs="Times New Roman"/>
          <w:sz w:val="24"/>
          <w:szCs w:val="24"/>
        </w:rPr>
        <w:t>ta. The study revealed that there are major Human Rights challenges children faced in reformatory centres/detention as presented below</w:t>
      </w:r>
    </w:p>
    <w:p w:rsidR="008A7CC7" w:rsidRDefault="009537F9">
      <w:pPr>
        <w:keepNext/>
        <w:keepLines/>
        <w:spacing w:before="240" w:after="0" w:line="360" w:lineRule="auto"/>
        <w:jc w:val="both"/>
        <w:outlineLvl w:val="0"/>
        <w:rPr>
          <w:rFonts w:ascii="Times New Roman" w:eastAsia="Calibri" w:hAnsi="Times New Roman" w:cs="Times New Roman"/>
          <w:b/>
          <w:color w:val="000000"/>
          <w:sz w:val="24"/>
          <w:szCs w:val="24"/>
          <w:lang w:val="en-GB"/>
        </w:rPr>
      </w:pPr>
      <w:r>
        <w:rPr>
          <w:rFonts w:ascii="Times New Roman" w:eastAsia="SimSun" w:hAnsi="Times New Roman" w:cs="Times New Roman"/>
          <w:b/>
          <w:color w:val="000000"/>
          <w:sz w:val="24"/>
          <w:szCs w:val="24"/>
          <w:lang w:val="en-ZA" w:eastAsia="en-ZA"/>
        </w:rPr>
        <w:t>Major Human Rights Challenges Children Face in Reformatory Centres</w:t>
      </w:r>
      <w:bookmarkEnd w:id="77"/>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rPr>
      </w:pPr>
      <w:bookmarkStart w:id="78" w:name="_Toc216630111"/>
      <w:r>
        <w:rPr>
          <w:rFonts w:ascii="Times New Roman" w:eastAsia="SimSun" w:hAnsi="Times New Roman" w:cs="Times New Roman"/>
          <w:b/>
          <w:color w:val="000000"/>
          <w:sz w:val="24"/>
          <w:szCs w:val="24"/>
        </w:rPr>
        <w:t>Right to Movement</w:t>
      </w:r>
      <w:bookmarkEnd w:id="78"/>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reviewed that children in these facilities face strict rules that limit their ability to move freely, even within the facility. </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“Detained children may have limited access to their families and communities. This isolation hinder their emotional </w:t>
      </w:r>
      <w:r>
        <w:rPr>
          <w:rFonts w:ascii="Times New Roman" w:eastAsia="Calibri" w:hAnsi="Times New Roman" w:cs="Times New Roman"/>
          <w:i/>
          <w:sz w:val="24"/>
          <w:szCs w:val="24"/>
        </w:rPr>
        <w:t>well-being and social development, as they lack support systems that are vital for their growth.”</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“…I can honestly tell you that, movement restrictions impact children's access to educational and rehabilitative programs. Inadequate access to necessary serv</w:t>
      </w:r>
      <w:r>
        <w:rPr>
          <w:rFonts w:ascii="Times New Roman" w:eastAsia="Calibri" w:hAnsi="Times New Roman" w:cs="Times New Roman"/>
          <w:i/>
          <w:sz w:val="24"/>
          <w:szCs w:val="24"/>
        </w:rPr>
        <w:t>ices hinder their ability to reintegrate successfully into society upon release. The truth is that when one is in detention they’re limited with freedom of movements.”</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highlighted in reports by organizations such as Save the Children (2021) children in </w:t>
      </w:r>
      <w:r>
        <w:rPr>
          <w:rFonts w:ascii="Times New Roman" w:eastAsia="Calibri" w:hAnsi="Times New Roman" w:cs="Times New Roman"/>
          <w:sz w:val="24"/>
          <w:szCs w:val="24"/>
        </w:rPr>
        <w:t>these facilities often experience severe restrictions on their freedom of movement, which can lead to a variety of adverse effects. Similarly, Human Rights Watch (2020) reports that children are subject to confinement, harsh surveillance, and limitations o</w:t>
      </w:r>
      <w:r>
        <w:rPr>
          <w:rFonts w:ascii="Times New Roman" w:eastAsia="Calibri" w:hAnsi="Times New Roman" w:cs="Times New Roman"/>
          <w:sz w:val="24"/>
          <w:szCs w:val="24"/>
        </w:rPr>
        <w:t xml:space="preserve">n their ability to connect with the outside world. This isolation hinder their social development and emotional well-being, further exacerbating the difficulties they face in reintegrating into society upon release. Moreover, the lack of autonomy in their </w:t>
      </w:r>
      <w:r>
        <w:rPr>
          <w:rFonts w:ascii="Times New Roman" w:eastAsia="Calibri" w:hAnsi="Times New Roman" w:cs="Times New Roman"/>
          <w:sz w:val="24"/>
          <w:szCs w:val="24"/>
        </w:rPr>
        <w:t>mobility lead to feelings of powerlessness, impacting their psychological health and self-esteem (Council of Europe, 2019). According to Oduor (2020), effective child welfare systems should prioritize not only the physical safety of vulnerable children but</w:t>
      </w:r>
      <w:r>
        <w:rPr>
          <w:rFonts w:ascii="Times New Roman" w:eastAsia="Calibri" w:hAnsi="Times New Roman" w:cs="Times New Roman"/>
          <w:sz w:val="24"/>
          <w:szCs w:val="24"/>
        </w:rPr>
        <w:t xml:space="preserve"> also their mental and emotional health.</w:t>
      </w:r>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rPr>
      </w:pPr>
      <w:bookmarkStart w:id="79" w:name="_Toc216630112"/>
      <w:r>
        <w:rPr>
          <w:rFonts w:ascii="Times New Roman" w:eastAsia="SimSun" w:hAnsi="Times New Roman" w:cs="Times New Roman"/>
          <w:b/>
          <w:color w:val="000000"/>
          <w:sz w:val="24"/>
          <w:szCs w:val="24"/>
        </w:rPr>
        <w:t>Freedom of Assembly</w:t>
      </w:r>
      <w:bookmarkEnd w:id="79"/>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showed that freedom for assembly is also </w:t>
      </w:r>
      <w:r>
        <w:rPr>
          <w:rFonts w:ascii="Times New Roman" w:eastAsia="Calibri" w:hAnsi="Times New Roman" w:cs="Times New Roman"/>
          <w:sz w:val="24"/>
          <w:szCs w:val="24"/>
          <w:lang w:val="en-ZA"/>
        </w:rPr>
        <w:t>a human rights challenge children face in reformatory centres/detention</w:t>
      </w:r>
      <w:r>
        <w:rPr>
          <w:rFonts w:ascii="Times New Roman" w:eastAsia="Calibri" w:hAnsi="Times New Roman" w:cs="Times New Roman"/>
          <w:sz w:val="24"/>
          <w:szCs w:val="24"/>
        </w:rPr>
        <w:t>.</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“Children in these facilities face strict rules that limit their abil</w:t>
      </w:r>
      <w:r>
        <w:rPr>
          <w:rFonts w:ascii="Times New Roman" w:eastAsia="Calibri" w:hAnsi="Times New Roman" w:cs="Times New Roman"/>
          <w:i/>
          <w:sz w:val="24"/>
          <w:szCs w:val="24"/>
        </w:rPr>
        <w:t>ity to move freely, even within the facility. This restriction affect their mental health and development, as they feel confined and unable to engage in normal activities. These is a major Human Rights challenge these children face in reformatory centres/d</w:t>
      </w:r>
      <w:r>
        <w:rPr>
          <w:rFonts w:ascii="Times New Roman" w:eastAsia="Calibri" w:hAnsi="Times New Roman" w:cs="Times New Roman"/>
          <w:i/>
          <w:sz w:val="24"/>
          <w:szCs w:val="24"/>
        </w:rPr>
        <w:t>etention…”</w:t>
      </w:r>
      <w:r>
        <w:rPr>
          <w:rFonts w:ascii="Times New Roman" w:eastAsia="Calibri" w:hAnsi="Times New Roman" w:cs="Times New Roman"/>
          <w:sz w:val="24"/>
          <w:szCs w:val="24"/>
        </w:rPr>
        <w:t xml:space="preserve"> (Participant P8 contributed)</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These study results resonates with the report by LCRMC (2022) which indicates that children in such institutions often face restrictions on their ability to gather, associate, and participate in collective activities</w:t>
      </w:r>
      <w:r>
        <w:rPr>
          <w:rFonts w:ascii="Times New Roman" w:eastAsia="Calibri" w:hAnsi="Times New Roman" w:cs="Times New Roman"/>
          <w:sz w:val="24"/>
          <w:szCs w:val="24"/>
        </w:rPr>
        <w:t>, which are essential for their social development. Several study supports that restrictions from these facilities exacerbate feelings of alienation and emotional distress, preventing children from forming supportive networks that are crucial for their psy</w:t>
      </w:r>
      <w:r>
        <w:rPr>
          <w:rFonts w:ascii="Times New Roman" w:eastAsia="Calibri" w:hAnsi="Times New Roman" w:cs="Times New Roman"/>
          <w:sz w:val="24"/>
          <w:szCs w:val="24"/>
        </w:rPr>
        <w:t>chological well-being and overall rehabilitation.</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“Truth be told, detained children have limited access to their families and communities. This isolation hinder their emotional well-being and social </w:t>
      </w:r>
      <w:r>
        <w:rPr>
          <w:rFonts w:ascii="Times New Roman" w:eastAsia="Calibri" w:hAnsi="Times New Roman" w:cs="Times New Roman"/>
          <w:i/>
          <w:sz w:val="24"/>
          <w:szCs w:val="24"/>
        </w:rPr>
        <w:lastRenderedPageBreak/>
        <w:t xml:space="preserve">development, as they lack support systems that are vital </w:t>
      </w:r>
      <w:r>
        <w:rPr>
          <w:rFonts w:ascii="Times New Roman" w:eastAsia="Calibri" w:hAnsi="Times New Roman" w:cs="Times New Roman"/>
          <w:i/>
          <w:sz w:val="24"/>
          <w:szCs w:val="24"/>
        </w:rPr>
        <w:t>for their growth. It was clear that Facilities do not provide adequate opportunities for outdoor activities or community engagement to those in dentation.”</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Nkosi (2021) notes that opportunities for children to engage in group activities not only </w:t>
      </w:r>
      <w:r>
        <w:rPr>
          <w:rFonts w:ascii="Times New Roman" w:eastAsia="Calibri" w:hAnsi="Times New Roman" w:cs="Times New Roman"/>
          <w:sz w:val="24"/>
          <w:szCs w:val="24"/>
        </w:rPr>
        <w:t>foster camaraderie but also teach them vital conflict resolution and communication skills.</w:t>
      </w:r>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rPr>
      </w:pPr>
      <w:bookmarkStart w:id="80" w:name="_Toc216630113"/>
      <w:r>
        <w:rPr>
          <w:rFonts w:ascii="Times New Roman" w:eastAsia="SimSun" w:hAnsi="Times New Roman" w:cs="Times New Roman"/>
          <w:b/>
          <w:color w:val="000000"/>
          <w:sz w:val="24"/>
          <w:szCs w:val="24"/>
        </w:rPr>
        <w:t>Hard Labour</w:t>
      </w:r>
      <w:bookmarkEnd w:id="80"/>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shows that children in reformatory centers are sometime compelled to perform labor as part of their punishment. </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“Children in detention miss </w:t>
      </w:r>
      <w:r>
        <w:rPr>
          <w:rFonts w:ascii="Times New Roman" w:eastAsia="Calibri" w:hAnsi="Times New Roman" w:cs="Times New Roman"/>
          <w:i/>
          <w:sz w:val="24"/>
          <w:szCs w:val="24"/>
        </w:rPr>
        <w:t>educational opportunities as they are taken away from formal schooling and instead required to work. This prevent them from acquiring skills and knowledge that would help them reintegrate into society positively. In certain cases, authorities running these</w:t>
      </w:r>
      <w:r>
        <w:rPr>
          <w:rFonts w:ascii="Times New Roman" w:eastAsia="Calibri" w:hAnsi="Times New Roman" w:cs="Times New Roman"/>
          <w:i/>
          <w:sz w:val="24"/>
          <w:szCs w:val="24"/>
        </w:rPr>
        <w:t xml:space="preserve"> facilities exploit the labor of children without providing any compensation or benefits.”</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“Child labor in any form pose serious health risks. In reformatory centers, children are sometimes required to engage in strenuous physical activities without appro</w:t>
      </w:r>
      <w:r>
        <w:rPr>
          <w:rFonts w:ascii="Times New Roman" w:eastAsia="Calibri" w:hAnsi="Times New Roman" w:cs="Times New Roman"/>
          <w:i/>
          <w:sz w:val="24"/>
          <w:szCs w:val="24"/>
        </w:rPr>
        <w:t>priate safety measures or rest, leading to injuries and long-term health issues. Being subjected to labor, especially in a punitive environment, have detrimental psychological effects on children.”</w:t>
      </w:r>
    </w:p>
    <w:p w:rsidR="008A7CC7" w:rsidRDefault="009537F9">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According to Khalid (2019) agrees that many children are s</w:t>
      </w:r>
      <w:r>
        <w:rPr>
          <w:rFonts w:ascii="Times New Roman" w:eastAsia="Calibri" w:hAnsi="Times New Roman" w:cs="Times New Roman"/>
          <w:sz w:val="24"/>
          <w:szCs w:val="24"/>
        </w:rPr>
        <w:t>ubjected to excessively demanding physical tasks that are detrimental to their health and well-being. Rather than focusing on rehabilitation and education, some reformatory facilities impose labor-intensive activities that serve punitive purposes, violatin</w:t>
      </w:r>
      <w:r>
        <w:rPr>
          <w:rFonts w:ascii="Times New Roman" w:eastAsia="Calibri" w:hAnsi="Times New Roman" w:cs="Times New Roman"/>
          <w:sz w:val="24"/>
          <w:szCs w:val="24"/>
        </w:rPr>
        <w:t>g international standards for the treatment of children. Such practices lead to physical injuries, mental stress, and a negative perception of discipline and authority. McEwen (2018) indicates that the use of hard labor not only undermines the dignity of c</w:t>
      </w:r>
      <w:r>
        <w:rPr>
          <w:rFonts w:ascii="Times New Roman" w:eastAsia="Calibri" w:hAnsi="Times New Roman" w:cs="Times New Roman"/>
          <w:sz w:val="24"/>
          <w:szCs w:val="24"/>
        </w:rPr>
        <w:t xml:space="preserve">hildren but also fails to address the underlying issues that led to their placement in these centers, making rehabilitation increasingly challenging. Mutasa and Dube (2020) further argue that by addressing the root causes of behavior rather than resorting </w:t>
      </w:r>
      <w:r>
        <w:rPr>
          <w:rFonts w:ascii="Times New Roman" w:eastAsia="Calibri" w:hAnsi="Times New Roman" w:cs="Times New Roman"/>
          <w:sz w:val="24"/>
          <w:szCs w:val="24"/>
        </w:rPr>
        <w:t>to laborious punishment, facilities can foster healthier, more productive outcomes that benefit both the children and society at large.</w:t>
      </w:r>
      <w:r>
        <w:rPr>
          <w:rFonts w:ascii="Times New Roman" w:eastAsia="Calibri" w:hAnsi="Times New Roman" w:cs="Times New Roman"/>
          <w:i/>
          <w:sz w:val="24"/>
          <w:szCs w:val="24"/>
        </w:rPr>
        <w:t xml:space="preserve"> </w:t>
      </w:r>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rPr>
      </w:pPr>
      <w:bookmarkStart w:id="81" w:name="_Toc216630114"/>
      <w:r>
        <w:rPr>
          <w:rFonts w:ascii="Times New Roman" w:eastAsia="SimSun" w:hAnsi="Times New Roman" w:cs="Times New Roman"/>
          <w:b/>
          <w:color w:val="000000"/>
          <w:sz w:val="24"/>
          <w:szCs w:val="24"/>
        </w:rPr>
        <w:lastRenderedPageBreak/>
        <w:t>Limited Access to Education</w:t>
      </w:r>
      <w:bookmarkEnd w:id="81"/>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was clear that limited access to education is a significant human rights challenge faced</w:t>
      </w:r>
      <w:r>
        <w:rPr>
          <w:rFonts w:ascii="Times New Roman" w:eastAsia="Calibri" w:hAnsi="Times New Roman" w:cs="Times New Roman"/>
          <w:sz w:val="24"/>
          <w:szCs w:val="24"/>
        </w:rPr>
        <w:t xml:space="preserve"> by children in reformatory centers facilities. </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“Many children in reformatory centers are removed from their traditional school environments and are not provided with equivalent educational opportunities. This disruption lead to gaps in their education, m</w:t>
      </w:r>
      <w:r>
        <w:rPr>
          <w:rFonts w:ascii="Times New Roman" w:eastAsia="Calibri" w:hAnsi="Times New Roman" w:cs="Times New Roman"/>
          <w:i/>
          <w:sz w:val="24"/>
          <w:szCs w:val="24"/>
        </w:rPr>
        <w:t>aking it difficult for them to reintegrate into mainstream schooling after their release.”</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UNICEF (2021), education is a vital tool for fostering resilience and empowerment among children, particularly those in vulnerable situations. In contra</w:t>
      </w:r>
      <w:r>
        <w:rPr>
          <w:rFonts w:ascii="Times New Roman" w:eastAsia="Calibri" w:hAnsi="Times New Roman" w:cs="Times New Roman"/>
          <w:sz w:val="24"/>
          <w:szCs w:val="24"/>
        </w:rPr>
        <w:t>st, the lack of educational access in reformatory settings can lead to disenfranchisement and feelings of hopelessness, further complicating their rehabilitation process (UNODC, 2022), emphasizes that providing educational resources and programs is essenti</w:t>
      </w:r>
      <w:r>
        <w:rPr>
          <w:rFonts w:ascii="Times New Roman" w:eastAsia="Calibri" w:hAnsi="Times New Roman" w:cs="Times New Roman"/>
          <w:sz w:val="24"/>
          <w:szCs w:val="24"/>
        </w:rPr>
        <w:t>al for cultivating confidence and preparing children for successful reintegration.</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“Reformatory centers have insufficient resources, such as textbooks, learning materials, and qualified teachers. Without access to these essential resources, children miss </w:t>
      </w:r>
      <w:r>
        <w:rPr>
          <w:rFonts w:ascii="Times New Roman" w:eastAsia="Calibri" w:hAnsi="Times New Roman" w:cs="Times New Roman"/>
          <w:i/>
          <w:sz w:val="24"/>
          <w:szCs w:val="24"/>
        </w:rPr>
        <w:t>out on quality education, which affect their cognitive development and future job prospects.”</w:t>
      </w:r>
    </w:p>
    <w:p w:rsidR="008A7CC7" w:rsidRDefault="009537F9">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The reports by United Nations (2022) support that limited access to education is a pressing human rights challenge that children confront in reformatory centers. The Zambia Human Rights Commission (2022) contains that children in such institutions sometime</w:t>
      </w:r>
      <w:r>
        <w:rPr>
          <w:rFonts w:ascii="Times New Roman" w:eastAsia="Calibri" w:hAnsi="Times New Roman" w:cs="Times New Roman"/>
          <w:sz w:val="24"/>
          <w:szCs w:val="24"/>
        </w:rPr>
        <w:t xml:space="preserve">s are deprived of adequate educational opportunities, which significantly hinders their development. </w:t>
      </w:r>
    </w:p>
    <w:p w:rsidR="008A7CC7" w:rsidRDefault="009537F9">
      <w:pPr>
        <w:keepNext/>
        <w:keepLines/>
        <w:spacing w:before="240" w:after="0" w:line="360" w:lineRule="auto"/>
        <w:jc w:val="both"/>
        <w:outlineLvl w:val="0"/>
        <w:rPr>
          <w:rFonts w:ascii="Times New Roman" w:eastAsia="SimSun" w:hAnsi="Times New Roman" w:cs="Times New Roman"/>
          <w:b/>
          <w:color w:val="000000"/>
          <w:sz w:val="24"/>
          <w:szCs w:val="24"/>
        </w:rPr>
      </w:pPr>
      <w:bookmarkStart w:id="82" w:name="_Toc216630115"/>
      <w:r>
        <w:rPr>
          <w:rFonts w:ascii="Times New Roman" w:eastAsia="SimSun" w:hAnsi="Times New Roman" w:cs="Times New Roman"/>
          <w:b/>
          <w:color w:val="000000"/>
          <w:sz w:val="24"/>
          <w:szCs w:val="24"/>
        </w:rPr>
        <w:t>Right to Interact with their Family</w:t>
      </w:r>
      <w:bookmarkEnd w:id="82"/>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the data collected, it was clear that children in these facilities face prolonged separation from their families,</w:t>
      </w:r>
      <w:r>
        <w:rPr>
          <w:rFonts w:ascii="Times New Roman" w:eastAsia="Calibri" w:hAnsi="Times New Roman" w:cs="Times New Roman"/>
          <w:sz w:val="24"/>
          <w:szCs w:val="24"/>
        </w:rPr>
        <w:t xml:space="preserve"> which lead to emotional and psychological distress. </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 child taken to a reformatory center for minor offenses do not see their family for months. This separation hinder their ability to maintain family relationships, which are vital for their emotional </w:t>
      </w:r>
      <w:r>
        <w:rPr>
          <w:rFonts w:ascii="Times New Roman" w:eastAsia="Calibri" w:hAnsi="Times New Roman" w:cs="Times New Roman"/>
          <w:i/>
          <w:sz w:val="24"/>
          <w:szCs w:val="24"/>
        </w:rPr>
        <w:t>support. Often, visitation policies in detention centers are strict, limiting how often family members visit. This create barriers to maintaining familial bonds and led to feelings of abandonment in the children.”</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line to study findings, Nkosi (2021) su</w:t>
      </w:r>
      <w:r>
        <w:rPr>
          <w:rFonts w:ascii="Times New Roman" w:eastAsia="Calibri" w:hAnsi="Times New Roman" w:cs="Times New Roman"/>
          <w:sz w:val="24"/>
          <w:szCs w:val="24"/>
        </w:rPr>
        <w:t>pports that parental neglect exacerbate the emotional and psychological challenges faced by children in detention. When children feel abandoned or forgotten by their parents, it lead to feelings of loneliness, low self-esteem, and heightened anxiety. The e</w:t>
      </w:r>
      <w:r>
        <w:rPr>
          <w:rFonts w:ascii="Times New Roman" w:eastAsia="Calibri" w:hAnsi="Times New Roman" w:cs="Times New Roman"/>
          <w:sz w:val="24"/>
          <w:szCs w:val="24"/>
        </w:rPr>
        <w:t>motional distress caused by such neglect often makes it harder for children to adapt to the strict conditions of detention, hindering their ability to engage positively with rehabilitative programs (Torres and Rojas, 2021).</w:t>
      </w:r>
    </w:p>
    <w:p w:rsidR="008A7CC7" w:rsidRDefault="009537F9">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“Human right states that childr</w:t>
      </w:r>
      <w:r>
        <w:rPr>
          <w:rFonts w:ascii="Times New Roman" w:eastAsia="Calibri" w:hAnsi="Times New Roman" w:cs="Times New Roman"/>
          <w:i/>
          <w:sz w:val="24"/>
          <w:szCs w:val="24"/>
        </w:rPr>
        <w:t>en’s have right to interact with their family members but this isn’t the case with reformatory centres. For example, a child learn skills in the reformatory, but without family engagement in their rehabilitation, they struggle to apply these skills in thei</w:t>
      </w:r>
      <w:r>
        <w:rPr>
          <w:rFonts w:ascii="Times New Roman" w:eastAsia="Calibri" w:hAnsi="Times New Roman" w:cs="Times New Roman"/>
          <w:i/>
          <w:sz w:val="24"/>
          <w:szCs w:val="24"/>
        </w:rPr>
        <w:t>r home environment.”</w:t>
      </w:r>
    </w:p>
    <w:p w:rsidR="008A7CC7" w:rsidRDefault="009537F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Scholars such as Khan and Fatima (2019) argue that emotional support from parents can act as a protective factor, helping children cope with the stressors associated with detention. Conversely, when children perceive neglect, that </w:t>
      </w:r>
      <w:r>
        <w:rPr>
          <w:rFonts w:ascii="Times New Roman" w:eastAsia="Calibri" w:hAnsi="Times New Roman" w:cs="Times New Roman"/>
          <w:sz w:val="24"/>
          <w:szCs w:val="24"/>
        </w:rPr>
        <w:t xml:space="preserve">protective layer is stripped away, leaving them vulnerable to adverse mental health outcomes. Khumalo and Nkosi (2021) highlight that addressing these emotional needs through supportive policies and practices is crucial for improving children’s welfare in </w:t>
      </w:r>
      <w:r>
        <w:rPr>
          <w:rFonts w:ascii="Times New Roman" w:eastAsia="Calibri" w:hAnsi="Times New Roman" w:cs="Times New Roman"/>
          <w:sz w:val="24"/>
          <w:szCs w:val="24"/>
        </w:rPr>
        <w:t>detention. Adopting strategies that facilitate parental involvement can mitigate feelings of neglect and enhance the likelihood of positive rehabilitation outcomes, aligning with the core principles of child welfare theory.</w:t>
      </w:r>
    </w:p>
    <w:p w:rsidR="008A7CC7" w:rsidRDefault="009537F9">
      <w:pPr>
        <w:keepNext/>
        <w:keepLines/>
        <w:spacing w:before="240" w:after="0" w:line="360" w:lineRule="auto"/>
        <w:outlineLvl w:val="0"/>
        <w:rPr>
          <w:rFonts w:ascii="Times New Roman" w:eastAsia="Times New Roman" w:hAnsi="Times New Roman" w:cs="Times New Roman"/>
          <w:b/>
          <w:sz w:val="24"/>
          <w:szCs w:val="24"/>
          <w:lang w:val="en-GB" w:eastAsia="en-ZA"/>
        </w:rPr>
      </w:pPr>
      <w:bookmarkStart w:id="83" w:name="_Toc126945827"/>
      <w:bookmarkStart w:id="84" w:name="_Toc212819890"/>
      <w:bookmarkStart w:id="85" w:name="_Toc118301041"/>
      <w:bookmarkStart w:id="86" w:name="_Toc215824796"/>
      <w:bookmarkStart w:id="87" w:name="_Toc216630150"/>
      <w:bookmarkStart w:id="88" w:name="_Toc130898588"/>
      <w:bookmarkStart w:id="89" w:name="_Toc164710352"/>
      <w:r>
        <w:rPr>
          <w:rFonts w:ascii="Times New Roman" w:eastAsia="Calibri" w:hAnsi="Times New Roman" w:cs="Times New Roman"/>
          <w:b/>
          <w:sz w:val="24"/>
          <w:szCs w:val="24"/>
          <w:lang w:val="en-ZA"/>
        </w:rPr>
        <w:t>1.8 Conclusions</w:t>
      </w:r>
      <w:r>
        <w:rPr>
          <w:rFonts w:ascii="Times New Roman" w:eastAsia="Times New Roman" w:hAnsi="Times New Roman" w:cs="Times New Roman"/>
          <w:b/>
          <w:sz w:val="24"/>
          <w:szCs w:val="24"/>
          <w:lang w:val="en-GB" w:eastAsia="en-ZA"/>
        </w:rPr>
        <w:t xml:space="preserve"> and Recommendati</w:t>
      </w:r>
      <w:r>
        <w:rPr>
          <w:rFonts w:ascii="Times New Roman" w:eastAsia="Times New Roman" w:hAnsi="Times New Roman" w:cs="Times New Roman"/>
          <w:b/>
          <w:sz w:val="24"/>
          <w:szCs w:val="24"/>
          <w:lang w:val="en-GB" w:eastAsia="en-ZA"/>
        </w:rPr>
        <w:t>ons</w:t>
      </w:r>
      <w:bookmarkEnd w:id="83"/>
      <w:bookmarkEnd w:id="84"/>
      <w:bookmarkEnd w:id="85"/>
      <w:bookmarkEnd w:id="86"/>
      <w:bookmarkEnd w:id="87"/>
      <w:bookmarkEnd w:id="88"/>
      <w:bookmarkEnd w:id="89"/>
    </w:p>
    <w:p w:rsidR="008A7CC7" w:rsidRDefault="009537F9">
      <w:pPr>
        <w:keepNext/>
        <w:keepLines/>
        <w:spacing w:before="240" w:after="0" w:line="360" w:lineRule="auto"/>
        <w:outlineLvl w:val="0"/>
        <w:rPr>
          <w:rFonts w:ascii="Times New Roman" w:eastAsia="Times New Roman" w:hAnsi="Times New Roman" w:cs="Times New Roman"/>
          <w:b/>
          <w:sz w:val="24"/>
          <w:szCs w:val="24"/>
          <w:lang w:val="en-GB" w:eastAsia="en-ZA"/>
        </w:rPr>
      </w:pPr>
      <w:bookmarkStart w:id="90" w:name="_Toc164710354"/>
      <w:bookmarkStart w:id="91" w:name="_Toc215824798"/>
      <w:bookmarkStart w:id="92" w:name="_Toc216630152"/>
      <w:bookmarkStart w:id="93" w:name="_Toc212819892"/>
      <w:bookmarkStart w:id="94" w:name="_Toc126945829"/>
      <w:bookmarkStart w:id="95" w:name="_Toc118301043"/>
      <w:bookmarkStart w:id="96" w:name="_Toc130898590"/>
      <w:r>
        <w:rPr>
          <w:rFonts w:ascii="Times New Roman" w:eastAsia="Times New Roman" w:hAnsi="Times New Roman" w:cs="Times New Roman"/>
          <w:b/>
          <w:sz w:val="24"/>
          <w:szCs w:val="24"/>
          <w:lang w:val="en-GB" w:eastAsia="en-ZA"/>
        </w:rPr>
        <w:t>Conclusion</w:t>
      </w:r>
      <w:bookmarkEnd w:id="90"/>
      <w:bookmarkEnd w:id="91"/>
      <w:bookmarkEnd w:id="92"/>
      <w:bookmarkEnd w:id="93"/>
      <w:bookmarkEnd w:id="94"/>
      <w:bookmarkEnd w:id="95"/>
      <w:bookmarkEnd w:id="96"/>
    </w:p>
    <w:p w:rsidR="008A7CC7" w:rsidRDefault="009537F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study identified several major human rights challenges faced by children in reformatory centers, including restrictions on their right to movement and freedom of assembly, which limit their autonomy and ability to build supportive peer r</w:t>
      </w:r>
      <w:r>
        <w:rPr>
          <w:rFonts w:ascii="Times New Roman" w:eastAsia="Times New Roman" w:hAnsi="Times New Roman" w:cs="Times New Roman"/>
          <w:bCs/>
          <w:sz w:val="24"/>
          <w:szCs w:val="24"/>
        </w:rPr>
        <w:t>elationships. Additionally, the imposition of hard labor contravenes their rights and negatively affects their physical and psychological well-being. Access to education is often inadequate or poor, denying children important opportunities for growth. Furt</w:t>
      </w:r>
      <w:r>
        <w:rPr>
          <w:rFonts w:ascii="Times New Roman" w:eastAsia="Times New Roman" w:hAnsi="Times New Roman" w:cs="Times New Roman"/>
          <w:bCs/>
          <w:sz w:val="24"/>
          <w:szCs w:val="24"/>
        </w:rPr>
        <w:t xml:space="preserve">hermore, limited interaction with family members exacerbates feelings of isolation and disconnection, significantly impacting their mental health and hindering the development of familial bonds. </w:t>
      </w: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97" w:name="_Toc216630153"/>
      <w:bookmarkStart w:id="98" w:name="_Toc212819893"/>
      <w:bookmarkStart w:id="99" w:name="_Toc215824799"/>
      <w:r>
        <w:rPr>
          <w:rFonts w:ascii="Times New Roman" w:eastAsia="Times New Roman" w:hAnsi="Times New Roman" w:cs="Times New Roman"/>
          <w:b/>
          <w:sz w:val="24"/>
          <w:szCs w:val="24"/>
        </w:rPr>
        <w:lastRenderedPageBreak/>
        <w:t>1.9 Recommendation</w:t>
      </w:r>
      <w:bookmarkEnd w:id="97"/>
      <w:bookmarkEnd w:id="98"/>
      <w:bookmarkEnd w:id="99"/>
    </w:p>
    <w:p w:rsidR="008A7CC7" w:rsidRDefault="009537F9">
      <w:pPr>
        <w:numPr>
          <w:ilvl w:val="0"/>
          <w:numId w:val="2"/>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study recommends that that is need to</w:t>
      </w:r>
      <w:r>
        <w:rPr>
          <w:rFonts w:ascii="Times New Roman" w:eastAsia="Calibri" w:hAnsi="Times New Roman" w:cs="Times New Roman"/>
          <w:sz w:val="24"/>
          <w:szCs w:val="24"/>
        </w:rPr>
        <w:t xml:space="preserve"> establish independent monitoring bodies to regularly assess conditions in reformatory centers, ensuring compliance with international human rights standards and identifying violations.</w:t>
      </w: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8A7CC7">
      <w:pPr>
        <w:spacing w:line="360" w:lineRule="auto"/>
        <w:contextualSpacing/>
        <w:jc w:val="both"/>
        <w:rPr>
          <w:rFonts w:ascii="Times New Roman" w:eastAsia="Calibri" w:hAnsi="Times New Roman" w:cs="Times New Roman"/>
          <w:sz w:val="24"/>
          <w:szCs w:val="24"/>
        </w:rPr>
      </w:pPr>
    </w:p>
    <w:p w:rsidR="008A7CC7" w:rsidRDefault="009537F9">
      <w:pPr>
        <w:keepNext/>
        <w:keepLines/>
        <w:spacing w:before="240" w:after="0" w:line="360" w:lineRule="auto"/>
        <w:outlineLvl w:val="0"/>
        <w:rPr>
          <w:rFonts w:ascii="Times New Roman" w:eastAsia="Times New Roman" w:hAnsi="Times New Roman" w:cs="Times New Roman"/>
          <w:b/>
          <w:sz w:val="24"/>
          <w:szCs w:val="24"/>
        </w:rPr>
      </w:pPr>
      <w:bookmarkStart w:id="100" w:name="_Toc216630154"/>
      <w:bookmarkStart w:id="101" w:name="_Toc200455491"/>
      <w:r>
        <w:rPr>
          <w:rFonts w:ascii="Times New Roman" w:eastAsia="Times New Roman" w:hAnsi="Times New Roman" w:cs="Times New Roman"/>
          <w:b/>
          <w:sz w:val="24"/>
          <w:szCs w:val="24"/>
        </w:rPr>
        <w:lastRenderedPageBreak/>
        <w:t>1.10 References</w:t>
      </w:r>
      <w:bookmarkEnd w:id="100"/>
      <w:bookmarkEnd w:id="101"/>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Pr>
          <w:rFonts w:ascii="Times New Roman" w:eastAsia="Calibri" w:hAnsi="Times New Roman" w:cs="Times New Roman"/>
          <w:sz w:val="24"/>
          <w:szCs w:val="24"/>
        </w:rPr>
        <w:t xml:space="preserve">Avocats Sans Frontières </w:t>
      </w:r>
      <w:r>
        <w:rPr>
          <w:rFonts w:ascii="Times New Roman" w:eastAsia="Calibri" w:hAnsi="Times New Roman" w:cs="Times New Roman"/>
          <w:sz w:val="24"/>
          <w:szCs w:val="24"/>
        </w:rPr>
        <w:t>(ASF). (2023). Annual Report 2022 - The challenges of detention in the Central African Republic. ASF Belgium.</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Pr>
          <w:rFonts w:ascii="Times New Roman" w:eastAsia="Calibri" w:hAnsi="Times New Roman" w:cs="Times New Roman"/>
          <w:sz w:val="24"/>
          <w:szCs w:val="24"/>
        </w:rPr>
        <w:t xml:space="preserve">Baffoe-Bonnie, A., et al. (2024). They are trying their best: incarcerated individuals’ assessment of general healthcare services in selected </w:t>
      </w:r>
      <w:r>
        <w:rPr>
          <w:rFonts w:ascii="Times New Roman" w:eastAsia="Calibri" w:hAnsi="Times New Roman" w:cs="Times New Roman"/>
          <w:sz w:val="24"/>
          <w:szCs w:val="24"/>
        </w:rPr>
        <w:t xml:space="preserve">Ghanaian prisons. Journal of Public Health: From Theory to Practice (Springer Nature).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Pr>
          <w:rFonts w:ascii="Times New Roman" w:eastAsia="Calibri" w:hAnsi="Times New Roman" w:cs="Times New Roman"/>
          <w:sz w:val="24"/>
          <w:szCs w:val="24"/>
        </w:rPr>
        <w:t>Chanda, L. (2023). Legislative Framework and Its Impact on Children's Rights in Zambian Reform Centers. Zambian Law Journal, 18(3), 102-117.</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 </w:t>
      </w:r>
      <w:r>
        <w:rPr>
          <w:rFonts w:ascii="Times New Roman" w:eastAsia="Calibri" w:hAnsi="Times New Roman" w:cs="Times New Roman"/>
          <w:sz w:val="24"/>
          <w:szCs w:val="24"/>
        </w:rPr>
        <w:t xml:space="preserve">Council of Europe. </w:t>
      </w:r>
      <w:r>
        <w:rPr>
          <w:rFonts w:ascii="Times New Roman" w:eastAsia="Calibri" w:hAnsi="Times New Roman" w:cs="Times New Roman"/>
          <w:sz w:val="24"/>
          <w:szCs w:val="24"/>
        </w:rPr>
        <w:t>(2019). "The Impact of Legislative Reforms on the Rights of Children in Juvenile Justice Systems." Publisher: Council of Europe, Pages 45-60..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w:t>
      </w:r>
      <w:r>
        <w:rPr>
          <w:rFonts w:ascii="Times New Roman" w:eastAsia="Calibri" w:hAnsi="Times New Roman" w:cs="Times New Roman"/>
          <w:sz w:val="24"/>
          <w:szCs w:val="24"/>
        </w:rPr>
        <w:t>Gjøsund, M.M., et al., "Breaking down barriers to mental healthcare access in prison", BMC Psychiatry (Spring</w:t>
      </w:r>
      <w:r>
        <w:rPr>
          <w:rFonts w:ascii="Times New Roman" w:eastAsia="Calibri" w:hAnsi="Times New Roman" w:cs="Times New Roman"/>
          <w:sz w:val="24"/>
          <w:szCs w:val="24"/>
        </w:rPr>
        <w:t xml:space="preserve">er Nature), April 17, 2024, 24, 312, pp. 1-15.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[6] </w:t>
      </w:r>
      <w:r>
        <w:rPr>
          <w:rFonts w:ascii="Times New Roman" w:eastAsia="Calibri" w:hAnsi="Times New Roman" w:cs="Times New Roman"/>
          <w:sz w:val="24"/>
          <w:szCs w:val="24"/>
        </w:rPr>
        <w:t>Gonzalez, E. &amp; Martínez, P. (2022). "Emotional Distress and Detention: Assessing Youth in Argentina." Latin American Journal of Psychology, 54(2), 145-158.</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[7] </w:t>
      </w:r>
      <w:r>
        <w:rPr>
          <w:rFonts w:ascii="Times New Roman" w:eastAsia="Calibri" w:hAnsi="Times New Roman" w:cs="Times New Roman"/>
          <w:sz w:val="24"/>
          <w:szCs w:val="24"/>
        </w:rPr>
        <w:t>Goredema, R. (2022). "A legal-realist assess</w:t>
      </w:r>
      <w:r>
        <w:rPr>
          <w:rFonts w:ascii="Times New Roman" w:eastAsia="Calibri" w:hAnsi="Times New Roman" w:cs="Times New Roman"/>
          <w:sz w:val="24"/>
          <w:szCs w:val="24"/>
        </w:rPr>
        <w:t xml:space="preserve">ment of the Zimbabwean correctional system response to COVID-19 during state disaster measures." International Journal of Prisoner Health. (Published May 2022; Vol 18: Issue 2).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[8] </w:t>
      </w:r>
      <w:r>
        <w:rPr>
          <w:rFonts w:ascii="Times New Roman" w:eastAsia="Calibri" w:hAnsi="Times New Roman" w:cs="Times New Roman"/>
          <w:sz w:val="24"/>
          <w:szCs w:val="24"/>
        </w:rPr>
        <w:t xml:space="preserve">Gunter, H. M., et al. (2020). "Children’s Rights and Residential Care: A </w:t>
      </w:r>
      <w:r>
        <w:rPr>
          <w:rFonts w:ascii="Times New Roman" w:eastAsia="Calibri" w:hAnsi="Times New Roman" w:cs="Times New Roman"/>
          <w:sz w:val="24"/>
          <w:szCs w:val="24"/>
        </w:rPr>
        <w:t>Study of European Countries." Childhood, 27(3), pp. 369-385.</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[9] </w:t>
      </w:r>
      <w:r>
        <w:rPr>
          <w:rFonts w:ascii="Times New Roman" w:eastAsia="Calibri" w:hAnsi="Times New Roman" w:cs="Times New Roman"/>
          <w:sz w:val="24"/>
          <w:szCs w:val="24"/>
        </w:rPr>
        <w:t>Hill, M., &amp; Prout, A. (2021). Participatory Research with Children. In Child Welfare Research in the 21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Century. Routledge, pp. 135-150.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[10] </w:t>
      </w:r>
      <w:r>
        <w:rPr>
          <w:rFonts w:ascii="Times New Roman" w:eastAsia="Calibri" w:hAnsi="Times New Roman" w:cs="Times New Roman"/>
          <w:sz w:val="24"/>
          <w:szCs w:val="24"/>
        </w:rPr>
        <w:t>Human Rights Commission of Zambia. (2021). "The</w:t>
      </w:r>
      <w:r>
        <w:rPr>
          <w:rFonts w:ascii="Times New Roman" w:eastAsia="Calibri" w:hAnsi="Times New Roman" w:cs="Times New Roman"/>
          <w:sz w:val="24"/>
          <w:szCs w:val="24"/>
        </w:rPr>
        <w:t xml:space="preserve"> State of Human Rights in Zambia: Focus on Vulnerable Groups." Human Rights Commission, pp. 54-68.</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Pr>
          <w:rFonts w:ascii="Times New Roman" w:eastAsia="Calibri" w:hAnsi="Times New Roman" w:cs="Times New Roman"/>
          <w:sz w:val="24"/>
          <w:szCs w:val="24"/>
        </w:rPr>
        <w:t>Human Rights Watch. (2020). Children in Conflict with the Law: An Assessment of the Human Rights Situation in Sierra Leone. p. 54.</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[12] </w:t>
      </w:r>
      <w:r>
        <w:rPr>
          <w:rFonts w:ascii="Times New Roman" w:eastAsia="Calibri" w:hAnsi="Times New Roman" w:cs="Times New Roman"/>
          <w:sz w:val="24"/>
          <w:szCs w:val="24"/>
        </w:rPr>
        <w:t>Human Rights Wat</w:t>
      </w:r>
      <w:r>
        <w:rPr>
          <w:rFonts w:ascii="Times New Roman" w:eastAsia="Calibri" w:hAnsi="Times New Roman" w:cs="Times New Roman"/>
          <w:sz w:val="24"/>
          <w:szCs w:val="24"/>
        </w:rPr>
        <w:t>ch. (2020). Children in Detention: A Study on the Impact of Policies on Rights Violations in Malaysia. p. 32.</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[13] </w:t>
      </w:r>
      <w:r>
        <w:rPr>
          <w:rFonts w:ascii="Times New Roman" w:eastAsia="Calibri" w:hAnsi="Times New Roman" w:cs="Times New Roman"/>
          <w:sz w:val="24"/>
          <w:szCs w:val="24"/>
        </w:rPr>
        <w:t>Human Rights Watch. (2021). “No Place for Children: Abuses in Juvenile Justice Systems.” Human Rights Watch, pp. 10-45.</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[14] </w:t>
      </w:r>
      <w:r>
        <w:rPr>
          <w:rFonts w:ascii="Times New Roman" w:eastAsia="Calibri" w:hAnsi="Times New Roman" w:cs="Times New Roman"/>
          <w:sz w:val="24"/>
          <w:szCs w:val="24"/>
        </w:rPr>
        <w:t>Institute for Se</w:t>
      </w:r>
      <w:r>
        <w:rPr>
          <w:rFonts w:ascii="Times New Roman" w:eastAsia="Calibri" w:hAnsi="Times New Roman" w:cs="Times New Roman"/>
          <w:sz w:val="24"/>
          <w:szCs w:val="24"/>
        </w:rPr>
        <w:t>curity Studies. (2020). “Youth and Juvenile Justice in Africa: A Review of Trends and Responses.” ISS Africa, pp. 33-67.</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Pr>
          <w:rFonts w:ascii="Times New Roman" w:eastAsia="Calibri" w:hAnsi="Times New Roman" w:cs="Times New Roman"/>
          <w:sz w:val="24"/>
          <w:szCs w:val="24"/>
        </w:rPr>
        <w:t>International Journal of Child Rights. (2023). “Mental Health Implications of Detention for Children.” International Journal of Ch</w:t>
      </w:r>
      <w:r>
        <w:rPr>
          <w:rFonts w:ascii="Times New Roman" w:eastAsia="Calibri" w:hAnsi="Times New Roman" w:cs="Times New Roman"/>
          <w:sz w:val="24"/>
          <w:szCs w:val="24"/>
        </w:rPr>
        <w:t>ild Rights, 30(1), 75-90.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[16] </w:t>
      </w:r>
      <w:r>
        <w:rPr>
          <w:rFonts w:ascii="Times New Roman" w:eastAsia="Calibri" w:hAnsi="Times New Roman" w:cs="Times New Roman"/>
          <w:sz w:val="24"/>
          <w:szCs w:val="24"/>
        </w:rPr>
        <w:t xml:space="preserve">International Organization for Migration (IOM). (2024). Analysing Migrant Detention Legal Frameworks: Perspectives from West and Central Africa. IOM Publications.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[17] </w:t>
      </w:r>
      <w:r>
        <w:rPr>
          <w:rFonts w:ascii="Times New Roman" w:eastAsia="Calibri" w:hAnsi="Times New Roman" w:cs="Times New Roman"/>
          <w:sz w:val="24"/>
          <w:szCs w:val="24"/>
        </w:rPr>
        <w:t>Khalid, A. (2019). "Children and the Law: Addressing Hum</w:t>
      </w:r>
      <w:r>
        <w:rPr>
          <w:rFonts w:ascii="Times New Roman" w:eastAsia="Calibri" w:hAnsi="Times New Roman" w:cs="Times New Roman"/>
          <w:sz w:val="24"/>
          <w:szCs w:val="24"/>
        </w:rPr>
        <w:t>an Rights Violations of Detained Youth in Pakistan." Publisher: Journal of Law and Society, Volume 41, Pages 73-90].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[18] </w:t>
      </w:r>
      <w:r>
        <w:rPr>
          <w:rFonts w:ascii="Times New Roman" w:eastAsia="Calibri" w:hAnsi="Times New Roman" w:cs="Times New Roman"/>
          <w:sz w:val="24"/>
          <w:szCs w:val="24"/>
        </w:rPr>
        <w:t xml:space="preserve">Khan, A., &amp; Fatima, S. (2019). "Understanding the Mental Health Impacts of Juvenile Detention in Pakistan." Asian Journal of </w:t>
      </w:r>
      <w:r>
        <w:rPr>
          <w:rFonts w:ascii="Times New Roman" w:eastAsia="Calibri" w:hAnsi="Times New Roman" w:cs="Times New Roman"/>
          <w:sz w:val="24"/>
          <w:szCs w:val="24"/>
        </w:rPr>
        <w:t>Psychiatry, 45, 180-185.</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Pr>
          <w:rFonts w:ascii="Times New Roman" w:eastAsia="Calibri" w:hAnsi="Times New Roman" w:cs="Times New Roman"/>
          <w:sz w:val="24"/>
          <w:szCs w:val="24"/>
        </w:rPr>
        <w:t>Khumalo, I. &amp; Nkosi, Z. (2021). "Exploring the Psychological Impact of Detention on Adolescents in South Africa." South African Journal of Psychology, 51(4), 576-589.</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[20] </w:t>
      </w:r>
      <w:r>
        <w:rPr>
          <w:rFonts w:ascii="Times New Roman" w:eastAsia="Calibri" w:hAnsi="Times New Roman" w:cs="Times New Roman"/>
          <w:sz w:val="24"/>
          <w:szCs w:val="24"/>
        </w:rPr>
        <w:t xml:space="preserve">McEwen, S. (2018). "The Mental Health Needs of </w:t>
      </w:r>
      <w:r>
        <w:rPr>
          <w:rFonts w:ascii="Times New Roman" w:eastAsia="Calibri" w:hAnsi="Times New Roman" w:cs="Times New Roman"/>
          <w:sz w:val="24"/>
          <w:szCs w:val="24"/>
        </w:rPr>
        <w:t>Children in Detention." [Publisher: International Journal of Prisoner Health, Volume 14, Pages 123-135.</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[21] </w:t>
      </w:r>
      <w:r>
        <w:rPr>
          <w:rFonts w:ascii="Times New Roman" w:eastAsia="Calibri" w:hAnsi="Times New Roman" w:cs="Times New Roman"/>
          <w:sz w:val="24"/>
          <w:szCs w:val="24"/>
        </w:rPr>
        <w:t>McGowan, J. (2019). Child Welfare Policy and Practice. In The Handbook of Child Welfare (2nd ed.). Wiley, pp. 72-84.</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[22] </w:t>
      </w:r>
      <w:r>
        <w:rPr>
          <w:rFonts w:ascii="Times New Roman" w:eastAsia="Calibri" w:hAnsi="Times New Roman" w:cs="Times New Roman"/>
          <w:sz w:val="24"/>
          <w:szCs w:val="24"/>
        </w:rPr>
        <w:t>Mutasa, S., &amp; Dube, T. (2</w:t>
      </w:r>
      <w:r>
        <w:rPr>
          <w:rFonts w:ascii="Times New Roman" w:eastAsia="Calibri" w:hAnsi="Times New Roman" w:cs="Times New Roman"/>
          <w:sz w:val="24"/>
          <w:szCs w:val="24"/>
        </w:rPr>
        <w:t>020). "Understanding Emotional Distress in Detained Youths: Lessons from Zimbabwe." Zimbabwean Journal of Social Work, 7(3), 225-240.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[23] </w:t>
      </w:r>
      <w:r>
        <w:rPr>
          <w:rFonts w:ascii="Times New Roman" w:eastAsia="Calibri" w:hAnsi="Times New Roman" w:cs="Times New Roman"/>
          <w:sz w:val="24"/>
          <w:szCs w:val="24"/>
        </w:rPr>
        <w:t>Nkambule, E., Wella, K., &amp; Mbakaya, B.C. (2023). "Voice of incarcerated male youths in Malawi's semi-urban prisons: a</w:t>
      </w:r>
      <w:r>
        <w:rPr>
          <w:rFonts w:ascii="Times New Roman" w:eastAsia="Calibri" w:hAnsi="Times New Roman" w:cs="Times New Roman"/>
          <w:sz w:val="24"/>
          <w:szCs w:val="24"/>
        </w:rPr>
        <w:t xml:space="preserve"> qualitative study." BMJ Open. (Published October 12, 2023; Vol 13: e075925).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[24] </w:t>
      </w:r>
      <w:r>
        <w:rPr>
          <w:rFonts w:ascii="Times New Roman" w:eastAsia="Calibri" w:hAnsi="Times New Roman" w:cs="Times New Roman"/>
          <w:sz w:val="24"/>
          <w:szCs w:val="24"/>
        </w:rPr>
        <w:t>Nkosi, T. (2021). International Journal of Children's Rights. Publisher: Brill, pp. 115-130.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[25] </w:t>
      </w:r>
      <w:r>
        <w:rPr>
          <w:rFonts w:ascii="Times New Roman" w:eastAsia="Calibri" w:hAnsi="Times New Roman" w:cs="Times New Roman"/>
          <w:sz w:val="24"/>
          <w:szCs w:val="24"/>
        </w:rPr>
        <w:t xml:space="preserve">Oduor, A. (2020). Journal of Child Rights and Welfare. Publisher: African </w:t>
      </w:r>
      <w:r>
        <w:rPr>
          <w:rFonts w:ascii="Times New Roman" w:eastAsia="Calibri" w:hAnsi="Times New Roman" w:cs="Times New Roman"/>
          <w:sz w:val="24"/>
          <w:szCs w:val="24"/>
        </w:rPr>
        <w:t>Child Policy Forum, pp. 35-50.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[26] </w:t>
      </w:r>
      <w:r>
        <w:rPr>
          <w:rFonts w:ascii="Times New Roman" w:eastAsia="Calibri" w:hAnsi="Times New Roman" w:cs="Times New Roman"/>
          <w:sz w:val="24"/>
          <w:szCs w:val="24"/>
        </w:rPr>
        <w:t>Save the Children. (2021). Juvenile Justice in West Africa: A Study on the Treatment and Rights of Detained Children. p. 45.</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[27] </w:t>
      </w:r>
      <w:r>
        <w:rPr>
          <w:rFonts w:ascii="Times New Roman" w:eastAsia="Calibri" w:hAnsi="Times New Roman" w:cs="Times New Roman"/>
          <w:sz w:val="24"/>
          <w:szCs w:val="24"/>
        </w:rPr>
        <w:t>Save the Children. (2023). Children's Rights in Education: Ensuring Awareness and Particip</w:t>
      </w:r>
      <w:r>
        <w:rPr>
          <w:rFonts w:ascii="Times New Roman" w:eastAsia="Calibri" w:hAnsi="Times New Roman" w:cs="Times New Roman"/>
          <w:sz w:val="24"/>
          <w:szCs w:val="24"/>
        </w:rPr>
        <w:t xml:space="preserve">ation. London: Save the Children.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[28] </w:t>
      </w:r>
      <w:r>
        <w:rPr>
          <w:rFonts w:ascii="Times New Roman" w:eastAsia="Calibri" w:hAnsi="Times New Roman" w:cs="Times New Roman"/>
          <w:sz w:val="24"/>
          <w:szCs w:val="24"/>
        </w:rPr>
        <w:t>Sibisi, N.N., Masuku, M.M. &amp; Mphatheni, M.R. (2024). "Bars of Suffocation: A Critical Review of the Covid-19 Pandemic and its Effect on Correctional Facilities in South Africa." E-Journal of Humanities, Arts and Soci</w:t>
      </w:r>
      <w:r>
        <w:rPr>
          <w:rFonts w:ascii="Times New Roman" w:eastAsia="Calibri" w:hAnsi="Times New Roman" w:cs="Times New Roman"/>
          <w:sz w:val="24"/>
          <w:szCs w:val="24"/>
        </w:rPr>
        <w:t xml:space="preserve">al Sciences. (Published March 13, 2026; Pages: 1352–1365).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[29] </w:t>
      </w:r>
      <w:r>
        <w:rPr>
          <w:rFonts w:ascii="Times New Roman" w:eastAsia="Calibri" w:hAnsi="Times New Roman" w:cs="Times New Roman"/>
          <w:sz w:val="24"/>
          <w:szCs w:val="24"/>
        </w:rPr>
        <w:t>Torres, M. A., &amp; Rojas, F. J. (2021). "Youth Detention and Mental Health: Analyzing the Experiences of Colombian Children." Colombian Journal of Psychiatry, 50(3), 230-238.</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[30] </w:t>
      </w:r>
      <w:r>
        <w:rPr>
          <w:rFonts w:ascii="Times New Roman" w:eastAsia="Calibri" w:hAnsi="Times New Roman" w:cs="Times New Roman"/>
          <w:sz w:val="24"/>
          <w:szCs w:val="24"/>
        </w:rPr>
        <w:t>UK Ministry o</w:t>
      </w:r>
      <w:r>
        <w:rPr>
          <w:rFonts w:ascii="Times New Roman" w:eastAsia="Calibri" w:hAnsi="Times New Roman" w:cs="Times New Roman"/>
          <w:sz w:val="24"/>
          <w:szCs w:val="24"/>
        </w:rPr>
        <w:t>f Justice, The impact of overcrowding on assaults in closed adult public prisons, Published June 19, 2025, pp. 1-10.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[31] </w:t>
      </w:r>
      <w:r>
        <w:rPr>
          <w:rFonts w:ascii="Times New Roman" w:eastAsia="Calibri" w:hAnsi="Times New Roman" w:cs="Times New Roman"/>
          <w:sz w:val="24"/>
          <w:szCs w:val="24"/>
        </w:rPr>
        <w:t xml:space="preserve">UNICEF. (2020). The Rights of the Child in Zambia: An Overview. UNICEF Zambia. </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[32] </w:t>
      </w:r>
      <w:r>
        <w:rPr>
          <w:rFonts w:ascii="Times New Roman" w:eastAsia="Calibri" w:hAnsi="Times New Roman" w:cs="Times New Roman"/>
          <w:sz w:val="24"/>
          <w:szCs w:val="24"/>
        </w:rPr>
        <w:t>UNICEF. (2021). "Children’s Rights Awareness Amon</w:t>
      </w:r>
      <w:r>
        <w:rPr>
          <w:rFonts w:ascii="Times New Roman" w:eastAsia="Calibri" w:hAnsi="Times New Roman" w:cs="Times New Roman"/>
          <w:sz w:val="24"/>
          <w:szCs w:val="24"/>
        </w:rPr>
        <w:t>g Adolescents in Lusaka." UNICEF Zambia: Lusaka.</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[33] </w:t>
      </w:r>
      <w:r>
        <w:rPr>
          <w:rFonts w:ascii="Times New Roman" w:eastAsia="Calibri" w:hAnsi="Times New Roman" w:cs="Times New Roman"/>
          <w:sz w:val="24"/>
          <w:szCs w:val="24"/>
        </w:rPr>
        <w:t>UNICEF. (2021). The Rights of the Child in Detention: A Zambia Perspective. Publisher: UNICEF</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[34] </w:t>
      </w:r>
      <w:r>
        <w:rPr>
          <w:rFonts w:ascii="Times New Roman" w:eastAsia="Calibri" w:hAnsi="Times New Roman" w:cs="Times New Roman"/>
          <w:sz w:val="24"/>
          <w:szCs w:val="24"/>
        </w:rPr>
        <w:t>United Nations Children's Fund (UNICEF). (2021). “The State of the World’s Children 2021: Children in C</w:t>
      </w:r>
      <w:r>
        <w:rPr>
          <w:rFonts w:ascii="Times New Roman" w:eastAsia="Calibri" w:hAnsi="Times New Roman" w:cs="Times New Roman"/>
          <w:sz w:val="24"/>
          <w:szCs w:val="24"/>
        </w:rPr>
        <w:t>risis.” UNICEF, pp. 55-90.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[35] </w:t>
      </w:r>
      <w:r>
        <w:rPr>
          <w:rFonts w:ascii="Times New Roman" w:eastAsia="Calibri" w:hAnsi="Times New Roman" w:cs="Times New Roman"/>
          <w:sz w:val="24"/>
          <w:szCs w:val="24"/>
        </w:rPr>
        <w:t>United Nations Office on Drugs and Crime (UNODC). (2022). "Global Study on Children Deprived of Liberty." UNODC, pp. 85-97.</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[36] </w:t>
      </w:r>
      <w:r>
        <w:rPr>
          <w:rFonts w:ascii="Times New Roman" w:eastAsia="Calibri" w:hAnsi="Times New Roman" w:cs="Times New Roman"/>
          <w:sz w:val="24"/>
          <w:szCs w:val="24"/>
        </w:rPr>
        <w:t>United Nations. (2022). “The State of the World's Children 2022: Children in Conflict.” UNICEF,</w:t>
      </w:r>
      <w:r>
        <w:rPr>
          <w:rFonts w:ascii="Times New Roman" w:eastAsia="Calibri" w:hAnsi="Times New Roman" w:cs="Times New Roman"/>
          <w:sz w:val="24"/>
          <w:szCs w:val="24"/>
        </w:rPr>
        <w:t xml:space="preserve"> pp. 52-78.</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[37] </w:t>
      </w:r>
      <w:r>
        <w:rPr>
          <w:rFonts w:ascii="Times New Roman" w:eastAsia="Calibri" w:hAnsi="Times New Roman" w:cs="Times New Roman"/>
          <w:sz w:val="24"/>
          <w:szCs w:val="24"/>
        </w:rPr>
        <w:t>World Health Organization. (2020). “Health of Adolescents: A Global Perspective on Youth in Detention.” WHO, pp. 10-30.</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[38] </w:t>
      </w:r>
      <w:r>
        <w:rPr>
          <w:rFonts w:ascii="Times New Roman" w:eastAsia="Calibri" w:hAnsi="Times New Roman" w:cs="Times New Roman"/>
          <w:sz w:val="24"/>
          <w:szCs w:val="24"/>
        </w:rPr>
        <w:t>World Health Organization. (2021). "Mental Health in Children and Adolescents Detained: A Review of Needs and Serv</w:t>
      </w:r>
      <w:r>
        <w:rPr>
          <w:rFonts w:ascii="Times New Roman" w:eastAsia="Calibri" w:hAnsi="Times New Roman" w:cs="Times New Roman"/>
          <w:sz w:val="24"/>
          <w:szCs w:val="24"/>
        </w:rPr>
        <w:t>ices." WHO, pp. 18-29.</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[39] </w:t>
      </w:r>
      <w:r>
        <w:rPr>
          <w:rFonts w:ascii="Times New Roman" w:eastAsia="Calibri" w:hAnsi="Times New Roman" w:cs="Times New Roman"/>
          <w:sz w:val="24"/>
          <w:szCs w:val="24"/>
        </w:rPr>
        <w:t>Zambia Correctional Service (2023). Prison Audit Report presentation.</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[40] </w:t>
      </w:r>
      <w:r>
        <w:rPr>
          <w:rFonts w:ascii="Times New Roman" w:eastAsia="Calibri" w:hAnsi="Times New Roman" w:cs="Times New Roman"/>
          <w:sz w:val="24"/>
          <w:szCs w:val="24"/>
        </w:rPr>
        <w:t>Zambia Human Rights Commission. (2022). Annual Report on the Human Rights Situation in Zambia. Publisher: ZHRC</w:t>
      </w:r>
    </w:p>
    <w:p w:rsidR="008A7CC7" w:rsidRDefault="009537F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[41] </w:t>
      </w:r>
      <w:r>
        <w:rPr>
          <w:rFonts w:ascii="Times New Roman" w:eastAsia="Calibri" w:hAnsi="Times New Roman" w:cs="Times New Roman"/>
          <w:sz w:val="24"/>
          <w:szCs w:val="24"/>
        </w:rPr>
        <w:t>Zambia National Youth Policy. (2021).</w:t>
      </w:r>
      <w:r>
        <w:rPr>
          <w:rFonts w:ascii="Times New Roman" w:eastAsia="Calibri" w:hAnsi="Times New Roman" w:cs="Times New Roman"/>
          <w:sz w:val="24"/>
          <w:szCs w:val="24"/>
        </w:rPr>
        <w:t xml:space="preserve"> "National Youth Development Policy: Addressing Youth Crime and Incarceration." Zambia Government, pp. 22-36.</w:t>
      </w:r>
    </w:p>
    <w:sectPr w:rsidR="008A7CC7">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F9" w:rsidRDefault="009537F9">
      <w:pPr>
        <w:spacing w:line="240" w:lineRule="auto"/>
      </w:pPr>
      <w:r>
        <w:separator/>
      </w:r>
    </w:p>
  </w:endnote>
  <w:endnote w:type="continuationSeparator" w:id="0">
    <w:p w:rsidR="009537F9" w:rsidRDefault="00953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1552"/>
    </w:sdtPr>
    <w:sdtEndPr/>
    <w:sdtContent>
      <w:p w:rsidR="008A7CC7" w:rsidRDefault="009537F9">
        <w:pPr>
          <w:pStyle w:val="Footer"/>
          <w:jc w:val="center"/>
        </w:pPr>
        <w:r>
          <w:fldChar w:fldCharType="begin"/>
        </w:r>
        <w:r>
          <w:instrText xml:space="preserve"> PAGE   \* MERGEFORMAT </w:instrText>
        </w:r>
        <w:r>
          <w:fldChar w:fldCharType="separate"/>
        </w:r>
        <w:r w:rsidR="006D0C8C">
          <w:rPr>
            <w:noProof/>
          </w:rPr>
          <w:t>1</w:t>
        </w:r>
        <w:r>
          <w:fldChar w:fldCharType="end"/>
        </w:r>
      </w:p>
    </w:sdtContent>
  </w:sdt>
  <w:p w:rsidR="008A7CC7" w:rsidRDefault="008A7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F9" w:rsidRDefault="009537F9">
      <w:pPr>
        <w:spacing w:after="0"/>
      </w:pPr>
      <w:r>
        <w:separator/>
      </w:r>
    </w:p>
  </w:footnote>
  <w:footnote w:type="continuationSeparator" w:id="0">
    <w:p w:rsidR="009537F9" w:rsidRDefault="009537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22050"/>
    <w:multiLevelType w:val="multilevel"/>
    <w:tmpl w:val="688220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6B526E"/>
    <w:multiLevelType w:val="multilevel"/>
    <w:tmpl w:val="796B5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C8"/>
    <w:rsid w:val="00015138"/>
    <w:rsid w:val="00032AB1"/>
    <w:rsid w:val="00036D5F"/>
    <w:rsid w:val="00080D53"/>
    <w:rsid w:val="000A40C9"/>
    <w:rsid w:val="000A7E1B"/>
    <w:rsid w:val="00105B51"/>
    <w:rsid w:val="0012198B"/>
    <w:rsid w:val="0012241F"/>
    <w:rsid w:val="00130388"/>
    <w:rsid w:val="00151F71"/>
    <w:rsid w:val="00154C4F"/>
    <w:rsid w:val="00167EB7"/>
    <w:rsid w:val="00177C72"/>
    <w:rsid w:val="001C55DD"/>
    <w:rsid w:val="001C5E5F"/>
    <w:rsid w:val="001C72FC"/>
    <w:rsid w:val="0023331D"/>
    <w:rsid w:val="00251EB6"/>
    <w:rsid w:val="002670AD"/>
    <w:rsid w:val="002704EE"/>
    <w:rsid w:val="00277E83"/>
    <w:rsid w:val="00286BA7"/>
    <w:rsid w:val="00295CD5"/>
    <w:rsid w:val="002C25ED"/>
    <w:rsid w:val="002E5680"/>
    <w:rsid w:val="002F0FCF"/>
    <w:rsid w:val="003108FF"/>
    <w:rsid w:val="00336663"/>
    <w:rsid w:val="00340B69"/>
    <w:rsid w:val="003473C9"/>
    <w:rsid w:val="00386064"/>
    <w:rsid w:val="00397E59"/>
    <w:rsid w:val="003E1AB4"/>
    <w:rsid w:val="003E6B7C"/>
    <w:rsid w:val="004046C2"/>
    <w:rsid w:val="004143E4"/>
    <w:rsid w:val="004203E6"/>
    <w:rsid w:val="00431DDF"/>
    <w:rsid w:val="00434573"/>
    <w:rsid w:val="004434B8"/>
    <w:rsid w:val="00452745"/>
    <w:rsid w:val="00482A7B"/>
    <w:rsid w:val="004A7654"/>
    <w:rsid w:val="005070FC"/>
    <w:rsid w:val="00530552"/>
    <w:rsid w:val="00532A68"/>
    <w:rsid w:val="00563B08"/>
    <w:rsid w:val="00573E72"/>
    <w:rsid w:val="00586D1C"/>
    <w:rsid w:val="005E1C1F"/>
    <w:rsid w:val="006140C8"/>
    <w:rsid w:val="00620906"/>
    <w:rsid w:val="00660606"/>
    <w:rsid w:val="0066169B"/>
    <w:rsid w:val="006A0097"/>
    <w:rsid w:val="006A1DC0"/>
    <w:rsid w:val="006D0C8C"/>
    <w:rsid w:val="006E5E3E"/>
    <w:rsid w:val="0070105C"/>
    <w:rsid w:val="0072170B"/>
    <w:rsid w:val="00726931"/>
    <w:rsid w:val="00767505"/>
    <w:rsid w:val="00773B80"/>
    <w:rsid w:val="00773CB3"/>
    <w:rsid w:val="0077729A"/>
    <w:rsid w:val="00782103"/>
    <w:rsid w:val="00794C0B"/>
    <w:rsid w:val="007A16A2"/>
    <w:rsid w:val="007A5469"/>
    <w:rsid w:val="007B328E"/>
    <w:rsid w:val="007B475E"/>
    <w:rsid w:val="007C0B61"/>
    <w:rsid w:val="008071D1"/>
    <w:rsid w:val="00811020"/>
    <w:rsid w:val="0082352E"/>
    <w:rsid w:val="00845E40"/>
    <w:rsid w:val="00891FBE"/>
    <w:rsid w:val="008A35D6"/>
    <w:rsid w:val="008A7CC7"/>
    <w:rsid w:val="008B71D0"/>
    <w:rsid w:val="00903175"/>
    <w:rsid w:val="0090689E"/>
    <w:rsid w:val="009140CC"/>
    <w:rsid w:val="00924E0B"/>
    <w:rsid w:val="00931D64"/>
    <w:rsid w:val="009537F9"/>
    <w:rsid w:val="0096425F"/>
    <w:rsid w:val="0096615A"/>
    <w:rsid w:val="00991E08"/>
    <w:rsid w:val="009A41B1"/>
    <w:rsid w:val="009B4BDA"/>
    <w:rsid w:val="009B61A4"/>
    <w:rsid w:val="009C2D9C"/>
    <w:rsid w:val="009E6216"/>
    <w:rsid w:val="009F6ACF"/>
    <w:rsid w:val="00A27FE7"/>
    <w:rsid w:val="00A732CE"/>
    <w:rsid w:val="00A8244A"/>
    <w:rsid w:val="00A92984"/>
    <w:rsid w:val="00AB5504"/>
    <w:rsid w:val="00AC16E4"/>
    <w:rsid w:val="00AC6103"/>
    <w:rsid w:val="00AF432B"/>
    <w:rsid w:val="00AF7CC3"/>
    <w:rsid w:val="00B006CD"/>
    <w:rsid w:val="00B03B08"/>
    <w:rsid w:val="00B07A3D"/>
    <w:rsid w:val="00B473B8"/>
    <w:rsid w:val="00B6262F"/>
    <w:rsid w:val="00B83D27"/>
    <w:rsid w:val="00B963AF"/>
    <w:rsid w:val="00B96543"/>
    <w:rsid w:val="00BE3C14"/>
    <w:rsid w:val="00C0718C"/>
    <w:rsid w:val="00C142A6"/>
    <w:rsid w:val="00C260B3"/>
    <w:rsid w:val="00C53174"/>
    <w:rsid w:val="00C71801"/>
    <w:rsid w:val="00C77E8A"/>
    <w:rsid w:val="00C910DF"/>
    <w:rsid w:val="00CE4830"/>
    <w:rsid w:val="00CF1491"/>
    <w:rsid w:val="00CF686B"/>
    <w:rsid w:val="00D15954"/>
    <w:rsid w:val="00D161CE"/>
    <w:rsid w:val="00D21F28"/>
    <w:rsid w:val="00DA50CC"/>
    <w:rsid w:val="00DC6D36"/>
    <w:rsid w:val="00DD652E"/>
    <w:rsid w:val="00DF6039"/>
    <w:rsid w:val="00E52D19"/>
    <w:rsid w:val="00EA0495"/>
    <w:rsid w:val="00EE7672"/>
    <w:rsid w:val="00EF1166"/>
    <w:rsid w:val="00EF2418"/>
    <w:rsid w:val="00F421FB"/>
    <w:rsid w:val="00FC4041"/>
    <w:rsid w:val="57940691"/>
    <w:rsid w:val="6AC4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A" w:eastAsia="en-US"/>
    </w:rPr>
  </w:style>
  <w:style w:type="character" w:customStyle="1" w:styleId="SubtleEmphasis1">
    <w:name w:val="Subtle Emphasis1"/>
    <w:basedOn w:val="DefaultParagraphFont"/>
    <w:uiPriority w:val="19"/>
    <w:qFormat/>
    <w:rPr>
      <w:i/>
      <w:iCs/>
      <w:color w:val="404040"/>
    </w:rPr>
  </w:style>
  <w:style w:type="paragraph" w:customStyle="1" w:styleId="TOC21">
    <w:name w:val="TOC 21"/>
    <w:basedOn w:val="Normal"/>
    <w:next w:val="Normal"/>
    <w:autoRedefine/>
    <w:uiPriority w:val="39"/>
    <w:unhideWhenUsed/>
    <w:qFormat/>
    <w:pPr>
      <w:spacing w:after="100"/>
      <w:ind w:left="220"/>
    </w:pPr>
    <w:rPr>
      <w:rFonts w:eastAsia="SimSun"/>
    </w:rPr>
  </w:style>
  <w:style w:type="paragraph" w:customStyle="1" w:styleId="TOC31">
    <w:name w:val="TOC 31"/>
    <w:basedOn w:val="Normal"/>
    <w:next w:val="Normal"/>
    <w:autoRedefine/>
    <w:uiPriority w:val="39"/>
    <w:unhideWhenUsed/>
    <w:pPr>
      <w:spacing w:after="100"/>
      <w:ind w:left="440"/>
    </w:pPr>
    <w:rPr>
      <w:rFonts w:eastAsia="SimSun"/>
    </w:rPr>
  </w:style>
  <w:style w:type="paragraph" w:customStyle="1" w:styleId="TOC41">
    <w:name w:val="TOC 41"/>
    <w:basedOn w:val="Normal"/>
    <w:next w:val="Normal"/>
    <w:autoRedefine/>
    <w:uiPriority w:val="39"/>
    <w:unhideWhenUsed/>
    <w:pPr>
      <w:spacing w:after="100"/>
      <w:ind w:left="660"/>
    </w:pPr>
    <w:rPr>
      <w:rFonts w:eastAsia="SimSun"/>
    </w:rPr>
  </w:style>
  <w:style w:type="paragraph" w:customStyle="1" w:styleId="TOC51">
    <w:name w:val="TOC 51"/>
    <w:basedOn w:val="Normal"/>
    <w:next w:val="Normal"/>
    <w:autoRedefine/>
    <w:uiPriority w:val="39"/>
    <w:unhideWhenUsed/>
    <w:pPr>
      <w:spacing w:after="100"/>
      <w:ind w:left="880"/>
    </w:pPr>
    <w:rPr>
      <w:rFonts w:eastAsia="SimSun"/>
    </w:rPr>
  </w:style>
  <w:style w:type="paragraph" w:customStyle="1" w:styleId="TOC61">
    <w:name w:val="TOC 61"/>
    <w:basedOn w:val="Normal"/>
    <w:next w:val="Normal"/>
    <w:autoRedefine/>
    <w:uiPriority w:val="39"/>
    <w:unhideWhenUsed/>
    <w:pPr>
      <w:spacing w:after="100"/>
      <w:ind w:left="1100"/>
    </w:pPr>
    <w:rPr>
      <w:rFonts w:eastAsia="SimSun"/>
    </w:rPr>
  </w:style>
  <w:style w:type="paragraph" w:customStyle="1" w:styleId="TOC71">
    <w:name w:val="TOC 71"/>
    <w:basedOn w:val="Normal"/>
    <w:next w:val="Normal"/>
    <w:autoRedefine/>
    <w:uiPriority w:val="39"/>
    <w:unhideWhenUsed/>
    <w:pPr>
      <w:spacing w:after="100"/>
      <w:ind w:left="1320"/>
    </w:pPr>
    <w:rPr>
      <w:rFonts w:eastAsia="SimSun"/>
    </w:rPr>
  </w:style>
  <w:style w:type="paragraph" w:customStyle="1" w:styleId="TOC81">
    <w:name w:val="TOC 81"/>
    <w:basedOn w:val="Normal"/>
    <w:next w:val="Normal"/>
    <w:autoRedefine/>
    <w:uiPriority w:val="39"/>
    <w:unhideWhenUsed/>
    <w:qFormat/>
    <w:pPr>
      <w:spacing w:after="100"/>
      <w:ind w:left="1540"/>
    </w:pPr>
    <w:rPr>
      <w:rFonts w:eastAsia="SimSun"/>
    </w:rPr>
  </w:style>
  <w:style w:type="paragraph" w:customStyle="1" w:styleId="TOC91">
    <w:name w:val="TOC 91"/>
    <w:basedOn w:val="Normal"/>
    <w:next w:val="Normal"/>
    <w:autoRedefine/>
    <w:uiPriority w:val="39"/>
    <w:unhideWhenUsed/>
    <w:pPr>
      <w:spacing w:after="100"/>
      <w:ind w:left="1760"/>
    </w:pPr>
    <w:rPr>
      <w:rFonts w:eastAsia="SimSun"/>
    </w:rPr>
  </w:style>
  <w:style w:type="paragraph" w:styleId="BalloonText">
    <w:name w:val="Balloon Text"/>
    <w:basedOn w:val="Normal"/>
    <w:link w:val="BalloonTextChar"/>
    <w:uiPriority w:val="99"/>
    <w:semiHidden/>
    <w:unhideWhenUsed/>
    <w:rsid w:val="006D0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8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A" w:eastAsia="en-US"/>
    </w:rPr>
  </w:style>
  <w:style w:type="character" w:customStyle="1" w:styleId="SubtleEmphasis1">
    <w:name w:val="Subtle Emphasis1"/>
    <w:basedOn w:val="DefaultParagraphFont"/>
    <w:uiPriority w:val="19"/>
    <w:qFormat/>
    <w:rPr>
      <w:i/>
      <w:iCs/>
      <w:color w:val="404040"/>
    </w:rPr>
  </w:style>
  <w:style w:type="paragraph" w:customStyle="1" w:styleId="TOC21">
    <w:name w:val="TOC 21"/>
    <w:basedOn w:val="Normal"/>
    <w:next w:val="Normal"/>
    <w:autoRedefine/>
    <w:uiPriority w:val="39"/>
    <w:unhideWhenUsed/>
    <w:qFormat/>
    <w:pPr>
      <w:spacing w:after="100"/>
      <w:ind w:left="220"/>
    </w:pPr>
    <w:rPr>
      <w:rFonts w:eastAsia="SimSun"/>
    </w:rPr>
  </w:style>
  <w:style w:type="paragraph" w:customStyle="1" w:styleId="TOC31">
    <w:name w:val="TOC 31"/>
    <w:basedOn w:val="Normal"/>
    <w:next w:val="Normal"/>
    <w:autoRedefine/>
    <w:uiPriority w:val="39"/>
    <w:unhideWhenUsed/>
    <w:pPr>
      <w:spacing w:after="100"/>
      <w:ind w:left="440"/>
    </w:pPr>
    <w:rPr>
      <w:rFonts w:eastAsia="SimSun"/>
    </w:rPr>
  </w:style>
  <w:style w:type="paragraph" w:customStyle="1" w:styleId="TOC41">
    <w:name w:val="TOC 41"/>
    <w:basedOn w:val="Normal"/>
    <w:next w:val="Normal"/>
    <w:autoRedefine/>
    <w:uiPriority w:val="39"/>
    <w:unhideWhenUsed/>
    <w:pPr>
      <w:spacing w:after="100"/>
      <w:ind w:left="660"/>
    </w:pPr>
    <w:rPr>
      <w:rFonts w:eastAsia="SimSun"/>
    </w:rPr>
  </w:style>
  <w:style w:type="paragraph" w:customStyle="1" w:styleId="TOC51">
    <w:name w:val="TOC 51"/>
    <w:basedOn w:val="Normal"/>
    <w:next w:val="Normal"/>
    <w:autoRedefine/>
    <w:uiPriority w:val="39"/>
    <w:unhideWhenUsed/>
    <w:pPr>
      <w:spacing w:after="100"/>
      <w:ind w:left="880"/>
    </w:pPr>
    <w:rPr>
      <w:rFonts w:eastAsia="SimSun"/>
    </w:rPr>
  </w:style>
  <w:style w:type="paragraph" w:customStyle="1" w:styleId="TOC61">
    <w:name w:val="TOC 61"/>
    <w:basedOn w:val="Normal"/>
    <w:next w:val="Normal"/>
    <w:autoRedefine/>
    <w:uiPriority w:val="39"/>
    <w:unhideWhenUsed/>
    <w:pPr>
      <w:spacing w:after="100"/>
      <w:ind w:left="1100"/>
    </w:pPr>
    <w:rPr>
      <w:rFonts w:eastAsia="SimSun"/>
    </w:rPr>
  </w:style>
  <w:style w:type="paragraph" w:customStyle="1" w:styleId="TOC71">
    <w:name w:val="TOC 71"/>
    <w:basedOn w:val="Normal"/>
    <w:next w:val="Normal"/>
    <w:autoRedefine/>
    <w:uiPriority w:val="39"/>
    <w:unhideWhenUsed/>
    <w:pPr>
      <w:spacing w:after="100"/>
      <w:ind w:left="1320"/>
    </w:pPr>
    <w:rPr>
      <w:rFonts w:eastAsia="SimSun"/>
    </w:rPr>
  </w:style>
  <w:style w:type="paragraph" w:customStyle="1" w:styleId="TOC81">
    <w:name w:val="TOC 81"/>
    <w:basedOn w:val="Normal"/>
    <w:next w:val="Normal"/>
    <w:autoRedefine/>
    <w:uiPriority w:val="39"/>
    <w:unhideWhenUsed/>
    <w:qFormat/>
    <w:pPr>
      <w:spacing w:after="100"/>
      <w:ind w:left="1540"/>
    </w:pPr>
    <w:rPr>
      <w:rFonts w:eastAsia="SimSun"/>
    </w:rPr>
  </w:style>
  <w:style w:type="paragraph" w:customStyle="1" w:styleId="TOC91">
    <w:name w:val="TOC 91"/>
    <w:basedOn w:val="Normal"/>
    <w:next w:val="Normal"/>
    <w:autoRedefine/>
    <w:uiPriority w:val="39"/>
    <w:unhideWhenUsed/>
    <w:pPr>
      <w:spacing w:after="100"/>
      <w:ind w:left="1760"/>
    </w:pPr>
    <w:rPr>
      <w:rFonts w:eastAsia="SimSun"/>
    </w:rPr>
  </w:style>
  <w:style w:type="paragraph" w:styleId="BalloonText">
    <w:name w:val="Balloon Text"/>
    <w:basedOn w:val="Normal"/>
    <w:link w:val="BalloonTextChar"/>
    <w:uiPriority w:val="99"/>
    <w:semiHidden/>
    <w:unhideWhenUsed/>
    <w:rsid w:val="006D0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8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18</Pages>
  <Words>5280</Words>
  <Characters>30099</Characters>
  <Application>Microsoft Office Word</Application>
  <DocSecurity>0</DocSecurity>
  <Lines>250</Lines>
  <Paragraphs>70</Paragraphs>
  <ScaleCrop>false</ScaleCrop>
  <Company/>
  <LinksUpToDate>false</LinksUpToDate>
  <CharactersWithSpaces>35309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GREAT MG</dc:creator>
  <cp:lastModifiedBy>qwert</cp:lastModifiedBy>
  <cp:revision>133</cp:revision>
  <dcterms:created xsi:type="dcterms:W3CDTF">2026-03-30T08:05:00Z</dcterms:created>
  <dcterms:modified xsi:type="dcterms:W3CDTF">2026-04-17T09:34:00Z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169C4F981FC14D18A5902C7433AED5E8_13</vt:lpwstr>
  </property>
  <property fmtid="{D5CDD505-2E9C-101B-9397-08002B2CF9AE}" pid="4" name="GrammarlyDocumentId">
    <vt:lpwstr>a634935c-96e8-468b-8ebb-98e9f1552b21</vt:lpwstr>
  </property>
</Properties>
</file>