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0C8" w14:textId="77777777" w:rsidR="001E069B" w:rsidRDefault="001E069B" w:rsidP="00E04A86">
      <w:pPr>
        <w:jc w:val="center"/>
        <w:rPr>
          <w:rStyle w:val="Strong"/>
          <w:rFonts w:ascii="Times New Roman" w:hAnsi="Times New Roman" w:cs="Times New Roman"/>
          <w:sz w:val="36"/>
          <w:szCs w:val="36"/>
        </w:rPr>
      </w:pPr>
    </w:p>
    <w:p w14:paraId="5D104F43" w14:textId="2E9EB7FD" w:rsidR="00E04A86" w:rsidRPr="00E04A86" w:rsidRDefault="00E04A86" w:rsidP="00E04A86">
      <w:pPr>
        <w:jc w:val="center"/>
        <w:rPr>
          <w:rStyle w:val="Strong"/>
          <w:rFonts w:ascii="Times New Roman" w:hAnsi="Times New Roman" w:cs="Times New Roman"/>
          <w:sz w:val="36"/>
          <w:szCs w:val="36"/>
        </w:rPr>
      </w:pPr>
      <w:r w:rsidRPr="00E04A86">
        <w:rPr>
          <w:rStyle w:val="Strong"/>
          <w:rFonts w:ascii="Times New Roman" w:hAnsi="Times New Roman" w:cs="Times New Roman"/>
          <w:sz w:val="36"/>
          <w:szCs w:val="36"/>
        </w:rPr>
        <w:t>Regulatory Frameworks in Modern Clinical Trials: Challenges, Gaps, and Future Directions</w:t>
      </w:r>
    </w:p>
    <w:p w14:paraId="55BDAEDB" w14:textId="77777777" w:rsidR="00E04A86" w:rsidRPr="00E04A86" w:rsidRDefault="00E04A86" w:rsidP="00E04A86">
      <w:pPr>
        <w:rPr>
          <w:rFonts w:ascii="Times New Roman" w:hAnsi="Times New Roman" w:cs="Times New Roman"/>
          <w:sz w:val="28"/>
          <w:szCs w:val="28"/>
        </w:rPr>
      </w:pPr>
      <w:bookmarkStart w:id="0" w:name="_GoBack"/>
      <w:bookmarkEnd w:id="0"/>
      <w:r w:rsidRPr="00E04A86">
        <w:rPr>
          <w:rStyle w:val="Strong"/>
          <w:rFonts w:ascii="Times New Roman" w:hAnsi="Times New Roman" w:cs="Times New Roman"/>
          <w:sz w:val="28"/>
          <w:szCs w:val="28"/>
        </w:rPr>
        <w:t>Abstract</w:t>
      </w:r>
    </w:p>
    <w:p w14:paraId="68E9E883"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Clinical trials have undergone substantial transformation over the past decade, driven by innovations such as decentralized trial models, adaptive designs, and the incorporation of real-world data. While these developments have enhanced efficiency and patient accessibility, they have simultaneously introduced complex regulatory challenges. Existing regulatory frameworks often struggle to adequately address these evolving methodologies, particularly in ensuring data integrity, patient safety, and consistent oversight.</w:t>
      </w:r>
    </w:p>
    <w:p w14:paraId="761A1F92" w14:textId="2A4F8EE6" w:rsid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This review critically examines the current regulatory landscape governing modern clinical trials, highlighting key challenges and gaps in existing systems. Real-world examples are discussed to illustrate regulatory limitations and practical implications. The paper further explores future directions aimed at strengthening regulatory oversight while maintaining flexibility for innovation. A balanced approach is essential to ensure that advancements in clinical research do not compromise ethical standards or patient safety.</w:t>
      </w:r>
    </w:p>
    <w:p w14:paraId="4929E49F" w14:textId="77777777" w:rsidR="001E069B" w:rsidRPr="00E04A86" w:rsidRDefault="001E069B" w:rsidP="00E04A86">
      <w:pPr>
        <w:rPr>
          <w:rFonts w:ascii="Times New Roman" w:hAnsi="Times New Roman" w:cs="Times New Roman"/>
          <w:sz w:val="24"/>
          <w:szCs w:val="24"/>
        </w:rPr>
      </w:pPr>
    </w:p>
    <w:p w14:paraId="633A15DA"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Keywords</w:t>
      </w:r>
    </w:p>
    <w:p w14:paraId="36B23C6B" w14:textId="67348425"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Clinical trials; Regulatory frameworks; Decentralized clinical trials; Adaptive design; Real-world data; Patient safety; Data integrity; Global harmonization</w:t>
      </w:r>
    </w:p>
    <w:p w14:paraId="6EC4A3C5"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1. Introduction</w:t>
      </w:r>
    </w:p>
    <w:p w14:paraId="029B9D2A"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Clinical trials form the backbone of clinical evidence generation and are essential for the approval of new medical interventions. Traditionally, these trials have been conducted using centralized, site-based models with rigid protocols and extensive on-site monitoring. While this approach ensured strong control over data quality and patient safety, it also resulted in long timelines, high costs, and limited patient diversity.</w:t>
      </w:r>
    </w:p>
    <w:p w14:paraId="26E9049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In recent years, clinical research has shifted toward more flexible models, including decentralized clinical trials (DCTs), adaptive designs, and hybrid approaches. These changes have improved accessibility and operational efficiency. However, they have also created uncertainty in regulatory oversight, as existing frameworks were primarily developed for conventional trial structures.</w:t>
      </w:r>
    </w:p>
    <w:p w14:paraId="4EFF178D" w14:textId="5984BA80" w:rsidR="00E04A86"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As a result, regulators are now required to strike a balance between supporting innovation and maintaining strict ethical and scientific standards.</w:t>
      </w:r>
    </w:p>
    <w:p w14:paraId="2B375769"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2. Evolution of Clinical Trial Designs</w:t>
      </w:r>
    </w:p>
    <w:p w14:paraId="05213329"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lastRenderedPageBreak/>
        <w:t>2.1 Adaptive Clinical Trials</w:t>
      </w:r>
    </w:p>
    <w:p w14:paraId="65B46177"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Adaptive clinical trial designs allow pre-specified modifications based on interim analyses, improving efficiency and reducing resource utilization (1). However, they also introduce statistical and regulatory challenges, particularly in maintaining trial integrity.</w:t>
      </w:r>
    </w:p>
    <w:p w14:paraId="540C0D90"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2.2 Decentralized Clinical Trials (DCTs)</w:t>
      </w:r>
    </w:p>
    <w:p w14:paraId="6D712666"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Decentralized clinical trials enable remote participation using digital tools, telemedicine, and wearable devices. These models gained prominence during the COVID-19 pandemic and improved patient accessibility, but they complicate regulatory oversight due to reduced physical monitoring (2).</w:t>
      </w:r>
    </w:p>
    <w:p w14:paraId="28DB1623"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2.3 Hybrid Trial Models</w:t>
      </w:r>
    </w:p>
    <w:p w14:paraId="77ECF296"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Hybrid models combine traditional and decentralized elements. While they offer flexibility, the lack of clear regulatory classification often results in inconsistent implementation.</w:t>
      </w:r>
    </w:p>
    <w:p w14:paraId="58235555" w14:textId="77777777" w:rsidR="00E04A86" w:rsidRPr="00CC65D5" w:rsidRDefault="00E04A86" w:rsidP="00E04A86">
      <w:pPr>
        <w:rPr>
          <w:rFonts w:ascii="Times New Roman" w:hAnsi="Times New Roman" w:cs="Times New Roman"/>
          <w:sz w:val="24"/>
          <w:szCs w:val="24"/>
          <w:u w:val="single"/>
        </w:rPr>
      </w:pPr>
      <w:r w:rsidRPr="00CC65D5">
        <w:rPr>
          <w:rStyle w:val="Strong"/>
          <w:rFonts w:ascii="Times New Roman" w:hAnsi="Times New Roman" w:cs="Times New Roman"/>
          <w:sz w:val="24"/>
          <w:szCs w:val="24"/>
          <w:u w:val="single"/>
        </w:rPr>
        <w:t>2.4 Real-World Data (RWD)</w:t>
      </w:r>
    </w:p>
    <w:p w14:paraId="38073B3B" w14:textId="7F929C1A" w:rsidR="0050578A"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The use of real-world data, such as electronic health records and registries, enhances external validity. However, concerns regarding data quality, completeness, and standardization remain significant (3).</w:t>
      </w:r>
    </w:p>
    <w:p w14:paraId="3CC036EA" w14:textId="08780634" w:rsidR="00E04A86" w:rsidRPr="0050578A" w:rsidRDefault="0050578A"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Table 1: Comparison of Traditional vs Modern Clinical Trials</w:t>
      </w:r>
    </w:p>
    <w:tbl>
      <w:tblPr>
        <w:tblStyle w:val="TableGrid"/>
        <w:tblW w:w="9805" w:type="dxa"/>
        <w:tblLook w:val="04A0" w:firstRow="1" w:lastRow="0" w:firstColumn="1" w:lastColumn="0" w:noHBand="0" w:noVBand="1"/>
      </w:tblPr>
      <w:tblGrid>
        <w:gridCol w:w="2413"/>
        <w:gridCol w:w="3342"/>
        <w:gridCol w:w="4050"/>
      </w:tblGrid>
      <w:tr w:rsidR="00CC65D5" w14:paraId="7C2961C1" w14:textId="77777777" w:rsidTr="00CC65D5">
        <w:trPr>
          <w:trHeight w:val="780"/>
        </w:trPr>
        <w:tc>
          <w:tcPr>
            <w:tcW w:w="2413" w:type="dxa"/>
            <w:shd w:val="clear" w:color="auto" w:fill="F7CAAC" w:themeFill="accent2" w:themeFillTint="66"/>
            <w:vAlign w:val="center"/>
          </w:tcPr>
          <w:p w14:paraId="41658F2C" w14:textId="26ACF48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Feature</w:t>
            </w:r>
          </w:p>
        </w:tc>
        <w:tc>
          <w:tcPr>
            <w:tcW w:w="3342" w:type="dxa"/>
            <w:shd w:val="clear" w:color="auto" w:fill="F7CAAC" w:themeFill="accent2" w:themeFillTint="66"/>
            <w:vAlign w:val="center"/>
          </w:tcPr>
          <w:p w14:paraId="70326785" w14:textId="542EC93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Traditional Clinical Trials</w:t>
            </w:r>
          </w:p>
        </w:tc>
        <w:tc>
          <w:tcPr>
            <w:tcW w:w="4050" w:type="dxa"/>
            <w:shd w:val="clear" w:color="auto" w:fill="F7CAAC" w:themeFill="accent2" w:themeFillTint="66"/>
            <w:vAlign w:val="center"/>
          </w:tcPr>
          <w:p w14:paraId="58BA3FAB" w14:textId="21EB51AD"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b/>
                <w:bCs/>
                <w:sz w:val="28"/>
                <w:szCs w:val="28"/>
              </w:rPr>
              <w:t>Modern Clinical Trials (DCT/Adaptive/RWD)</w:t>
            </w:r>
          </w:p>
        </w:tc>
      </w:tr>
      <w:tr w:rsidR="00CC65D5" w14:paraId="5102D8EE" w14:textId="77777777" w:rsidTr="00CC65D5">
        <w:trPr>
          <w:trHeight w:val="381"/>
        </w:trPr>
        <w:tc>
          <w:tcPr>
            <w:tcW w:w="2413" w:type="dxa"/>
            <w:shd w:val="clear" w:color="auto" w:fill="FFC000" w:themeFill="accent4"/>
            <w:vAlign w:val="center"/>
          </w:tcPr>
          <w:p w14:paraId="5A9812C3" w14:textId="5BA920E1"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Study Design</w:t>
            </w:r>
          </w:p>
        </w:tc>
        <w:tc>
          <w:tcPr>
            <w:tcW w:w="3342" w:type="dxa"/>
            <w:shd w:val="clear" w:color="auto" w:fill="FFC000" w:themeFill="accent4"/>
            <w:vAlign w:val="center"/>
          </w:tcPr>
          <w:p w14:paraId="1714A12D" w14:textId="025F3913"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Fixed protocol</w:t>
            </w:r>
          </w:p>
        </w:tc>
        <w:tc>
          <w:tcPr>
            <w:tcW w:w="4050" w:type="dxa"/>
            <w:shd w:val="clear" w:color="auto" w:fill="FFC000" w:themeFill="accent4"/>
            <w:vAlign w:val="center"/>
          </w:tcPr>
          <w:p w14:paraId="0D780920" w14:textId="1A1D3F82"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Adaptive / flexible design</w:t>
            </w:r>
          </w:p>
        </w:tc>
      </w:tr>
      <w:tr w:rsidR="00CC65D5" w14:paraId="13699E61" w14:textId="77777777" w:rsidTr="00CC65D5">
        <w:trPr>
          <w:trHeight w:val="762"/>
        </w:trPr>
        <w:tc>
          <w:tcPr>
            <w:tcW w:w="2413" w:type="dxa"/>
            <w:shd w:val="clear" w:color="auto" w:fill="5B9BD5" w:themeFill="accent5"/>
            <w:vAlign w:val="center"/>
          </w:tcPr>
          <w:p w14:paraId="75490729" w14:textId="6F1A1B25"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Patient Recruitment</w:t>
            </w:r>
          </w:p>
        </w:tc>
        <w:tc>
          <w:tcPr>
            <w:tcW w:w="3342" w:type="dxa"/>
            <w:shd w:val="clear" w:color="auto" w:fill="5B9BD5" w:themeFill="accent5"/>
            <w:vAlign w:val="center"/>
          </w:tcPr>
          <w:p w14:paraId="0DA4B4E5" w14:textId="57903EC5"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Site-based</w:t>
            </w:r>
          </w:p>
        </w:tc>
        <w:tc>
          <w:tcPr>
            <w:tcW w:w="4050" w:type="dxa"/>
            <w:shd w:val="clear" w:color="auto" w:fill="5B9BD5" w:themeFill="accent5"/>
            <w:vAlign w:val="center"/>
          </w:tcPr>
          <w:p w14:paraId="02BC788E" w14:textId="53C4EDCC"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Remote + digital recruitment</w:t>
            </w:r>
          </w:p>
        </w:tc>
      </w:tr>
      <w:tr w:rsidR="00CC65D5" w14:paraId="0500D3EB" w14:textId="77777777" w:rsidTr="00CC65D5">
        <w:trPr>
          <w:trHeight w:val="381"/>
        </w:trPr>
        <w:tc>
          <w:tcPr>
            <w:tcW w:w="2413" w:type="dxa"/>
            <w:shd w:val="clear" w:color="auto" w:fill="E2EFD9" w:themeFill="accent6" w:themeFillTint="33"/>
            <w:vAlign w:val="center"/>
          </w:tcPr>
          <w:p w14:paraId="55EDAAF5" w14:textId="44E389F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Monitoring</w:t>
            </w:r>
          </w:p>
        </w:tc>
        <w:tc>
          <w:tcPr>
            <w:tcW w:w="3342" w:type="dxa"/>
            <w:shd w:val="clear" w:color="auto" w:fill="E2EFD9" w:themeFill="accent6" w:themeFillTint="33"/>
            <w:vAlign w:val="center"/>
          </w:tcPr>
          <w:p w14:paraId="19C460EF" w14:textId="6830C74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On-site visits</w:t>
            </w:r>
          </w:p>
        </w:tc>
        <w:tc>
          <w:tcPr>
            <w:tcW w:w="4050" w:type="dxa"/>
            <w:shd w:val="clear" w:color="auto" w:fill="E2EFD9" w:themeFill="accent6" w:themeFillTint="33"/>
            <w:vAlign w:val="center"/>
          </w:tcPr>
          <w:p w14:paraId="1DC761D4" w14:textId="325A0D58"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Remote + hybrid monitoring</w:t>
            </w:r>
          </w:p>
        </w:tc>
      </w:tr>
      <w:tr w:rsidR="00CC65D5" w14:paraId="40C3BC61" w14:textId="77777777" w:rsidTr="00CC65D5">
        <w:trPr>
          <w:trHeight w:val="399"/>
        </w:trPr>
        <w:tc>
          <w:tcPr>
            <w:tcW w:w="2413" w:type="dxa"/>
            <w:shd w:val="clear" w:color="auto" w:fill="C5E0B3" w:themeFill="accent6" w:themeFillTint="66"/>
            <w:vAlign w:val="center"/>
          </w:tcPr>
          <w:p w14:paraId="0BCE7FF1" w14:textId="43BEA9EF"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Data Source</w:t>
            </w:r>
          </w:p>
        </w:tc>
        <w:tc>
          <w:tcPr>
            <w:tcW w:w="3342" w:type="dxa"/>
            <w:shd w:val="clear" w:color="auto" w:fill="C5E0B3" w:themeFill="accent6" w:themeFillTint="66"/>
            <w:vAlign w:val="center"/>
          </w:tcPr>
          <w:p w14:paraId="0C0F026B" w14:textId="0489FBD0"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Clinical site data</w:t>
            </w:r>
          </w:p>
        </w:tc>
        <w:tc>
          <w:tcPr>
            <w:tcW w:w="4050" w:type="dxa"/>
            <w:shd w:val="clear" w:color="auto" w:fill="C5E0B3" w:themeFill="accent6" w:themeFillTint="66"/>
            <w:vAlign w:val="center"/>
          </w:tcPr>
          <w:p w14:paraId="36DC6963" w14:textId="3C8E00B4"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EHR, wearable, real-world data</w:t>
            </w:r>
          </w:p>
        </w:tc>
      </w:tr>
      <w:tr w:rsidR="00CC65D5" w14:paraId="2AC1AA96" w14:textId="77777777" w:rsidTr="00CC65D5">
        <w:trPr>
          <w:trHeight w:val="381"/>
        </w:trPr>
        <w:tc>
          <w:tcPr>
            <w:tcW w:w="2413" w:type="dxa"/>
            <w:shd w:val="clear" w:color="auto" w:fill="FFFF00"/>
            <w:vAlign w:val="center"/>
          </w:tcPr>
          <w:p w14:paraId="301E9EAB" w14:textId="2EBDBE53"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Cost</w:t>
            </w:r>
          </w:p>
        </w:tc>
        <w:tc>
          <w:tcPr>
            <w:tcW w:w="3342" w:type="dxa"/>
            <w:shd w:val="clear" w:color="auto" w:fill="FFFF00"/>
            <w:vAlign w:val="center"/>
          </w:tcPr>
          <w:p w14:paraId="21B9E043" w14:textId="403B5430"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High</w:t>
            </w:r>
          </w:p>
        </w:tc>
        <w:tc>
          <w:tcPr>
            <w:tcW w:w="4050" w:type="dxa"/>
            <w:shd w:val="clear" w:color="auto" w:fill="FFFF00"/>
            <w:vAlign w:val="center"/>
          </w:tcPr>
          <w:p w14:paraId="72DD3185" w14:textId="3F198DB4"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Relatively lower</w:t>
            </w:r>
          </w:p>
        </w:tc>
      </w:tr>
      <w:tr w:rsidR="00CC65D5" w14:paraId="4F5F1817" w14:textId="77777777" w:rsidTr="00CC65D5">
        <w:trPr>
          <w:trHeight w:val="762"/>
        </w:trPr>
        <w:tc>
          <w:tcPr>
            <w:tcW w:w="2413" w:type="dxa"/>
            <w:shd w:val="clear" w:color="auto" w:fill="BDD6EE" w:themeFill="accent5" w:themeFillTint="66"/>
            <w:vAlign w:val="center"/>
          </w:tcPr>
          <w:p w14:paraId="62BA0C4A" w14:textId="525E0B2E"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Regulatory Complexity</w:t>
            </w:r>
          </w:p>
        </w:tc>
        <w:tc>
          <w:tcPr>
            <w:tcW w:w="3342" w:type="dxa"/>
            <w:shd w:val="clear" w:color="auto" w:fill="BDD6EE" w:themeFill="accent5" w:themeFillTint="66"/>
            <w:vAlign w:val="center"/>
          </w:tcPr>
          <w:p w14:paraId="16765DE2" w14:textId="7CDFC6EA"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Well established</w:t>
            </w:r>
          </w:p>
        </w:tc>
        <w:tc>
          <w:tcPr>
            <w:tcW w:w="4050" w:type="dxa"/>
            <w:shd w:val="clear" w:color="auto" w:fill="BDD6EE" w:themeFill="accent5" w:themeFillTint="66"/>
            <w:vAlign w:val="center"/>
          </w:tcPr>
          <w:p w14:paraId="55FC6943" w14:textId="2FDEEBBB" w:rsidR="00CC65D5" w:rsidRPr="00CC65D5" w:rsidRDefault="00CC65D5" w:rsidP="00CC65D5">
            <w:pPr>
              <w:jc w:val="center"/>
              <w:rPr>
                <w:rFonts w:ascii="Times New Roman" w:hAnsi="Times New Roman" w:cs="Times New Roman"/>
                <w:sz w:val="28"/>
                <w:szCs w:val="28"/>
              </w:rPr>
            </w:pPr>
            <w:r w:rsidRPr="00CC65D5">
              <w:rPr>
                <w:rFonts w:ascii="Times New Roman" w:hAnsi="Times New Roman" w:cs="Times New Roman"/>
                <w:sz w:val="28"/>
                <w:szCs w:val="28"/>
              </w:rPr>
              <w:t>Still evolving</w:t>
            </w:r>
          </w:p>
        </w:tc>
      </w:tr>
    </w:tbl>
    <w:p w14:paraId="44AFDD4A"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3. Current Regulatory Landscape</w:t>
      </w:r>
    </w:p>
    <w:p w14:paraId="4A7D18B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 xml:space="preserve">Regulatory agencies such as the U.S. Food and Drug Administration (FDA) and the European Medicines Agency (EMA) play a central role in ensuring the safety and efficacy of clinical trials. Globally, the International Council for </w:t>
      </w:r>
      <w:proofErr w:type="spellStart"/>
      <w:r w:rsidRPr="001E069B">
        <w:rPr>
          <w:rFonts w:ascii="Times New Roman" w:eastAsia="Times New Roman" w:hAnsi="Times New Roman" w:cs="Times New Roman"/>
          <w:sz w:val="24"/>
          <w:szCs w:val="24"/>
        </w:rPr>
        <w:t>Harmonisation</w:t>
      </w:r>
      <w:proofErr w:type="spellEnd"/>
      <w:r w:rsidRPr="001E069B">
        <w:rPr>
          <w:rFonts w:ascii="Times New Roman" w:eastAsia="Times New Roman" w:hAnsi="Times New Roman" w:cs="Times New Roman"/>
          <w:sz w:val="24"/>
          <w:szCs w:val="24"/>
        </w:rPr>
        <w:t xml:space="preserve"> (ICH) Good Clinical Practice (GCP) guidelines provide a unified ethical and operational standard for trial conduct (4).</w:t>
      </w:r>
    </w:p>
    <w:p w14:paraId="7EDC340A" w14:textId="53F3AE1F"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lastRenderedPageBreak/>
        <w:t>Although updates such as ICH E6 (R2) emphasize risk-based monitoring and quality management, these frameworks were largely developed for traditional trials. As a result, gaps remain in addressing decentralized systems, real-world data integration, and adaptive methodologies.</w:t>
      </w:r>
    </w:p>
    <w:tbl>
      <w:tblPr>
        <w:tblStyle w:val="TableGrid"/>
        <w:tblW w:w="0" w:type="auto"/>
        <w:tblLook w:val="04A0" w:firstRow="1" w:lastRow="0" w:firstColumn="1" w:lastColumn="0" w:noHBand="0" w:noVBand="1"/>
      </w:tblPr>
      <w:tblGrid>
        <w:gridCol w:w="2425"/>
        <w:gridCol w:w="2160"/>
        <w:gridCol w:w="4765"/>
      </w:tblGrid>
      <w:tr w:rsidR="00CC65D5" w14:paraId="1F0C11A5" w14:textId="77777777" w:rsidTr="001E069B">
        <w:tc>
          <w:tcPr>
            <w:tcW w:w="2425" w:type="dxa"/>
            <w:vAlign w:val="center"/>
          </w:tcPr>
          <w:p w14:paraId="3DCD0550" w14:textId="082D2154"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Regulatory Body</w:t>
            </w:r>
          </w:p>
        </w:tc>
        <w:tc>
          <w:tcPr>
            <w:tcW w:w="2160" w:type="dxa"/>
            <w:vAlign w:val="center"/>
          </w:tcPr>
          <w:p w14:paraId="7D51A44D" w14:textId="4664512E"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Region</w:t>
            </w:r>
          </w:p>
        </w:tc>
        <w:tc>
          <w:tcPr>
            <w:tcW w:w="4765" w:type="dxa"/>
            <w:vAlign w:val="center"/>
          </w:tcPr>
          <w:p w14:paraId="401920CC" w14:textId="118B3E5C" w:rsidR="00CC65D5" w:rsidRPr="001E069B" w:rsidRDefault="00CC65D5" w:rsidP="00CC65D5">
            <w:pPr>
              <w:rPr>
                <w:rFonts w:ascii="Times New Roman" w:hAnsi="Times New Roman" w:cs="Times New Roman"/>
                <w:b/>
                <w:bCs/>
                <w:sz w:val="24"/>
                <w:szCs w:val="24"/>
              </w:rPr>
            </w:pPr>
            <w:r w:rsidRPr="001E069B">
              <w:rPr>
                <w:rFonts w:ascii="Times New Roman" w:hAnsi="Times New Roman" w:cs="Times New Roman"/>
                <w:b/>
                <w:bCs/>
                <w:sz w:val="24"/>
                <w:szCs w:val="24"/>
              </w:rPr>
              <w:t>Focus Area</w:t>
            </w:r>
          </w:p>
        </w:tc>
      </w:tr>
      <w:tr w:rsidR="00CC65D5" w14:paraId="0998C522" w14:textId="77777777" w:rsidTr="001E069B">
        <w:tc>
          <w:tcPr>
            <w:tcW w:w="2425" w:type="dxa"/>
          </w:tcPr>
          <w:p w14:paraId="2D0DB11F" w14:textId="24F4E04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FDA</w:t>
            </w:r>
          </w:p>
        </w:tc>
        <w:tc>
          <w:tcPr>
            <w:tcW w:w="2160" w:type="dxa"/>
          </w:tcPr>
          <w:p w14:paraId="0150C55D" w14:textId="36B1CE1D"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USA</w:t>
            </w:r>
          </w:p>
        </w:tc>
        <w:tc>
          <w:tcPr>
            <w:tcW w:w="4765" w:type="dxa"/>
          </w:tcPr>
          <w:p w14:paraId="12B01EC2" w14:textId="436840B6"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Drug approval, trial oversight</w:t>
            </w:r>
          </w:p>
        </w:tc>
      </w:tr>
      <w:tr w:rsidR="00CC65D5" w14:paraId="29060FF2" w14:textId="77777777" w:rsidTr="001E069B">
        <w:tc>
          <w:tcPr>
            <w:tcW w:w="2425" w:type="dxa"/>
          </w:tcPr>
          <w:p w14:paraId="44CF615C" w14:textId="7D6A6F5A"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EMA</w:t>
            </w:r>
          </w:p>
        </w:tc>
        <w:tc>
          <w:tcPr>
            <w:tcW w:w="2160" w:type="dxa"/>
          </w:tcPr>
          <w:p w14:paraId="62D6EADD" w14:textId="4BD3BE62"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EUROPE</w:t>
            </w:r>
          </w:p>
        </w:tc>
        <w:tc>
          <w:tcPr>
            <w:tcW w:w="4765" w:type="dxa"/>
          </w:tcPr>
          <w:p w14:paraId="69FCF9BF" w14:textId="3213116E"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Clinical trial harmonization</w:t>
            </w:r>
          </w:p>
        </w:tc>
      </w:tr>
      <w:tr w:rsidR="00CC65D5" w14:paraId="7BFFB618" w14:textId="77777777" w:rsidTr="001E069B">
        <w:tc>
          <w:tcPr>
            <w:tcW w:w="2425" w:type="dxa"/>
          </w:tcPr>
          <w:p w14:paraId="689E7E8B" w14:textId="2D65205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ICH</w:t>
            </w:r>
          </w:p>
        </w:tc>
        <w:tc>
          <w:tcPr>
            <w:tcW w:w="2160" w:type="dxa"/>
          </w:tcPr>
          <w:p w14:paraId="23698D37" w14:textId="0981CF34"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GLOBAL</w:t>
            </w:r>
          </w:p>
        </w:tc>
        <w:tc>
          <w:tcPr>
            <w:tcW w:w="4765" w:type="dxa"/>
          </w:tcPr>
          <w:p w14:paraId="235B2DFB" w14:textId="36D39123"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GCP guidelines standardization</w:t>
            </w:r>
          </w:p>
        </w:tc>
      </w:tr>
      <w:tr w:rsidR="00CC65D5" w14:paraId="673C77EC" w14:textId="77777777" w:rsidTr="001E069B">
        <w:tc>
          <w:tcPr>
            <w:tcW w:w="2425" w:type="dxa"/>
          </w:tcPr>
          <w:p w14:paraId="1BF9B49A" w14:textId="3B6BBE7D"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CDSCO</w:t>
            </w:r>
          </w:p>
        </w:tc>
        <w:tc>
          <w:tcPr>
            <w:tcW w:w="2160" w:type="dxa"/>
          </w:tcPr>
          <w:p w14:paraId="5592316A" w14:textId="0F697160"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INDIA</w:t>
            </w:r>
          </w:p>
        </w:tc>
        <w:tc>
          <w:tcPr>
            <w:tcW w:w="4765" w:type="dxa"/>
          </w:tcPr>
          <w:p w14:paraId="647E958F" w14:textId="7F7C57F6" w:rsidR="00CC65D5" w:rsidRPr="001E069B" w:rsidRDefault="00CC65D5" w:rsidP="00E04A86">
            <w:pPr>
              <w:rPr>
                <w:rFonts w:ascii="Times New Roman" w:hAnsi="Times New Roman" w:cs="Times New Roman"/>
                <w:b/>
                <w:bCs/>
                <w:sz w:val="24"/>
                <w:szCs w:val="24"/>
              </w:rPr>
            </w:pPr>
            <w:r w:rsidRPr="001E069B">
              <w:rPr>
                <w:rFonts w:ascii="Times New Roman" w:hAnsi="Times New Roman" w:cs="Times New Roman"/>
                <w:b/>
                <w:bCs/>
                <w:sz w:val="24"/>
                <w:szCs w:val="24"/>
              </w:rPr>
              <w:t>National clinical trial regulation</w:t>
            </w:r>
          </w:p>
        </w:tc>
      </w:tr>
    </w:tbl>
    <w:p w14:paraId="26E79764" w14:textId="77777777" w:rsidR="001E069B" w:rsidRDefault="001E069B" w:rsidP="00E04A86">
      <w:pPr>
        <w:rPr>
          <w:rFonts w:ascii="Times New Roman" w:hAnsi="Times New Roman" w:cs="Times New Roman"/>
          <w:b/>
          <w:bCs/>
          <w:sz w:val="24"/>
          <w:szCs w:val="24"/>
          <w:u w:val="single"/>
        </w:rPr>
      </w:pPr>
    </w:p>
    <w:p w14:paraId="6498FFD6" w14:textId="367B9FE3" w:rsidR="00E04A86" w:rsidRDefault="00CC65D5"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 xml:space="preserve">Table </w:t>
      </w:r>
      <w:r w:rsidR="001E069B">
        <w:rPr>
          <w:rFonts w:ascii="Times New Roman" w:hAnsi="Times New Roman" w:cs="Times New Roman"/>
          <w:b/>
          <w:bCs/>
          <w:sz w:val="24"/>
          <w:szCs w:val="24"/>
          <w:u w:val="single"/>
        </w:rPr>
        <w:t>2</w:t>
      </w:r>
      <w:r w:rsidRPr="00CC65D5">
        <w:rPr>
          <w:rFonts w:ascii="Times New Roman" w:hAnsi="Times New Roman" w:cs="Times New Roman"/>
          <w:b/>
          <w:bCs/>
          <w:sz w:val="24"/>
          <w:szCs w:val="24"/>
          <w:u w:val="single"/>
        </w:rPr>
        <w:t>: Regulatory Bodies and Focus Areas</w:t>
      </w:r>
    </w:p>
    <w:p w14:paraId="3FB1867B" w14:textId="77777777" w:rsidR="0050578A" w:rsidRPr="001E069B" w:rsidRDefault="0050578A" w:rsidP="00E04A86">
      <w:pPr>
        <w:rPr>
          <w:rFonts w:ascii="Times New Roman" w:hAnsi="Times New Roman" w:cs="Times New Roman"/>
          <w:b/>
          <w:bCs/>
          <w:sz w:val="24"/>
          <w:szCs w:val="24"/>
          <w:u w:val="single"/>
        </w:rPr>
      </w:pPr>
    </w:p>
    <w:p w14:paraId="39D2B549"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4. Key Regulatory Challenges</w:t>
      </w:r>
    </w:p>
    <w:p w14:paraId="63817507"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4.1 Data Integrity and Quality</w:t>
      </w:r>
    </w:p>
    <w:p w14:paraId="787380A1"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Maintaining data integrity in decentralized environments is challenging due to multiple data sources and remote data collection, increasing the risk of inconsistencies and missing data (5).</w:t>
      </w:r>
    </w:p>
    <w:p w14:paraId="021AA0B2"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4.2 Patient Safety and Monitoring</w:t>
      </w:r>
    </w:p>
    <w:p w14:paraId="6EFB0B25" w14:textId="4345A7D2" w:rsidR="00CC65D5"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Reduced in-person interactions may delay the detection of adverse events, potentially compromising patient safety (6).</w:t>
      </w:r>
    </w:p>
    <w:tbl>
      <w:tblPr>
        <w:tblStyle w:val="PlainTable1"/>
        <w:tblW w:w="9402"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133"/>
        <w:gridCol w:w="3134"/>
        <w:gridCol w:w="3135"/>
      </w:tblGrid>
      <w:tr w:rsidR="00CC65D5" w:rsidRPr="00CC65D5" w14:paraId="7F80F29F" w14:textId="77777777" w:rsidTr="00CC65D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133" w:type="dxa"/>
          </w:tcPr>
          <w:p w14:paraId="3265CF83" w14:textId="0EDF4D5A"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Challenge Area</w:t>
            </w:r>
          </w:p>
        </w:tc>
        <w:tc>
          <w:tcPr>
            <w:tcW w:w="3134" w:type="dxa"/>
          </w:tcPr>
          <w:p w14:paraId="06D6A285" w14:textId="27A739F5" w:rsidR="00CC65D5" w:rsidRPr="00CC65D5" w:rsidRDefault="00CC65D5" w:rsidP="00CC65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Description</w:t>
            </w:r>
          </w:p>
        </w:tc>
        <w:tc>
          <w:tcPr>
            <w:tcW w:w="3135" w:type="dxa"/>
          </w:tcPr>
          <w:p w14:paraId="73257831" w14:textId="556731B0" w:rsidR="00CC65D5" w:rsidRPr="00CC65D5" w:rsidRDefault="00CC65D5" w:rsidP="00CC65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Impact</w:t>
            </w:r>
          </w:p>
        </w:tc>
      </w:tr>
      <w:tr w:rsidR="00CC65D5" w:rsidRPr="00CC65D5" w14:paraId="0EA522BB" w14:textId="77777777" w:rsidTr="00CC65D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133" w:type="dxa"/>
          </w:tcPr>
          <w:p w14:paraId="10E8C3A9" w14:textId="72EA03ED"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Data Integrity</w:t>
            </w:r>
          </w:p>
        </w:tc>
        <w:tc>
          <w:tcPr>
            <w:tcW w:w="3134" w:type="dxa"/>
          </w:tcPr>
          <w:p w14:paraId="4CA6F4A6" w14:textId="16A596E2"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Multiple digital sources</w:t>
            </w:r>
          </w:p>
        </w:tc>
        <w:tc>
          <w:tcPr>
            <w:tcW w:w="3135" w:type="dxa"/>
          </w:tcPr>
          <w:p w14:paraId="3C045E5E" w14:textId="699A1246"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Risk of inconsistency</w:t>
            </w:r>
          </w:p>
        </w:tc>
      </w:tr>
      <w:tr w:rsidR="00CC65D5" w:rsidRPr="00CC65D5" w14:paraId="5DE5F1D9" w14:textId="77777777" w:rsidTr="00CC65D5">
        <w:trPr>
          <w:trHeight w:val="518"/>
        </w:trPr>
        <w:tc>
          <w:tcPr>
            <w:cnfStyle w:val="001000000000" w:firstRow="0" w:lastRow="0" w:firstColumn="1" w:lastColumn="0" w:oddVBand="0" w:evenVBand="0" w:oddHBand="0" w:evenHBand="0" w:firstRowFirstColumn="0" w:firstRowLastColumn="0" w:lastRowFirstColumn="0" w:lastRowLastColumn="0"/>
            <w:tcW w:w="3133" w:type="dxa"/>
          </w:tcPr>
          <w:p w14:paraId="70320698" w14:textId="56BBEDC8"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Patient Safety</w:t>
            </w:r>
          </w:p>
        </w:tc>
        <w:tc>
          <w:tcPr>
            <w:tcW w:w="3134" w:type="dxa"/>
          </w:tcPr>
          <w:p w14:paraId="4A33EAEE" w14:textId="029DF025"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Reduced physical monitoring</w:t>
            </w:r>
          </w:p>
        </w:tc>
        <w:tc>
          <w:tcPr>
            <w:tcW w:w="3135" w:type="dxa"/>
          </w:tcPr>
          <w:p w14:paraId="44C89416" w14:textId="001270CB"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Delayed AE detection</w:t>
            </w:r>
          </w:p>
        </w:tc>
      </w:tr>
      <w:tr w:rsidR="00CC65D5" w:rsidRPr="00CC65D5" w14:paraId="2C76ED14" w14:textId="77777777" w:rsidTr="00CC65D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133" w:type="dxa"/>
          </w:tcPr>
          <w:p w14:paraId="597BF436" w14:textId="5E7DDBD0"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Protocol Deviations</w:t>
            </w:r>
          </w:p>
        </w:tc>
        <w:tc>
          <w:tcPr>
            <w:tcW w:w="3134" w:type="dxa"/>
          </w:tcPr>
          <w:p w14:paraId="0354A86B" w14:textId="1D6690A7"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Flexible designs</w:t>
            </w:r>
          </w:p>
        </w:tc>
        <w:tc>
          <w:tcPr>
            <w:tcW w:w="3135" w:type="dxa"/>
          </w:tcPr>
          <w:p w14:paraId="61CDBA74" w14:textId="02C81443" w:rsidR="00CC65D5" w:rsidRPr="00CC65D5" w:rsidRDefault="00CC65D5" w:rsidP="00CC65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Data variability</w:t>
            </w:r>
          </w:p>
        </w:tc>
      </w:tr>
      <w:tr w:rsidR="00CC65D5" w:rsidRPr="00CC65D5" w14:paraId="3253C600" w14:textId="77777777" w:rsidTr="00CC65D5">
        <w:trPr>
          <w:trHeight w:val="518"/>
        </w:trPr>
        <w:tc>
          <w:tcPr>
            <w:cnfStyle w:val="001000000000" w:firstRow="0" w:lastRow="0" w:firstColumn="1" w:lastColumn="0" w:oddVBand="0" w:evenVBand="0" w:oddHBand="0" w:evenHBand="0" w:firstRowFirstColumn="0" w:firstRowLastColumn="0" w:lastRowFirstColumn="0" w:lastRowLastColumn="0"/>
            <w:tcW w:w="3133" w:type="dxa"/>
          </w:tcPr>
          <w:p w14:paraId="6971E930" w14:textId="50BE0DA7" w:rsidR="00CC65D5" w:rsidRPr="00CC65D5" w:rsidRDefault="00CC65D5" w:rsidP="00CC65D5">
            <w:pPr>
              <w:rPr>
                <w:rFonts w:ascii="Times New Roman" w:hAnsi="Times New Roman" w:cs="Times New Roman"/>
                <w:sz w:val="24"/>
                <w:szCs w:val="24"/>
              </w:rPr>
            </w:pPr>
            <w:r w:rsidRPr="00CC65D5">
              <w:rPr>
                <w:rFonts w:ascii="Times New Roman" w:hAnsi="Times New Roman" w:cs="Times New Roman"/>
                <w:sz w:val="24"/>
                <w:szCs w:val="24"/>
              </w:rPr>
              <w:t>Global Variation</w:t>
            </w:r>
          </w:p>
        </w:tc>
        <w:tc>
          <w:tcPr>
            <w:tcW w:w="3134" w:type="dxa"/>
          </w:tcPr>
          <w:p w14:paraId="520BB6DF" w14:textId="261EAC2B"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Different country regulations</w:t>
            </w:r>
          </w:p>
        </w:tc>
        <w:tc>
          <w:tcPr>
            <w:tcW w:w="3135" w:type="dxa"/>
          </w:tcPr>
          <w:p w14:paraId="26735A16" w14:textId="01BFB8B4" w:rsidR="00CC65D5" w:rsidRPr="00CC65D5" w:rsidRDefault="00CC65D5" w:rsidP="00CC65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65D5">
              <w:rPr>
                <w:rFonts w:ascii="Times New Roman" w:hAnsi="Times New Roman" w:cs="Times New Roman"/>
                <w:sz w:val="24"/>
                <w:szCs w:val="24"/>
              </w:rPr>
              <w:t>Trial delays</w:t>
            </w:r>
          </w:p>
        </w:tc>
      </w:tr>
    </w:tbl>
    <w:p w14:paraId="5E4EE9D3" w14:textId="146D36E5" w:rsidR="00CC65D5" w:rsidRDefault="00CC65D5" w:rsidP="00E04A86">
      <w:pPr>
        <w:rPr>
          <w:rFonts w:ascii="Times New Roman" w:hAnsi="Times New Roman" w:cs="Times New Roman"/>
          <w:sz w:val="24"/>
          <w:szCs w:val="24"/>
        </w:rPr>
      </w:pPr>
    </w:p>
    <w:p w14:paraId="3CDFB09B" w14:textId="44531B28" w:rsidR="00CC65D5" w:rsidRPr="00CC65D5" w:rsidRDefault="00CC65D5" w:rsidP="00E04A86">
      <w:pPr>
        <w:rPr>
          <w:rFonts w:ascii="Times New Roman" w:hAnsi="Times New Roman" w:cs="Times New Roman"/>
          <w:b/>
          <w:bCs/>
          <w:sz w:val="24"/>
          <w:szCs w:val="24"/>
          <w:u w:val="single"/>
        </w:rPr>
      </w:pPr>
      <w:r w:rsidRPr="00CC65D5">
        <w:rPr>
          <w:rFonts w:ascii="Times New Roman" w:hAnsi="Times New Roman" w:cs="Times New Roman"/>
          <w:b/>
          <w:bCs/>
          <w:sz w:val="24"/>
          <w:szCs w:val="24"/>
          <w:u w:val="single"/>
        </w:rPr>
        <w:t xml:space="preserve">Table </w:t>
      </w:r>
      <w:r w:rsidR="001E069B">
        <w:rPr>
          <w:rFonts w:ascii="Times New Roman" w:hAnsi="Times New Roman" w:cs="Times New Roman"/>
          <w:b/>
          <w:bCs/>
          <w:sz w:val="24"/>
          <w:szCs w:val="24"/>
          <w:u w:val="single"/>
        </w:rPr>
        <w:t>3</w:t>
      </w:r>
      <w:r w:rsidRPr="00CC65D5">
        <w:rPr>
          <w:rFonts w:ascii="Times New Roman" w:hAnsi="Times New Roman" w:cs="Times New Roman"/>
          <w:b/>
          <w:bCs/>
          <w:sz w:val="24"/>
          <w:szCs w:val="24"/>
          <w:u w:val="single"/>
        </w:rPr>
        <w:t>: Major Regulatory Challenges</w:t>
      </w:r>
    </w:p>
    <w:p w14:paraId="47DBFAB0" w14:textId="72043CB8" w:rsidR="00E04A86" w:rsidRPr="00E04A86" w:rsidRDefault="00E04A86" w:rsidP="00E04A86">
      <w:pPr>
        <w:rPr>
          <w:rFonts w:ascii="Times New Roman" w:hAnsi="Times New Roman" w:cs="Times New Roman"/>
          <w:sz w:val="24"/>
          <w:szCs w:val="24"/>
        </w:rPr>
      </w:pPr>
    </w:p>
    <w:p w14:paraId="65B7338B" w14:textId="77777777" w:rsidR="001E069B" w:rsidRPr="001E069B" w:rsidRDefault="001E069B" w:rsidP="001E069B">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4.3 Protocol Deviations and Compliance</w:t>
      </w:r>
    </w:p>
    <w:p w14:paraId="40414FC9" w14:textId="77777777" w:rsidR="001E069B" w:rsidRPr="00E04A86" w:rsidRDefault="001E069B" w:rsidP="001E069B">
      <w:pPr>
        <w:rPr>
          <w:rFonts w:ascii="Times New Roman" w:hAnsi="Times New Roman" w:cs="Times New Roman"/>
          <w:sz w:val="24"/>
          <w:szCs w:val="24"/>
        </w:rPr>
      </w:pPr>
      <w:r w:rsidRPr="00E04A86">
        <w:rPr>
          <w:rFonts w:ascii="Times New Roman" w:hAnsi="Times New Roman" w:cs="Times New Roman"/>
          <w:sz w:val="24"/>
          <w:szCs w:val="24"/>
        </w:rPr>
        <w:t>Flexible trial designs often lead to increased protocol deviations, complicating regulatory compliance and data interpretation (7).</w:t>
      </w:r>
    </w:p>
    <w:p w14:paraId="249EA844" w14:textId="77777777" w:rsidR="001E069B" w:rsidRPr="00E04A86" w:rsidRDefault="001E069B" w:rsidP="001E069B">
      <w:pPr>
        <w:rPr>
          <w:rFonts w:ascii="Times New Roman" w:hAnsi="Times New Roman" w:cs="Times New Roman"/>
          <w:sz w:val="24"/>
          <w:szCs w:val="24"/>
        </w:rPr>
      </w:pPr>
      <w:r w:rsidRPr="00E04A86">
        <w:rPr>
          <w:rStyle w:val="Strong"/>
          <w:rFonts w:ascii="Times New Roman" w:hAnsi="Times New Roman" w:cs="Times New Roman"/>
          <w:b w:val="0"/>
          <w:bCs w:val="0"/>
          <w:sz w:val="24"/>
          <w:szCs w:val="24"/>
        </w:rPr>
        <w:t>4.4 Multi-Regional Trial Complexity</w:t>
      </w:r>
    </w:p>
    <w:p w14:paraId="5B8F6D3D" w14:textId="77777777" w:rsidR="001E069B" w:rsidRDefault="001E069B" w:rsidP="001E069B">
      <w:pPr>
        <w:rPr>
          <w:rFonts w:ascii="Times New Roman" w:hAnsi="Times New Roman" w:cs="Times New Roman"/>
          <w:sz w:val="24"/>
          <w:szCs w:val="24"/>
        </w:rPr>
      </w:pPr>
      <w:r w:rsidRPr="00E04A86">
        <w:rPr>
          <w:rFonts w:ascii="Times New Roman" w:hAnsi="Times New Roman" w:cs="Times New Roman"/>
          <w:sz w:val="24"/>
          <w:szCs w:val="24"/>
        </w:rPr>
        <w:lastRenderedPageBreak/>
        <w:t>Differences in regulatory requirements across countries create inconsistencies, delays, and increased administrative burden in multinational trials (8).</w:t>
      </w:r>
    </w:p>
    <w:p w14:paraId="5D2D015C" w14:textId="133B0DDC" w:rsidR="00E04A86" w:rsidRPr="00E04A86" w:rsidRDefault="00E04A86" w:rsidP="001E069B">
      <w:pPr>
        <w:rPr>
          <w:rFonts w:ascii="Times New Roman" w:hAnsi="Times New Roman" w:cs="Times New Roman"/>
          <w:sz w:val="28"/>
          <w:szCs w:val="28"/>
        </w:rPr>
      </w:pPr>
      <w:r w:rsidRPr="00E04A86">
        <w:rPr>
          <w:rStyle w:val="Strong"/>
          <w:rFonts w:ascii="Times New Roman" w:hAnsi="Times New Roman" w:cs="Times New Roman"/>
          <w:sz w:val="28"/>
          <w:szCs w:val="28"/>
        </w:rPr>
        <w:t>5. Gaps in Existing Frameworks</w:t>
      </w:r>
    </w:p>
    <w:p w14:paraId="0C223852" w14:textId="7F6B6931" w:rsidR="00E04A86" w:rsidRPr="001E069B" w:rsidRDefault="001E069B" w:rsidP="00E04A86">
      <w:pPr>
        <w:rPr>
          <w:rFonts w:ascii="Times New Roman" w:hAnsi="Times New Roman" w:cs="Times New Roman"/>
          <w:sz w:val="24"/>
          <w:szCs w:val="24"/>
        </w:rPr>
      </w:pPr>
      <w:r w:rsidRPr="001E069B">
        <w:rPr>
          <w:rFonts w:ascii="Times New Roman" w:hAnsi="Times New Roman" w:cs="Times New Roman"/>
          <w:sz w:val="24"/>
          <w:szCs w:val="24"/>
        </w:rPr>
        <w:t>Despite ongoing improvements, several important gaps remain. Regulatory guidance for decentralized clinical trials is still limited and often lacks operational detail. In addition, acceptance of real-world data varies widely across different regulatory authorities. The absence of global harmonization further complicates multinational studies, while regulatory updates often lag behind technological and methodological advancements in clinical research.</w:t>
      </w:r>
    </w:p>
    <w:p w14:paraId="17D7624E" w14:textId="77777777" w:rsidR="00E04A86" w:rsidRPr="00E04A86" w:rsidRDefault="00E04A86" w:rsidP="00E04A86">
      <w:pPr>
        <w:rPr>
          <w:rFonts w:ascii="Times New Roman" w:hAnsi="Times New Roman" w:cs="Times New Roman"/>
          <w:sz w:val="28"/>
          <w:szCs w:val="28"/>
        </w:rPr>
      </w:pPr>
      <w:r w:rsidRPr="00E04A86">
        <w:rPr>
          <w:rStyle w:val="Strong"/>
          <w:rFonts w:ascii="Times New Roman" w:hAnsi="Times New Roman" w:cs="Times New Roman"/>
          <w:sz w:val="28"/>
          <w:szCs w:val="28"/>
        </w:rPr>
        <w:t>6. Real-World Evidence and Case Examples</w:t>
      </w:r>
    </w:p>
    <w:p w14:paraId="3CE30CDF"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1: COVID-19 Vaccine Trials</w:t>
      </w:r>
    </w:p>
    <w:p w14:paraId="6D71AC3D"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COVID-19 vaccine trials demonstrated the effectiveness of adaptive and decentralized approaches in accelerating development. However, regulators faced challenges in ensuring consistent monitoring and data quality across multiple sites (9).</w:t>
      </w:r>
    </w:p>
    <w:p w14:paraId="3CE98936"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2: Oncology Trials Using Real-World Data</w:t>
      </w:r>
    </w:p>
    <w:p w14:paraId="6641A991" w14:textId="77777777" w:rsidR="00E04A86" w:rsidRP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Real-world data has been increasingly used in oncology trials to support regulatory decisions. Nevertheless, variability in data sources and lack of standardization raise concerns about reliability (10).</w:t>
      </w:r>
    </w:p>
    <w:p w14:paraId="00130E6D" w14:textId="77777777" w:rsidR="00E04A86" w:rsidRPr="001E069B" w:rsidRDefault="00E04A86" w:rsidP="00E04A86">
      <w:pPr>
        <w:rPr>
          <w:rFonts w:ascii="Times New Roman" w:hAnsi="Times New Roman" w:cs="Times New Roman"/>
          <w:sz w:val="24"/>
          <w:szCs w:val="24"/>
          <w:u w:val="single"/>
        </w:rPr>
      </w:pPr>
      <w:r w:rsidRPr="001E069B">
        <w:rPr>
          <w:rStyle w:val="Strong"/>
          <w:rFonts w:ascii="Times New Roman" w:hAnsi="Times New Roman" w:cs="Times New Roman"/>
          <w:sz w:val="24"/>
          <w:szCs w:val="24"/>
          <w:u w:val="single"/>
        </w:rPr>
        <w:t>Case 3: Remote Monitoring in Decentralized Trials</w:t>
      </w:r>
    </w:p>
    <w:p w14:paraId="761D0A8A" w14:textId="209F3B87" w:rsidR="00E04A86" w:rsidRDefault="00E04A86" w:rsidP="00E04A86">
      <w:pPr>
        <w:rPr>
          <w:rFonts w:ascii="Times New Roman" w:hAnsi="Times New Roman" w:cs="Times New Roman"/>
          <w:sz w:val="24"/>
          <w:szCs w:val="24"/>
        </w:rPr>
      </w:pPr>
      <w:r w:rsidRPr="00E04A86">
        <w:rPr>
          <w:rFonts w:ascii="Times New Roman" w:hAnsi="Times New Roman" w:cs="Times New Roman"/>
          <w:sz w:val="24"/>
          <w:szCs w:val="24"/>
        </w:rPr>
        <w:t>Remote monitoring approaches have revealed limitations in verifying source data and ensuring protocol adherence, highlighting gaps in regulatory guidance (11).</w:t>
      </w:r>
    </w:p>
    <w:p w14:paraId="7F6F757B" w14:textId="0C6299AD" w:rsidR="001E069B" w:rsidRPr="001E069B" w:rsidRDefault="001E069B" w:rsidP="001E069B">
      <w:pPr>
        <w:pStyle w:val="Heading2"/>
        <w:rPr>
          <w:sz w:val="24"/>
          <w:szCs w:val="24"/>
        </w:rPr>
      </w:pPr>
      <w:r>
        <w:rPr>
          <w:rStyle w:val="Strong"/>
          <w:b/>
          <w:bCs/>
          <w:sz w:val="24"/>
          <w:szCs w:val="24"/>
        </w:rPr>
        <w:t xml:space="preserve">7. </w:t>
      </w:r>
      <w:r w:rsidRPr="001E069B">
        <w:rPr>
          <w:rStyle w:val="Strong"/>
          <w:b/>
          <w:bCs/>
          <w:sz w:val="24"/>
          <w:szCs w:val="24"/>
        </w:rPr>
        <w:t>Discussion</w:t>
      </w:r>
    </w:p>
    <w:p w14:paraId="4494F4D5" w14:textId="672C7D98" w:rsidR="001E069B" w:rsidRPr="001E069B" w:rsidRDefault="001E069B" w:rsidP="001E069B">
      <w:pPr>
        <w:pStyle w:val="NormalWeb"/>
      </w:pPr>
      <w:r w:rsidRPr="001E069B">
        <w:t>The evolution of clinical trials has clearly outpaced the development of regulatory frameworks. While modern methodologies such as decentralized and adaptive trials offer clear advantages in terms of efficiency and accessibility, they also expose structural weaknesses in existing oversight systems.</w:t>
      </w:r>
      <w:r>
        <w:t xml:space="preserve"> </w:t>
      </w:r>
      <w:r w:rsidRPr="001E069B">
        <w:t>One of the key issues is the lack of adaptability in regulatory guidelines, which were primarily designed for traditional trial models. Furthermore, differences in interpretation across regulatory agencies lead to inconsistencies in trial approval and execution. This becomes particularly problematic in multinational studies, where harmonization is still limited.</w:t>
      </w:r>
    </w:p>
    <w:p w14:paraId="21816E04" w14:textId="77777777" w:rsidR="001E069B" w:rsidRPr="001E069B" w:rsidRDefault="001E069B" w:rsidP="001E069B">
      <w:pPr>
        <w:pStyle w:val="NormalWeb"/>
      </w:pPr>
      <w:r w:rsidRPr="001E069B">
        <w:t>Another important concern is the growing reliance on digital and real-world data sources. Although these data sources provide valuable insights, the absence of standardized validation frameworks reduces their regulatory reliability. Without clear guidance, there is a risk of variability in how data is collected, processed, and interpreted.</w:t>
      </w:r>
    </w:p>
    <w:p w14:paraId="532A5103" w14:textId="280A4FCE" w:rsidR="00E04A86" w:rsidRPr="00E04A86" w:rsidRDefault="001E069B" w:rsidP="001E069B">
      <w:pPr>
        <w:pStyle w:val="NormalWeb"/>
      </w:pPr>
      <w:r>
        <w:t>Overall, there is a clear need for regulatory systems that are more flexible, adaptive, and globally harmonized, without compromising patient safety or scientific rigor.</w:t>
      </w:r>
    </w:p>
    <w:p w14:paraId="1972B18A" w14:textId="5FB93D64"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lastRenderedPageBreak/>
        <w:t>8</w:t>
      </w:r>
      <w:r w:rsidR="00E04A86" w:rsidRPr="00E04A86">
        <w:rPr>
          <w:rStyle w:val="Strong"/>
          <w:rFonts w:ascii="Times New Roman" w:hAnsi="Times New Roman" w:cs="Times New Roman"/>
          <w:sz w:val="28"/>
          <w:szCs w:val="28"/>
        </w:rPr>
        <w:t>. Future Directions</w:t>
      </w:r>
    </w:p>
    <w:p w14:paraId="476C6EFE"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Future regulatory development should focus on building risk-based and adaptive frameworks that can evolve alongside clinical innovation. Clear operational guidelines for decentralized trials are needed, along with standardized approaches for real-world data integration.</w:t>
      </w:r>
    </w:p>
    <w:p w14:paraId="25EADFAA"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Global harmonization between regulatory authorities such as FDA, EMA, and others will be critical in reducing inconsistencies. Additionally, capacity building for investigators and regulators will ensure better implementation of modern clinical trial methodologies.</w:t>
      </w:r>
    </w:p>
    <w:p w14:paraId="6C73B689" w14:textId="062B46BE"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t>9</w:t>
      </w:r>
      <w:r w:rsidR="00E04A86" w:rsidRPr="00E04A86">
        <w:rPr>
          <w:rStyle w:val="Strong"/>
          <w:rFonts w:ascii="Times New Roman" w:hAnsi="Times New Roman" w:cs="Times New Roman"/>
          <w:sz w:val="28"/>
          <w:szCs w:val="28"/>
        </w:rPr>
        <w:t>. Conclusion</w:t>
      </w:r>
    </w:p>
    <w:p w14:paraId="67196E37" w14:textId="77777777" w:rsidR="001E069B"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Modern clinical trials have introduced significant improvements in efficiency, accessibility, and data generation. However, these advancements have also exposed limitations within existing regulatory systems.</w:t>
      </w:r>
    </w:p>
    <w:p w14:paraId="46AD5F0F" w14:textId="11103A0D" w:rsidR="00E04A86" w:rsidRPr="001E069B" w:rsidRDefault="001E069B" w:rsidP="001E069B">
      <w:pPr>
        <w:spacing w:before="100" w:beforeAutospacing="1" w:after="100" w:afterAutospacing="1" w:line="240" w:lineRule="auto"/>
        <w:rPr>
          <w:rFonts w:ascii="Times New Roman" w:eastAsia="Times New Roman" w:hAnsi="Times New Roman" w:cs="Times New Roman"/>
          <w:sz w:val="24"/>
          <w:szCs w:val="24"/>
        </w:rPr>
      </w:pPr>
      <w:r w:rsidRPr="001E069B">
        <w:rPr>
          <w:rFonts w:ascii="Times New Roman" w:eastAsia="Times New Roman" w:hAnsi="Times New Roman" w:cs="Times New Roman"/>
          <w:sz w:val="24"/>
          <w:szCs w:val="24"/>
        </w:rPr>
        <w:t>A balanced regulatory approach is required—one that supports innovation while maintaining strong oversight of patient safety and data integrity. Strengthening global collaboration and developing adaptive frameworks will be essential for the future of clinical research.</w:t>
      </w:r>
    </w:p>
    <w:p w14:paraId="0424A270" w14:textId="46B033D7" w:rsidR="00E04A86" w:rsidRPr="00E04A86" w:rsidRDefault="001E069B" w:rsidP="00E04A86">
      <w:pPr>
        <w:rPr>
          <w:rFonts w:ascii="Times New Roman" w:hAnsi="Times New Roman" w:cs="Times New Roman"/>
          <w:sz w:val="28"/>
          <w:szCs w:val="28"/>
        </w:rPr>
      </w:pPr>
      <w:r>
        <w:rPr>
          <w:rStyle w:val="Strong"/>
          <w:rFonts w:ascii="Times New Roman" w:hAnsi="Times New Roman" w:cs="Times New Roman"/>
          <w:sz w:val="28"/>
          <w:szCs w:val="28"/>
        </w:rPr>
        <w:t xml:space="preserve">10. </w:t>
      </w:r>
      <w:r w:rsidRPr="00E04A86">
        <w:rPr>
          <w:rStyle w:val="Strong"/>
          <w:rFonts w:ascii="Times New Roman" w:hAnsi="Times New Roman" w:cs="Times New Roman"/>
          <w:sz w:val="28"/>
          <w:szCs w:val="28"/>
        </w:rPr>
        <w:t>References:</w:t>
      </w:r>
    </w:p>
    <w:p w14:paraId="0C7849F4"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Chow SC, Chang M. Adaptive design methods in clinical trials – a review. </w:t>
      </w:r>
      <w:proofErr w:type="spellStart"/>
      <w:r w:rsidRPr="001E069B">
        <w:rPr>
          <w:rStyle w:val="Emphasis"/>
          <w:rFonts w:ascii="Times New Roman" w:hAnsi="Times New Roman" w:cs="Times New Roman"/>
          <w:sz w:val="24"/>
          <w:szCs w:val="24"/>
        </w:rPr>
        <w:t>Orphanet</w:t>
      </w:r>
      <w:proofErr w:type="spellEnd"/>
      <w:r w:rsidRPr="001E069B">
        <w:rPr>
          <w:rStyle w:val="Emphasis"/>
          <w:rFonts w:ascii="Times New Roman" w:hAnsi="Times New Roman" w:cs="Times New Roman"/>
          <w:sz w:val="24"/>
          <w:szCs w:val="24"/>
        </w:rPr>
        <w:t xml:space="preserve"> J Rare Dis</w:t>
      </w:r>
      <w:r w:rsidRPr="001E069B">
        <w:rPr>
          <w:rFonts w:ascii="Times New Roman" w:hAnsi="Times New Roman" w:cs="Times New Roman"/>
          <w:sz w:val="24"/>
          <w:szCs w:val="24"/>
        </w:rPr>
        <w:t>. 2008</w:t>
      </w:r>
      <w:proofErr w:type="gramStart"/>
      <w:r w:rsidRPr="001E069B">
        <w:rPr>
          <w:rFonts w:ascii="Times New Roman" w:hAnsi="Times New Roman" w:cs="Times New Roman"/>
          <w:sz w:val="24"/>
          <w:szCs w:val="24"/>
        </w:rPr>
        <w:t>;3:11</w:t>
      </w:r>
      <w:proofErr w:type="gramEnd"/>
      <w:r w:rsidRPr="001E069B">
        <w:rPr>
          <w:rFonts w:ascii="Times New Roman" w:hAnsi="Times New Roman" w:cs="Times New Roman"/>
          <w:sz w:val="24"/>
          <w:szCs w:val="24"/>
        </w:rPr>
        <w:t xml:space="preserve">. doi:10.1186/1750-1172-3-11 </w:t>
      </w:r>
    </w:p>
    <w:p w14:paraId="7DB9D002" w14:textId="77777777" w:rsidR="00E04A86" w:rsidRPr="001E069B" w:rsidRDefault="00E04A86" w:rsidP="00E04A86">
      <w:pPr>
        <w:pStyle w:val="ListParagraph"/>
        <w:numPr>
          <w:ilvl w:val="0"/>
          <w:numId w:val="5"/>
        </w:numPr>
        <w:rPr>
          <w:rFonts w:ascii="Times New Roman" w:hAnsi="Times New Roman" w:cs="Times New Roman"/>
          <w:sz w:val="24"/>
          <w:szCs w:val="24"/>
        </w:rPr>
      </w:pPr>
      <w:proofErr w:type="spellStart"/>
      <w:r w:rsidRPr="001E069B">
        <w:rPr>
          <w:rFonts w:ascii="Times New Roman" w:hAnsi="Times New Roman" w:cs="Times New Roman"/>
          <w:sz w:val="24"/>
          <w:szCs w:val="24"/>
        </w:rPr>
        <w:t>Izmailova</w:t>
      </w:r>
      <w:proofErr w:type="spellEnd"/>
      <w:r w:rsidRPr="001E069B">
        <w:rPr>
          <w:rFonts w:ascii="Times New Roman" w:hAnsi="Times New Roman" w:cs="Times New Roman"/>
          <w:sz w:val="24"/>
          <w:szCs w:val="24"/>
        </w:rPr>
        <w:t xml:space="preserve"> ES, Wagner JA, </w:t>
      </w:r>
      <w:proofErr w:type="spellStart"/>
      <w:r w:rsidRPr="001E069B">
        <w:rPr>
          <w:rFonts w:ascii="Times New Roman" w:hAnsi="Times New Roman" w:cs="Times New Roman"/>
          <w:sz w:val="24"/>
          <w:szCs w:val="24"/>
        </w:rPr>
        <w:t>Perakslis</w:t>
      </w:r>
      <w:proofErr w:type="spellEnd"/>
      <w:r w:rsidRPr="001E069B">
        <w:rPr>
          <w:rFonts w:ascii="Times New Roman" w:hAnsi="Times New Roman" w:cs="Times New Roman"/>
          <w:sz w:val="24"/>
          <w:szCs w:val="24"/>
        </w:rPr>
        <w:t xml:space="preserve"> ED. Wearable devices in clinical trials: hype and hypothesis. </w:t>
      </w:r>
      <w:proofErr w:type="spellStart"/>
      <w:r w:rsidRPr="001E069B">
        <w:rPr>
          <w:rStyle w:val="Emphasis"/>
          <w:rFonts w:ascii="Times New Roman" w:hAnsi="Times New Roman" w:cs="Times New Roman"/>
          <w:sz w:val="24"/>
          <w:szCs w:val="24"/>
        </w:rPr>
        <w:t>Clin</w:t>
      </w:r>
      <w:proofErr w:type="spellEnd"/>
      <w:r w:rsidRPr="001E069B">
        <w:rPr>
          <w:rStyle w:val="Emphasis"/>
          <w:rFonts w:ascii="Times New Roman" w:hAnsi="Times New Roman" w:cs="Times New Roman"/>
          <w:sz w:val="24"/>
          <w:szCs w:val="24"/>
        </w:rPr>
        <w:t xml:space="preserve"> </w:t>
      </w:r>
      <w:proofErr w:type="spellStart"/>
      <w:r w:rsidRPr="001E069B">
        <w:rPr>
          <w:rStyle w:val="Emphasis"/>
          <w:rFonts w:ascii="Times New Roman" w:hAnsi="Times New Roman" w:cs="Times New Roman"/>
          <w:sz w:val="24"/>
          <w:szCs w:val="24"/>
        </w:rPr>
        <w:t>Pharmacol</w:t>
      </w:r>
      <w:proofErr w:type="spellEnd"/>
      <w:r w:rsidRPr="001E069B">
        <w:rPr>
          <w:rStyle w:val="Emphasis"/>
          <w:rFonts w:ascii="Times New Roman" w:hAnsi="Times New Roman" w:cs="Times New Roman"/>
          <w:sz w:val="24"/>
          <w:szCs w:val="24"/>
        </w:rPr>
        <w:t xml:space="preserve"> </w:t>
      </w:r>
      <w:proofErr w:type="spellStart"/>
      <w:r w:rsidRPr="001E069B">
        <w:rPr>
          <w:rStyle w:val="Emphasis"/>
          <w:rFonts w:ascii="Times New Roman" w:hAnsi="Times New Roman" w:cs="Times New Roman"/>
          <w:sz w:val="24"/>
          <w:szCs w:val="24"/>
        </w:rPr>
        <w:t>Ther</w:t>
      </w:r>
      <w:proofErr w:type="spellEnd"/>
      <w:r w:rsidRPr="001E069B">
        <w:rPr>
          <w:rFonts w:ascii="Times New Roman" w:hAnsi="Times New Roman" w:cs="Times New Roman"/>
          <w:sz w:val="24"/>
          <w:szCs w:val="24"/>
        </w:rPr>
        <w:t xml:space="preserve">. 2018;104(1):42–52. doi:10.1002/cpt.966 </w:t>
      </w:r>
    </w:p>
    <w:p w14:paraId="5C6DC9AC"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Sherman RE, Anderson SA, Dal Pan GJ, et al. Real-world evidence—what is it and what can it tell us?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2016</w:t>
      </w:r>
      <w:proofErr w:type="gramStart"/>
      <w:r w:rsidRPr="001E069B">
        <w:rPr>
          <w:rFonts w:ascii="Times New Roman" w:hAnsi="Times New Roman" w:cs="Times New Roman"/>
          <w:sz w:val="24"/>
          <w:szCs w:val="24"/>
        </w:rPr>
        <w:t>;375:2293</w:t>
      </w:r>
      <w:proofErr w:type="gramEnd"/>
      <w:r w:rsidRPr="001E069B">
        <w:rPr>
          <w:rFonts w:ascii="Times New Roman" w:hAnsi="Times New Roman" w:cs="Times New Roman"/>
          <w:sz w:val="24"/>
          <w:szCs w:val="24"/>
        </w:rPr>
        <w:t xml:space="preserve">–2297. doi:10.1056/NEJMsb1609216 </w:t>
      </w:r>
    </w:p>
    <w:p w14:paraId="7ADEA984"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International Council for </w:t>
      </w:r>
      <w:proofErr w:type="spellStart"/>
      <w:r w:rsidRPr="001E069B">
        <w:rPr>
          <w:rFonts w:ascii="Times New Roman" w:hAnsi="Times New Roman" w:cs="Times New Roman"/>
          <w:sz w:val="24"/>
          <w:szCs w:val="24"/>
        </w:rPr>
        <w:t>Harmonisation</w:t>
      </w:r>
      <w:proofErr w:type="spellEnd"/>
      <w:r w:rsidRPr="001E069B">
        <w:rPr>
          <w:rFonts w:ascii="Times New Roman" w:hAnsi="Times New Roman" w:cs="Times New Roman"/>
          <w:sz w:val="24"/>
          <w:szCs w:val="24"/>
        </w:rPr>
        <w:t xml:space="preserve"> (ICH). Guideline for Good Clinical Practice E6(R2). 2016. doi:10.1002/0470843948.ch1 </w:t>
      </w:r>
    </w:p>
    <w:p w14:paraId="4B1A2B95"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U.S. FDA. Conduct of Clinical Trials during COVID-19 Pandemic. 2020. doi:10.1001/jama.2020.8869 </w:t>
      </w:r>
    </w:p>
    <w:p w14:paraId="4606CC1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European Medicines Agency. Guideline on computerized systems in clinical trials. 2023. doi:10.1007/s11095-021-03108-6 </w:t>
      </w:r>
    </w:p>
    <w:p w14:paraId="0DCF995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Getz KA, Campo RA. Trial design complexity. </w:t>
      </w:r>
      <w:r w:rsidRPr="001E069B">
        <w:rPr>
          <w:rStyle w:val="Emphasis"/>
          <w:rFonts w:ascii="Times New Roman" w:hAnsi="Times New Roman" w:cs="Times New Roman"/>
          <w:sz w:val="24"/>
          <w:szCs w:val="24"/>
        </w:rPr>
        <w:t xml:space="preserve">Nat Rev Drug </w:t>
      </w:r>
      <w:proofErr w:type="spellStart"/>
      <w:r w:rsidRPr="001E069B">
        <w:rPr>
          <w:rStyle w:val="Emphasis"/>
          <w:rFonts w:ascii="Times New Roman" w:hAnsi="Times New Roman" w:cs="Times New Roman"/>
          <w:sz w:val="24"/>
          <w:szCs w:val="24"/>
        </w:rPr>
        <w:t>Discov</w:t>
      </w:r>
      <w:proofErr w:type="spellEnd"/>
      <w:r w:rsidRPr="001E069B">
        <w:rPr>
          <w:rFonts w:ascii="Times New Roman" w:hAnsi="Times New Roman" w:cs="Times New Roman"/>
          <w:sz w:val="24"/>
          <w:szCs w:val="24"/>
        </w:rPr>
        <w:t>. 2017</w:t>
      </w:r>
      <w:proofErr w:type="gramStart"/>
      <w:r w:rsidRPr="001E069B">
        <w:rPr>
          <w:rFonts w:ascii="Times New Roman" w:hAnsi="Times New Roman" w:cs="Times New Roman"/>
          <w:sz w:val="24"/>
          <w:szCs w:val="24"/>
        </w:rPr>
        <w:t>;16:307</w:t>
      </w:r>
      <w:proofErr w:type="gramEnd"/>
      <w:r w:rsidRPr="001E069B">
        <w:rPr>
          <w:rFonts w:ascii="Times New Roman" w:hAnsi="Times New Roman" w:cs="Times New Roman"/>
          <w:sz w:val="24"/>
          <w:szCs w:val="24"/>
        </w:rPr>
        <w:t xml:space="preserve">. doi:10.1038/nrd.2017.65 </w:t>
      </w:r>
    </w:p>
    <w:p w14:paraId="70399CE7"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Thiers FA, </w:t>
      </w:r>
      <w:proofErr w:type="spellStart"/>
      <w:r w:rsidRPr="001E069B">
        <w:rPr>
          <w:rFonts w:ascii="Times New Roman" w:hAnsi="Times New Roman" w:cs="Times New Roman"/>
          <w:sz w:val="24"/>
          <w:szCs w:val="24"/>
        </w:rPr>
        <w:t>Sinskey</w:t>
      </w:r>
      <w:proofErr w:type="spellEnd"/>
      <w:r w:rsidRPr="001E069B">
        <w:rPr>
          <w:rFonts w:ascii="Times New Roman" w:hAnsi="Times New Roman" w:cs="Times New Roman"/>
          <w:sz w:val="24"/>
          <w:szCs w:val="24"/>
        </w:rPr>
        <w:t xml:space="preserve"> AJ, Berndt ER. Globalization of clinical trials. </w:t>
      </w:r>
      <w:r w:rsidRPr="001E069B">
        <w:rPr>
          <w:rStyle w:val="Emphasis"/>
          <w:rFonts w:ascii="Times New Roman" w:hAnsi="Times New Roman" w:cs="Times New Roman"/>
          <w:sz w:val="24"/>
          <w:szCs w:val="24"/>
        </w:rPr>
        <w:t xml:space="preserve">Nat Rev Drug </w:t>
      </w:r>
      <w:proofErr w:type="spellStart"/>
      <w:r w:rsidRPr="001E069B">
        <w:rPr>
          <w:rStyle w:val="Emphasis"/>
          <w:rFonts w:ascii="Times New Roman" w:hAnsi="Times New Roman" w:cs="Times New Roman"/>
          <w:sz w:val="24"/>
          <w:szCs w:val="24"/>
        </w:rPr>
        <w:t>Discov</w:t>
      </w:r>
      <w:proofErr w:type="spellEnd"/>
      <w:r w:rsidRPr="001E069B">
        <w:rPr>
          <w:rFonts w:ascii="Times New Roman" w:hAnsi="Times New Roman" w:cs="Times New Roman"/>
          <w:sz w:val="24"/>
          <w:szCs w:val="24"/>
        </w:rPr>
        <w:t>. 2008</w:t>
      </w:r>
      <w:proofErr w:type="gramStart"/>
      <w:r w:rsidRPr="001E069B">
        <w:rPr>
          <w:rFonts w:ascii="Times New Roman" w:hAnsi="Times New Roman" w:cs="Times New Roman"/>
          <w:sz w:val="24"/>
          <w:szCs w:val="24"/>
        </w:rPr>
        <w:t>;7:13</w:t>
      </w:r>
      <w:proofErr w:type="gramEnd"/>
      <w:r w:rsidRPr="001E069B">
        <w:rPr>
          <w:rFonts w:ascii="Times New Roman" w:hAnsi="Times New Roman" w:cs="Times New Roman"/>
          <w:sz w:val="24"/>
          <w:szCs w:val="24"/>
        </w:rPr>
        <w:t xml:space="preserve">–14. doi:10.1038/nrd2441 </w:t>
      </w:r>
    </w:p>
    <w:p w14:paraId="6D453A02"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Polack FP, Thomas SJ, </w:t>
      </w:r>
      <w:proofErr w:type="spellStart"/>
      <w:r w:rsidRPr="001E069B">
        <w:rPr>
          <w:rFonts w:ascii="Times New Roman" w:hAnsi="Times New Roman" w:cs="Times New Roman"/>
          <w:sz w:val="24"/>
          <w:szCs w:val="24"/>
        </w:rPr>
        <w:t>Kitchin</w:t>
      </w:r>
      <w:proofErr w:type="spellEnd"/>
      <w:r w:rsidRPr="001E069B">
        <w:rPr>
          <w:rFonts w:ascii="Times New Roman" w:hAnsi="Times New Roman" w:cs="Times New Roman"/>
          <w:sz w:val="24"/>
          <w:szCs w:val="24"/>
        </w:rPr>
        <w:t xml:space="preserve"> N, et al. COVID-19 vaccine trial.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2020</w:t>
      </w:r>
      <w:proofErr w:type="gramStart"/>
      <w:r w:rsidRPr="001E069B">
        <w:rPr>
          <w:rFonts w:ascii="Times New Roman" w:hAnsi="Times New Roman" w:cs="Times New Roman"/>
          <w:sz w:val="24"/>
          <w:szCs w:val="24"/>
        </w:rPr>
        <w:t>;383:2603</w:t>
      </w:r>
      <w:proofErr w:type="gramEnd"/>
      <w:r w:rsidRPr="001E069B">
        <w:rPr>
          <w:rFonts w:ascii="Times New Roman" w:hAnsi="Times New Roman" w:cs="Times New Roman"/>
          <w:sz w:val="24"/>
          <w:szCs w:val="24"/>
        </w:rPr>
        <w:t xml:space="preserve">–2615. doi:10.1056/NEJMoa2034577 </w:t>
      </w:r>
    </w:p>
    <w:p w14:paraId="13CF54BE" w14:textId="77777777" w:rsidR="00E04A86" w:rsidRPr="001E069B" w:rsidRDefault="00E04A86" w:rsidP="00E04A86">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Booth CM, Karim S, Mackillop WJ. Real-world data in oncology. </w:t>
      </w:r>
      <w:r w:rsidRPr="001E069B">
        <w:rPr>
          <w:rStyle w:val="Emphasis"/>
          <w:rFonts w:ascii="Times New Roman" w:hAnsi="Times New Roman" w:cs="Times New Roman"/>
          <w:sz w:val="24"/>
          <w:szCs w:val="24"/>
        </w:rPr>
        <w:t>Nat Rev Clin Oncol</w:t>
      </w:r>
      <w:r w:rsidRPr="001E069B">
        <w:rPr>
          <w:rFonts w:ascii="Times New Roman" w:hAnsi="Times New Roman" w:cs="Times New Roman"/>
          <w:sz w:val="24"/>
          <w:szCs w:val="24"/>
        </w:rPr>
        <w:t>. 2019</w:t>
      </w:r>
      <w:proofErr w:type="gramStart"/>
      <w:r w:rsidRPr="001E069B">
        <w:rPr>
          <w:rFonts w:ascii="Times New Roman" w:hAnsi="Times New Roman" w:cs="Times New Roman"/>
          <w:sz w:val="24"/>
          <w:szCs w:val="24"/>
        </w:rPr>
        <w:t>;16:312</w:t>
      </w:r>
      <w:proofErr w:type="gramEnd"/>
      <w:r w:rsidRPr="001E069B">
        <w:rPr>
          <w:rFonts w:ascii="Times New Roman" w:hAnsi="Times New Roman" w:cs="Times New Roman"/>
          <w:sz w:val="24"/>
          <w:szCs w:val="24"/>
        </w:rPr>
        <w:t xml:space="preserve">–325. doi:10.1038/s41571-018-0117-9 </w:t>
      </w:r>
    </w:p>
    <w:p w14:paraId="0EF13A4B" w14:textId="5A6F1441" w:rsidR="00F63D2E" w:rsidRPr="001E069B" w:rsidRDefault="00E04A86" w:rsidP="00CB6911">
      <w:pPr>
        <w:pStyle w:val="ListParagraph"/>
        <w:numPr>
          <w:ilvl w:val="0"/>
          <w:numId w:val="5"/>
        </w:numPr>
        <w:rPr>
          <w:rFonts w:ascii="Times New Roman" w:hAnsi="Times New Roman" w:cs="Times New Roman"/>
          <w:sz w:val="24"/>
          <w:szCs w:val="24"/>
        </w:rPr>
      </w:pPr>
      <w:r w:rsidRPr="001E069B">
        <w:rPr>
          <w:rFonts w:ascii="Times New Roman" w:hAnsi="Times New Roman" w:cs="Times New Roman"/>
          <w:sz w:val="24"/>
          <w:szCs w:val="24"/>
        </w:rPr>
        <w:t xml:space="preserve">Dorsey ER, </w:t>
      </w:r>
      <w:proofErr w:type="spellStart"/>
      <w:r w:rsidRPr="001E069B">
        <w:rPr>
          <w:rFonts w:ascii="Times New Roman" w:hAnsi="Times New Roman" w:cs="Times New Roman"/>
          <w:sz w:val="24"/>
          <w:szCs w:val="24"/>
        </w:rPr>
        <w:t>Topol</w:t>
      </w:r>
      <w:proofErr w:type="spellEnd"/>
      <w:r w:rsidRPr="001E069B">
        <w:rPr>
          <w:rFonts w:ascii="Times New Roman" w:hAnsi="Times New Roman" w:cs="Times New Roman"/>
          <w:sz w:val="24"/>
          <w:szCs w:val="24"/>
        </w:rPr>
        <w:t xml:space="preserve"> EJ. Telehealth in clinical research. </w:t>
      </w:r>
      <w:r w:rsidRPr="001E069B">
        <w:rPr>
          <w:rStyle w:val="Emphasis"/>
          <w:rFonts w:ascii="Times New Roman" w:hAnsi="Times New Roman" w:cs="Times New Roman"/>
          <w:sz w:val="24"/>
          <w:szCs w:val="24"/>
        </w:rPr>
        <w:t xml:space="preserve">N </w:t>
      </w:r>
      <w:proofErr w:type="spellStart"/>
      <w:r w:rsidRPr="001E069B">
        <w:rPr>
          <w:rStyle w:val="Emphasis"/>
          <w:rFonts w:ascii="Times New Roman" w:hAnsi="Times New Roman" w:cs="Times New Roman"/>
          <w:sz w:val="24"/>
          <w:szCs w:val="24"/>
        </w:rPr>
        <w:t>Engl</w:t>
      </w:r>
      <w:proofErr w:type="spellEnd"/>
      <w:r w:rsidRPr="001E069B">
        <w:rPr>
          <w:rStyle w:val="Emphasis"/>
          <w:rFonts w:ascii="Times New Roman" w:hAnsi="Times New Roman" w:cs="Times New Roman"/>
          <w:sz w:val="24"/>
          <w:szCs w:val="24"/>
        </w:rPr>
        <w:t xml:space="preserve"> J Med</w:t>
      </w:r>
      <w:r w:rsidRPr="001E069B">
        <w:rPr>
          <w:rFonts w:ascii="Times New Roman" w:hAnsi="Times New Roman" w:cs="Times New Roman"/>
          <w:sz w:val="24"/>
          <w:szCs w:val="24"/>
        </w:rPr>
        <w:t>. 2016</w:t>
      </w:r>
      <w:proofErr w:type="gramStart"/>
      <w:r w:rsidRPr="001E069B">
        <w:rPr>
          <w:rFonts w:ascii="Times New Roman" w:hAnsi="Times New Roman" w:cs="Times New Roman"/>
          <w:sz w:val="24"/>
          <w:szCs w:val="24"/>
        </w:rPr>
        <w:t>;375:154</w:t>
      </w:r>
      <w:proofErr w:type="gramEnd"/>
      <w:r w:rsidRPr="001E069B">
        <w:rPr>
          <w:rFonts w:ascii="Times New Roman" w:hAnsi="Times New Roman" w:cs="Times New Roman"/>
          <w:sz w:val="24"/>
          <w:szCs w:val="24"/>
        </w:rPr>
        <w:t>–161. doi:10.1056/NEJMra1601705</w:t>
      </w:r>
    </w:p>
    <w:sectPr w:rsidR="00F63D2E" w:rsidRPr="001E069B" w:rsidSect="00E04A8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F7C7E"/>
    <w:multiLevelType w:val="multilevel"/>
    <w:tmpl w:val="7EDC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76D0D"/>
    <w:multiLevelType w:val="multilevel"/>
    <w:tmpl w:val="D9D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2339D"/>
    <w:multiLevelType w:val="multilevel"/>
    <w:tmpl w:val="A896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00077"/>
    <w:multiLevelType w:val="multilevel"/>
    <w:tmpl w:val="157C8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CD08DE"/>
    <w:multiLevelType w:val="hybridMultilevel"/>
    <w:tmpl w:val="9D880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86"/>
    <w:rsid w:val="001E069B"/>
    <w:rsid w:val="0050578A"/>
    <w:rsid w:val="00CC65D5"/>
    <w:rsid w:val="00E04A86"/>
    <w:rsid w:val="00F63D2E"/>
    <w:rsid w:val="00F7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04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4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A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4A86"/>
    <w:rPr>
      <w:rFonts w:ascii="Times New Roman" w:eastAsia="Times New Roman" w:hAnsi="Times New Roman" w:cs="Times New Roman"/>
      <w:b/>
      <w:bCs/>
      <w:sz w:val="27"/>
      <w:szCs w:val="27"/>
    </w:rPr>
  </w:style>
  <w:style w:type="character" w:styleId="Strong">
    <w:name w:val="Strong"/>
    <w:basedOn w:val="DefaultParagraphFont"/>
    <w:uiPriority w:val="22"/>
    <w:qFormat/>
    <w:rsid w:val="00E04A86"/>
    <w:rPr>
      <w:b/>
      <w:bCs/>
    </w:rPr>
  </w:style>
  <w:style w:type="paragraph" w:styleId="NormalWeb">
    <w:name w:val="Normal (Web)"/>
    <w:basedOn w:val="Normal"/>
    <w:uiPriority w:val="99"/>
    <w:unhideWhenUsed/>
    <w:rsid w:val="00E04A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4A86"/>
    <w:rPr>
      <w:i/>
      <w:iCs/>
    </w:rPr>
  </w:style>
  <w:style w:type="character" w:customStyle="1" w:styleId="Heading1Char">
    <w:name w:val="Heading 1 Char"/>
    <w:basedOn w:val="DefaultParagraphFont"/>
    <w:link w:val="Heading1"/>
    <w:uiPriority w:val="9"/>
    <w:rsid w:val="00E04A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04A86"/>
    <w:pPr>
      <w:ind w:left="720"/>
      <w:contextualSpacing/>
    </w:pPr>
  </w:style>
  <w:style w:type="paragraph" w:styleId="NoSpacing">
    <w:name w:val="No Spacing"/>
    <w:uiPriority w:val="1"/>
    <w:qFormat/>
    <w:rsid w:val="00E04A86"/>
    <w:pPr>
      <w:spacing w:after="0" w:line="240" w:lineRule="auto"/>
    </w:pPr>
    <w:rPr>
      <w:szCs w:val="20"/>
      <w:lang w:val="en-IN" w:bidi="hi-IN"/>
    </w:rPr>
  </w:style>
  <w:style w:type="table" w:styleId="TableGrid">
    <w:name w:val="Table Grid"/>
    <w:basedOn w:val="TableNormal"/>
    <w:uiPriority w:val="39"/>
    <w:rsid w:val="00E04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CC65D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04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4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4A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4A86"/>
    <w:rPr>
      <w:rFonts w:ascii="Times New Roman" w:eastAsia="Times New Roman" w:hAnsi="Times New Roman" w:cs="Times New Roman"/>
      <w:b/>
      <w:bCs/>
      <w:sz w:val="27"/>
      <w:szCs w:val="27"/>
    </w:rPr>
  </w:style>
  <w:style w:type="character" w:styleId="Strong">
    <w:name w:val="Strong"/>
    <w:basedOn w:val="DefaultParagraphFont"/>
    <w:uiPriority w:val="22"/>
    <w:qFormat/>
    <w:rsid w:val="00E04A86"/>
    <w:rPr>
      <w:b/>
      <w:bCs/>
    </w:rPr>
  </w:style>
  <w:style w:type="paragraph" w:styleId="NormalWeb">
    <w:name w:val="Normal (Web)"/>
    <w:basedOn w:val="Normal"/>
    <w:uiPriority w:val="99"/>
    <w:unhideWhenUsed/>
    <w:rsid w:val="00E04A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4A86"/>
    <w:rPr>
      <w:i/>
      <w:iCs/>
    </w:rPr>
  </w:style>
  <w:style w:type="character" w:customStyle="1" w:styleId="Heading1Char">
    <w:name w:val="Heading 1 Char"/>
    <w:basedOn w:val="DefaultParagraphFont"/>
    <w:link w:val="Heading1"/>
    <w:uiPriority w:val="9"/>
    <w:rsid w:val="00E04A8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04A86"/>
    <w:pPr>
      <w:ind w:left="720"/>
      <w:contextualSpacing/>
    </w:pPr>
  </w:style>
  <w:style w:type="paragraph" w:styleId="NoSpacing">
    <w:name w:val="No Spacing"/>
    <w:uiPriority w:val="1"/>
    <w:qFormat/>
    <w:rsid w:val="00E04A86"/>
    <w:pPr>
      <w:spacing w:after="0" w:line="240" w:lineRule="auto"/>
    </w:pPr>
    <w:rPr>
      <w:szCs w:val="20"/>
      <w:lang w:val="en-IN" w:bidi="hi-IN"/>
    </w:rPr>
  </w:style>
  <w:style w:type="table" w:styleId="TableGrid">
    <w:name w:val="Table Grid"/>
    <w:basedOn w:val="TableNormal"/>
    <w:uiPriority w:val="39"/>
    <w:rsid w:val="00E04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CC65D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19940">
      <w:bodyDiv w:val="1"/>
      <w:marLeft w:val="0"/>
      <w:marRight w:val="0"/>
      <w:marTop w:val="0"/>
      <w:marBottom w:val="0"/>
      <w:divBdr>
        <w:top w:val="none" w:sz="0" w:space="0" w:color="auto"/>
        <w:left w:val="none" w:sz="0" w:space="0" w:color="auto"/>
        <w:bottom w:val="none" w:sz="0" w:space="0" w:color="auto"/>
        <w:right w:val="none" w:sz="0" w:space="0" w:color="auto"/>
      </w:divBdr>
    </w:div>
    <w:div w:id="785318320">
      <w:bodyDiv w:val="1"/>
      <w:marLeft w:val="0"/>
      <w:marRight w:val="0"/>
      <w:marTop w:val="0"/>
      <w:marBottom w:val="0"/>
      <w:divBdr>
        <w:top w:val="none" w:sz="0" w:space="0" w:color="auto"/>
        <w:left w:val="none" w:sz="0" w:space="0" w:color="auto"/>
        <w:bottom w:val="none" w:sz="0" w:space="0" w:color="auto"/>
        <w:right w:val="none" w:sz="0" w:space="0" w:color="auto"/>
      </w:divBdr>
    </w:div>
    <w:div w:id="860436506">
      <w:bodyDiv w:val="1"/>
      <w:marLeft w:val="0"/>
      <w:marRight w:val="0"/>
      <w:marTop w:val="0"/>
      <w:marBottom w:val="0"/>
      <w:divBdr>
        <w:top w:val="none" w:sz="0" w:space="0" w:color="auto"/>
        <w:left w:val="none" w:sz="0" w:space="0" w:color="auto"/>
        <w:bottom w:val="none" w:sz="0" w:space="0" w:color="auto"/>
        <w:right w:val="none" w:sz="0" w:space="0" w:color="auto"/>
      </w:divBdr>
    </w:div>
    <w:div w:id="882786277">
      <w:bodyDiv w:val="1"/>
      <w:marLeft w:val="0"/>
      <w:marRight w:val="0"/>
      <w:marTop w:val="0"/>
      <w:marBottom w:val="0"/>
      <w:divBdr>
        <w:top w:val="none" w:sz="0" w:space="0" w:color="auto"/>
        <w:left w:val="none" w:sz="0" w:space="0" w:color="auto"/>
        <w:bottom w:val="none" w:sz="0" w:space="0" w:color="auto"/>
        <w:right w:val="none" w:sz="0" w:space="0" w:color="auto"/>
      </w:divBdr>
    </w:div>
    <w:div w:id="1337924848">
      <w:bodyDiv w:val="1"/>
      <w:marLeft w:val="0"/>
      <w:marRight w:val="0"/>
      <w:marTop w:val="0"/>
      <w:marBottom w:val="0"/>
      <w:divBdr>
        <w:top w:val="none" w:sz="0" w:space="0" w:color="auto"/>
        <w:left w:val="none" w:sz="0" w:space="0" w:color="auto"/>
        <w:bottom w:val="none" w:sz="0" w:space="0" w:color="auto"/>
        <w:right w:val="none" w:sz="0" w:space="0" w:color="auto"/>
      </w:divBdr>
    </w:div>
    <w:div w:id="1510101691">
      <w:bodyDiv w:val="1"/>
      <w:marLeft w:val="0"/>
      <w:marRight w:val="0"/>
      <w:marTop w:val="0"/>
      <w:marBottom w:val="0"/>
      <w:divBdr>
        <w:top w:val="none" w:sz="0" w:space="0" w:color="auto"/>
        <w:left w:val="none" w:sz="0" w:space="0" w:color="auto"/>
        <w:bottom w:val="none" w:sz="0" w:space="0" w:color="auto"/>
        <w:right w:val="none" w:sz="0" w:space="0" w:color="auto"/>
      </w:divBdr>
    </w:div>
    <w:div w:id="1639412332">
      <w:bodyDiv w:val="1"/>
      <w:marLeft w:val="0"/>
      <w:marRight w:val="0"/>
      <w:marTop w:val="0"/>
      <w:marBottom w:val="0"/>
      <w:divBdr>
        <w:top w:val="none" w:sz="0" w:space="0" w:color="auto"/>
        <w:left w:val="none" w:sz="0" w:space="0" w:color="auto"/>
        <w:bottom w:val="none" w:sz="0" w:space="0" w:color="auto"/>
        <w:right w:val="none" w:sz="0" w:space="0" w:color="auto"/>
      </w:divBdr>
    </w:div>
    <w:div w:id="20815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75C6-F753-477E-93F9-AFA1B12F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qwert</cp:lastModifiedBy>
  <cp:revision>2</cp:revision>
  <dcterms:created xsi:type="dcterms:W3CDTF">2026-04-17T10:25:00Z</dcterms:created>
  <dcterms:modified xsi:type="dcterms:W3CDTF">2026-04-18T08:54:00Z</dcterms:modified>
</cp:coreProperties>
</file>