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B07B8" w14:textId="77777777" w:rsidR="00067356" w:rsidRDefault="00067356">
      <w:pPr>
        <w:spacing w:before="80" w:after="80"/>
      </w:pPr>
    </w:p>
    <w:p w14:paraId="4193F416" w14:textId="77777777" w:rsidR="00067356" w:rsidRDefault="007000B3">
      <w:pPr>
        <w:spacing w:before="80" w:after="80"/>
      </w:pPr>
      <w:r>
        <w:t xml:space="preserve"> </w:t>
      </w:r>
    </w:p>
    <w:p w14:paraId="6407CC74" w14:textId="7E9048C4" w:rsidR="00067356" w:rsidRDefault="00067356">
      <w:pPr>
        <w:spacing w:before="120" w:after="120"/>
        <w:jc w:val="center"/>
      </w:pPr>
    </w:p>
    <w:p w14:paraId="1A3B5D87" w14:textId="77777777" w:rsidR="00067356" w:rsidRDefault="007000B3">
      <w:pPr>
        <w:spacing w:before="80" w:after="80"/>
      </w:pPr>
      <w:r>
        <w:t xml:space="preserve"> </w:t>
      </w:r>
    </w:p>
    <w:p w14:paraId="727FC048" w14:textId="77777777" w:rsidR="00067356" w:rsidRDefault="007000B3">
      <w:pPr>
        <w:spacing w:before="200" w:after="60"/>
        <w:jc w:val="center"/>
      </w:pPr>
      <w:r>
        <w:rPr>
          <w:rFonts w:ascii="Arial" w:eastAsia="Arial" w:hAnsi="Arial" w:cs="Arial"/>
          <w:b/>
          <w:bCs/>
          <w:color w:val="1F4E79"/>
          <w:sz w:val="32"/>
          <w:szCs w:val="32"/>
        </w:rPr>
        <w:t>EMPOWERING SOCIAL WORKERS TO SUPPORT DEAF/MUTE INDIVIDUALS ACROSS GENERATIONS:</w:t>
      </w:r>
    </w:p>
    <w:p w14:paraId="2A008BDC" w14:textId="77777777" w:rsidR="00067356" w:rsidRDefault="007000B3">
      <w:pPr>
        <w:spacing w:before="60" w:after="300"/>
        <w:jc w:val="center"/>
      </w:pPr>
      <w:r>
        <w:rPr>
          <w:rFonts w:ascii="Arial" w:eastAsia="Arial" w:hAnsi="Arial" w:cs="Arial"/>
          <w:b/>
          <w:bCs/>
          <w:color w:val="1F4E79"/>
          <w:sz w:val="32"/>
          <w:szCs w:val="32"/>
        </w:rPr>
        <w:t>A CONTEMPORARY PSYCHOLOGICAL AND SOCIAL WORK PERSPECTIVE</w:t>
      </w:r>
    </w:p>
    <w:p w14:paraId="72023A94" w14:textId="77777777" w:rsidR="00067356" w:rsidRDefault="007000B3">
      <w:pPr>
        <w:spacing w:before="80" w:after="80"/>
      </w:pPr>
      <w:r>
        <w:t xml:space="preserve"> </w:t>
      </w:r>
    </w:p>
    <w:p w14:paraId="5A8E40CA" w14:textId="77777777" w:rsidR="00067356" w:rsidRDefault="007000B3">
      <w:pPr>
        <w:spacing w:before="80" w:after="80"/>
      </w:pPr>
      <w:r>
        <w:t xml:space="preserve"> </w:t>
      </w:r>
    </w:p>
    <w:p w14:paraId="1E587D7F" w14:textId="77777777" w:rsidR="00067356" w:rsidRDefault="007000B3">
      <w:pPr>
        <w:spacing w:before="80" w:after="80"/>
      </w:pPr>
      <w:r>
        <w:t xml:space="preserve"> </w:t>
      </w:r>
    </w:p>
    <w:p w14:paraId="43D32B22" w14:textId="77777777" w:rsidR="00067356" w:rsidRDefault="007000B3">
      <w:pPr>
        <w:spacing w:before="80" w:after="80"/>
      </w:pPr>
      <w:r>
        <w:t xml:space="preserve"> </w:t>
      </w:r>
    </w:p>
    <w:p w14:paraId="172A8175" w14:textId="77777777" w:rsidR="00067356" w:rsidRDefault="007000B3">
      <w:pPr>
        <w:pStyle w:val="Heading1"/>
      </w:pPr>
      <w:r>
        <w:t>ABSTRACT</w:t>
      </w:r>
    </w:p>
    <w:p w14:paraId="54B531A1" w14:textId="77777777" w:rsidR="00067356" w:rsidRDefault="007000B3">
      <w:pPr>
        <w:spacing w:before="120" w:after="120" w:line="360" w:lineRule="auto"/>
        <w:jc w:val="both"/>
      </w:pPr>
      <w:r>
        <w:t>Deaf and mute individuals in India and across the globe face a multidimensional set of challenges that transcend the limitations of hearing or speech impairments alone. These challenges encompass social, educational, psychological, economic, and intersectional dimensions that vary considerably across generational cohorts. Despite significant legislative advances, including India's landmark Rights of Persons with Disabilities (RPWDA) Act 2016, a persistent and critical gap remains in the effective empowerment of social workers to provide comprehensive, generation-specific, and culturally competent support to deaf and mute populations.</w:t>
      </w:r>
    </w:p>
    <w:p w14:paraId="463DDC4F" w14:textId="77777777" w:rsidR="00067356" w:rsidRDefault="007000B3">
      <w:pPr>
        <w:spacing w:before="120" w:after="120" w:line="360" w:lineRule="auto"/>
        <w:jc w:val="both"/>
      </w:pPr>
      <w:r>
        <w:t>This study explores the role of social workers in empowering deaf/mute individuals by integrating contemporary psychological principles with evidence-based social work practices. Particular emphasis is placed on understanding generational differences in coping mechanisms, access to resources, social integration pathways, and mental health outcomes. The research further investigates the transformative role played by the Indian Sign Language Research and Training Centre (ISLRTC) in standardizing and promoting Indian Sign Language (ISL) as a bridge between deaf communities and the broader hearing society.</w:t>
      </w:r>
    </w:p>
    <w:p w14:paraId="4E398EFA" w14:textId="77777777" w:rsidR="00067356" w:rsidRDefault="007000B3">
      <w:pPr>
        <w:spacing w:before="120" w:after="120" w:line="360" w:lineRule="auto"/>
        <w:jc w:val="both"/>
      </w:pPr>
      <w:r>
        <w:lastRenderedPageBreak/>
        <w:t>Psychological resilience emerges as a central unifying theme throughout this research. The study examines how personal traits, family dynamics, peer support systems, community networks, and professional interventions collectively shape the resilience capacities of deaf/mute individuals across generations. Special attention is directed to the factors that differentiate resilient from non-resilient adaptation trajectories, with a view to identifying leverage points for social work intervention.</w:t>
      </w:r>
    </w:p>
    <w:p w14:paraId="112EE337" w14:textId="77777777" w:rsidR="00067356" w:rsidRDefault="007000B3">
      <w:pPr>
        <w:spacing w:before="120" w:after="120" w:line="360" w:lineRule="auto"/>
        <w:jc w:val="both"/>
      </w:pPr>
      <w:r>
        <w:t>The research adopts a mixed-method design, combining quantitative surveys with qualitative interviews and focus group discussions. The sample encompasses social workers, deaf/mute individuals across three generational cohorts, and their family members drawn from both urban and rural settings across three Indian states. The study also critically examines the intersectionality of disability with gender, caste, religion, and socioeconomic status in the Indian context, offering perspectives that are largely absent from existing literature.</w:t>
      </w:r>
    </w:p>
    <w:p w14:paraId="4ECF7904" w14:textId="77777777" w:rsidR="00067356" w:rsidRDefault="007000B3">
      <w:pPr>
        <w:spacing w:before="120" w:after="120" w:line="360" w:lineRule="auto"/>
        <w:jc w:val="both"/>
      </w:pPr>
      <w:r>
        <w:t>The ultimate goal is to develop an evidence-based framework for training and deploying culturally competent, psychologically informed social workers who can serve as catalysts for the inclusion, resilience, and comprehensive well-being of deaf/mute individuals. The findings are expected to inform social work training curricula, disability policy formulation, ISLRTC program development, and community-based rehabilitation practice.</w:t>
      </w:r>
    </w:p>
    <w:p w14:paraId="08626599" w14:textId="77777777" w:rsidR="00067356" w:rsidRDefault="007000B3">
      <w:pPr>
        <w:spacing w:before="80" w:after="80"/>
      </w:pPr>
      <w:r>
        <w:t xml:space="preserve"> </w:t>
      </w:r>
    </w:p>
    <w:p w14:paraId="41E05B93" w14:textId="77777777" w:rsidR="00067356" w:rsidRDefault="007000B3">
      <w:pPr>
        <w:spacing w:before="120" w:after="120" w:line="360" w:lineRule="auto"/>
        <w:jc w:val="both"/>
      </w:pPr>
      <w:r>
        <w:rPr>
          <w:i/>
          <w:iCs/>
        </w:rPr>
        <w:t>Keywords: Deaf/Mute Empowerment, Social Work, Indian Sign Language, ISLRTC, Psychological Resilience, Intergenerational Support, Disability Rights in India, Mental Health, Inclusive Practices, Community-Based Rehabilitation, Intersectionality.</w:t>
      </w:r>
    </w:p>
    <w:p w14:paraId="5725EAB2" w14:textId="77777777" w:rsidR="00067356" w:rsidRDefault="007000B3">
      <w:r>
        <w:br w:type="page"/>
      </w:r>
    </w:p>
    <w:p w14:paraId="64A995C3" w14:textId="77777777" w:rsidR="00067356" w:rsidRDefault="007000B3">
      <w:pPr>
        <w:pStyle w:val="Heading1"/>
      </w:pPr>
      <w:r>
        <w:lastRenderedPageBreak/>
        <w:t>CHAPTER 1: INTRODUCTION</w:t>
      </w:r>
    </w:p>
    <w:p w14:paraId="58E357A5" w14:textId="77777777" w:rsidR="00067356" w:rsidRDefault="007000B3">
      <w:pPr>
        <w:pStyle w:val="Heading2"/>
      </w:pPr>
      <w:r>
        <w:t>1.1 Background and Context</w:t>
      </w:r>
    </w:p>
    <w:p w14:paraId="24A62DCF" w14:textId="77777777" w:rsidR="00067356" w:rsidRDefault="007000B3">
      <w:pPr>
        <w:spacing w:before="120" w:after="120" w:line="360" w:lineRule="auto"/>
        <w:jc w:val="both"/>
      </w:pPr>
      <w:r>
        <w:t>The social and psychological landscape of disability in India is shaped by a complex interplay of cultural traditions, policy frameworks, economic realities, and community attitudes that have evolved over centuries. Among the most vulnerable yet least served populations within the disability domain are deaf and mute individuals -- a group that experiences a unique intersection of sensory impairment, communicative isolation, and systemic exclusion. According to the Census of India 2011, approximately 5.07 million people reported hearing disabilities, making it one of the most prevalent disability categories nationally. Disability rights organizations estimate the actual number to be considerably higher, owing to chronic underreporting of disability in rural, tribal, and marginalized communities where stigma, limited health literacy, and inadequate assessment infrastructure prevent accurate enumeration.</w:t>
      </w:r>
    </w:p>
    <w:p w14:paraId="16382203" w14:textId="77777777" w:rsidR="00067356" w:rsidRDefault="007000B3">
      <w:pPr>
        <w:spacing w:before="120" w:after="120" w:line="360" w:lineRule="auto"/>
        <w:jc w:val="both"/>
      </w:pPr>
      <w:r>
        <w:t xml:space="preserve">The role of social workers in supporting individuals with disabilities has evolved significantly over recent decades, reflecting broader societal shifts toward inclusivity, equity, and empowerment. Internationally, the adoption of the UN Convention on the Rights of Persons with Disabilities (UNCRPD) in 2006 and its ratification by India in 2007 marked a fundamental shift in the conceptualization of disability -- from a welfare or charity paradigm to a human rights paradigm that </w:t>
      </w:r>
      <w:proofErr w:type="spellStart"/>
      <w:r>
        <w:t>centers</w:t>
      </w:r>
      <w:proofErr w:type="spellEnd"/>
      <w:r>
        <w:t xml:space="preserve"> the agency, autonomy, and dignity of persons with disabilities. Social workers serve as frontline practitioners who occupy a crucial position in mediating the complex challenges that deaf and mute clients face: navigating inaccessible healthcare systems, advocating for education and employment rights, facilitating communication with hearing institutions, and providing psychosocial support for the mental health challenges that disproportionately affect deaf/mute populations.</w:t>
      </w:r>
    </w:p>
    <w:p w14:paraId="027D8F55" w14:textId="77777777" w:rsidR="00067356" w:rsidRDefault="007000B3">
      <w:pPr>
        <w:spacing w:before="120" w:after="120" w:line="360" w:lineRule="auto"/>
        <w:jc w:val="both"/>
      </w:pPr>
      <w:r>
        <w:t xml:space="preserve">Despite this critical role, research consistently indicates that a large proportion of social work professionals in India lack adequate training in sign language, deaf culture, and disability-specific psychological interventions. </w:t>
      </w:r>
    </w:p>
    <w:p w14:paraId="25F052DF" w14:textId="77777777" w:rsidR="00067356" w:rsidRDefault="00067356">
      <w:pPr>
        <w:spacing w:before="120" w:after="120" w:line="360" w:lineRule="auto"/>
        <w:jc w:val="both"/>
      </w:pPr>
    </w:p>
    <w:p w14:paraId="0FA80830" w14:textId="77777777" w:rsidR="00067356" w:rsidRDefault="007000B3">
      <w:pPr>
        <w:spacing w:before="120" w:after="120" w:line="360" w:lineRule="auto"/>
        <w:jc w:val="both"/>
      </w:pPr>
      <w:r>
        <w:lastRenderedPageBreak/>
        <w:t>A survey conducted by the National Association of Social Workers India (NASW-India) in 2019 found that fewer than 15% of social workers employed in disability services reported any formal training in Indian Sign Language, and fewer than 25% reported familiarity with deaf cultural norms and community dynamics. This training deficit translates directly into service gaps that affect millions of deaf/mute individuals and their families across India.</w:t>
      </w:r>
    </w:p>
    <w:p w14:paraId="3C4ED561" w14:textId="77777777" w:rsidR="00067356" w:rsidRDefault="007000B3">
      <w:pPr>
        <w:pStyle w:val="Heading2"/>
      </w:pPr>
      <w:r>
        <w:t>1.2 The Indian Context: Scale and Diversity</w:t>
      </w:r>
    </w:p>
    <w:p w14:paraId="375CD011" w14:textId="77777777" w:rsidR="00067356" w:rsidRDefault="007000B3">
      <w:pPr>
        <w:spacing w:before="120" w:after="120" w:line="360" w:lineRule="auto"/>
        <w:jc w:val="both"/>
      </w:pPr>
      <w:r>
        <w:t xml:space="preserve">India presents a uniquely complex context for the study of deaf/mute populations due to the country's vast linguistic diversity, regional variations in disability attitudes, and the coexistence of modern policy frameworks with deeply entrenched traditional social structures. The enactment of the Rights of Persons with Disabilities (RPWDA) Act 2016 marked a transformative shift in India's approach -- moving from a welfare-based to a rights-based paradigm and expanding recognized disability categories from 7 to 21, with explicit recognition of hearing impairment, speech and language disability, and </w:t>
      </w:r>
      <w:proofErr w:type="spellStart"/>
      <w:r>
        <w:t>deafblindness</w:t>
      </w:r>
      <w:proofErr w:type="spellEnd"/>
      <w:r>
        <w:t xml:space="preserve"> as distinct categories deserving specific legal protections.</w:t>
      </w:r>
    </w:p>
    <w:p w14:paraId="7EA6F03E" w14:textId="77777777" w:rsidR="00067356" w:rsidRDefault="007000B3">
      <w:pPr>
        <w:spacing w:before="120" w:after="120" w:line="360" w:lineRule="auto"/>
        <w:jc w:val="both"/>
      </w:pPr>
      <w:r>
        <w:t>Despite these legislative advances, implementation challenges are formidable. The National Sample Survey (NSS) 76th Round on Persons with Disabilities (2018) estimated that only 22% of hearing-disabled individuals in India had received any disability-related services in the previous year -- a figure that drops to 11% in rural areas. This service gap reflects systemic failures at multiple levels: shortage of trained sign language interpreters, absence of disability-responsive infrastructure in government institutions, inadequate awareness of disability entitlements among both service users and providers, and persistent stigmatizing attitudes toward disability in many communities.</w:t>
      </w:r>
    </w:p>
    <w:p w14:paraId="655B7315" w14:textId="77777777" w:rsidR="00067356" w:rsidRDefault="007000B3">
      <w:pPr>
        <w:spacing w:before="120" w:after="120" w:line="360" w:lineRule="auto"/>
        <w:jc w:val="both"/>
      </w:pPr>
      <w:r>
        <w:t>The diversity of India's deaf community is itself a complex factor that any comprehensive social work framework must engage with. Urban deaf individuals may have access to specialized schools for the deaf, digital communication tools, deaf community organizations, and disability NGOs -- resources largely unavailable to their rural counterparts. Regional sign language variations, the multiplicity of India's linguistic communities, and the intersection of deafness with caste, gender, religion, and poverty create a mosaic of experiences that defies simple categorization and demands nuanced, context-sensitive social work responses.</w:t>
      </w:r>
    </w:p>
    <w:p w14:paraId="005AD083" w14:textId="77777777" w:rsidR="00067356" w:rsidRDefault="00067356">
      <w:pPr>
        <w:pStyle w:val="Heading2"/>
      </w:pPr>
    </w:p>
    <w:p w14:paraId="36FDE9F0" w14:textId="77777777" w:rsidR="00067356" w:rsidRDefault="007000B3">
      <w:pPr>
        <w:pStyle w:val="Heading2"/>
      </w:pPr>
      <w:r>
        <w:t>1.3 Social Work and Disability: Shifting Paradigms</w:t>
      </w:r>
    </w:p>
    <w:p w14:paraId="46046671" w14:textId="77777777" w:rsidR="00067356" w:rsidRDefault="007000B3">
      <w:pPr>
        <w:spacing w:before="120" w:after="120" w:line="360" w:lineRule="auto"/>
        <w:jc w:val="both"/>
      </w:pPr>
      <w:r>
        <w:t xml:space="preserve">Contemporary social work practice with deaf/mute individuals demands a paradigm shift from remediation to empowerment, from charity to rights, and from individual pathology to systemic advocacy. The International Federation of Social Workers (IFSW, 2014) defines social work as 'a practice-based profession and academic discipline that promotes social change and development, social cohesion, and the empowerment and liberation of people.' Within this definition, the social worker engaged with deaf/mute individuals must simultaneously function as </w:t>
      </w:r>
      <w:proofErr w:type="spellStart"/>
      <w:r>
        <w:t>counselor</w:t>
      </w:r>
      <w:proofErr w:type="spellEnd"/>
      <w:r>
        <w:t>, advocate, community organizer, cultural broker, policy analyst, and educator.</w:t>
      </w:r>
    </w:p>
    <w:p w14:paraId="31DAE581" w14:textId="77777777" w:rsidR="00067356" w:rsidRDefault="007000B3">
      <w:pPr>
        <w:spacing w:before="120" w:after="120" w:line="360" w:lineRule="auto"/>
        <w:jc w:val="both"/>
      </w:pPr>
      <w:r>
        <w:t xml:space="preserve">The social model of disability, pioneered by scholars including Oliver (1990) and </w:t>
      </w:r>
      <w:proofErr w:type="spellStart"/>
      <w:r>
        <w:t>Abberley</w:t>
      </w:r>
      <w:proofErr w:type="spellEnd"/>
      <w:r>
        <w:t xml:space="preserve"> (1987), provides a theoretical foundation that is particularly relevant to this research. This model distinguishes between impairment (the physical condition of hearing loss or muteness) and disability (the socially produced disadvantage resulting from barriers erected by a hearing-centric society). From this perspective, the primary challenge facing deaf/mute individuals is not their impairment per se but the systematic failure of social institutions -- educational systems, workplaces, healthcare providers, legal institutions, and communication infrastructure -- to accommodate communicative diversity.</w:t>
      </w:r>
    </w:p>
    <w:p w14:paraId="35A34148" w14:textId="77777777" w:rsidR="00067356" w:rsidRDefault="007000B3">
      <w:pPr>
        <w:spacing w:before="120" w:after="120" w:line="360" w:lineRule="auto"/>
        <w:jc w:val="both"/>
      </w:pPr>
      <w:r>
        <w:t xml:space="preserve">Current literature highlights the need for social workers to be trained not only in the mechanics of sign language but also in the cultural norms, identity formation processes, and psychological dynamics unique to deaf communities. Research by Lane, Hoffmeister, and Bahan (1996) emphasizes that deaf culture is not a deficit culture but a rich, vibrant community with its own language, history, </w:t>
      </w:r>
      <w:proofErr w:type="spellStart"/>
      <w:r>
        <w:t>humor</w:t>
      </w:r>
      <w:proofErr w:type="spellEnd"/>
      <w:r>
        <w:t>, storytelling traditions, and values. Social workers who fail to recognize this cultural dimension risk inadvertently imposing hearing-centric perspectives that undermine deaf individuals' self-determination and sense of identity -- a form of cultural imperialism that is antithetical to social work ethics.</w:t>
      </w:r>
    </w:p>
    <w:p w14:paraId="530C4291" w14:textId="77777777" w:rsidR="00067356" w:rsidRDefault="00067356">
      <w:pPr>
        <w:spacing w:before="120" w:after="120" w:line="360" w:lineRule="auto"/>
        <w:jc w:val="both"/>
      </w:pPr>
    </w:p>
    <w:p w14:paraId="1862A598" w14:textId="77777777" w:rsidR="00067356" w:rsidRDefault="00067356">
      <w:pPr>
        <w:spacing w:before="120" w:after="120" w:line="360" w:lineRule="auto"/>
        <w:jc w:val="both"/>
      </w:pPr>
    </w:p>
    <w:p w14:paraId="1B7787CC" w14:textId="77777777" w:rsidR="00067356" w:rsidRDefault="00067356">
      <w:pPr>
        <w:spacing w:before="120" w:after="120" w:line="360" w:lineRule="auto"/>
        <w:jc w:val="both"/>
      </w:pPr>
    </w:p>
    <w:p w14:paraId="53A14CD6" w14:textId="77777777" w:rsidR="00067356" w:rsidRDefault="00067356">
      <w:pPr>
        <w:spacing w:before="120" w:after="120" w:line="360" w:lineRule="auto"/>
        <w:jc w:val="both"/>
      </w:pPr>
    </w:p>
    <w:p w14:paraId="6E0DA2A1" w14:textId="77777777" w:rsidR="00067356" w:rsidRDefault="007000B3">
      <w:pPr>
        <w:pStyle w:val="Heading2"/>
      </w:pPr>
      <w:r>
        <w:t>1.4 Overview of the Study</w:t>
      </w:r>
    </w:p>
    <w:p w14:paraId="1C24E21E" w14:textId="77777777" w:rsidR="00067356" w:rsidRDefault="007000B3">
      <w:pPr>
        <w:spacing w:before="120" w:after="120" w:line="360" w:lineRule="auto"/>
        <w:jc w:val="both"/>
      </w:pPr>
      <w:r>
        <w:t>This Ph.D. research is motivated by the pressing need to develop a comprehensive, generation-sensitive, culturally competent social work framework that bridges the documented gaps in service delivery to deaf/mute populations in India. The study integrates insights from psychological resilience theory, social work empowerment models, disability rights frameworks, and Indian cultural studies to develop an original theoretical model that is both academically rigorous and practically applicable.</w:t>
      </w:r>
    </w:p>
    <w:p w14:paraId="4E035477" w14:textId="77777777" w:rsidR="00067356" w:rsidRDefault="007000B3">
      <w:pPr>
        <w:spacing w:before="120" w:after="120" w:line="360" w:lineRule="auto"/>
        <w:jc w:val="both"/>
      </w:pPr>
      <w:r>
        <w:t>The research is structured across three major analytical dimensions: (1) the assessment of social workers' current competency and training needs in relation to deaf/mute service provision; (2) the examination of deaf/mute individuals' lived experiences, resilience processes, and unmet service needs across generational cohorts; and (3) the analysis of institutional, policy, and community-level factors -- including ISLRTC's role -- that shape the enabling environment for social work practice with deaf/mute populations.</w:t>
      </w:r>
    </w:p>
    <w:p w14:paraId="70CC4294" w14:textId="77777777" w:rsidR="00067356" w:rsidRDefault="007000B3">
      <w:r>
        <w:br w:type="page"/>
      </w:r>
    </w:p>
    <w:p w14:paraId="67231070" w14:textId="77777777" w:rsidR="00067356" w:rsidRDefault="007000B3">
      <w:pPr>
        <w:pStyle w:val="Heading1"/>
      </w:pPr>
      <w:r>
        <w:lastRenderedPageBreak/>
        <w:t>CHAPTER 2: DISABILITY IN INDIA - LEGAL AND POLICY FRAMEWORK</w:t>
      </w:r>
    </w:p>
    <w:p w14:paraId="473A8F73" w14:textId="77777777" w:rsidR="00067356" w:rsidRDefault="007000B3">
      <w:pPr>
        <w:pStyle w:val="Heading2"/>
      </w:pPr>
      <w:r>
        <w:t>2.1 Evolution of Disability Legislation</w:t>
      </w:r>
    </w:p>
    <w:p w14:paraId="2C9E04CC" w14:textId="77777777" w:rsidR="00067356" w:rsidRDefault="007000B3">
      <w:pPr>
        <w:spacing w:before="120" w:after="120" w:line="360" w:lineRule="auto"/>
        <w:jc w:val="both"/>
      </w:pPr>
      <w:r>
        <w:t>India's legislative journey on disability rights has traversed significant ideological and policy shifts over the past three decades. The Persons with Disabilities (Equal Opportunities, Protection of Rights and Full Participation) Act of 1995 represented the country's first systematic legislative framework for disability rights. It identified seven categories of disability, mandated 3% reservations in government employment and educational institutions, and established the framework for disability certification and rehabilitation services. While the 1995 Act marked important progress, it was grounded in a medical model of disability and its implementation was characterized by significant gaps between legislative intent and ground-level reality.</w:t>
      </w:r>
    </w:p>
    <w:p w14:paraId="452ACDAA" w14:textId="77777777" w:rsidR="00067356" w:rsidRDefault="007000B3">
      <w:pPr>
        <w:spacing w:before="120" w:after="120" w:line="360" w:lineRule="auto"/>
        <w:jc w:val="both"/>
      </w:pPr>
      <w:r>
        <w:t>Following India's ratification of the UNCRPD in 2007, a decade-long process of legislative reform culminated in the Rights of Persons with Disabilities Act (RPWDA) 2016 -- the most comprehensive disability legislation in India's history. The RPWDA fundamentally reconceptualizes disability from a welfare to a rights framework, explicitly aligning India's domestic law with the human rights principles of the UNCRPD. Its enactment represented a landmark moment in the disability rights movement in India.</w:t>
      </w:r>
    </w:p>
    <w:p w14:paraId="1620DE82" w14:textId="77777777" w:rsidR="00067356" w:rsidRDefault="007000B3">
      <w:pPr>
        <w:pStyle w:val="Heading2"/>
      </w:pPr>
      <w:r>
        <w:t>2.2 Key Provisions of the RPWDA 2016 Relevant to Deaf/Mute Individuals</w:t>
      </w:r>
    </w:p>
    <w:p w14:paraId="0604DC59" w14:textId="77777777" w:rsidR="00067356" w:rsidRDefault="007000B3">
      <w:pPr>
        <w:spacing w:before="120" w:after="120" w:line="360" w:lineRule="auto"/>
        <w:jc w:val="both"/>
      </w:pPr>
      <w:r>
        <w:t>The RPWDA 2016 contains numerous provisions with direct relevance to the rights and welfare of deaf and mute individuals. Section 2(r) defines 'hearing impairment' as including 'deaf and hard of hearing' as a specific disability category. Section 2(</w:t>
      </w:r>
      <w:proofErr w:type="spellStart"/>
      <w:r>
        <w:t>zc</w:t>
      </w:r>
      <w:proofErr w:type="spellEnd"/>
      <w:r>
        <w:t>) defines 'speech and language disability' as a permanent disability arising from conditions affecting the ability to communicate including dysarthria, stuttering, aphasia, and muteness. These definitional clarifications are important because they ensure that both deaf and mute individuals are explicitly covered by the Act's protections.</w:t>
      </w:r>
    </w:p>
    <w:p w14:paraId="038601E0" w14:textId="77777777" w:rsidR="00067356" w:rsidRDefault="00067356">
      <w:pPr>
        <w:spacing w:before="120" w:after="120" w:line="360" w:lineRule="auto"/>
        <w:jc w:val="both"/>
      </w:pPr>
    </w:p>
    <w:p w14:paraId="4702A30D" w14:textId="77777777" w:rsidR="00067356" w:rsidRDefault="007000B3">
      <w:pPr>
        <w:spacing w:before="120" w:after="120" w:line="360" w:lineRule="auto"/>
        <w:jc w:val="both"/>
      </w:pPr>
      <w:r>
        <w:lastRenderedPageBreak/>
        <w:t>The Act's provisions on education (Sections 16-19) mandate that all educational institutions provide inclusive education with appropriate support, including sign language instruction and ISL-accessible learning materials. Section 20 prohibits discrimination in employment and mandates government establishments to provide reasonable accommodation for persons with disabilities, with a 4% reservation in government jobs. Section 38(1) requires the government to establish and fund special schools and institutions for persons with different types of disabilities.</w:t>
      </w:r>
    </w:p>
    <w:p w14:paraId="4B35F7CC" w14:textId="77777777" w:rsidR="00067356" w:rsidRDefault="007000B3">
      <w:pPr>
        <w:spacing w:before="120" w:after="120" w:line="360" w:lineRule="auto"/>
        <w:jc w:val="both"/>
      </w:pPr>
      <w:r>
        <w:t>Section 40 mandates accessibility across the built environment, transportation, and communication -- with specific reference to accessible information and communication technology (ICT). This provision has significant implications for the development of ISL-accessible digital platforms, captioning services, and other communication accessibility measures.</w:t>
      </w:r>
    </w:p>
    <w:p w14:paraId="70703149" w14:textId="77777777" w:rsidR="00067356" w:rsidRDefault="007000B3">
      <w:pPr>
        <w:pStyle w:val="Heading2"/>
      </w:pPr>
      <w:r>
        <w:t>2.3 National Education Policy 2020 and Inclusive Education</w:t>
      </w:r>
    </w:p>
    <w:p w14:paraId="1B1FB81B" w14:textId="77777777" w:rsidR="00067356" w:rsidRDefault="007000B3">
      <w:pPr>
        <w:spacing w:before="120" w:after="120" w:line="360" w:lineRule="auto"/>
        <w:jc w:val="both"/>
      </w:pPr>
      <w:r>
        <w:t xml:space="preserve">The National Education Policy (NEP) 2020 represents a transformative vision for India's education system with significant implications for deaf/mute students. The NEP explicitly recognizes the importance of ISL as a language of instruction for deaf students, calling for the training of teachers in ISL and the development of ISL-based curricular materials. It promotes a flexible multilingual approach that </w:t>
      </w:r>
      <w:proofErr w:type="spellStart"/>
      <w:r>
        <w:t>honors</w:t>
      </w:r>
      <w:proofErr w:type="spellEnd"/>
      <w:r>
        <w:t xml:space="preserve"> linguistic diversity -- an approach that, when applied to deaf students, requires recognizing ISL as a legitimate and valuable language of instruction rather than a compromise or accommodation.</w:t>
      </w:r>
    </w:p>
    <w:p w14:paraId="2AE69D94" w14:textId="77777777" w:rsidR="00067356" w:rsidRDefault="007000B3">
      <w:pPr>
        <w:spacing w:before="120" w:after="120" w:line="360" w:lineRule="auto"/>
        <w:jc w:val="both"/>
      </w:pPr>
      <w:r>
        <w:t>The NEP also emphasizes universal design for learning (UDL) -- an educational framework that designs learning environments from the outset to accommodate diverse learning needs including those of deaf and mute students. Implementing UDL for deaf students requires ISL-trained teachers, accessible audiovisual content with captions or ISL interpretation, and collaborative classroom environments that foster natural ISL communication.</w:t>
      </w:r>
    </w:p>
    <w:p w14:paraId="6C381253" w14:textId="77777777" w:rsidR="00067356" w:rsidRDefault="00067356">
      <w:pPr>
        <w:spacing w:before="120" w:after="120" w:line="360" w:lineRule="auto"/>
        <w:jc w:val="both"/>
      </w:pPr>
    </w:p>
    <w:p w14:paraId="3E23F902" w14:textId="77777777" w:rsidR="00067356" w:rsidRDefault="00067356">
      <w:pPr>
        <w:spacing w:before="120" w:after="120" w:line="360" w:lineRule="auto"/>
        <w:jc w:val="both"/>
      </w:pPr>
    </w:p>
    <w:p w14:paraId="05148923" w14:textId="77777777" w:rsidR="00067356" w:rsidRDefault="00067356">
      <w:pPr>
        <w:spacing w:before="120" w:after="120" w:line="360" w:lineRule="auto"/>
        <w:jc w:val="both"/>
      </w:pPr>
    </w:p>
    <w:p w14:paraId="7FDDBB29" w14:textId="77777777" w:rsidR="00067356" w:rsidRDefault="00067356">
      <w:pPr>
        <w:spacing w:before="120" w:after="120" w:line="360" w:lineRule="auto"/>
        <w:jc w:val="both"/>
      </w:pPr>
    </w:p>
    <w:p w14:paraId="7861FD9E" w14:textId="77777777" w:rsidR="00067356" w:rsidRDefault="007000B3">
      <w:pPr>
        <w:pStyle w:val="Heading2"/>
      </w:pPr>
      <w:r>
        <w:t>2.4 Government Schemes and Programs for Deaf/Mute Individuals</w:t>
      </w:r>
    </w:p>
    <w:p w14:paraId="624B7BA0" w14:textId="77777777" w:rsidR="00067356" w:rsidRDefault="007000B3">
      <w:pPr>
        <w:spacing w:before="120" w:after="120" w:line="360" w:lineRule="auto"/>
        <w:jc w:val="both"/>
      </w:pPr>
      <w:r>
        <w:t>Beyond legislation, the Government of India administers several schemes with specific relevance to deaf/mute individuals. The Assistance to Disabled Persons (ADIP) scheme under the Ministry of Social Justice and Empowerment provides assistive devices including hearing aids to eligible persons with disabilities. The National Scholarship Portal provides scholarships for students with disabilities pursuing higher education. The Skill Development Initiative under the Ministry of Skill Development and Entrepreneurship includes programs specifically targeting persons with disabilities including deaf individuals.</w:t>
      </w:r>
    </w:p>
    <w:p w14:paraId="04D29241" w14:textId="77777777" w:rsidR="00067356" w:rsidRDefault="007000B3">
      <w:pPr>
        <w:spacing w:before="120" w:after="120" w:line="360" w:lineRule="auto"/>
        <w:jc w:val="both"/>
      </w:pPr>
      <w:r>
        <w:t>The Accessible India Campaign (</w:t>
      </w:r>
      <w:proofErr w:type="spellStart"/>
      <w:r>
        <w:t>Sugamya</w:t>
      </w:r>
      <w:proofErr w:type="spellEnd"/>
      <w:r>
        <w:t xml:space="preserve"> Bharat Abhiyan), launched in 2015, aims to create an inclusive and accessible society across built environments, transportation, and ICT. For deaf/mute individuals, the campaign's ICT accessibility component is particularly significant, as it mandates captioning, ISL interpretation, and accessible digital platforms across government websites and public broadcasting.</w:t>
      </w:r>
    </w:p>
    <w:p w14:paraId="1D417506" w14:textId="77777777" w:rsidR="00067356" w:rsidRDefault="007000B3">
      <w:pPr>
        <w:spacing w:before="120" w:after="120" w:line="360" w:lineRule="auto"/>
        <w:jc w:val="both"/>
      </w:pPr>
      <w:r>
        <w:t>The District Disability Rehabilitation Centres (DDRCs), established across India's districts, are intended to serve as one-stop hubs for disability-related services including assessment, certification, rehabilitation, and assistive device provision. However, field studies consistently document that DDRC services are frequently inaccessible to deaf individuals due to the absence of ISL interpreters and disability-specific trained staff.</w:t>
      </w:r>
    </w:p>
    <w:p w14:paraId="73331D80" w14:textId="77777777" w:rsidR="00067356" w:rsidRDefault="007000B3">
      <w:r>
        <w:br w:type="page"/>
      </w:r>
    </w:p>
    <w:p w14:paraId="0AFFABCB" w14:textId="77777777" w:rsidR="00067356" w:rsidRDefault="007000B3">
      <w:pPr>
        <w:pStyle w:val="Heading1"/>
      </w:pPr>
      <w:r>
        <w:lastRenderedPageBreak/>
        <w:t>CHAPTER 3: INDIAN SIGN LANGUAGE AND THE ROLE OF ISLRTC</w:t>
      </w:r>
    </w:p>
    <w:p w14:paraId="0D6E3AA1" w14:textId="77777777" w:rsidR="00067356" w:rsidRDefault="007000B3">
      <w:pPr>
        <w:pStyle w:val="Heading2"/>
      </w:pPr>
      <w:r>
        <w:t>3.1 Indian Sign Language: A Linguistic Overview</w:t>
      </w:r>
    </w:p>
    <w:p w14:paraId="58CBE896" w14:textId="77777777" w:rsidR="00067356" w:rsidRDefault="007000B3">
      <w:pPr>
        <w:spacing w:before="120" w:after="120" w:line="360" w:lineRule="auto"/>
        <w:jc w:val="both"/>
      </w:pPr>
      <w:r>
        <w:t>Indian Sign Language (ISL) is a rich, fully developed natural language used by India's deaf community -- a visual-gestural language with its own distinct phonology, morphology, syntax, and pragmatics. Like all natural sign languages, ISL is fundamentally different from any spoken language and is not a manually coded representation of Hindi, English, or any regional language. ISL has developed organically within India's deaf communities over generations, shaped by the social dynamics of deaf schooling, community organization, and intergenerational transmission.</w:t>
      </w:r>
    </w:p>
    <w:p w14:paraId="21A6A1E1" w14:textId="77777777" w:rsidR="00067356" w:rsidRDefault="007000B3">
      <w:pPr>
        <w:spacing w:before="120" w:after="120" w:line="360" w:lineRule="auto"/>
        <w:jc w:val="both"/>
      </w:pPr>
      <w:r>
        <w:t>Linguistic research has established that ISL shares significant structural features with other South Asian sign languages including Sri Lankan Sign Language and Nepali Sign Language, likely reflecting historical patterns of contact and shared origins. At the same time, ISL has absorbed influences from multiple sources including American Sign Language (ASL) -- introduced through missionary schools in the colonial era -- and local gesture systems developed within specific regional deaf communities.</w:t>
      </w:r>
    </w:p>
    <w:p w14:paraId="109CF0FC" w14:textId="77777777" w:rsidR="00067356" w:rsidRDefault="007000B3">
      <w:pPr>
        <w:spacing w:before="120" w:after="120" w:line="360" w:lineRule="auto"/>
        <w:jc w:val="both"/>
      </w:pPr>
      <w:r>
        <w:t>Regional variation is an important feature of ISL. Studies have documented differences in signs for many common concepts between cities including Delhi, Mumbai, Kolkata, Chennai, and Bengaluru -- variation that reflects the organic, community-driven nature of sign language development. While such variation is a natural feature of living languages, it creates challenges for standardization efforts and can impede communication between deaf individuals from different regions.</w:t>
      </w:r>
    </w:p>
    <w:p w14:paraId="6FD5A885" w14:textId="77777777" w:rsidR="00067356" w:rsidRDefault="007000B3">
      <w:pPr>
        <w:pStyle w:val="Heading2"/>
      </w:pPr>
      <w:r>
        <w:t>3.2 Establishment, Mandate, and Structure of ISLRTC</w:t>
      </w:r>
    </w:p>
    <w:p w14:paraId="72AEE043" w14:textId="77777777" w:rsidR="00067356" w:rsidRDefault="007000B3">
      <w:pPr>
        <w:spacing w:before="120" w:after="120" w:line="360" w:lineRule="auto"/>
        <w:jc w:val="both"/>
      </w:pPr>
      <w:r>
        <w:t>The Indian Sign Language Research and Training Centre (ISLRTC) was established in 2015 under the Department of Empowerment of Persons with Disabilities (</w:t>
      </w:r>
      <w:proofErr w:type="spellStart"/>
      <w:r>
        <w:t>DEPwD</w:t>
      </w:r>
      <w:proofErr w:type="spellEnd"/>
      <w:r>
        <w:t>), Ministry of Social Justice and Empowerment, Government of India, at Indraprastha University campus in New Delhi. The establishment of ISLRTC represented a landmark institutional recognition of ISL and a formal government commitment to the development and promotion of ISL as a critical tool for deaf inclusion.</w:t>
      </w:r>
    </w:p>
    <w:p w14:paraId="39DE648C" w14:textId="77777777" w:rsidR="00067356" w:rsidRDefault="007000B3">
      <w:pPr>
        <w:spacing w:before="120" w:after="120" w:line="360" w:lineRule="auto"/>
        <w:jc w:val="both"/>
      </w:pPr>
      <w:r>
        <w:lastRenderedPageBreak/>
        <w:t>ISLRTC's mandate is organized around four core functions: (1) linguistic research and documentation of ISL, including lexicographic work and grammatical description; (2) development of educational materials in ISL for students and teachers; (3) training and certification of ISL interpreters, teachers of the deaf, and other professionals; and (4) public awareness and advocacy for ISL and deaf rights. These functions position ISLRTC as both a research institution and a training and capacity-building organization -- a dual role that is essential for advancing ISL across all domains of public life.</w:t>
      </w:r>
    </w:p>
    <w:p w14:paraId="23C43297" w14:textId="77777777" w:rsidR="00067356" w:rsidRDefault="007000B3">
      <w:pPr>
        <w:pStyle w:val="Heading2"/>
      </w:pPr>
      <w:r>
        <w:t>3.3 ISLRTC Dictionary and Standardization Initiatives</w:t>
      </w:r>
    </w:p>
    <w:p w14:paraId="38D59BA1" w14:textId="77777777" w:rsidR="00067356" w:rsidRDefault="007000B3">
      <w:pPr>
        <w:spacing w:before="120" w:after="120" w:line="360" w:lineRule="auto"/>
        <w:jc w:val="both"/>
      </w:pPr>
      <w:r>
        <w:t>ISLRTC's most visible output has been its multi-volume ISL dictionary, which provides standardized signs for thousands of words across multiple thematic domains including everyday vocabulary, education, law, medicine, science, technology, and government. The dictionary is available in print, DVD, and digital formats, with an online portal and mobile application that make it accessible to a wide range of users. As of 2023, the dictionary includes over 6,000 standardized signs -- a significant but still incomplete coverage of the vocabulary needed for full communicative access across professional domains.</w:t>
      </w:r>
    </w:p>
    <w:p w14:paraId="75C041FB" w14:textId="77777777" w:rsidR="00067356" w:rsidRDefault="007000B3">
      <w:pPr>
        <w:spacing w:before="120" w:after="120" w:line="360" w:lineRule="auto"/>
        <w:jc w:val="both"/>
      </w:pPr>
      <w:r>
        <w:t>The dictionary development process involves consultation with deaf community members, ISL linguists, domain experts, and deaf educators to ensure that standardized signs reflect community usage and meet professional communication needs. This participatory approach is critical for ensuring that the resulting standards are actually adopted within deaf communities rather than being imposed by hearing authorities unfamiliar with deaf linguistic practices.</w:t>
      </w:r>
    </w:p>
    <w:p w14:paraId="6BB039DC" w14:textId="77777777" w:rsidR="00067356" w:rsidRDefault="007000B3">
      <w:pPr>
        <w:pStyle w:val="Heading2"/>
      </w:pPr>
      <w:r>
        <w:t>3.4 ISLRTC Interpreter Training and Certification</w:t>
      </w:r>
    </w:p>
    <w:p w14:paraId="62A89A8A" w14:textId="77777777" w:rsidR="00067356" w:rsidRDefault="007000B3">
      <w:pPr>
        <w:spacing w:before="120" w:after="120" w:line="360" w:lineRule="auto"/>
        <w:jc w:val="both"/>
      </w:pPr>
      <w:r>
        <w:t>The development of a cadre of professionally qualified ISL interpreters is among the most urgent priorities for deaf inclusion in India. ISLRTC offers certificate (one year), diploma (two year), and advanced diploma programs in ISL interpretation. These programs cover ISL linguistics, interpreting theory and technique, professional ethics, cultural competency, and specialized vocabulary for domains including legal, medical, and educational interpreting.</w:t>
      </w:r>
    </w:p>
    <w:p w14:paraId="793D9671" w14:textId="77777777" w:rsidR="00067356" w:rsidRDefault="00067356">
      <w:pPr>
        <w:spacing w:before="120" w:after="120" w:line="360" w:lineRule="auto"/>
        <w:jc w:val="both"/>
      </w:pPr>
    </w:p>
    <w:p w14:paraId="4AC165FC" w14:textId="77777777" w:rsidR="00067356" w:rsidRDefault="007000B3">
      <w:pPr>
        <w:spacing w:before="120" w:after="120" w:line="360" w:lineRule="auto"/>
        <w:jc w:val="both"/>
      </w:pPr>
      <w:r>
        <w:lastRenderedPageBreak/>
        <w:t>The demand for qualified ISL interpreters in India vastly exceeds the current supply. With an estimated deaf population of over 5 million and fewer than 500 professionally certified ISL interpreters nationwide, the deficit is staggering. Most deaf individuals who access government services, legal proceedings, medical care, or educational settings do so without qualified interpreter support -- a fundamental access barrier that compromises the quality of services received and the ability of deaf individuals to exercise their rights.</w:t>
      </w:r>
    </w:p>
    <w:p w14:paraId="787254FA" w14:textId="77777777" w:rsidR="00067356" w:rsidRDefault="007000B3">
      <w:pPr>
        <w:spacing w:before="120" w:after="120" w:line="360" w:lineRule="auto"/>
        <w:jc w:val="both"/>
      </w:pPr>
      <w:r>
        <w:t xml:space="preserve">Social work advocacy for the expansion of ISLRTC's interpreter training programs, the establishment of regional training </w:t>
      </w:r>
      <w:proofErr w:type="spellStart"/>
      <w:r>
        <w:t>centers</w:t>
      </w:r>
      <w:proofErr w:type="spellEnd"/>
      <w:r>
        <w:t xml:space="preserve"> across India's states, and the development of a national registry of certified ISL interpreters represents a critical priority for advancing deaf inclusion. Social workers employed in institutional settings should also advocate for the hiring of ISL-fluent staff or contractual interpreter services to ensure communicative access for deaf clients.</w:t>
      </w:r>
    </w:p>
    <w:p w14:paraId="5532F241" w14:textId="77777777" w:rsidR="00067356" w:rsidRDefault="007000B3">
      <w:pPr>
        <w:pStyle w:val="Heading2"/>
      </w:pPr>
      <w:r>
        <w:t>3.5 ISL in Education: ISLRTC's Curriculum Development Work</w:t>
      </w:r>
    </w:p>
    <w:p w14:paraId="1E849623" w14:textId="77777777" w:rsidR="00067356" w:rsidRDefault="007000B3">
      <w:pPr>
        <w:spacing w:before="120" w:after="120" w:line="360" w:lineRule="auto"/>
        <w:jc w:val="both"/>
      </w:pPr>
      <w:r>
        <w:t>ISLRTC has collaborated with NCERT and state education departments to develop ISL-based educational content for deaf students at the primary and secondary levels. This includes ISL video content for core subjects in the school curriculum, teacher training materials for ISL-based instruction, and advocacy resources for school administrators on the importance of ISL-medium education for deaf students.</w:t>
      </w:r>
    </w:p>
    <w:p w14:paraId="5F806D1E" w14:textId="77777777" w:rsidR="00067356" w:rsidRDefault="007000B3">
      <w:pPr>
        <w:spacing w:before="120" w:after="120" w:line="360" w:lineRule="auto"/>
        <w:jc w:val="both"/>
      </w:pPr>
      <w:r>
        <w:t>The NEP 2020's explicit recognition of ISL as a medium of instruction provides an important policy foundation for ISLRTC's educational work. However, translating this policy recognition into classroom reality requires substantial investment in teacher training, curriculum development, and school infrastructure -- investments that are still far from commensurate with the scale of need. Social workers engaged in education advocacy can play a vital role in holding educational institutions accountable for ISL accessibility commitments and supporting deaf families in accessing ISL-based education for their children.</w:t>
      </w:r>
    </w:p>
    <w:p w14:paraId="5CE6FEC6" w14:textId="77777777" w:rsidR="00067356" w:rsidRDefault="00067356">
      <w:pPr>
        <w:spacing w:before="120" w:after="120" w:line="360" w:lineRule="auto"/>
        <w:jc w:val="both"/>
      </w:pPr>
    </w:p>
    <w:p w14:paraId="24C8DAD5" w14:textId="77777777" w:rsidR="00067356" w:rsidRDefault="00067356">
      <w:pPr>
        <w:spacing w:before="120" w:after="120" w:line="360" w:lineRule="auto"/>
        <w:jc w:val="both"/>
      </w:pPr>
    </w:p>
    <w:p w14:paraId="487FDC3E" w14:textId="77777777" w:rsidR="00067356" w:rsidRDefault="00067356">
      <w:pPr>
        <w:spacing w:before="120" w:after="120" w:line="360" w:lineRule="auto"/>
        <w:jc w:val="both"/>
      </w:pPr>
    </w:p>
    <w:p w14:paraId="6C311F92" w14:textId="77777777" w:rsidR="00067356" w:rsidRDefault="00067356">
      <w:pPr>
        <w:spacing w:before="120" w:after="120" w:line="360" w:lineRule="auto"/>
        <w:jc w:val="both"/>
      </w:pPr>
    </w:p>
    <w:p w14:paraId="33951734" w14:textId="77777777" w:rsidR="00067356" w:rsidRDefault="007000B3">
      <w:pPr>
        <w:pStyle w:val="Heading2"/>
      </w:pPr>
      <w:r>
        <w:t>3.6 Advocacy for Constitutional Recognition of ISL</w:t>
      </w:r>
    </w:p>
    <w:p w14:paraId="79A806C5" w14:textId="77777777" w:rsidR="00067356" w:rsidRDefault="007000B3">
      <w:pPr>
        <w:spacing w:before="120" w:after="120" w:line="360" w:lineRule="auto"/>
        <w:jc w:val="both"/>
      </w:pPr>
      <w:r>
        <w:t>One of ISLRTC's ongoing advocacy priorities -- shared by deaf community organizations across India -- is the recognition of ISL as an official language of India under the Eighth Schedule of the Constitution. Currently, the Eighth Schedule recognizes 22 languages, none of which are sign languages. The recognition of ISL would have transformative implications, conferring constitutional status on the language, mandating its use in government communications and proceedings, and creating a legal basis for ISL instruction in schools.</w:t>
      </w:r>
    </w:p>
    <w:p w14:paraId="3E18AE73" w14:textId="77777777" w:rsidR="00067356" w:rsidRDefault="007000B3">
      <w:pPr>
        <w:spacing w:before="120" w:after="120" w:line="360" w:lineRule="auto"/>
        <w:jc w:val="both"/>
      </w:pPr>
      <w:r>
        <w:t>The campaign for ISL's constitutional recognition has gained significant momentum in recent years, with petitions submitted to Parliament, advocacy campaigns by deaf organizations, and growing media attention to deaf rights issues. Social workers can meaningfully contribute to this advocacy by amplifying deaf community voices, building coalitions with linguistic rights organizations, and engaging in political advocacy with elected representatives.</w:t>
      </w:r>
    </w:p>
    <w:p w14:paraId="53E9476B" w14:textId="77777777" w:rsidR="00067356" w:rsidRDefault="007000B3">
      <w:r>
        <w:br w:type="page"/>
      </w:r>
    </w:p>
    <w:p w14:paraId="3765C550" w14:textId="77777777" w:rsidR="00067356" w:rsidRDefault="007000B3">
      <w:pPr>
        <w:pStyle w:val="Heading1"/>
      </w:pPr>
      <w:r>
        <w:lastRenderedPageBreak/>
        <w:t>CHAPTER 4: REVIEW OF LITERATURE</w:t>
      </w:r>
    </w:p>
    <w:p w14:paraId="564F680D" w14:textId="77777777" w:rsidR="00067356" w:rsidRDefault="007000B3">
      <w:pPr>
        <w:pStyle w:val="Heading2"/>
      </w:pPr>
      <w:r>
        <w:t>4.1 Global Literature: Deaf Experience and Social Work</w:t>
      </w:r>
    </w:p>
    <w:p w14:paraId="3F579A55" w14:textId="77777777" w:rsidR="00067356" w:rsidRDefault="007000B3">
      <w:pPr>
        <w:spacing w:before="120" w:after="120" w:line="360" w:lineRule="auto"/>
        <w:jc w:val="both"/>
      </w:pPr>
      <w:r>
        <w:t>The scholarly literature on social work with deaf/mute populations has evolved considerably over the past three decades, reflecting broader shifts in disability theory, social work ethics, and communication technology. Padden and Humphries' (1988) seminal work 'Deaf in America: Voices from a Culture' established the deaf community as a cultural and linguistic minority rather than a medical category -- a reconceptualization that fundamentally reoriented social work practice from remediation to empowerment and community development. This perspective has since been elaborated by researchers including Ladd (2003), whose concept of 'Deafhood' positions deaf identity as a positive, dynamic process of becoming rather than a static condition of lack.</w:t>
      </w:r>
    </w:p>
    <w:p w14:paraId="1EC88007" w14:textId="77777777" w:rsidR="00067356" w:rsidRDefault="007000B3">
      <w:pPr>
        <w:spacing w:before="120" w:after="120" w:line="360" w:lineRule="auto"/>
        <w:jc w:val="both"/>
      </w:pPr>
      <w:r>
        <w:t xml:space="preserve">The communication access literature has documented in detail the consequences of the interpreter shortage on service quality for deaf individuals. Napier and Leigh (2016) demonstrated that communication breakdown in healthcare and social service settings -- arising from inadequate interpreter provision -- contributes to misdiagnosis, inadequate informed consent, reduced treatment adherence, and poorer health and social outcomes for deaf clients. </w:t>
      </w:r>
      <w:proofErr w:type="spellStart"/>
      <w:r>
        <w:t>Marschark</w:t>
      </w:r>
      <w:proofErr w:type="spellEnd"/>
      <w:r>
        <w:t xml:space="preserve"> and Hauser (2012) documented similar patterns in educational settings, showing that deaf students in mainstream classrooms without adequate interpreter or other communication support consistently underperform relative to their academic potential.</w:t>
      </w:r>
    </w:p>
    <w:p w14:paraId="0CE45B85" w14:textId="77777777" w:rsidR="00067356" w:rsidRDefault="007000B3">
      <w:pPr>
        <w:spacing w:before="120" w:after="120" w:line="360" w:lineRule="auto"/>
        <w:jc w:val="both"/>
      </w:pPr>
      <w:r>
        <w:t xml:space="preserve">The mental health literature presents some of the most compelling evidence for the disproportionate burden of disadvantage borne by deaf/mute populations. Kvam, Loeb, and </w:t>
      </w:r>
      <w:proofErr w:type="spellStart"/>
      <w:r>
        <w:t>Tambs</w:t>
      </w:r>
      <w:proofErr w:type="spellEnd"/>
      <w:r>
        <w:t xml:space="preserve"> (2007) conducted one of the largest epidemiological studies of mental health in the deaf population, finding rates of major depression approximately 2.5 times higher than in the hearing population. Fellinger, Holzinger, and Pollard (2012) published a comprehensive systematic review concluding that the elevated mental health burden in deaf populations is primarily attributable to consequences of communicative exclusion rather than deafness per se -- a finding with profound implications for social work intervention priorities.</w:t>
      </w:r>
    </w:p>
    <w:p w14:paraId="2F97C207" w14:textId="77777777" w:rsidR="00067356" w:rsidRDefault="00067356">
      <w:pPr>
        <w:spacing w:before="120" w:after="120" w:line="360" w:lineRule="auto"/>
        <w:jc w:val="both"/>
      </w:pPr>
    </w:p>
    <w:p w14:paraId="6BFB4FAC" w14:textId="77777777" w:rsidR="00067356" w:rsidRDefault="007000B3">
      <w:pPr>
        <w:pStyle w:val="Heading2"/>
      </w:pPr>
      <w:r>
        <w:lastRenderedPageBreak/>
        <w:t>4.2 Indian Studies: Education, Employment, and Social Exclusion</w:t>
      </w:r>
    </w:p>
    <w:p w14:paraId="232C5E1D" w14:textId="77777777" w:rsidR="00067356" w:rsidRDefault="007000B3">
      <w:pPr>
        <w:spacing w:before="120" w:after="120" w:line="360" w:lineRule="auto"/>
        <w:jc w:val="both"/>
      </w:pPr>
      <w:r>
        <w:t>Indian scholarship on deaf/mute populations has expanded considerably in the wake of the RPWDA 2016, though it remains substantially smaller in volume and scope than the international literature. Alur and Timmons (2009) provided one of the earliest comprehensive accounts of inclusive education challenges in India, documenting the persistent gaps between the rhetoric of inclusive education policy and the reality of inaccessible, inadequately supported mainstream classrooms for deaf students.</w:t>
      </w:r>
    </w:p>
    <w:p w14:paraId="78235646" w14:textId="77777777" w:rsidR="00067356" w:rsidRDefault="007000B3">
      <w:pPr>
        <w:spacing w:before="120" w:after="120" w:line="360" w:lineRule="auto"/>
        <w:jc w:val="both"/>
      </w:pPr>
      <w:r>
        <w:t>Karimi and Krishnaswamy (2014) examined the vocational training experiences of deaf young adults in urban India, finding that most available vocational training programs were poorly adapted to meet deaf learners' communication needs, resulted in training in low-skill, low-demand occupations, and failed to connect graduates with employers willing to hire deaf workers. The study highlighted the critical need for deaf-accessible vocational training delivered in ISL by trainers competent in deaf communication.</w:t>
      </w:r>
    </w:p>
    <w:p w14:paraId="7EB1B02A" w14:textId="77777777" w:rsidR="00067356" w:rsidRDefault="007000B3">
      <w:pPr>
        <w:spacing w:before="120" w:after="120" w:line="360" w:lineRule="auto"/>
        <w:jc w:val="both"/>
      </w:pPr>
      <w:r>
        <w:t>Research by Kumari and colleagues (2018) on disability and poverty in India documented a strong and bidirectional relationship between disability and poverty that is particularly pronounced for deaf individuals -- limited education and employment options generate poverty, while poverty reduces access to assistive technologies, healthcare, and quality education that could mitigate disability-related disadvantage. This poverty trap dynamic underscores the need for comprehensive social and economic interventions rather than disability-specific services in isolation.</w:t>
      </w:r>
    </w:p>
    <w:p w14:paraId="01C03B77" w14:textId="77777777" w:rsidR="00067356" w:rsidRDefault="007000B3">
      <w:pPr>
        <w:pStyle w:val="Heading2"/>
      </w:pPr>
      <w:r>
        <w:t>4.3 Psychological Resilience Research</w:t>
      </w:r>
    </w:p>
    <w:p w14:paraId="46B5EF9D" w14:textId="77777777" w:rsidR="00067356" w:rsidRDefault="007000B3">
      <w:pPr>
        <w:spacing w:before="120" w:after="120" w:line="360" w:lineRule="auto"/>
        <w:jc w:val="both"/>
      </w:pPr>
      <w:r>
        <w:t>The resilience literature as applied to deaf populations has matured significantly over the past two decades, moving beyond early deficit-focused accounts to examine the active processes through which resilient outcomes are constructed. Masten's (2014) global review of resilience research identified several 'ordinary magic' mechanisms of resilience -- effective parenting, close relationships with caring adults, social agency and self-efficacy, regulation of emotions and attention -- that are universally relevant but take specific forms in the context of deaf/mute individuals.</w:t>
      </w:r>
    </w:p>
    <w:p w14:paraId="4CB63A65" w14:textId="77777777" w:rsidR="00067356" w:rsidRDefault="007000B3">
      <w:pPr>
        <w:spacing w:before="120" w:after="120" w:line="360" w:lineRule="auto"/>
        <w:jc w:val="both"/>
      </w:pPr>
      <w:r>
        <w:lastRenderedPageBreak/>
        <w:t>Bat-Chava's (2000) empirical research on deaf identity and psychological adjustment remains highly influential. Her identification of three identity orientations -- hearing identity, deaf community identity, and bicultural identity -- and her finding that bicultural identity is associated with the best psychological adjustment outcomes, has direct implications for social work practice focused on identity development support for deaf individuals.</w:t>
      </w:r>
    </w:p>
    <w:p w14:paraId="05EB15CD" w14:textId="77777777" w:rsidR="00067356" w:rsidRDefault="007000B3">
      <w:pPr>
        <w:spacing w:before="120" w:after="120" w:line="360" w:lineRule="auto"/>
        <w:jc w:val="both"/>
      </w:pPr>
      <w:r>
        <w:t>More recent research by Schild and Dammeyer (2019) examined the relationship between social inclusion and psychological well-being in deaf populations, finding that perceived social inclusion -- the subjective sense of being accepted and valued in one's community -- is a stronger predictor of mental health outcomes than objective measures of social participation. This finding has important implications for social work intervention design, suggesting that interventions should focus on building genuine communal acceptance rather than merely increasing deaf individuals' participation in formally inclusive activities.</w:t>
      </w:r>
    </w:p>
    <w:p w14:paraId="26B01C89" w14:textId="77777777" w:rsidR="00067356" w:rsidRDefault="007000B3">
      <w:pPr>
        <w:pStyle w:val="Heading2"/>
      </w:pPr>
      <w:r>
        <w:t>4.4 CSR, Social Enterprise, and Disability</w:t>
      </w:r>
    </w:p>
    <w:p w14:paraId="4D437D0D" w14:textId="77777777" w:rsidR="00067356" w:rsidRDefault="007000B3">
      <w:pPr>
        <w:spacing w:before="120" w:after="120" w:line="360" w:lineRule="auto"/>
        <w:jc w:val="both"/>
      </w:pPr>
      <w:r>
        <w:t>An emerging body of literature at the intersection of corporate social responsibility (CSR) and disability examines how private sector organizations can contribute to the inclusion of persons with disabilities, including those who are deaf or mute. Du Bhattacharya and Sen (2010) argued that effective CSR requires genuine stakeholder engagement -- including direct engagement with the target communities -- rather than top-down programmatic interventions. For disability-focused CSR, this means involving deaf employees, deaf community representatives, and deaf advocates in the design, implementation, and evaluation of inclusion programs.</w:t>
      </w:r>
    </w:p>
    <w:p w14:paraId="312127ED" w14:textId="77777777" w:rsidR="00067356" w:rsidRDefault="007000B3">
      <w:pPr>
        <w:spacing w:before="120" w:after="120" w:line="360" w:lineRule="auto"/>
        <w:jc w:val="both"/>
      </w:pPr>
      <w:r>
        <w:t>Porter and Kramer's (2011) 'Creating Shared Value' framework has been applied to disability inclusion to argue that workplace accessibility investments, including ISL interpreter provision and assistive technology adoption, can generate business value through increased productivity, reduced absenteeism, stronger employee loyalty, and access to a skilled but underutilized talent pool. Henderson (2020) extended this analysis to argue that systemic barriers to deaf employment represent a form of market failure that socially responsible corporations have both an ethical obligation and a business incentive to address.</w:t>
      </w:r>
    </w:p>
    <w:p w14:paraId="60057E85" w14:textId="77777777" w:rsidR="00067356" w:rsidRDefault="007000B3">
      <w:r>
        <w:br w:type="page"/>
      </w:r>
    </w:p>
    <w:p w14:paraId="4DD3A2D6" w14:textId="77777777" w:rsidR="00067356" w:rsidRDefault="007000B3">
      <w:pPr>
        <w:pStyle w:val="Heading1"/>
      </w:pPr>
      <w:r>
        <w:lastRenderedPageBreak/>
        <w:t>CHAPTER 5: PSYCHOLOGICAL RESILIENCE IN DEAF/MUTE INDIVIDUALS</w:t>
      </w:r>
    </w:p>
    <w:p w14:paraId="4B1AC282" w14:textId="77777777" w:rsidR="00067356" w:rsidRDefault="007000B3">
      <w:pPr>
        <w:pStyle w:val="Heading2"/>
      </w:pPr>
      <w:r>
        <w:t>5.1 Defining and Conceptualizing Resilience</w:t>
      </w:r>
    </w:p>
    <w:p w14:paraId="5CA4DC1A" w14:textId="77777777" w:rsidR="00067356" w:rsidRDefault="007000B3">
      <w:pPr>
        <w:spacing w:before="120" w:after="120" w:line="360" w:lineRule="auto"/>
        <w:jc w:val="both"/>
      </w:pPr>
      <w:r>
        <w:t>Psychological resilience, broadly defined as the capacity to adapt successfully in the face of adversity, trauma, or significant sources of stress, has emerged as a central organizing concept in contemporary disability research and social work practice. For deaf and mute individuals, resilience is not a static trait or fixed endowment but a dynamic, socially situated process shaped by the continuous interaction between individual capacities and environmental resources, stressors, and challenges.</w:t>
      </w:r>
    </w:p>
    <w:p w14:paraId="3B9CBA58" w14:textId="77777777" w:rsidR="00067356" w:rsidRDefault="007000B3">
      <w:pPr>
        <w:spacing w:before="120" w:after="120" w:line="360" w:lineRule="auto"/>
        <w:jc w:val="both"/>
      </w:pPr>
      <w:r>
        <w:t>The scientific understanding of resilience has evolved through several conceptual generations. First-generation resilience research focused on identifying the personal qualities that distinguished resilient individuals -- traits such as intelligence, problem-solving ability, positive self-concept, and temperament. Second-generation research examined the environmental systems -- family, school, community, culture -- that enable or constrain resilient development. Third-generation research, reflected in Masten's (2014) 'ordinary magic' framework, reconceptualized resilience as an ordinary phenomenon arising from the operation of basic human adaptive systems -- including the brain's capacity for self-regulation, close relationships, and cultural belief systems -- rather than something extraordinary or exceptional.</w:t>
      </w:r>
    </w:p>
    <w:p w14:paraId="06A5A733" w14:textId="77777777" w:rsidR="00067356" w:rsidRDefault="007000B3">
      <w:pPr>
        <w:spacing w:before="120" w:after="120" w:line="360" w:lineRule="auto"/>
        <w:jc w:val="both"/>
      </w:pPr>
      <w:r>
        <w:t>For social work practice, this third-generation understanding is particularly empowering because it locates the conditions for resilience in ordinary human relationships and social contexts that can be influenced through professional intervention. The social worker's role becomes one of activating and strengthening these ordinary adaptive systems -- supporting family communication, building peer networks, fostering community belonging, and advocating for structural changes that reduce the adversities deaf individuals face.</w:t>
      </w:r>
    </w:p>
    <w:p w14:paraId="1C0C1237" w14:textId="77777777" w:rsidR="00067356" w:rsidRDefault="00067356">
      <w:pPr>
        <w:spacing w:before="120" w:after="120" w:line="360" w:lineRule="auto"/>
        <w:jc w:val="both"/>
      </w:pPr>
    </w:p>
    <w:p w14:paraId="162394C9" w14:textId="77777777" w:rsidR="00067356" w:rsidRDefault="00067356">
      <w:pPr>
        <w:spacing w:before="120" w:after="120" w:line="360" w:lineRule="auto"/>
        <w:jc w:val="both"/>
      </w:pPr>
    </w:p>
    <w:p w14:paraId="6E0F9D76" w14:textId="77777777" w:rsidR="00067356" w:rsidRDefault="00067356">
      <w:pPr>
        <w:spacing w:before="120" w:after="120" w:line="360" w:lineRule="auto"/>
        <w:jc w:val="both"/>
      </w:pPr>
    </w:p>
    <w:p w14:paraId="6818ABC7" w14:textId="77777777" w:rsidR="00067356" w:rsidRDefault="007000B3">
      <w:pPr>
        <w:pStyle w:val="Heading2"/>
      </w:pPr>
      <w:r>
        <w:lastRenderedPageBreak/>
        <w:t>5.2 The Specific Resilience Ecology of Deaf/Mute Individuals</w:t>
      </w:r>
    </w:p>
    <w:p w14:paraId="1582F180" w14:textId="77777777" w:rsidR="00067356" w:rsidRDefault="007000B3">
      <w:pPr>
        <w:spacing w:before="120" w:after="120" w:line="360" w:lineRule="auto"/>
        <w:jc w:val="both"/>
      </w:pPr>
      <w:r>
        <w:t xml:space="preserve">The resilience ecology of deaf and mute individuals has several dimensions that are distinctive relative to other disability groups or non-disabled populations. First, linguistic access -- </w:t>
      </w:r>
      <w:proofErr w:type="spellStart"/>
      <w:r>
        <w:t>access</w:t>
      </w:r>
      <w:proofErr w:type="spellEnd"/>
      <w:r>
        <w:t xml:space="preserve"> to a natural, fully expressive language that can be acquired without auditory experience -- is a foundational precondition for virtually all other resilience processes. Without a language, deaf children cannot develop the cognitive, social, and emotional capacities that resilience depends upon. The availability of ISL, ISL-competent caregivers, and ISL-accessible education is therefore not merely a communication accommodation but a prerequisite for resilient development itself.</w:t>
      </w:r>
    </w:p>
    <w:p w14:paraId="5B7766CF" w14:textId="77777777" w:rsidR="00067356" w:rsidRDefault="007000B3">
      <w:pPr>
        <w:spacing w:before="120" w:after="120" w:line="360" w:lineRule="auto"/>
        <w:jc w:val="both"/>
      </w:pPr>
      <w:r>
        <w:t>Second, deaf community membership functions as an extraordinary resilience resource for deaf individuals. The deaf community provides not only social support and belonging but also a cultural framework -- a set of values, stories, norms, and perspectives -- that provides meaning and dignity to the deaf experience. Research consistently finds that deaf individuals with strong deaf community connections demonstrate superior psychological outcomes relative to those who are more isolated from the deaf community, even when controlling for other factors.</w:t>
      </w:r>
    </w:p>
    <w:p w14:paraId="0EAFEC98" w14:textId="77777777" w:rsidR="00067356" w:rsidRDefault="007000B3">
      <w:pPr>
        <w:spacing w:before="120" w:after="120" w:line="360" w:lineRule="auto"/>
        <w:jc w:val="both"/>
      </w:pPr>
      <w:r>
        <w:t>Third, positive deaf identity -- the affirmative valuation of one's deaf self and the deaf community -- is strongly predictive of resilience outcomes. This finding has important clinical implications: social work interventions that frame deafness primarily as a problem to be solved or a deficit to be compensated are likely to undermine rather than build resilience, while interventions that affirm deaf identity, connect individuals with deaf community resources, and challenge hearing-centric assumptions create more fertile soil for resilient development.</w:t>
      </w:r>
    </w:p>
    <w:p w14:paraId="0E142B15" w14:textId="77777777" w:rsidR="00067356" w:rsidRDefault="00067356">
      <w:pPr>
        <w:spacing w:before="120" w:after="120" w:line="360" w:lineRule="auto"/>
        <w:jc w:val="both"/>
      </w:pPr>
    </w:p>
    <w:p w14:paraId="36C59062" w14:textId="77777777" w:rsidR="00067356" w:rsidRDefault="00067356">
      <w:pPr>
        <w:spacing w:before="120" w:after="120" w:line="360" w:lineRule="auto"/>
        <w:jc w:val="both"/>
      </w:pPr>
    </w:p>
    <w:p w14:paraId="5440CB94" w14:textId="77777777" w:rsidR="00067356" w:rsidRDefault="00067356">
      <w:pPr>
        <w:spacing w:before="120" w:after="120" w:line="360" w:lineRule="auto"/>
        <w:jc w:val="both"/>
      </w:pPr>
    </w:p>
    <w:p w14:paraId="54CECDA6" w14:textId="77777777" w:rsidR="00067356" w:rsidRDefault="00067356">
      <w:pPr>
        <w:spacing w:before="120" w:after="120" w:line="360" w:lineRule="auto"/>
        <w:jc w:val="both"/>
      </w:pPr>
    </w:p>
    <w:p w14:paraId="1CB42DD4" w14:textId="77777777" w:rsidR="00067356" w:rsidRDefault="00067356">
      <w:pPr>
        <w:spacing w:before="120" w:after="120" w:line="360" w:lineRule="auto"/>
        <w:jc w:val="both"/>
      </w:pPr>
    </w:p>
    <w:p w14:paraId="474ECD4C" w14:textId="77777777" w:rsidR="00067356" w:rsidRDefault="007000B3">
      <w:pPr>
        <w:pStyle w:val="Heading2"/>
      </w:pPr>
      <w:r>
        <w:lastRenderedPageBreak/>
        <w:t>5.3 Risk and Protective Factors Across the Life Course</w:t>
      </w:r>
    </w:p>
    <w:p w14:paraId="3526A7B0" w14:textId="77777777" w:rsidR="00067356" w:rsidRDefault="007000B3">
      <w:pPr>
        <w:pStyle w:val="Heading3"/>
      </w:pPr>
      <w:r>
        <w:t>5.3.1 Early Childhood: Language Access and Family Environment</w:t>
      </w:r>
    </w:p>
    <w:p w14:paraId="26FBE4EE" w14:textId="77777777" w:rsidR="00067356" w:rsidRDefault="007000B3">
      <w:pPr>
        <w:spacing w:before="120" w:after="120" w:line="360" w:lineRule="auto"/>
        <w:jc w:val="both"/>
      </w:pPr>
      <w:r>
        <w:t xml:space="preserve">The early childhood period is critical for resilience development in deaf and mute individuals, with the quality and accessibility of language the most fundamental determinant of developmental outcomes. </w:t>
      </w:r>
    </w:p>
    <w:p w14:paraId="288A37B5" w14:textId="77777777" w:rsidR="00067356" w:rsidRDefault="007000B3">
      <w:pPr>
        <w:spacing w:before="120" w:after="120" w:line="360" w:lineRule="auto"/>
        <w:jc w:val="both"/>
      </w:pPr>
      <w:r>
        <w:t>Research consistently documents that deaf children who acquire ISL from birth -- whether from deaf parents or from hearing parents who learn ISL proactively -- demonstrate language development, cognitive abilities, and social-emotional competencies comparable to hearing children of the same age. Conversely, deaf children who are denied access to sign language -- whether through oralist educational approaches that prohibit signing or through family and educational environments where no one knows ISL -- suffer significant and sometimes irreversible developmental delays.</w:t>
      </w:r>
    </w:p>
    <w:p w14:paraId="5987EBE6" w14:textId="77777777" w:rsidR="00067356" w:rsidRDefault="007000B3">
      <w:pPr>
        <w:spacing w:before="120" w:after="120" w:line="360" w:lineRule="auto"/>
        <w:jc w:val="both"/>
      </w:pPr>
      <w:r>
        <w:t>Family attitudes toward deafness and disability are the second most critical factor in early childhood resilience development. Families that approach deafness as a catastrophe, invest disproportionate emotional energy in seeking 'cures' or normalizing interventions, or express shame or denial about their child's deafness, inadvertently transmit distress and negative self-concept to the deaf child. Families that approach deafness as a difference rather than a deficit, actively learn ISL, connect with the deaf community, and celebrate their deaf child's identity and accomplishments, create the conditions for robust resilient development.</w:t>
      </w:r>
    </w:p>
    <w:p w14:paraId="4E71CBE4" w14:textId="77777777" w:rsidR="00067356" w:rsidRDefault="007000B3">
      <w:pPr>
        <w:pStyle w:val="Heading3"/>
      </w:pPr>
      <w:r>
        <w:t>5.3.2 Adolescence: Identity Formation and Peer Relations</w:t>
      </w:r>
    </w:p>
    <w:p w14:paraId="7EA7D4E6" w14:textId="77777777" w:rsidR="00067356" w:rsidRDefault="007000B3">
      <w:pPr>
        <w:spacing w:before="120" w:after="120" w:line="360" w:lineRule="auto"/>
        <w:jc w:val="both"/>
      </w:pPr>
      <w:r>
        <w:t>Adolescence is a critical period for identity development for all young people, but it presents particular challenges and opportunities for deaf youth. The developmental tasks of adolescence -- forming an autonomous identity separate from family, establishing peer relationships, developing a sense of competence and direction -- are significantly shaped by the communicative and social contexts available to deaf youth.</w:t>
      </w:r>
    </w:p>
    <w:p w14:paraId="079F6B0D" w14:textId="77777777" w:rsidR="00067356" w:rsidRDefault="007000B3">
      <w:pPr>
        <w:spacing w:before="120" w:after="120" w:line="360" w:lineRule="auto"/>
        <w:jc w:val="both"/>
      </w:pPr>
      <w:r>
        <w:t xml:space="preserve">For deaf youth in mainstream educational settings without adequate ISL support, adolescence can be a period of profound social isolation -- unable to communicate fluently with hearing peers and deprived of access to the deaf community, these young people may struggle to develop a coherent, positive identity. </w:t>
      </w:r>
    </w:p>
    <w:p w14:paraId="09DA8FFE" w14:textId="77777777" w:rsidR="00067356" w:rsidRDefault="007000B3">
      <w:pPr>
        <w:spacing w:before="120" w:after="120" w:line="360" w:lineRule="auto"/>
        <w:jc w:val="both"/>
      </w:pPr>
      <w:r>
        <w:lastRenderedPageBreak/>
        <w:t xml:space="preserve">Research by </w:t>
      </w:r>
      <w:proofErr w:type="spellStart"/>
      <w:r>
        <w:t>Kushalnagar</w:t>
      </w:r>
      <w:proofErr w:type="spellEnd"/>
      <w:r>
        <w:t xml:space="preserve"> and colleagues (2010) documented that mainstream-educated deaf youth report significantly higher rates of loneliness, depression, and identity confusion compared to those educated in deaf-supportive environments.</w:t>
      </w:r>
    </w:p>
    <w:p w14:paraId="20D2B494" w14:textId="77777777" w:rsidR="00067356" w:rsidRDefault="007000B3">
      <w:pPr>
        <w:spacing w:before="120" w:after="120" w:line="360" w:lineRule="auto"/>
        <w:jc w:val="both"/>
      </w:pPr>
      <w:r>
        <w:t>Conversely, deaf youth who have access to ISL-using peer communities -- whether in schools for the deaf, deaf youth organizations, or online deaf communities -- navigate adolescent identity development more successfully.</w:t>
      </w:r>
    </w:p>
    <w:p w14:paraId="4E66592C" w14:textId="77777777" w:rsidR="00067356" w:rsidRDefault="007000B3">
      <w:pPr>
        <w:spacing w:before="120" w:after="120" w:line="360" w:lineRule="auto"/>
        <w:jc w:val="both"/>
      </w:pPr>
      <w:r>
        <w:t xml:space="preserve"> The emergence of social media and online platforms has created new opportunities for deaf youth to connect with deaf peers regardless of geographic location, providing virtual deaf community membership that can partially compensate for the absence of local deaf community resources.</w:t>
      </w:r>
    </w:p>
    <w:p w14:paraId="4777CACB" w14:textId="77777777" w:rsidR="00067356" w:rsidRDefault="007000B3">
      <w:pPr>
        <w:pStyle w:val="Heading3"/>
      </w:pPr>
      <w:r>
        <w:t>5.3.3 Adulthood: Employment, Partnership, and Community</w:t>
      </w:r>
    </w:p>
    <w:p w14:paraId="59ABB778" w14:textId="77777777" w:rsidR="00067356" w:rsidRDefault="007000B3">
      <w:pPr>
        <w:spacing w:before="120" w:after="120" w:line="360" w:lineRule="auto"/>
        <w:jc w:val="both"/>
      </w:pPr>
      <w:r>
        <w:t xml:space="preserve">In adulthood, the primary resilience challenges for deaf and mute individuals </w:t>
      </w:r>
      <w:proofErr w:type="spellStart"/>
      <w:r>
        <w:t>center</w:t>
      </w:r>
      <w:proofErr w:type="spellEnd"/>
      <w:r>
        <w:t xml:space="preserve"> on employment, intimate relationships, parenting, and civic participation. As documented throughout this research, employment barriers for deaf adults in India are substantial, and unemployment or underemployment is a significant source of psychological distress and economic vulnerability. Resilient adult functioning for deaf individuals typically depends on the development of strong advocacy skills -- the ability to assertively communicate needs, negotiate accommodations, and navigate hearing-dominant institutions.</w:t>
      </w:r>
    </w:p>
    <w:p w14:paraId="2BAA5BC0" w14:textId="77777777" w:rsidR="00067356" w:rsidRDefault="007000B3">
      <w:pPr>
        <w:spacing w:before="120" w:after="120" w:line="360" w:lineRule="auto"/>
        <w:jc w:val="both"/>
      </w:pPr>
      <w:r>
        <w:t>Intimate relationships and parenting present distinctive challenges for deaf adults, particularly those who have deaf and hearing family members. Communication within couples and families can be complex when some members are fluent in ISL and others are not, and deaf parents of hearing children navigate unique dynamics around language, identity, and community belonging. Social work support for deaf families requires understanding of these dynamics and ability to facilitate communication within families rather than simply translating between deaf and hearing worlds.</w:t>
      </w:r>
    </w:p>
    <w:p w14:paraId="418E9078" w14:textId="77777777" w:rsidR="00067356" w:rsidRDefault="00067356">
      <w:pPr>
        <w:spacing w:before="120" w:after="120" w:line="360" w:lineRule="auto"/>
        <w:jc w:val="both"/>
      </w:pPr>
    </w:p>
    <w:p w14:paraId="15491C85" w14:textId="77777777" w:rsidR="00067356" w:rsidRDefault="00067356">
      <w:pPr>
        <w:spacing w:before="120" w:after="120" w:line="360" w:lineRule="auto"/>
        <w:jc w:val="both"/>
      </w:pPr>
    </w:p>
    <w:p w14:paraId="30D7D463" w14:textId="77777777" w:rsidR="00067356" w:rsidRDefault="00067356">
      <w:pPr>
        <w:spacing w:before="120" w:after="120" w:line="360" w:lineRule="auto"/>
        <w:jc w:val="both"/>
      </w:pPr>
    </w:p>
    <w:p w14:paraId="62FBAB09" w14:textId="77777777" w:rsidR="00067356" w:rsidRDefault="007000B3">
      <w:pPr>
        <w:pStyle w:val="Heading3"/>
      </w:pPr>
      <w:r>
        <w:lastRenderedPageBreak/>
        <w:t>5.3.4 Older Adulthood: Accumulated Resilience and New Vulnerabilities</w:t>
      </w:r>
    </w:p>
    <w:p w14:paraId="6BDD66A3" w14:textId="77777777" w:rsidR="00067356" w:rsidRDefault="007000B3">
      <w:pPr>
        <w:spacing w:before="120" w:after="120" w:line="360" w:lineRule="auto"/>
        <w:jc w:val="both"/>
      </w:pPr>
      <w:r>
        <w:t>Older deaf adults represent a population whose resilience has been tested and built over decades of navigating hearing-dominant society. Many older deaf adults in India have faced the full historical sweep of disability discrimination -- denied education, excluded from employment, silenced in social and civic life -- and have nonetheless built meaningful lives and contributed to the deaf community. Their accumulated resilience wisdom represents a valuable but underutilized resource in contemporary social work practice.</w:t>
      </w:r>
    </w:p>
    <w:p w14:paraId="27B76A69" w14:textId="77777777" w:rsidR="00067356" w:rsidRDefault="007000B3">
      <w:pPr>
        <w:spacing w:before="120" w:after="120" w:line="360" w:lineRule="auto"/>
        <w:jc w:val="both"/>
      </w:pPr>
      <w:r>
        <w:t xml:space="preserve">At the same time, older age brings new vulnerabilities for deaf individuals. Age-related sensory decline can compound existing hearing loss. Social networks may shrink with retirement, bereavement, and reduced mobility. </w:t>
      </w:r>
    </w:p>
    <w:p w14:paraId="427A06E6" w14:textId="77777777" w:rsidR="00067356" w:rsidRDefault="007000B3">
      <w:pPr>
        <w:spacing w:before="120" w:after="120" w:line="360" w:lineRule="auto"/>
        <w:jc w:val="both"/>
      </w:pPr>
      <w:r>
        <w:t>Digital communication technologies that have become essential for deaf communication may be difficult for older adults with limited digital literacy to access. Healthcare becomes increasingly important and communication barriers in healthcare settings become increasingly consequential. Social workers supporting older deaf adults must be attentive to these accumulated challenges while building on the remarkable resilience resources that long experience has developed.</w:t>
      </w:r>
    </w:p>
    <w:p w14:paraId="5E678DB4" w14:textId="77777777" w:rsidR="00067356" w:rsidRDefault="007000B3">
      <w:pPr>
        <w:pStyle w:val="Heading2"/>
      </w:pPr>
      <w:r>
        <w:t>5.4 Resilience-Building Interventions: Social Work Approaches</w:t>
      </w:r>
    </w:p>
    <w:p w14:paraId="45B41EA9" w14:textId="77777777" w:rsidR="00067356" w:rsidRDefault="007000B3">
      <w:pPr>
        <w:spacing w:before="120" w:after="120" w:line="360" w:lineRule="auto"/>
        <w:jc w:val="both"/>
      </w:pPr>
      <w:r>
        <w:t>Drawing on the empirical resilience literature, several categories of social work intervention can be identified as particularly effective in building resilience for deaf/mute individuals across the life course.</w:t>
      </w:r>
    </w:p>
    <w:p w14:paraId="2A09254B" w14:textId="77777777" w:rsidR="00067356" w:rsidRDefault="007000B3">
      <w:pPr>
        <w:spacing w:before="120" w:after="120" w:line="360" w:lineRule="auto"/>
        <w:jc w:val="both"/>
      </w:pPr>
      <w:r>
        <w:t xml:space="preserve">Strengths-based </w:t>
      </w:r>
      <w:proofErr w:type="spellStart"/>
      <w:r>
        <w:t>counseling</w:t>
      </w:r>
      <w:proofErr w:type="spellEnd"/>
      <w:r>
        <w:t xml:space="preserve"> approaches -- which </w:t>
      </w:r>
      <w:proofErr w:type="spellStart"/>
      <w:r>
        <w:t>center</w:t>
      </w:r>
      <w:proofErr w:type="spellEnd"/>
      <w:r>
        <w:t xml:space="preserve"> the client's existing strengths, resources, and successful coping strategies rather than focusing exclusively on problems and deficits -- are particularly aligned with resilience principles. In work with deaf clients, strengths-based approaches involve explicitly acknowledging and building on the adaptive capabilities developed through navigating deaf experience: visual perceptual acuity, creative communication flexibility, community orientation, and the capacity for self-advocacy.</w:t>
      </w:r>
    </w:p>
    <w:p w14:paraId="3BE8774D" w14:textId="77777777" w:rsidR="00067356" w:rsidRDefault="00067356">
      <w:pPr>
        <w:spacing w:before="120" w:after="120" w:line="360" w:lineRule="auto"/>
        <w:jc w:val="both"/>
      </w:pPr>
    </w:p>
    <w:p w14:paraId="6035A2A2" w14:textId="77777777" w:rsidR="00067356" w:rsidRDefault="00067356">
      <w:pPr>
        <w:spacing w:before="120" w:after="120" w:line="360" w:lineRule="auto"/>
        <w:jc w:val="both"/>
      </w:pPr>
    </w:p>
    <w:p w14:paraId="04ACFCA5" w14:textId="77777777" w:rsidR="00067356" w:rsidRDefault="007000B3">
      <w:pPr>
        <w:spacing w:before="120" w:after="120" w:line="360" w:lineRule="auto"/>
        <w:jc w:val="both"/>
      </w:pPr>
      <w:r>
        <w:lastRenderedPageBreak/>
        <w:t>Family systems approaches that focus on improving family communication -- including ISL training for hearing family members, family therapy sessions conducted in ISL, and psychoeducational interventions that help families understand deaf developmental needs -- are among the highest-leverage interventions available to social workers working with deaf individuals. Improving family communication quality has cascading positive effects across multiple resilience domains simultaneously.</w:t>
      </w:r>
    </w:p>
    <w:p w14:paraId="7B64E69B" w14:textId="77777777" w:rsidR="00067356" w:rsidRDefault="007000B3">
      <w:pPr>
        <w:spacing w:before="120" w:after="120" w:line="360" w:lineRule="auto"/>
        <w:jc w:val="both"/>
      </w:pPr>
      <w:r>
        <w:t xml:space="preserve">Community development approaches that strengthen deaf community infrastructure -- peer support networks, deaf cultural organizations, deaf youth programs, deaf senior </w:t>
      </w:r>
      <w:proofErr w:type="spellStart"/>
      <w:r>
        <w:t>centers</w:t>
      </w:r>
      <w:proofErr w:type="spellEnd"/>
      <w:r>
        <w:t xml:space="preserve"> -- create community-level resilience resources that benefit entire populations rather than individual clients. Social workers can contribute to community development through facilitation, capacity building, resource mobilization, and advocacy for institutional support for deaf community organizations.</w:t>
      </w:r>
    </w:p>
    <w:p w14:paraId="68EFD000" w14:textId="77777777" w:rsidR="00067356" w:rsidRDefault="007000B3">
      <w:r>
        <w:br w:type="page"/>
      </w:r>
    </w:p>
    <w:p w14:paraId="530B8E67" w14:textId="77777777" w:rsidR="00067356" w:rsidRDefault="007000B3">
      <w:pPr>
        <w:pStyle w:val="Heading1"/>
      </w:pPr>
      <w:r>
        <w:lastRenderedPageBreak/>
        <w:t>CHAPTER 6: PROBLEM STATEMENT</w:t>
      </w:r>
    </w:p>
    <w:p w14:paraId="7D62EFAA" w14:textId="77777777" w:rsidR="00067356" w:rsidRDefault="007000B3">
      <w:pPr>
        <w:pStyle w:val="Heading2"/>
      </w:pPr>
      <w:r>
        <w:t>6.1 Overview of the Problem</w:t>
      </w:r>
    </w:p>
    <w:p w14:paraId="57913C53" w14:textId="77777777" w:rsidR="00067356" w:rsidRDefault="007000B3">
      <w:pPr>
        <w:spacing w:before="120" w:after="120" w:line="360" w:lineRule="auto"/>
        <w:jc w:val="both"/>
      </w:pPr>
      <w:r>
        <w:t>Despite the growing recognition of disability rights and the enactment of comprehensive legislation such as the RPWDA 2016, deaf and mute individuals in India continue to face profound and multidimensional challenges across all life domains. These challenges reflect deep-seated systemic failures: inadequate social work training in deaf culture and ISL, absence of psychologically informed intervention frameworks for diverse generational cohorts, critical shortage of ISL interpreters and accessible services, and persistent attitudinal barriers in families, communities, and institutions.</w:t>
      </w:r>
    </w:p>
    <w:p w14:paraId="79C427D2" w14:textId="77777777" w:rsidR="00067356" w:rsidRDefault="007000B3">
      <w:pPr>
        <w:spacing w:before="120" w:after="120" w:line="360" w:lineRule="auto"/>
        <w:jc w:val="both"/>
      </w:pPr>
      <w:r>
        <w:t>Current social work frameworks often lack the specialization, depth, and cultural sensitivity required to effectively support deaf/mute individuals across generations. Social workers employed in disability services, healthcare settings, and educational institutions commonly report limited or no ISL proficiency, inadequate understanding of deaf culture and community dynamics, and a lack of evidence-based, generation-specific intervention strategies. This training and knowledge deficit translates directly into service gaps that affect millions of deaf/mute individuals and their families across India.</w:t>
      </w:r>
    </w:p>
    <w:p w14:paraId="7538A42A" w14:textId="77777777" w:rsidR="00067356" w:rsidRDefault="007000B3">
      <w:pPr>
        <w:spacing w:before="120" w:after="120" w:line="360" w:lineRule="auto"/>
        <w:jc w:val="both"/>
      </w:pPr>
      <w:r>
        <w:t>The consequences of these gaps are measurable and serious. Deaf individuals accessing social services without ISL-competent social workers receive lower quality assessments, less appropriate interventions, and reduced advocacy support. Deaf individuals experiencing mental health crises encounter mental health systems that are largely unable to communicate with them. Deaf youth navigating educational and vocational transitions receive career guidance from social workers who lack awareness of the specific opportunities and barriers facing deaf job seekers. Deaf older adults encounter aging services designed for hearing individuals who communicate verbally.</w:t>
      </w:r>
    </w:p>
    <w:p w14:paraId="18FEC949" w14:textId="77777777" w:rsidR="00067356" w:rsidRDefault="00067356">
      <w:pPr>
        <w:spacing w:before="120" w:after="120" w:line="360" w:lineRule="auto"/>
        <w:jc w:val="both"/>
      </w:pPr>
    </w:p>
    <w:p w14:paraId="017CA9E6" w14:textId="77777777" w:rsidR="00067356" w:rsidRDefault="00067356">
      <w:pPr>
        <w:spacing w:before="120" w:after="120" w:line="360" w:lineRule="auto"/>
        <w:jc w:val="both"/>
      </w:pPr>
    </w:p>
    <w:p w14:paraId="268E8EC2" w14:textId="77777777" w:rsidR="00067356" w:rsidRDefault="00067356">
      <w:pPr>
        <w:spacing w:before="120" w:after="120" w:line="360" w:lineRule="auto"/>
        <w:jc w:val="both"/>
      </w:pPr>
    </w:p>
    <w:p w14:paraId="460776C7" w14:textId="77777777" w:rsidR="00067356" w:rsidRDefault="00067356">
      <w:pPr>
        <w:spacing w:before="120" w:after="120" w:line="360" w:lineRule="auto"/>
        <w:jc w:val="both"/>
      </w:pPr>
    </w:p>
    <w:p w14:paraId="27648E84" w14:textId="77777777" w:rsidR="00067356" w:rsidRDefault="007000B3">
      <w:pPr>
        <w:pStyle w:val="Heading2"/>
      </w:pPr>
      <w:r>
        <w:lastRenderedPageBreak/>
        <w:t>6.2 The Research Gap</w:t>
      </w:r>
    </w:p>
    <w:p w14:paraId="57BC346B" w14:textId="77777777" w:rsidR="00067356" w:rsidRDefault="007000B3">
      <w:pPr>
        <w:spacing w:before="120" w:after="120" w:line="360" w:lineRule="auto"/>
        <w:jc w:val="both"/>
      </w:pPr>
      <w:r>
        <w:t>Despite the importance of these issues, the existing literature on social work with deaf/mute populations in India has significant limitations. Much available Indian research is narrowly focused on specific sub-populations -- deaf children in educational settings, deaf youth in urban employment -- without examining the full generational spectrum. Comprehensive, generationally inclusive research that examines social work practice needs across the entire life course is largely absent from the Indian literature.</w:t>
      </w:r>
    </w:p>
    <w:p w14:paraId="6A33DE3C" w14:textId="77777777" w:rsidR="00067356" w:rsidRDefault="007000B3">
      <w:pPr>
        <w:spacing w:before="120" w:after="120" w:line="360" w:lineRule="auto"/>
        <w:jc w:val="both"/>
      </w:pPr>
      <w:r>
        <w:t xml:space="preserve">The intersection of deafness with other markers of social disadvantage -- gender, caste, religion, rural residence, and poverty -- has received insufficient scholarly attention in the Indian context. Existing disability research overwhelmingly treats disability as the primary and singular axis of disadvantage, ignoring the ways in which multiple social positions interact to create compounded vulnerabilities that demand </w:t>
      </w:r>
      <w:proofErr w:type="spellStart"/>
      <w:r>
        <w:t>intersectionally</w:t>
      </w:r>
      <w:proofErr w:type="spellEnd"/>
      <w:r>
        <w:t xml:space="preserve"> responsive services.</w:t>
      </w:r>
    </w:p>
    <w:p w14:paraId="62E19D2E" w14:textId="77777777" w:rsidR="00067356" w:rsidRDefault="007000B3">
      <w:pPr>
        <w:spacing w:before="120" w:after="120" w:line="360" w:lineRule="auto"/>
        <w:jc w:val="both"/>
      </w:pPr>
      <w:r>
        <w:t>The psychological resilience framework, while well-developed in international literature, has not been systematically applied in Indian social work research with deaf/mute populations. Understanding the specific cultural, familial, and community factors that promote or undermine resilience in the Indian context -- and the ways in which social work interventions can strengthen these resilience-promoting factors -- is essential for developing effective, locally grounded practice frameworks.</w:t>
      </w:r>
    </w:p>
    <w:p w14:paraId="0457D172" w14:textId="77777777" w:rsidR="00067356" w:rsidRDefault="007000B3">
      <w:r>
        <w:br w:type="page"/>
      </w:r>
    </w:p>
    <w:p w14:paraId="380AACD3" w14:textId="77777777" w:rsidR="00067356" w:rsidRDefault="007000B3">
      <w:pPr>
        <w:pStyle w:val="Heading1"/>
      </w:pPr>
      <w:r>
        <w:lastRenderedPageBreak/>
        <w:t>CHAPTER 7: OBJECTIVES OF THE STUDY</w:t>
      </w:r>
    </w:p>
    <w:p w14:paraId="0C94ED27" w14:textId="77777777" w:rsidR="00067356" w:rsidRDefault="007000B3">
      <w:pPr>
        <w:pStyle w:val="Heading2"/>
      </w:pPr>
      <w:r>
        <w:t>7.1 Primary Objectives</w:t>
      </w:r>
    </w:p>
    <w:p w14:paraId="485AA41E" w14:textId="77777777" w:rsidR="00067356" w:rsidRDefault="007000B3">
      <w:pPr>
        <w:numPr>
          <w:ilvl w:val="0"/>
          <w:numId w:val="1"/>
        </w:numPr>
        <w:pBdr>
          <w:top w:val="nil"/>
          <w:left w:val="nil"/>
          <w:bottom w:val="nil"/>
          <w:right w:val="nil"/>
          <w:between w:val="nil"/>
        </w:pBdr>
        <w:spacing w:before="80" w:after="80"/>
      </w:pPr>
      <w:r>
        <w:rPr>
          <w:color w:val="000000"/>
        </w:rPr>
        <w:t>To examine the nature and extent of psychological challenges faced by deaf and mute individuals across different generational cohorts in the Indian context.</w:t>
      </w:r>
    </w:p>
    <w:p w14:paraId="58570084" w14:textId="77777777" w:rsidR="00067356" w:rsidRDefault="007000B3">
      <w:pPr>
        <w:numPr>
          <w:ilvl w:val="0"/>
          <w:numId w:val="1"/>
        </w:numPr>
        <w:pBdr>
          <w:top w:val="nil"/>
          <w:left w:val="nil"/>
          <w:bottom w:val="nil"/>
          <w:right w:val="nil"/>
          <w:between w:val="nil"/>
        </w:pBdr>
        <w:spacing w:before="80" w:after="80"/>
      </w:pPr>
      <w:r>
        <w:rPr>
          <w:color w:val="000000"/>
        </w:rPr>
        <w:t>To assess the current capacity, ISL proficiency, cultural competency, and training needs of social workers and allied professionals engaged with deaf/mute populations.</w:t>
      </w:r>
    </w:p>
    <w:p w14:paraId="1CBBBE31" w14:textId="77777777" w:rsidR="00067356" w:rsidRDefault="007000B3">
      <w:pPr>
        <w:numPr>
          <w:ilvl w:val="0"/>
          <w:numId w:val="1"/>
        </w:numPr>
        <w:pBdr>
          <w:top w:val="nil"/>
          <w:left w:val="nil"/>
          <w:bottom w:val="nil"/>
          <w:right w:val="nil"/>
          <w:between w:val="nil"/>
        </w:pBdr>
        <w:spacing w:before="80" w:after="80"/>
      </w:pPr>
      <w:r>
        <w:rPr>
          <w:color w:val="000000"/>
        </w:rPr>
        <w:t>To explore and document effective communication strategies, including ISL and alternative augmentative communication (AAC) methods, applicable to social work practice.</w:t>
      </w:r>
    </w:p>
    <w:p w14:paraId="697C2967" w14:textId="77777777" w:rsidR="00067356" w:rsidRDefault="007000B3">
      <w:pPr>
        <w:numPr>
          <w:ilvl w:val="0"/>
          <w:numId w:val="1"/>
        </w:numPr>
        <w:pBdr>
          <w:top w:val="nil"/>
          <w:left w:val="nil"/>
          <w:bottom w:val="nil"/>
          <w:right w:val="nil"/>
          <w:between w:val="nil"/>
        </w:pBdr>
        <w:spacing w:before="80" w:after="80"/>
      </w:pPr>
      <w:r>
        <w:rPr>
          <w:color w:val="000000"/>
        </w:rPr>
        <w:t>To identify evidence-based psychological and social work interventions that demonstrably enhance resilience, well-being, and social inclusion among deaf/mute individuals.</w:t>
      </w:r>
    </w:p>
    <w:p w14:paraId="5B4D38D2" w14:textId="77777777" w:rsidR="00067356" w:rsidRDefault="007000B3">
      <w:pPr>
        <w:numPr>
          <w:ilvl w:val="0"/>
          <w:numId w:val="1"/>
        </w:numPr>
        <w:pBdr>
          <w:top w:val="nil"/>
          <w:left w:val="nil"/>
          <w:bottom w:val="nil"/>
          <w:right w:val="nil"/>
          <w:between w:val="nil"/>
        </w:pBdr>
        <w:spacing w:before="80" w:after="80"/>
      </w:pPr>
      <w:r>
        <w:rPr>
          <w:color w:val="000000"/>
        </w:rPr>
        <w:t>To develop a comprehensive, theoretically grounded framework for empowering social workers to provide generationally responsive, culturally competent, and psychologically informed support.</w:t>
      </w:r>
    </w:p>
    <w:p w14:paraId="3C89B96A" w14:textId="77777777" w:rsidR="00067356" w:rsidRDefault="007000B3">
      <w:pPr>
        <w:pStyle w:val="Heading2"/>
      </w:pPr>
      <w:r>
        <w:t>7.2 Secondary Objectives</w:t>
      </w:r>
    </w:p>
    <w:p w14:paraId="0A9AEB48" w14:textId="77777777" w:rsidR="00067356" w:rsidRDefault="007000B3">
      <w:pPr>
        <w:numPr>
          <w:ilvl w:val="0"/>
          <w:numId w:val="1"/>
        </w:numPr>
        <w:pBdr>
          <w:top w:val="nil"/>
          <w:left w:val="nil"/>
          <w:bottom w:val="nil"/>
          <w:right w:val="nil"/>
          <w:between w:val="nil"/>
        </w:pBdr>
        <w:spacing w:before="80" w:after="80"/>
      </w:pPr>
      <w:r>
        <w:rPr>
          <w:color w:val="000000"/>
        </w:rPr>
        <w:t xml:space="preserve">To </w:t>
      </w:r>
      <w:proofErr w:type="spellStart"/>
      <w:r>
        <w:rPr>
          <w:color w:val="000000"/>
        </w:rPr>
        <w:t>analyze</w:t>
      </w:r>
      <w:proofErr w:type="spellEnd"/>
      <w:r>
        <w:rPr>
          <w:color w:val="000000"/>
        </w:rPr>
        <w:t xml:space="preserve"> the role, initiatives, and impact of ISLRTC in advancing ISL standardization, interpreter training, and deaf inclusion in India.</w:t>
      </w:r>
    </w:p>
    <w:p w14:paraId="7440DF7A" w14:textId="77777777" w:rsidR="00067356" w:rsidRDefault="007000B3">
      <w:pPr>
        <w:numPr>
          <w:ilvl w:val="0"/>
          <w:numId w:val="1"/>
        </w:numPr>
        <w:pBdr>
          <w:top w:val="nil"/>
          <w:left w:val="nil"/>
          <w:bottom w:val="nil"/>
          <w:right w:val="nil"/>
          <w:between w:val="nil"/>
        </w:pBdr>
        <w:spacing w:before="80" w:after="80"/>
      </w:pPr>
      <w:r>
        <w:rPr>
          <w:color w:val="000000"/>
        </w:rPr>
        <w:t>To examine how intersectional factors including gender, caste, rural/urban location, and poverty shape the service needs and outcomes of diverse segments of the deaf/mute population.</w:t>
      </w:r>
    </w:p>
    <w:p w14:paraId="77CA3F9B" w14:textId="77777777" w:rsidR="00067356" w:rsidRDefault="007000B3">
      <w:pPr>
        <w:numPr>
          <w:ilvl w:val="0"/>
          <w:numId w:val="1"/>
        </w:numPr>
        <w:pBdr>
          <w:top w:val="nil"/>
          <w:left w:val="nil"/>
          <w:bottom w:val="nil"/>
          <w:right w:val="nil"/>
          <w:between w:val="nil"/>
        </w:pBdr>
        <w:spacing w:before="80" w:after="80"/>
      </w:pPr>
      <w:r>
        <w:rPr>
          <w:color w:val="000000"/>
        </w:rPr>
        <w:t>To investigate the contribution of community-based rehabilitation (CBR) frameworks to the social inclusion and empowerment of deaf/mute individuals in India.</w:t>
      </w:r>
    </w:p>
    <w:p w14:paraId="24F719EB" w14:textId="77777777" w:rsidR="00067356" w:rsidRDefault="007000B3">
      <w:pPr>
        <w:numPr>
          <w:ilvl w:val="0"/>
          <w:numId w:val="1"/>
        </w:numPr>
        <w:pBdr>
          <w:top w:val="nil"/>
          <w:left w:val="nil"/>
          <w:bottom w:val="nil"/>
          <w:right w:val="nil"/>
          <w:between w:val="nil"/>
        </w:pBdr>
        <w:spacing w:before="80" w:after="80"/>
      </w:pPr>
      <w:r>
        <w:rPr>
          <w:color w:val="000000"/>
        </w:rPr>
        <w:t>To assess how digital technology and assistive devices are reshaping communication, social participation, and quality of life for deaf/mute individuals across generations.</w:t>
      </w:r>
    </w:p>
    <w:p w14:paraId="36AA028C" w14:textId="77777777" w:rsidR="00067356" w:rsidRDefault="007000B3">
      <w:pPr>
        <w:numPr>
          <w:ilvl w:val="0"/>
          <w:numId w:val="1"/>
        </w:numPr>
        <w:pBdr>
          <w:top w:val="nil"/>
          <w:left w:val="nil"/>
          <w:bottom w:val="nil"/>
          <w:right w:val="nil"/>
          <w:between w:val="nil"/>
        </w:pBdr>
        <w:spacing w:before="80" w:after="80"/>
      </w:pPr>
      <w:r>
        <w:rPr>
          <w:color w:val="000000"/>
        </w:rPr>
        <w:t>To generate evidence-based policy recommendations for strengthening the enabling environment for effective social work practice with deaf/mute populations in India.</w:t>
      </w:r>
    </w:p>
    <w:p w14:paraId="333074D9" w14:textId="77777777" w:rsidR="00067356" w:rsidRDefault="007000B3">
      <w:r>
        <w:br w:type="page"/>
      </w:r>
    </w:p>
    <w:p w14:paraId="64FF8751" w14:textId="77777777" w:rsidR="00067356" w:rsidRDefault="007000B3">
      <w:pPr>
        <w:pStyle w:val="Heading1"/>
      </w:pPr>
      <w:r>
        <w:lastRenderedPageBreak/>
        <w:t>CHAPTER 8: RESEARCH QUESTIONS</w:t>
      </w:r>
    </w:p>
    <w:p w14:paraId="39F70A24" w14:textId="77777777" w:rsidR="00067356" w:rsidRDefault="007000B3">
      <w:pPr>
        <w:numPr>
          <w:ilvl w:val="0"/>
          <w:numId w:val="2"/>
        </w:numPr>
        <w:pBdr>
          <w:top w:val="nil"/>
          <w:left w:val="nil"/>
          <w:bottom w:val="nil"/>
          <w:right w:val="nil"/>
          <w:between w:val="nil"/>
        </w:pBdr>
        <w:spacing w:before="80" w:after="80"/>
      </w:pPr>
      <w:r>
        <w:rPr>
          <w:color w:val="000000"/>
        </w:rPr>
        <w:t>How can social workers be effectively trained to communicate with deaf and mute individuals across generations, incorporating ISL competency and deaf cultural knowledge as core professional skills?</w:t>
      </w:r>
    </w:p>
    <w:p w14:paraId="554CC724" w14:textId="77777777" w:rsidR="00067356" w:rsidRDefault="007000B3">
      <w:pPr>
        <w:numPr>
          <w:ilvl w:val="0"/>
          <w:numId w:val="2"/>
        </w:numPr>
        <w:pBdr>
          <w:top w:val="nil"/>
          <w:left w:val="nil"/>
          <w:bottom w:val="nil"/>
          <w:right w:val="nil"/>
          <w:between w:val="nil"/>
        </w:pBdr>
        <w:spacing w:before="80" w:after="80"/>
      </w:pPr>
      <w:r>
        <w:rPr>
          <w:color w:val="000000"/>
        </w:rPr>
        <w:t>What psychological interventions are most effective in enhancing social workers' ability to support the mental health, resilience, and self-efficacy of deaf and mute clients across the life course?</w:t>
      </w:r>
    </w:p>
    <w:p w14:paraId="7D809587" w14:textId="77777777" w:rsidR="00067356" w:rsidRDefault="007000B3">
      <w:pPr>
        <w:numPr>
          <w:ilvl w:val="0"/>
          <w:numId w:val="2"/>
        </w:numPr>
        <w:pBdr>
          <w:top w:val="nil"/>
          <w:left w:val="nil"/>
          <w:bottom w:val="nil"/>
          <w:right w:val="nil"/>
          <w:between w:val="nil"/>
        </w:pBdr>
        <w:spacing w:before="80" w:after="80"/>
      </w:pPr>
      <w:r>
        <w:rPr>
          <w:color w:val="000000"/>
        </w:rPr>
        <w:t>How do generational differences among deaf and mute individuals influence their communication preferences, identity frameworks, social work support needs, and resilience strategies?</w:t>
      </w:r>
    </w:p>
    <w:p w14:paraId="48F559FF" w14:textId="77777777" w:rsidR="00067356" w:rsidRDefault="007000B3">
      <w:pPr>
        <w:numPr>
          <w:ilvl w:val="0"/>
          <w:numId w:val="2"/>
        </w:numPr>
        <w:pBdr>
          <w:top w:val="nil"/>
          <w:left w:val="nil"/>
          <w:bottom w:val="nil"/>
          <w:right w:val="nil"/>
          <w:between w:val="nil"/>
        </w:pBdr>
        <w:spacing w:before="80" w:after="80"/>
      </w:pPr>
      <w:r>
        <w:rPr>
          <w:color w:val="000000"/>
        </w:rPr>
        <w:t>What roles do family systems, peer networks, and community organizations play in supporting social workers to effectively assist deaf and mute populations?</w:t>
      </w:r>
    </w:p>
    <w:p w14:paraId="078A7284" w14:textId="77777777" w:rsidR="00067356" w:rsidRDefault="007000B3">
      <w:pPr>
        <w:numPr>
          <w:ilvl w:val="0"/>
          <w:numId w:val="2"/>
        </w:numPr>
        <w:pBdr>
          <w:top w:val="nil"/>
          <w:left w:val="nil"/>
          <w:bottom w:val="nil"/>
          <w:right w:val="nil"/>
          <w:between w:val="nil"/>
        </w:pBdr>
        <w:spacing w:before="80" w:after="80"/>
      </w:pPr>
      <w:r>
        <w:rPr>
          <w:color w:val="000000"/>
        </w:rPr>
        <w:t>Which evidence-based social work strategies most effectively improve social inclusion and mental well-being of deaf and mute individuals in the Indian context?</w:t>
      </w:r>
    </w:p>
    <w:p w14:paraId="6557F47D" w14:textId="77777777" w:rsidR="00067356" w:rsidRDefault="007000B3">
      <w:pPr>
        <w:numPr>
          <w:ilvl w:val="0"/>
          <w:numId w:val="2"/>
        </w:numPr>
        <w:pBdr>
          <w:top w:val="nil"/>
          <w:left w:val="nil"/>
          <w:bottom w:val="nil"/>
          <w:right w:val="nil"/>
          <w:between w:val="nil"/>
        </w:pBdr>
        <w:spacing w:before="80" w:after="80"/>
      </w:pPr>
      <w:r>
        <w:rPr>
          <w:color w:val="000000"/>
        </w:rPr>
        <w:t>What is the impact of ISLRTC's training, standardization, and advocacy initiatives on the quality of professional services available to deaf/mute individuals in India?</w:t>
      </w:r>
    </w:p>
    <w:p w14:paraId="7A4B44A3" w14:textId="77777777" w:rsidR="00067356" w:rsidRDefault="007000B3">
      <w:pPr>
        <w:numPr>
          <w:ilvl w:val="0"/>
          <w:numId w:val="2"/>
        </w:numPr>
        <w:pBdr>
          <w:top w:val="nil"/>
          <w:left w:val="nil"/>
          <w:bottom w:val="nil"/>
          <w:right w:val="nil"/>
          <w:between w:val="nil"/>
        </w:pBdr>
        <w:spacing w:before="80" w:after="80"/>
      </w:pPr>
      <w:r>
        <w:rPr>
          <w:color w:val="000000"/>
        </w:rPr>
        <w:t>How do intersectional factors including gender, caste, and geographic location shape the social work support needs of different segments of the deaf/mute population in India?</w:t>
      </w:r>
    </w:p>
    <w:p w14:paraId="34950A44" w14:textId="77777777" w:rsidR="00067356" w:rsidRDefault="007000B3">
      <w:pPr>
        <w:numPr>
          <w:ilvl w:val="0"/>
          <w:numId w:val="2"/>
        </w:numPr>
        <w:pBdr>
          <w:top w:val="nil"/>
          <w:left w:val="nil"/>
          <w:bottom w:val="nil"/>
          <w:right w:val="nil"/>
          <w:between w:val="nil"/>
        </w:pBdr>
        <w:spacing w:before="80" w:after="80"/>
      </w:pPr>
      <w:r>
        <w:rPr>
          <w:color w:val="000000"/>
        </w:rPr>
        <w:t>What digital technologies and assistive devices are most effective in enhancing communication and quality of life for deaf/mute individuals, and how can social workers support their adoption and effective use?</w:t>
      </w:r>
    </w:p>
    <w:p w14:paraId="54B79FA7" w14:textId="77777777" w:rsidR="00067356" w:rsidRDefault="007000B3">
      <w:pPr>
        <w:numPr>
          <w:ilvl w:val="0"/>
          <w:numId w:val="2"/>
        </w:numPr>
        <w:pBdr>
          <w:top w:val="nil"/>
          <w:left w:val="nil"/>
          <w:bottom w:val="nil"/>
          <w:right w:val="nil"/>
          <w:between w:val="nil"/>
        </w:pBdr>
        <w:spacing w:before="80" w:after="80"/>
      </w:pPr>
      <w:r>
        <w:rPr>
          <w:color w:val="000000"/>
        </w:rPr>
        <w:t>What institutional, policy, and community-level factors constitute the enabling environment for effective social work practice with deaf/mute populations in India?</w:t>
      </w:r>
    </w:p>
    <w:p w14:paraId="2374B86A" w14:textId="77777777" w:rsidR="00067356" w:rsidRDefault="007000B3">
      <w:r>
        <w:br w:type="page"/>
      </w:r>
    </w:p>
    <w:p w14:paraId="4FD37FD1" w14:textId="77777777" w:rsidR="00067356" w:rsidRDefault="007000B3">
      <w:pPr>
        <w:pStyle w:val="Heading1"/>
      </w:pPr>
      <w:r>
        <w:lastRenderedPageBreak/>
        <w:t>CHAPTER 9: HYPOTHESES</w:t>
      </w:r>
    </w:p>
    <w:p w14:paraId="7FDB4F70" w14:textId="77777777" w:rsidR="00067356" w:rsidRDefault="007000B3">
      <w:pPr>
        <w:spacing w:before="120" w:after="120" w:line="360" w:lineRule="auto"/>
        <w:jc w:val="both"/>
      </w:pPr>
      <w:r>
        <w:t>H1: Social workers who have received specialized training in ISL and deaf cultural competency will demonstrate significantly higher effectiveness in supporting the psychosocial well-being, resilience, and social inclusion of deaf/mute clients compared to those without such training.</w:t>
      </w:r>
    </w:p>
    <w:p w14:paraId="1B8365B7" w14:textId="77777777" w:rsidR="00067356" w:rsidRDefault="007000B3">
      <w:pPr>
        <w:spacing w:before="80" w:after="80"/>
      </w:pPr>
      <w:r>
        <w:t xml:space="preserve"> </w:t>
      </w:r>
    </w:p>
    <w:p w14:paraId="1AE1D1DC" w14:textId="77777777" w:rsidR="00067356" w:rsidRDefault="007000B3">
      <w:pPr>
        <w:spacing w:before="120" w:after="120" w:line="360" w:lineRule="auto"/>
        <w:jc w:val="both"/>
      </w:pPr>
      <w:r>
        <w:t>H2: Deaf/mute individuals who have access to ISL-proficient social workers and culturally competent support services will demonstrate significantly higher levels of psychological resilience, life satisfaction, and social inclusion compared to those relying on non-specialist services.</w:t>
      </w:r>
    </w:p>
    <w:p w14:paraId="643C971F" w14:textId="77777777" w:rsidR="00067356" w:rsidRDefault="007000B3">
      <w:pPr>
        <w:spacing w:before="80" w:after="80"/>
      </w:pPr>
      <w:r>
        <w:t xml:space="preserve"> </w:t>
      </w:r>
    </w:p>
    <w:p w14:paraId="037E74EE" w14:textId="77777777" w:rsidR="00067356" w:rsidRDefault="007000B3">
      <w:pPr>
        <w:spacing w:before="120" w:after="120" w:line="360" w:lineRule="auto"/>
        <w:jc w:val="both"/>
      </w:pPr>
      <w:r>
        <w:t>H3: Generational differences in the experience of deafness are significantly associated with differences in communication preferences, identity frameworks, service utilization patterns, and social work support needs -- necessitating generation-specific intervention approaches.</w:t>
      </w:r>
    </w:p>
    <w:p w14:paraId="25587AD2" w14:textId="77777777" w:rsidR="00067356" w:rsidRDefault="007000B3">
      <w:pPr>
        <w:spacing w:before="80" w:after="80"/>
      </w:pPr>
      <w:r>
        <w:t xml:space="preserve"> </w:t>
      </w:r>
    </w:p>
    <w:p w14:paraId="4E6C9225" w14:textId="77777777" w:rsidR="00067356" w:rsidRDefault="007000B3">
      <w:pPr>
        <w:spacing w:before="120" w:after="120" w:line="360" w:lineRule="auto"/>
        <w:jc w:val="both"/>
      </w:pPr>
      <w:r>
        <w:t>H4: Participation in deaf community organizations and peer support networks is positively associated with psychological resilience, self-efficacy, and life satisfaction among deaf/mute individuals across all generational cohorts.</w:t>
      </w:r>
    </w:p>
    <w:p w14:paraId="362F76B3" w14:textId="77777777" w:rsidR="00067356" w:rsidRDefault="007000B3">
      <w:pPr>
        <w:spacing w:before="80" w:after="80"/>
      </w:pPr>
      <w:r>
        <w:t xml:space="preserve"> </w:t>
      </w:r>
    </w:p>
    <w:p w14:paraId="55E98206" w14:textId="77777777" w:rsidR="00067356" w:rsidRDefault="007000B3">
      <w:pPr>
        <w:spacing w:before="120" w:after="120" w:line="360" w:lineRule="auto"/>
        <w:jc w:val="both"/>
      </w:pPr>
      <w:r>
        <w:t>H5: Intersectional factors including gender, caste, and geographic location significantly moderate the relationship between social work intervention quality and outcomes for deaf/mute individuals, with multiply marginalized individuals experiencing compounded disadvantage and requiring more intensive and tailored support.</w:t>
      </w:r>
    </w:p>
    <w:p w14:paraId="7A2E0794" w14:textId="77777777" w:rsidR="00067356" w:rsidRDefault="007000B3">
      <w:pPr>
        <w:spacing w:before="80" w:after="80"/>
      </w:pPr>
      <w:r>
        <w:t xml:space="preserve"> </w:t>
      </w:r>
    </w:p>
    <w:p w14:paraId="52E5AC14" w14:textId="77777777" w:rsidR="00067356" w:rsidRDefault="007000B3">
      <w:pPr>
        <w:spacing w:before="120" w:after="120" w:line="360" w:lineRule="auto"/>
        <w:jc w:val="both"/>
      </w:pPr>
      <w:r>
        <w:t>H6: Access to digital communication technologies and assistive devices is positively associated with improved social participation, employment outcomes, and quality of life for deaf/mute individuals, with this association moderated by digital literacy levels and device accessibility.</w:t>
      </w:r>
    </w:p>
    <w:p w14:paraId="50076A15" w14:textId="77777777" w:rsidR="00067356" w:rsidRDefault="007000B3">
      <w:r>
        <w:br w:type="page"/>
      </w:r>
    </w:p>
    <w:p w14:paraId="477D9A45" w14:textId="77777777" w:rsidR="00067356" w:rsidRDefault="007000B3">
      <w:pPr>
        <w:pStyle w:val="Heading1"/>
      </w:pPr>
      <w:r>
        <w:lastRenderedPageBreak/>
        <w:t>CHAPTER 10: RESEARCH METHODOLOGY</w:t>
      </w:r>
    </w:p>
    <w:p w14:paraId="38941F76" w14:textId="77777777" w:rsidR="00067356" w:rsidRDefault="007000B3">
      <w:pPr>
        <w:pStyle w:val="Heading2"/>
      </w:pPr>
      <w:r>
        <w:t>10.1 Research Design and Epistemological Framework</w:t>
      </w:r>
    </w:p>
    <w:p w14:paraId="2587B5E7" w14:textId="77777777" w:rsidR="00067356" w:rsidRDefault="007000B3">
      <w:pPr>
        <w:spacing w:before="120" w:after="120" w:line="360" w:lineRule="auto"/>
        <w:jc w:val="both"/>
      </w:pPr>
      <w:r>
        <w:t>This study adopts a mixed-method research design integrating both quantitative and qualitative approaches within a convergent parallel framework. This design is selected to comprehensively explore the multidimensional psychological, social, communicative, and institutional dimensions of social work practice with deaf/mute individuals across generations. The quantitative component will provide statistically generalizable data on social worker competency and training needs, while the qualitative component will generate rich, contextually embedded understandings of deaf/mute individuals' lived experiences, coping strategies, and resilience processes.</w:t>
      </w:r>
    </w:p>
    <w:p w14:paraId="625A360F" w14:textId="77777777" w:rsidR="00067356" w:rsidRDefault="007000B3">
      <w:pPr>
        <w:spacing w:before="120" w:after="120" w:line="360" w:lineRule="auto"/>
        <w:jc w:val="both"/>
      </w:pPr>
      <w:r>
        <w:t>The epistemological stance of this research is pragmatic pluralism -- recognizing that complex social phenomena including disability, resilience, and professional practice are best understood through multiple complementary methodological lenses. The study also draws on the theoretical framework of critical disability studies, which frames disability as a socially and politically constructed phenomenon rather than a fixed characteristic of individuals, and which foregrounds the perspectives of disabled people themselves as authoritative knowledge sources.</w:t>
      </w:r>
    </w:p>
    <w:p w14:paraId="39D8C0CE" w14:textId="77777777" w:rsidR="00067356" w:rsidRDefault="007000B3">
      <w:pPr>
        <w:pStyle w:val="Heading2"/>
      </w:pPr>
      <w:r>
        <w:t>10.2 Study Settings</w:t>
      </w:r>
    </w:p>
    <w:p w14:paraId="4B697321" w14:textId="77777777" w:rsidR="00067356" w:rsidRDefault="007000B3">
      <w:pPr>
        <w:spacing w:before="120" w:after="120" w:line="360" w:lineRule="auto"/>
        <w:jc w:val="both"/>
      </w:pPr>
      <w:r>
        <w:t>The study will be conducted across selected sites in three Indian states providing geographic, cultural, and linguistic diversity:</w:t>
      </w:r>
    </w:p>
    <w:p w14:paraId="2772A017" w14:textId="77777777" w:rsidR="00067356" w:rsidRDefault="007000B3">
      <w:pPr>
        <w:numPr>
          <w:ilvl w:val="0"/>
          <w:numId w:val="2"/>
        </w:numPr>
        <w:pBdr>
          <w:top w:val="nil"/>
          <w:left w:val="nil"/>
          <w:bottom w:val="nil"/>
          <w:right w:val="nil"/>
          <w:between w:val="nil"/>
        </w:pBdr>
        <w:spacing w:before="80" w:after="80"/>
      </w:pPr>
      <w:r>
        <w:rPr>
          <w:color w:val="000000"/>
        </w:rPr>
        <w:t>Madhya Pradesh: Urban study site in Gwalior (home of Vikrant University and several disability organizations) and rural study site in Shivpuri district.</w:t>
      </w:r>
    </w:p>
    <w:p w14:paraId="737469CB" w14:textId="77777777" w:rsidR="00067356" w:rsidRDefault="007000B3">
      <w:pPr>
        <w:numPr>
          <w:ilvl w:val="0"/>
          <w:numId w:val="2"/>
        </w:numPr>
        <w:pBdr>
          <w:top w:val="nil"/>
          <w:left w:val="nil"/>
          <w:bottom w:val="nil"/>
          <w:right w:val="nil"/>
          <w:between w:val="nil"/>
        </w:pBdr>
        <w:spacing w:before="80" w:after="80"/>
      </w:pPr>
      <w:r>
        <w:rPr>
          <w:color w:val="000000"/>
        </w:rPr>
        <w:t>Maharashtra: Urban study site in Mumbai (home of several well-established deaf community organizations and NGOs) and rural site in Amravati district.</w:t>
      </w:r>
    </w:p>
    <w:p w14:paraId="540B8FF9" w14:textId="77777777" w:rsidR="00067356" w:rsidRDefault="007000B3">
      <w:pPr>
        <w:numPr>
          <w:ilvl w:val="0"/>
          <w:numId w:val="2"/>
        </w:numPr>
        <w:pBdr>
          <w:top w:val="nil"/>
          <w:left w:val="nil"/>
          <w:bottom w:val="nil"/>
          <w:right w:val="nil"/>
          <w:between w:val="nil"/>
        </w:pBdr>
        <w:spacing w:before="80" w:after="80"/>
      </w:pPr>
      <w:r>
        <w:rPr>
          <w:color w:val="000000"/>
        </w:rPr>
        <w:t>Tamil Nadu: Urban site in Chennai (site of one of India's oldest schools for the deaf) and rural site in Tirunelveli district.</w:t>
      </w:r>
    </w:p>
    <w:p w14:paraId="5A9F2DC7" w14:textId="77777777" w:rsidR="00067356" w:rsidRDefault="00067356">
      <w:pPr>
        <w:pBdr>
          <w:top w:val="nil"/>
          <w:left w:val="nil"/>
          <w:bottom w:val="nil"/>
          <w:right w:val="nil"/>
          <w:between w:val="nil"/>
        </w:pBdr>
        <w:spacing w:before="80" w:after="80"/>
      </w:pPr>
    </w:p>
    <w:p w14:paraId="27AC21D5" w14:textId="77777777" w:rsidR="00067356" w:rsidRDefault="00067356">
      <w:pPr>
        <w:pBdr>
          <w:top w:val="nil"/>
          <w:left w:val="nil"/>
          <w:bottom w:val="nil"/>
          <w:right w:val="nil"/>
          <w:between w:val="nil"/>
        </w:pBdr>
        <w:spacing w:before="80" w:after="80"/>
      </w:pPr>
    </w:p>
    <w:p w14:paraId="119AA97F" w14:textId="77777777" w:rsidR="00067356" w:rsidRDefault="00067356">
      <w:pPr>
        <w:pBdr>
          <w:top w:val="nil"/>
          <w:left w:val="nil"/>
          <w:bottom w:val="nil"/>
          <w:right w:val="nil"/>
          <w:between w:val="nil"/>
        </w:pBdr>
        <w:spacing w:before="80" w:after="80"/>
      </w:pPr>
    </w:p>
    <w:p w14:paraId="75651AB1" w14:textId="77777777" w:rsidR="00067356" w:rsidRDefault="00067356">
      <w:pPr>
        <w:pBdr>
          <w:top w:val="nil"/>
          <w:left w:val="nil"/>
          <w:bottom w:val="nil"/>
          <w:right w:val="nil"/>
          <w:between w:val="nil"/>
        </w:pBdr>
        <w:spacing w:before="80" w:after="80"/>
      </w:pPr>
    </w:p>
    <w:p w14:paraId="42BDE2ED" w14:textId="77777777" w:rsidR="00067356" w:rsidRDefault="007000B3">
      <w:pPr>
        <w:pStyle w:val="Heading2"/>
      </w:pPr>
      <w:r>
        <w:lastRenderedPageBreak/>
        <w:t>10.3 Population and Sample</w:t>
      </w:r>
    </w:p>
    <w:tbl>
      <w:tblPr>
        <w:tblStyle w:val="a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000"/>
        <w:gridCol w:w="900"/>
        <w:gridCol w:w="3120"/>
      </w:tblGrid>
      <w:tr w:rsidR="00067356" w14:paraId="65FD52BE" w14:textId="77777777">
        <w:tc>
          <w:tcPr>
            <w:tcW w:w="234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09B763DC" w14:textId="77777777" w:rsidR="00067356" w:rsidRDefault="007000B3">
            <w:r>
              <w:rPr>
                <w:b/>
                <w:bCs/>
                <w:sz w:val="22"/>
                <w:szCs w:val="22"/>
              </w:rPr>
              <w:t>Group</w:t>
            </w:r>
          </w:p>
        </w:tc>
        <w:tc>
          <w:tcPr>
            <w:tcW w:w="30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5B7EA684" w14:textId="77777777" w:rsidR="00067356" w:rsidRDefault="007000B3">
            <w:r>
              <w:rPr>
                <w:b/>
                <w:bCs/>
                <w:sz w:val="22"/>
                <w:szCs w:val="22"/>
              </w:rPr>
              <w:t>Description</w:t>
            </w:r>
          </w:p>
        </w:tc>
        <w:tc>
          <w:tcPr>
            <w:tcW w:w="9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24C70D9E" w14:textId="77777777" w:rsidR="00067356" w:rsidRDefault="007000B3">
            <w:r>
              <w:rPr>
                <w:b/>
                <w:bCs/>
                <w:sz w:val="22"/>
                <w:szCs w:val="22"/>
              </w:rPr>
              <w:t>n</w:t>
            </w:r>
          </w:p>
        </w:tc>
        <w:tc>
          <w:tcPr>
            <w:tcW w:w="312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03621CF3" w14:textId="77777777" w:rsidR="00067356" w:rsidRDefault="007000B3">
            <w:r>
              <w:rPr>
                <w:b/>
                <w:bCs/>
                <w:sz w:val="22"/>
                <w:szCs w:val="22"/>
              </w:rPr>
              <w:t>Method</w:t>
            </w:r>
          </w:p>
        </w:tc>
      </w:tr>
      <w:tr w:rsidR="00067356" w14:paraId="5D205574"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5C3344" w14:textId="77777777" w:rsidR="00067356" w:rsidRDefault="007000B3">
            <w:r>
              <w:rPr>
                <w:sz w:val="22"/>
                <w:szCs w:val="22"/>
              </w:rPr>
              <w:t>Social Workers</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6279549" w14:textId="77777777" w:rsidR="00067356" w:rsidRDefault="007000B3">
            <w:r>
              <w:rPr>
                <w:sz w:val="22"/>
                <w:szCs w:val="22"/>
              </w:rPr>
              <w:t>Professional SWs in NGOs, hospitals, schools, govt. disability services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7970CB4" w14:textId="77777777" w:rsidR="00067356" w:rsidRDefault="007000B3">
            <w:r>
              <w:rPr>
                <w:sz w:val="22"/>
                <w:szCs w:val="22"/>
              </w:rPr>
              <w:t>100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8CF208C" w14:textId="77777777" w:rsidR="00067356" w:rsidRDefault="007000B3">
            <w:r>
              <w:rPr>
                <w:sz w:val="22"/>
                <w:szCs w:val="22"/>
              </w:rPr>
              <w:t>Purposive</w:t>
            </w:r>
          </w:p>
        </w:tc>
      </w:tr>
      <w:tr w:rsidR="00067356" w14:paraId="403276BC"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C7B1EA1" w14:textId="77777777" w:rsidR="00067356" w:rsidRDefault="007000B3">
            <w:r>
              <w:rPr>
                <w:sz w:val="22"/>
                <w:szCs w:val="22"/>
              </w:rPr>
              <w:t>Deaf/Mute Youth (15-25)</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52D802" w14:textId="77777777" w:rsidR="00067356" w:rsidRDefault="007000B3">
            <w:r>
              <w:rPr>
                <w:sz w:val="22"/>
                <w:szCs w:val="22"/>
              </w:rPr>
              <w:t>Young deaf/mute individuals across study sites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735B68B" w14:textId="77777777" w:rsidR="00067356" w:rsidRDefault="007000B3">
            <w:r>
              <w:rPr>
                <w:sz w:val="22"/>
                <w:szCs w:val="22"/>
              </w:rPr>
              <w:t>40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2A8C8F7" w14:textId="77777777" w:rsidR="00067356" w:rsidRDefault="007000B3">
            <w:r>
              <w:rPr>
                <w:sz w:val="22"/>
                <w:szCs w:val="22"/>
              </w:rPr>
              <w:t>Snowball via deaf schools/assoc.</w:t>
            </w:r>
          </w:p>
        </w:tc>
      </w:tr>
      <w:tr w:rsidR="00067356" w14:paraId="30A37FBC"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B01DD51" w14:textId="77777777" w:rsidR="00067356" w:rsidRDefault="007000B3">
            <w:r>
              <w:rPr>
                <w:sz w:val="22"/>
                <w:szCs w:val="22"/>
              </w:rPr>
              <w:t>Deaf/Mute Adults (26-50)</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945028" w14:textId="77777777" w:rsidR="00067356" w:rsidRDefault="007000B3">
            <w:r>
              <w:rPr>
                <w:sz w:val="22"/>
                <w:szCs w:val="22"/>
              </w:rPr>
              <w:t>Middle-generation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1D3DF60" w14:textId="77777777" w:rsidR="00067356" w:rsidRDefault="007000B3">
            <w:r>
              <w:rPr>
                <w:sz w:val="22"/>
                <w:szCs w:val="22"/>
              </w:rPr>
              <w:t>40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82D65B3" w14:textId="77777777" w:rsidR="00067356" w:rsidRDefault="007000B3">
            <w:r>
              <w:rPr>
                <w:sz w:val="22"/>
                <w:szCs w:val="22"/>
              </w:rPr>
              <w:t>Snowball via organizations</w:t>
            </w:r>
          </w:p>
        </w:tc>
      </w:tr>
      <w:tr w:rsidR="00067356" w14:paraId="5CFB053D"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B6824DE" w14:textId="77777777" w:rsidR="00067356" w:rsidRDefault="007000B3">
            <w:r>
              <w:rPr>
                <w:sz w:val="22"/>
                <w:szCs w:val="22"/>
              </w:rPr>
              <w:t>Deaf/Mute Older Adults (51+)</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55B1CC2" w14:textId="77777777" w:rsidR="00067356" w:rsidRDefault="007000B3">
            <w:r>
              <w:rPr>
                <w:sz w:val="22"/>
                <w:szCs w:val="22"/>
              </w:rPr>
              <w:t>Senior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36B1C97" w14:textId="77777777" w:rsidR="00067356" w:rsidRDefault="007000B3">
            <w:r>
              <w:rPr>
                <w:sz w:val="22"/>
                <w:szCs w:val="22"/>
              </w:rPr>
              <w:t>20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F3485BA" w14:textId="77777777" w:rsidR="00067356" w:rsidRDefault="007000B3">
            <w:r>
              <w:rPr>
                <w:sz w:val="22"/>
                <w:szCs w:val="22"/>
              </w:rPr>
              <w:t>Convenience + snowball</w:t>
            </w:r>
          </w:p>
        </w:tc>
      </w:tr>
      <w:tr w:rsidR="00067356" w14:paraId="0637ABAC"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504D8BE" w14:textId="77777777" w:rsidR="00067356" w:rsidRDefault="007000B3">
            <w:r>
              <w:rPr>
                <w:sz w:val="22"/>
                <w:szCs w:val="22"/>
              </w:rPr>
              <w:t>Family Members</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5FBB3DC" w14:textId="77777777" w:rsidR="00067356" w:rsidRDefault="007000B3">
            <w:r>
              <w:rPr>
                <w:sz w:val="22"/>
                <w:szCs w:val="22"/>
              </w:rPr>
              <w:t>Caregivers and family members of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42FD9A8" w14:textId="77777777" w:rsidR="00067356" w:rsidRDefault="007000B3">
            <w:r>
              <w:rPr>
                <w:sz w:val="22"/>
                <w:szCs w:val="22"/>
              </w:rPr>
              <w:t>50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ABE00F6" w14:textId="77777777" w:rsidR="00067356" w:rsidRDefault="007000B3">
            <w:r>
              <w:rPr>
                <w:sz w:val="22"/>
                <w:szCs w:val="22"/>
              </w:rPr>
              <w:t>Convenience</w:t>
            </w:r>
          </w:p>
        </w:tc>
      </w:tr>
      <w:tr w:rsidR="00067356" w14:paraId="76FD3D8D"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0C191D8" w14:textId="77777777" w:rsidR="00067356" w:rsidRDefault="007000B3">
            <w:r>
              <w:rPr>
                <w:sz w:val="22"/>
                <w:szCs w:val="22"/>
              </w:rPr>
              <w:t>Total</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D04D353" w14:textId="77777777" w:rsidR="00067356" w:rsidRDefault="00067356"/>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2BF868" w14:textId="77777777" w:rsidR="00067356" w:rsidRDefault="007000B3">
            <w:r>
              <w:rPr>
                <w:sz w:val="22"/>
                <w:szCs w:val="22"/>
              </w:rPr>
              <w:t>250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AE5A525" w14:textId="77777777" w:rsidR="00067356" w:rsidRDefault="007000B3">
            <w:r>
              <w:rPr>
                <w:sz w:val="22"/>
                <w:szCs w:val="22"/>
              </w:rPr>
              <w:t>Mixed</w:t>
            </w:r>
          </w:p>
        </w:tc>
      </w:tr>
    </w:tbl>
    <w:p w14:paraId="6C2F4481" w14:textId="77777777" w:rsidR="00067356" w:rsidRDefault="007000B3">
      <w:pPr>
        <w:spacing w:before="80" w:after="80"/>
      </w:pPr>
      <w:r>
        <w:t xml:space="preserve"> </w:t>
      </w:r>
    </w:p>
    <w:p w14:paraId="6C63F37C" w14:textId="77777777" w:rsidR="00067356" w:rsidRDefault="007000B3">
      <w:pPr>
        <w:pStyle w:val="Heading2"/>
      </w:pPr>
      <w:r>
        <w:t>10.4 Data Collection Instruments</w:t>
      </w:r>
    </w:p>
    <w:p w14:paraId="5180C82B" w14:textId="77777777" w:rsidR="00067356" w:rsidRDefault="007000B3">
      <w:pPr>
        <w:pStyle w:val="Heading3"/>
      </w:pPr>
      <w:r>
        <w:t>10.4.1 Quantitative Instruments for Social Workers</w:t>
      </w:r>
    </w:p>
    <w:p w14:paraId="548BF7A8" w14:textId="77777777" w:rsidR="00067356" w:rsidRDefault="007000B3">
      <w:pPr>
        <w:spacing w:before="120" w:after="120" w:line="360" w:lineRule="auto"/>
        <w:jc w:val="both"/>
      </w:pPr>
      <w:r>
        <w:t>A structured questionnaire assessing: sociodemographic and professional background; ISL knowledge and proficiency (self-report and brief performance test); deaf cultural competency (adapted Multicultural Competence Scale); knowledge of disability legislation and entitlements; attitudes toward deaf/mute individuals (Attitude Toward Disability Scale); self-assessed effectiveness in supporting deaf/mute clients; and training needs and preferences.</w:t>
      </w:r>
    </w:p>
    <w:p w14:paraId="18A8C04D" w14:textId="77777777" w:rsidR="00067356" w:rsidRDefault="007000B3">
      <w:pPr>
        <w:pStyle w:val="Heading3"/>
      </w:pPr>
      <w:r>
        <w:t>10.4.2 Quantitative Instruments for Deaf/Mute Individuals</w:t>
      </w:r>
    </w:p>
    <w:p w14:paraId="1CE5FC67" w14:textId="77777777" w:rsidR="00067356" w:rsidRDefault="007000B3">
      <w:pPr>
        <w:spacing w:before="120" w:after="120" w:line="360" w:lineRule="auto"/>
        <w:jc w:val="both"/>
      </w:pPr>
      <w:r>
        <w:t>A structured questionnaire (available in ISL video format) assessing: sociodemographic characteristics; access to and satisfaction with social work and disability services; mental health status (PHQ-9 for depression and GAD-7 for anxiety, adapted in ISL-accessible format); social inclusion and community participation; resilience (Connor-Davidson Resilience Scale adapted with ISL video presentation); and quality of life (ISL-adapted WHOQOL-BREF).</w:t>
      </w:r>
    </w:p>
    <w:p w14:paraId="3E10B843" w14:textId="77777777" w:rsidR="00067356" w:rsidRDefault="007000B3">
      <w:pPr>
        <w:pStyle w:val="Heading3"/>
      </w:pPr>
      <w:r>
        <w:t>10.4.3 Qualitative Data Collection</w:t>
      </w:r>
    </w:p>
    <w:p w14:paraId="2279A8B3" w14:textId="77777777" w:rsidR="00067356" w:rsidRDefault="007000B3">
      <w:pPr>
        <w:spacing w:before="120" w:after="120" w:line="360" w:lineRule="auto"/>
        <w:jc w:val="both"/>
      </w:pPr>
      <w:r>
        <w:lastRenderedPageBreak/>
        <w:t xml:space="preserve">In-depth interviews will be conducted with a purposive subsample of 30 deaf/mute individuals (10 from each generational cohort) and 20 social workers. All interviews with deaf participants will be conducted in ISL with certified interpreter support and video-recorded for transcription. FGDs will be conducted with three groups: social workers (3 FGDs), deaf/mute individuals by generational cohort (3 FGDs), and family members (2 FGDs). Key informant interviews will be conducted with 10 senior professionals including ISLRTC leadership, </w:t>
      </w:r>
      <w:proofErr w:type="spellStart"/>
      <w:r>
        <w:t>DEPwD</w:t>
      </w:r>
      <w:proofErr w:type="spellEnd"/>
      <w:r>
        <w:t xml:space="preserve"> officials, school directors, and deaf organization leaders.</w:t>
      </w:r>
    </w:p>
    <w:p w14:paraId="3049A402" w14:textId="77777777" w:rsidR="00067356" w:rsidRDefault="007000B3">
      <w:pPr>
        <w:pStyle w:val="Heading2"/>
      </w:pPr>
      <w:r>
        <w:t>10.5 Ethical Framework</w:t>
      </w:r>
    </w:p>
    <w:p w14:paraId="1425B76C" w14:textId="77777777" w:rsidR="00067356" w:rsidRDefault="007000B3">
      <w:pPr>
        <w:spacing w:before="120" w:after="120" w:line="360" w:lineRule="auto"/>
        <w:jc w:val="both"/>
      </w:pPr>
      <w:r>
        <w:t>The study will adhere strictly to the ethical guidelines of ICSSR, Vikrant University's Institutional Ethics Committee, and the UNCRPD principle of 'nothing about us without us.' All study materials and consent processes will be available in ISL-accessible formats. Certified ISL interpreters bound by professional confidentiality will be used throughout data collection. Special protocols will be established for responding to disclosures of abuse or mental health crisis. Participants' right to withdraw without penalty will be explicitly communicated and respected throughout.</w:t>
      </w:r>
    </w:p>
    <w:p w14:paraId="05FA63C8" w14:textId="77777777" w:rsidR="00067356" w:rsidRDefault="007000B3">
      <w:r>
        <w:br w:type="page"/>
      </w:r>
    </w:p>
    <w:p w14:paraId="71D2B650" w14:textId="77777777" w:rsidR="00067356" w:rsidRDefault="007000B3">
      <w:pPr>
        <w:pStyle w:val="Heading1"/>
      </w:pPr>
      <w:r>
        <w:lastRenderedPageBreak/>
        <w:t>CHAPTER 11: DATA ANALYSIS PLAN</w:t>
      </w:r>
    </w:p>
    <w:p w14:paraId="3BA8FFEB" w14:textId="77777777" w:rsidR="00067356" w:rsidRDefault="007000B3">
      <w:pPr>
        <w:pStyle w:val="Heading2"/>
      </w:pPr>
      <w:r>
        <w:t>11.1 Quantitative Analysis</w:t>
      </w:r>
    </w:p>
    <w:p w14:paraId="5D6EA0BA" w14:textId="77777777" w:rsidR="00067356" w:rsidRDefault="007000B3">
      <w:pPr>
        <w:spacing w:before="120" w:after="120" w:line="360" w:lineRule="auto"/>
        <w:jc w:val="both"/>
      </w:pPr>
      <w:r>
        <w:t xml:space="preserve">Quantitative data will be </w:t>
      </w:r>
      <w:proofErr w:type="spellStart"/>
      <w:r>
        <w:t>analyzed</w:t>
      </w:r>
      <w:proofErr w:type="spellEnd"/>
      <w:r>
        <w:t xml:space="preserve"> using SPSS version 26.0 and R statistical software. The comprehensive analysis plan includes:</w:t>
      </w:r>
    </w:p>
    <w:p w14:paraId="7818EEE9" w14:textId="77777777" w:rsidR="00067356" w:rsidRDefault="007000B3">
      <w:pPr>
        <w:numPr>
          <w:ilvl w:val="0"/>
          <w:numId w:val="2"/>
        </w:numPr>
        <w:pBdr>
          <w:top w:val="nil"/>
          <w:left w:val="nil"/>
          <w:bottom w:val="nil"/>
          <w:right w:val="nil"/>
          <w:between w:val="nil"/>
        </w:pBdr>
        <w:spacing w:before="80" w:after="80"/>
      </w:pPr>
      <w:r>
        <w:rPr>
          <w:color w:val="000000"/>
        </w:rPr>
        <w:t>Descriptive statistics: Frequencies, means, standard deviations, and cross-tabulations to characterize the study sample and document service access patterns.</w:t>
      </w:r>
    </w:p>
    <w:p w14:paraId="6F925DB3" w14:textId="77777777" w:rsidR="00067356" w:rsidRDefault="007000B3">
      <w:pPr>
        <w:numPr>
          <w:ilvl w:val="0"/>
          <w:numId w:val="2"/>
        </w:numPr>
        <w:pBdr>
          <w:top w:val="nil"/>
          <w:left w:val="nil"/>
          <w:bottom w:val="nil"/>
          <w:right w:val="nil"/>
          <w:between w:val="nil"/>
        </w:pBdr>
        <w:spacing w:before="80" w:after="80"/>
      </w:pPr>
      <w:r>
        <w:rPr>
          <w:color w:val="000000"/>
        </w:rPr>
        <w:t>Reliability analysis: Cronbach's alpha for all multi-item scales.</w:t>
      </w:r>
    </w:p>
    <w:p w14:paraId="5D217C02" w14:textId="77777777" w:rsidR="00067356" w:rsidRDefault="007000B3">
      <w:pPr>
        <w:numPr>
          <w:ilvl w:val="0"/>
          <w:numId w:val="2"/>
        </w:numPr>
        <w:pBdr>
          <w:top w:val="nil"/>
          <w:left w:val="nil"/>
          <w:bottom w:val="nil"/>
          <w:right w:val="nil"/>
          <w:between w:val="nil"/>
        </w:pBdr>
        <w:spacing w:before="80" w:after="80"/>
      </w:pPr>
      <w:r>
        <w:rPr>
          <w:color w:val="000000"/>
        </w:rPr>
        <w:t>Inferential statistics: Independent samples t-tests and one-way ANOVA to compare competency scores across subgroups; Chi-square tests for categorical associations.</w:t>
      </w:r>
    </w:p>
    <w:p w14:paraId="689F4CCA" w14:textId="77777777" w:rsidR="00067356" w:rsidRDefault="007000B3">
      <w:pPr>
        <w:numPr>
          <w:ilvl w:val="0"/>
          <w:numId w:val="2"/>
        </w:numPr>
        <w:pBdr>
          <w:top w:val="nil"/>
          <w:left w:val="nil"/>
          <w:bottom w:val="nil"/>
          <w:right w:val="nil"/>
          <w:between w:val="nil"/>
        </w:pBdr>
        <w:spacing w:before="80" w:after="80"/>
      </w:pPr>
      <w:r>
        <w:rPr>
          <w:color w:val="000000"/>
        </w:rPr>
        <w:t>Correlation analysis: Pearson and Spearman correlations to examine relationships between social worker training variables and client outcome measures.</w:t>
      </w:r>
    </w:p>
    <w:p w14:paraId="4251C915" w14:textId="77777777" w:rsidR="00067356" w:rsidRDefault="007000B3">
      <w:pPr>
        <w:numPr>
          <w:ilvl w:val="0"/>
          <w:numId w:val="2"/>
        </w:numPr>
        <w:pBdr>
          <w:top w:val="nil"/>
          <w:left w:val="nil"/>
          <w:bottom w:val="nil"/>
          <w:right w:val="nil"/>
          <w:between w:val="nil"/>
        </w:pBdr>
        <w:spacing w:before="80" w:after="80"/>
      </w:pPr>
      <w:r>
        <w:rPr>
          <w:color w:val="000000"/>
        </w:rPr>
        <w:t>Multiple regression: Hierarchical regression to examine predictors of social worker effectiveness, deaf individual resilience, and social inclusion outcomes.</w:t>
      </w:r>
    </w:p>
    <w:p w14:paraId="569C1374" w14:textId="77777777" w:rsidR="00067356" w:rsidRDefault="007000B3">
      <w:pPr>
        <w:numPr>
          <w:ilvl w:val="0"/>
          <w:numId w:val="2"/>
        </w:numPr>
        <w:pBdr>
          <w:top w:val="nil"/>
          <w:left w:val="nil"/>
          <w:bottom w:val="nil"/>
          <w:right w:val="nil"/>
          <w:between w:val="nil"/>
        </w:pBdr>
        <w:spacing w:before="80" w:after="80"/>
      </w:pPr>
      <w:r>
        <w:rPr>
          <w:color w:val="000000"/>
        </w:rPr>
        <w:t xml:space="preserve">Structural Equation </w:t>
      </w:r>
      <w:proofErr w:type="spellStart"/>
      <w:r>
        <w:rPr>
          <w:color w:val="000000"/>
        </w:rPr>
        <w:t>Modeling</w:t>
      </w:r>
      <w:proofErr w:type="spellEnd"/>
      <w:r>
        <w:rPr>
          <w:color w:val="000000"/>
        </w:rPr>
        <w:t xml:space="preserve"> (SEM): To test the hypothesized theoretical model relating ISL training, cultural competency, intervention quality, and client outcomes.</w:t>
      </w:r>
    </w:p>
    <w:p w14:paraId="3CA32767" w14:textId="77777777" w:rsidR="00067356" w:rsidRDefault="007000B3">
      <w:pPr>
        <w:numPr>
          <w:ilvl w:val="0"/>
          <w:numId w:val="2"/>
        </w:numPr>
        <w:pBdr>
          <w:top w:val="nil"/>
          <w:left w:val="nil"/>
          <w:bottom w:val="nil"/>
          <w:right w:val="nil"/>
          <w:between w:val="nil"/>
        </w:pBdr>
        <w:spacing w:before="80" w:after="80"/>
      </w:pPr>
      <w:r>
        <w:rPr>
          <w:color w:val="000000"/>
        </w:rPr>
        <w:t>Intersectional analysis: Stratified analysis by gender, caste, and geographic location to examine moderating effects on key relationships.</w:t>
      </w:r>
    </w:p>
    <w:p w14:paraId="5A2B6139" w14:textId="77777777" w:rsidR="00067356" w:rsidRDefault="007000B3">
      <w:pPr>
        <w:pStyle w:val="Heading2"/>
      </w:pPr>
      <w:r>
        <w:t>11.2 Qualitative Analysis</w:t>
      </w:r>
    </w:p>
    <w:p w14:paraId="4D3DBA7F" w14:textId="77777777" w:rsidR="00067356" w:rsidRDefault="007000B3">
      <w:pPr>
        <w:spacing w:before="120" w:after="120" w:line="360" w:lineRule="auto"/>
        <w:jc w:val="both"/>
      </w:pPr>
      <w:r>
        <w:t xml:space="preserve">Qualitative data will be </w:t>
      </w:r>
      <w:proofErr w:type="spellStart"/>
      <w:r>
        <w:t>analyzed</w:t>
      </w:r>
      <w:proofErr w:type="spellEnd"/>
      <w:r>
        <w:t xml:space="preserve"> using thematic analysis (Braun and Clarke, 2006). ISL interview videos will be transcribed by certified ISL interpreters with back-translation verification. Analysis proceeds through familiarization, initial coding, theme development, theme review and refinement, and write-up. NVivo 12 software will manage data. Trustworthiness strategies include member checking, peer debriefing, audit trail maintenance, and researcher reflexivity.</w:t>
      </w:r>
    </w:p>
    <w:p w14:paraId="54287E77" w14:textId="77777777" w:rsidR="00067356" w:rsidRDefault="007000B3">
      <w:pPr>
        <w:pStyle w:val="Heading2"/>
      </w:pPr>
      <w:r>
        <w:t>11.3 Mixed Method Integration</w:t>
      </w:r>
    </w:p>
    <w:p w14:paraId="30887D63" w14:textId="77777777" w:rsidR="00067356" w:rsidRDefault="007000B3">
      <w:pPr>
        <w:spacing w:before="120" w:after="120" w:line="360" w:lineRule="auto"/>
        <w:jc w:val="both"/>
      </w:pPr>
      <w:r>
        <w:t>Integration of quantitative and qualitative findings will occur at the interpretation stage through triangulation, complementarity, and expansion. Quantitative patterns will be contextualized by qualitative insights, and qualitative themes will be examined against quantitative data for convergence and divergence. The integrated findings will inform the final theoretical framework development.</w:t>
      </w:r>
    </w:p>
    <w:p w14:paraId="7F3F16DA" w14:textId="77777777" w:rsidR="00067356" w:rsidRDefault="007000B3">
      <w:r>
        <w:br w:type="page"/>
      </w:r>
    </w:p>
    <w:p w14:paraId="325CABDF" w14:textId="77777777" w:rsidR="00067356" w:rsidRDefault="007000B3">
      <w:pPr>
        <w:pStyle w:val="Heading1"/>
      </w:pPr>
      <w:r>
        <w:lastRenderedPageBreak/>
        <w:t>CHAPTER 12: INTERGENERATIONAL DYNAMICS AND SOCIAL INCLUSION</w:t>
      </w:r>
    </w:p>
    <w:p w14:paraId="283A5B76" w14:textId="77777777" w:rsidR="00067356" w:rsidRDefault="007000B3">
      <w:pPr>
        <w:pStyle w:val="Heading2"/>
      </w:pPr>
      <w:r>
        <w:t>12.1 Three Generational Cohorts in India's Deaf History</w:t>
      </w:r>
    </w:p>
    <w:p w14:paraId="61D3825A" w14:textId="77777777" w:rsidR="00067356" w:rsidRDefault="007000B3">
      <w:pPr>
        <w:spacing w:before="120" w:after="120" w:line="360" w:lineRule="auto"/>
        <w:jc w:val="both"/>
      </w:pPr>
      <w:r>
        <w:t>Understanding the generational dimensions of deafness in India requires situating different cohorts within their specific historical and policy contexts. The oldest cohort -- individuals born before approximately 1970 -- grew up in an era before any systematic disability legislation, when the primary institutional response to hearing disability was welfare-oriented charitable provision or institutional care. Most members of this generation had severely limited access to formal education, particularly in rural areas, and were socialized in environments where disability was understood primarily through religious or fatalistic frameworks.</w:t>
      </w:r>
    </w:p>
    <w:p w14:paraId="0A3C914A" w14:textId="77777777" w:rsidR="00067356" w:rsidRDefault="007000B3">
      <w:pPr>
        <w:spacing w:before="120" w:after="120" w:line="360" w:lineRule="auto"/>
        <w:jc w:val="both"/>
      </w:pPr>
      <w:r>
        <w:t>The middle cohort -- born between approximately 1970 and 2000 -- experienced the gradual development of India's disability sector, including the expansion of special schools for the deaf, the emergence of disability NGOs, the passage of the 1995 Act, and the slow development of ISL as a recognized communicative system. Members of this cohort often navigated the tensions between oralist educational traditions and growing deaf community advocacy for sign language rights. Many faced significant educational and vocational barriers despite the expanding policy framework.</w:t>
      </w:r>
    </w:p>
    <w:p w14:paraId="509E6826" w14:textId="77777777" w:rsidR="00067356" w:rsidRDefault="007000B3">
      <w:pPr>
        <w:spacing w:before="120" w:after="120" w:line="360" w:lineRule="auto"/>
        <w:jc w:val="both"/>
      </w:pPr>
      <w:r>
        <w:t>The youngest cohort -- born after 2000 -- has grown up in the era of the RPWDA 2016, ISLRTC's active ISL promotion, digital communication revolution, and growing global deaf rights advocacy. This generation has, in principle, access to more enabling legal protections, more ISL resources, and more digital communication tools than any previous generation. However, the gap between policy promise and lived reality remains substantial, and this generation continues to face significant structural barriers to full inclusion, particularly in rural and marginalized communities.</w:t>
      </w:r>
    </w:p>
    <w:p w14:paraId="680E5058" w14:textId="77777777" w:rsidR="00067356" w:rsidRDefault="00067356">
      <w:pPr>
        <w:spacing w:before="120" w:after="120" w:line="360" w:lineRule="auto"/>
        <w:jc w:val="both"/>
      </w:pPr>
    </w:p>
    <w:p w14:paraId="082D384F" w14:textId="77777777" w:rsidR="00067356" w:rsidRDefault="00067356">
      <w:pPr>
        <w:spacing w:before="120" w:after="120" w:line="360" w:lineRule="auto"/>
        <w:jc w:val="both"/>
      </w:pPr>
    </w:p>
    <w:p w14:paraId="49D5D73C" w14:textId="77777777" w:rsidR="00067356" w:rsidRDefault="00067356">
      <w:pPr>
        <w:spacing w:before="120" w:after="120" w:line="360" w:lineRule="auto"/>
        <w:jc w:val="both"/>
      </w:pPr>
    </w:p>
    <w:p w14:paraId="2BAEFCE7" w14:textId="77777777" w:rsidR="00067356" w:rsidRDefault="007000B3">
      <w:pPr>
        <w:pStyle w:val="Heading2"/>
      </w:pPr>
      <w:r>
        <w:lastRenderedPageBreak/>
        <w:t>12.2 Differential Service Needs Across Generations</w:t>
      </w:r>
    </w:p>
    <w:p w14:paraId="7328F72B" w14:textId="77777777" w:rsidR="00067356" w:rsidRDefault="007000B3">
      <w:pPr>
        <w:spacing w:before="120" w:after="120" w:line="360" w:lineRule="auto"/>
        <w:jc w:val="both"/>
      </w:pPr>
      <w:r>
        <w:t xml:space="preserve">These generational differences translate into markedly different service needs that social workers must be equipped to recognize and address. Older deaf adults' needs </w:t>
      </w:r>
      <w:proofErr w:type="spellStart"/>
      <w:r>
        <w:t>center</w:t>
      </w:r>
      <w:proofErr w:type="spellEnd"/>
      <w:r>
        <w:t xml:space="preserve"> on social connection and combating isolation, health and aging services accessibility, support for navigating institutions that were designed without them in mind, and recognition and </w:t>
      </w:r>
      <w:proofErr w:type="spellStart"/>
      <w:r>
        <w:t>honoring</w:t>
      </w:r>
      <w:proofErr w:type="spellEnd"/>
      <w:r>
        <w:t xml:space="preserve"> of their accumulated life experience and resilience wisdom.</w:t>
      </w:r>
    </w:p>
    <w:p w14:paraId="059F10E1" w14:textId="77777777" w:rsidR="00067356" w:rsidRDefault="007000B3">
      <w:pPr>
        <w:spacing w:before="120" w:after="120" w:line="360" w:lineRule="auto"/>
        <w:jc w:val="both"/>
      </w:pPr>
      <w:r>
        <w:t xml:space="preserve">Middle-generation deaf adults' needs </w:t>
      </w:r>
      <w:proofErr w:type="spellStart"/>
      <w:r>
        <w:t>center</w:t>
      </w:r>
      <w:proofErr w:type="spellEnd"/>
      <w:r>
        <w:t xml:space="preserve"> on employment advocacy and workplace accommodations, family communication support (particularly around deaf parenting), mental health services addressing accumulated experiences of exclusion, and assistance with navigating bureaucratic systems that may be partially accessible but still require advocacy support.</w:t>
      </w:r>
    </w:p>
    <w:p w14:paraId="42573CB6" w14:textId="77777777" w:rsidR="00067356" w:rsidRDefault="007000B3">
      <w:pPr>
        <w:spacing w:before="120" w:after="120" w:line="360" w:lineRule="auto"/>
        <w:jc w:val="both"/>
      </w:pPr>
      <w:r>
        <w:t xml:space="preserve">Younger deaf people's needs </w:t>
      </w:r>
      <w:proofErr w:type="spellStart"/>
      <w:r>
        <w:t>center</w:t>
      </w:r>
      <w:proofErr w:type="spellEnd"/>
      <w:r>
        <w:t xml:space="preserve"> on accessible, high-quality inclusive or deaf-centred education, ISL-fluent career guidance and vocational support, digital inclusion and technology access, positive deaf identity development and peer connection, and transitions support between educational and employment settings.</w:t>
      </w:r>
    </w:p>
    <w:p w14:paraId="27C0FC11" w14:textId="77777777" w:rsidR="00067356" w:rsidRDefault="007000B3">
      <w:pPr>
        <w:pStyle w:val="Heading2"/>
      </w:pPr>
      <w:r>
        <w:t>12.3 Intergenerational Programming Approaches</w:t>
      </w:r>
    </w:p>
    <w:p w14:paraId="3192EBDF" w14:textId="77777777" w:rsidR="00067356" w:rsidRDefault="007000B3">
      <w:pPr>
        <w:spacing w:before="120" w:after="120" w:line="360" w:lineRule="auto"/>
        <w:jc w:val="both"/>
      </w:pPr>
      <w:r>
        <w:t>Social workers can design and facilitate several types of intergenerational programming that leverage the different strengths and experiences of different generational cohorts within deaf communities. Deaf elder-youth mentoring programs create structured opportunities for older deaf adults to share their resilience wisdom, vocational experience, and cultural knowledge with younger deaf individuals -- relationships that benefit both parties and strengthen intergenerational community cohesion.</w:t>
      </w:r>
    </w:p>
    <w:p w14:paraId="6C6F9FBA" w14:textId="77777777" w:rsidR="00067356" w:rsidRDefault="007000B3">
      <w:pPr>
        <w:spacing w:before="120" w:after="120" w:line="360" w:lineRule="auto"/>
        <w:jc w:val="both"/>
      </w:pPr>
      <w:r>
        <w:t>Oral history and deaf cultural heritage projects that invite older deaf adults to share their life stories -- in ISL, through video documentation -- preserve important historical knowledge and create a sense of historical continuity and cultural pride that benefits younger generations. Social workers can facilitate these projects, which simultaneously provide meaningful engagement for older deaf adults and cultural education for younger community members.</w:t>
      </w:r>
    </w:p>
    <w:p w14:paraId="114F9AFC" w14:textId="77777777" w:rsidR="00067356" w:rsidRDefault="007000B3">
      <w:r>
        <w:br w:type="page"/>
      </w:r>
    </w:p>
    <w:p w14:paraId="35F96521" w14:textId="77777777" w:rsidR="00067356" w:rsidRDefault="007000B3">
      <w:pPr>
        <w:pStyle w:val="Heading1"/>
      </w:pPr>
      <w:r>
        <w:lastRenderedPageBreak/>
        <w:t>CHAPTER 13: TECHNOLOGY, ASSISTIVE DEVICES AND DIGITAL INCLUSION</w:t>
      </w:r>
    </w:p>
    <w:p w14:paraId="3BA96394" w14:textId="77777777" w:rsidR="00067356" w:rsidRDefault="007000B3">
      <w:pPr>
        <w:pStyle w:val="Heading2"/>
      </w:pPr>
      <w:r>
        <w:t>13.1 Assistive Hearing Technologies</w:t>
      </w:r>
    </w:p>
    <w:p w14:paraId="6C5DEE45" w14:textId="77777777" w:rsidR="00067356" w:rsidRDefault="007000B3">
      <w:pPr>
        <w:spacing w:before="120" w:after="120" w:line="360" w:lineRule="auto"/>
        <w:jc w:val="both"/>
      </w:pPr>
      <w:r>
        <w:t>The landscape of assistive technology for deaf and mute individuals encompasses a broad range of devices and systems. Hearing aids represent the most widely used hearing assistive technology (HAT), providing amplification for individuals with partial or moderate hearing loss. India's ADIP scheme provides hearing aids at subsidized or no cost to eligible persons with disabilities -- however, awareness of this scheme, particularly in rural areas, remains critically limited, and the quality, maintenance, and fitting of provided devices is a persistent concern.</w:t>
      </w:r>
    </w:p>
    <w:p w14:paraId="6A8AAE2C" w14:textId="77777777" w:rsidR="00067356" w:rsidRDefault="007000B3">
      <w:pPr>
        <w:spacing w:before="120" w:after="120" w:line="360" w:lineRule="auto"/>
        <w:jc w:val="both"/>
      </w:pPr>
      <w:r>
        <w:t>Cochlear implants represent a more radical technological intervention for severe-to-profound hearing loss, providing direct electrical stimulation of the auditory nerve through a surgically implanted device combined with an external processor. Cochlear implants have been available in India since the early 2000s and are now covered under some government health schemes including the Cochlear Implant Programme under the National Programme for Prevention and Control of Deafness (NPPCD). The Indian government has expanded cochlear implant provision in recent years, with thousands of implants performed annually.</w:t>
      </w:r>
    </w:p>
    <w:p w14:paraId="6548B768" w14:textId="77777777" w:rsidR="00067356" w:rsidRDefault="007000B3">
      <w:pPr>
        <w:spacing w:before="120" w:after="120" w:line="360" w:lineRule="auto"/>
        <w:jc w:val="both"/>
      </w:pPr>
      <w:r>
        <w:t>However, cochlear implants remain controversial within deaf communities globally and in India. Many deaf community advocates, drawing on cultural and linguistic arguments, argue that cochlear implants represent a medicalization of deaf identity that undermines the value and vitality of sign language and deaf culture. Social workers must be equipped to present balanced, non-directive information to deaf individuals and families considering cochlear implants, enabling informed decision-making that respects individual values and preferences.</w:t>
      </w:r>
    </w:p>
    <w:p w14:paraId="31B1006D" w14:textId="77777777" w:rsidR="00067356" w:rsidRDefault="007000B3">
      <w:pPr>
        <w:pStyle w:val="Heading2"/>
      </w:pPr>
      <w:r>
        <w:t>13.2 Communication and Information Technologies</w:t>
      </w:r>
    </w:p>
    <w:p w14:paraId="6E6A21CC" w14:textId="77777777" w:rsidR="00067356" w:rsidRDefault="007000B3">
      <w:pPr>
        <w:spacing w:before="120" w:after="120" w:line="360" w:lineRule="auto"/>
        <w:jc w:val="both"/>
      </w:pPr>
      <w:r>
        <w:t xml:space="preserve">Digital communication technologies have been among the most transformative developments for deaf/mute individuals in recent decades. Video relay services (VRS) -- which connect deaf sign language users with hearing callers through ISL interpreters who relay calls in real time -- have dramatically expanded deaf individuals' ability to communicate with hearing institutions over the telephone. </w:t>
      </w:r>
    </w:p>
    <w:p w14:paraId="789F84E5" w14:textId="77777777" w:rsidR="00067356" w:rsidRDefault="007000B3">
      <w:pPr>
        <w:spacing w:before="120" w:after="120" w:line="360" w:lineRule="auto"/>
        <w:jc w:val="both"/>
      </w:pPr>
      <w:r>
        <w:lastRenderedPageBreak/>
        <w:t>While VRS is well-established in Western countries, India has yet to establish a national VRS infrastructure, though deaf advocacy organizations have been pressing for this essential service.</w:t>
      </w:r>
    </w:p>
    <w:p w14:paraId="1ABA33B7" w14:textId="77777777" w:rsidR="00067356" w:rsidRDefault="007000B3">
      <w:pPr>
        <w:spacing w:before="120" w:after="120" w:line="360" w:lineRule="auto"/>
        <w:jc w:val="both"/>
      </w:pPr>
      <w:r>
        <w:t>Messaging and social media platforms have transformed social connectivity for deaf individuals, enabling asynchronous text-based communication with hearing people without the barriers of telephone communication. WhatsApp and similar platforms that support video messaging are particularly valuable for deaf ISL users, enabling real-time ISL communication over smartphones regardless of geographic distance.</w:t>
      </w:r>
    </w:p>
    <w:p w14:paraId="745EA3F5" w14:textId="77777777" w:rsidR="00067356" w:rsidRDefault="007000B3">
      <w:pPr>
        <w:spacing w:before="120" w:after="120" w:line="360" w:lineRule="auto"/>
        <w:jc w:val="both"/>
      </w:pPr>
      <w:r>
        <w:t>Emerging AI-powered sign language recognition and synthesis technologies offer exciting future possibilities. Research groups in India -- including at IIT Delhi, IISc Bangalore, and several technology companies -- are actively developing systems capable of recognizing ISL gestures and translating them to text, as well as systems that can generate ISL animations from text input. While these technologies are not yet at a level of reliability suitable for real-world deployment, their continued development holds transformative potential for deaf communication access.</w:t>
      </w:r>
    </w:p>
    <w:p w14:paraId="6DC4DBD9" w14:textId="77777777" w:rsidR="00067356" w:rsidRDefault="007000B3">
      <w:pPr>
        <w:pStyle w:val="Heading2"/>
      </w:pPr>
      <w:r>
        <w:t>13.3 The Digital Divide: Unequal Technology Access</w:t>
      </w:r>
    </w:p>
    <w:p w14:paraId="3432F8C3" w14:textId="77777777" w:rsidR="00067356" w:rsidRDefault="007000B3">
      <w:pPr>
        <w:spacing w:before="120" w:after="120" w:line="360" w:lineRule="auto"/>
        <w:jc w:val="both"/>
      </w:pPr>
      <w:r>
        <w:t>While digital technologies offer transformative potential, they also risk amplifying existing inequalities through differential access -- a phenomenon well-documented as the digital divide. In India, the digital divide along rural-urban, gender, caste, and income lines is substantial and has specific implications for deaf/mute individuals. Rural deaf individuals face infrastructure barriers including limited internet connectivity and electricity reliability. Low-income deaf individuals may lack access to smartphones or data plans. Older deaf adults may have limited digital literacy, preventing effective use of available technologies.</w:t>
      </w:r>
    </w:p>
    <w:p w14:paraId="227E1E18" w14:textId="77777777" w:rsidR="00067356" w:rsidRDefault="007000B3">
      <w:pPr>
        <w:spacing w:before="120" w:after="120" w:line="360" w:lineRule="auto"/>
        <w:jc w:val="both"/>
      </w:pPr>
      <w:r>
        <w:t>Women with disabilities, including deaf women, face compounded digital exclusion -- research documents that women are significantly less likely than men to own smartphones or access the internet in India, with this gap amplified for women with disabilities.</w:t>
      </w:r>
    </w:p>
    <w:p w14:paraId="5B553C9C" w14:textId="77777777" w:rsidR="00067356" w:rsidRDefault="00067356">
      <w:pPr>
        <w:spacing w:before="120" w:after="120" w:line="360" w:lineRule="auto"/>
        <w:jc w:val="both"/>
      </w:pPr>
    </w:p>
    <w:p w14:paraId="700307DB" w14:textId="77777777" w:rsidR="00067356" w:rsidRDefault="00067356">
      <w:pPr>
        <w:spacing w:before="120" w:after="120" w:line="360" w:lineRule="auto"/>
        <w:jc w:val="both"/>
      </w:pPr>
    </w:p>
    <w:p w14:paraId="3F515EEF" w14:textId="77777777" w:rsidR="00067356" w:rsidRDefault="007000B3">
      <w:pPr>
        <w:spacing w:before="120" w:after="120" w:line="360" w:lineRule="auto"/>
        <w:jc w:val="both"/>
      </w:pPr>
      <w:r>
        <w:lastRenderedPageBreak/>
        <w:t xml:space="preserve"> Social workers can play important roles in addressing the digital divide for deaf clients by providing digital literacy training, connecting clients to government programs providing device and connectivity subsidies, advocating for accessible digital platforms, and supporting the development of ISL-accessible digital content.</w:t>
      </w:r>
      <w:r>
        <w:br w:type="page"/>
      </w:r>
    </w:p>
    <w:p w14:paraId="2FB3D2C3" w14:textId="77777777" w:rsidR="00067356" w:rsidRDefault="007000B3">
      <w:pPr>
        <w:pStyle w:val="Heading1"/>
      </w:pPr>
      <w:r>
        <w:lastRenderedPageBreak/>
        <w:t>CHAPTER 14: MENTAL HEALTH AND PSYCHOSOCIAL WELL-BEING</w:t>
      </w:r>
    </w:p>
    <w:p w14:paraId="20A957D0" w14:textId="77777777" w:rsidR="00067356" w:rsidRDefault="007000B3">
      <w:pPr>
        <w:pStyle w:val="Heading2"/>
      </w:pPr>
      <w:r>
        <w:t>14.1 Epidemiology of Mental Health in Deaf Populations</w:t>
      </w:r>
    </w:p>
    <w:p w14:paraId="1B9A794B" w14:textId="77777777" w:rsidR="00067356" w:rsidRDefault="007000B3">
      <w:pPr>
        <w:spacing w:before="120" w:after="120" w:line="360" w:lineRule="auto"/>
        <w:jc w:val="both"/>
      </w:pPr>
      <w:r>
        <w:t xml:space="preserve">The evidence base on mental health in deaf populations is compelling and sobering. Multiple epidemiological studies across different countries and contexts have documented significantly elevated rates of mental health disorders in deaf populations compared to hearing populations. Kvam, Loeb, and </w:t>
      </w:r>
      <w:proofErr w:type="spellStart"/>
      <w:r>
        <w:t>Tambs</w:t>
      </w:r>
      <w:proofErr w:type="spellEnd"/>
      <w:r>
        <w:t xml:space="preserve"> (2007) found rates of major depression approximately 2.5 times higher in deaf adults. Fellinger, Holzinger, and Pollard (2012) reviewed 26 studies across multiple countries, concluding that mental health disorders affected approximately 40-50% of deaf individuals -- substantially higher than the 25-30% general population prevalence.</w:t>
      </w:r>
    </w:p>
    <w:p w14:paraId="102BE49A" w14:textId="77777777" w:rsidR="00067356" w:rsidRDefault="007000B3">
      <w:pPr>
        <w:spacing w:before="120" w:after="120" w:line="360" w:lineRule="auto"/>
        <w:jc w:val="both"/>
      </w:pPr>
      <w:r>
        <w:t>In India, systematic epidemiological data on mental health in deaf populations is virtually absent -- a gap that itself reflects the marginalization of deaf mental health as a research and policy priority. The few available studies suggest that the challenges documented in international research are present in India as well, compounded by additional factors specific to the Indian context: cultural stigma around mental illness, limited mental health infrastructure even for the general population, and virtually complete absence of ISL-accessible mental health services.</w:t>
      </w:r>
    </w:p>
    <w:p w14:paraId="7EED9DD1" w14:textId="77777777" w:rsidR="00067356" w:rsidRDefault="007000B3">
      <w:pPr>
        <w:pStyle w:val="Heading2"/>
      </w:pPr>
      <w:r>
        <w:t>14.2 Specific Mental Health Conditions</w:t>
      </w:r>
    </w:p>
    <w:p w14:paraId="7CCC4BC4" w14:textId="77777777" w:rsidR="00067356" w:rsidRDefault="007000B3">
      <w:pPr>
        <w:pStyle w:val="Heading3"/>
      </w:pPr>
      <w:r>
        <w:t>14.2.1 Depression and Anxiety</w:t>
      </w:r>
    </w:p>
    <w:p w14:paraId="44838D52" w14:textId="77777777" w:rsidR="00067356" w:rsidRDefault="007000B3">
      <w:pPr>
        <w:spacing w:before="120" w:after="120" w:line="360" w:lineRule="auto"/>
        <w:jc w:val="both"/>
      </w:pPr>
      <w:r>
        <w:t>Depression and anxiety are the most prevalent mental health conditions in deaf populations. Social isolation is consistently identified as a primary contributing factor -- the chronic inability to communicate fluently with most of one's social environment creates a profound and corrosive loneliness that accumulates over time into clinical depression. The mechanism is not simply the absence of communication but the repeated experience of exclusion, misunderstanding, and the emotional exhaustion of constantly negotiating communicative access in environments designed for hearing people.</w:t>
      </w:r>
    </w:p>
    <w:p w14:paraId="05D16B05" w14:textId="77777777" w:rsidR="00067356" w:rsidRDefault="007000B3">
      <w:pPr>
        <w:spacing w:before="120" w:after="120" w:line="360" w:lineRule="auto"/>
        <w:jc w:val="both"/>
      </w:pPr>
      <w:r>
        <w:lastRenderedPageBreak/>
        <w:t>Anxiety in deaf populations is often particularly linked to communication uncertainty -- the unpredictability of being misunderstood, the anxiety of navigating important appointments (medical, legal, governmental) without interpreter support, and the social vigilance required to monitor and manage communication failures in real time. This communication-related anxiety can generalize into broader anxiety disorders when communication barriers are pervasive and the stakes of miscommunication are high.</w:t>
      </w:r>
    </w:p>
    <w:p w14:paraId="4E034554" w14:textId="77777777" w:rsidR="00067356" w:rsidRDefault="007000B3">
      <w:pPr>
        <w:pStyle w:val="Heading3"/>
      </w:pPr>
      <w:r>
        <w:t>14.2.2 Trauma and PTSD</w:t>
      </w:r>
    </w:p>
    <w:p w14:paraId="6E878F4A" w14:textId="77777777" w:rsidR="00067356" w:rsidRDefault="007000B3">
      <w:pPr>
        <w:spacing w:before="120" w:after="120" w:line="360" w:lineRule="auto"/>
        <w:jc w:val="both"/>
      </w:pPr>
      <w:r>
        <w:t>Post-traumatic stress disorder and trauma-related conditions are elevated in deaf populations for several reasons. Many older deaf adults experienced educational environments that were overtly abusive -- particularly in oralist schools where signing was forcibly suppressed through physical punishment, creating institutional trauma. Experiences of disability-based discrimination and violence, including the high rates of intimate partner violence documented among deaf women, are additional sources of trauma. The absence of accessible trauma-informed mental health services means that many deaf individuals carry unprocessed trauma throughout their lives.</w:t>
      </w:r>
    </w:p>
    <w:p w14:paraId="6190F9AD" w14:textId="77777777" w:rsidR="00067356" w:rsidRDefault="007000B3">
      <w:pPr>
        <w:spacing w:before="120" w:after="120" w:line="360" w:lineRule="auto"/>
        <w:jc w:val="both"/>
      </w:pPr>
      <w:r>
        <w:t>Social workers can play critical roles in trauma-informed practice with deaf clients -- creating safe, accessible therapeutic environments; acknowledging historical and ongoing traumas specific to deaf experience; using trauma-informed communication approaches including ISL; connecting clients with specialist trauma services that have ISL accessibility; and advocating for the development of more ISL-accessible trauma-informed mental health services.</w:t>
      </w:r>
    </w:p>
    <w:p w14:paraId="11C73BFD" w14:textId="77777777" w:rsidR="00067356" w:rsidRDefault="007000B3">
      <w:pPr>
        <w:pStyle w:val="Heading2"/>
      </w:pPr>
      <w:r>
        <w:t>14.3 Developing Accessible Mental Health Services</w:t>
      </w:r>
    </w:p>
    <w:p w14:paraId="23552018" w14:textId="77777777" w:rsidR="00067356" w:rsidRDefault="007000B3">
      <w:pPr>
        <w:spacing w:before="120" w:after="120" w:line="360" w:lineRule="auto"/>
        <w:jc w:val="both"/>
      </w:pPr>
      <w:r>
        <w:t>The development of genuinely accessible mental health services for deaf/mute individuals in India requires coordinated action at multiple system levels. At the direct service level, mental health institutions need to develop ISL-accessible consultation processes, hire or contract ISL interpreters for mental health settings, adapt standardized assessment instruments for ISL administration, and train clinical staff in deaf cultural competency.</w:t>
      </w:r>
    </w:p>
    <w:p w14:paraId="13BD01A1" w14:textId="77777777" w:rsidR="00067356" w:rsidRDefault="00067356">
      <w:pPr>
        <w:spacing w:before="120" w:after="120" w:line="360" w:lineRule="auto"/>
        <w:jc w:val="both"/>
      </w:pPr>
    </w:p>
    <w:p w14:paraId="54F426D9" w14:textId="77777777" w:rsidR="00067356" w:rsidRDefault="007000B3">
      <w:pPr>
        <w:spacing w:before="120" w:after="120" w:line="360" w:lineRule="auto"/>
        <w:jc w:val="both"/>
      </w:pPr>
      <w:r>
        <w:lastRenderedPageBreak/>
        <w:t>At the training system level, medical schools, psychology programs, and social work education programs need to integrate ISL and deaf cultural competency training into their core curricula. The Rehabilitation Council of India (RCI), which regulates professional training in rehabilitation fields, should develop specific competency standards for working with deaf/mute clients and incorporate these into curriculum approval and registration criteria.</w:t>
      </w:r>
    </w:p>
    <w:p w14:paraId="358336DD" w14:textId="77777777" w:rsidR="00067356" w:rsidRDefault="007000B3">
      <w:pPr>
        <w:spacing w:before="120" w:after="120" w:line="360" w:lineRule="auto"/>
        <w:jc w:val="both"/>
      </w:pPr>
      <w:r>
        <w:t>At the community level, mental health literacy programs delivered in ISL within deaf community settings can reduce stigma, promote help-seeking, and equip deaf individuals with knowledge of mental health resources and self-care strategies. Peer support programs using deaf mental health peer specialists -- individuals with lived experience of mental health challenges and deaf identity -- have shown particular promise in reaching deaf populations with historically low mental health service utilization.</w:t>
      </w:r>
    </w:p>
    <w:p w14:paraId="05DC8292" w14:textId="77777777" w:rsidR="00067356" w:rsidRDefault="007000B3">
      <w:r>
        <w:br w:type="page"/>
      </w:r>
    </w:p>
    <w:p w14:paraId="7789DD0C" w14:textId="77777777" w:rsidR="00067356" w:rsidRDefault="007000B3">
      <w:pPr>
        <w:pStyle w:val="Heading1"/>
      </w:pPr>
      <w:r>
        <w:lastRenderedPageBreak/>
        <w:t>CHAPTER 15: COMMUNITY-BASED REHABILITATION (CBR) IN INDIA</w:t>
      </w:r>
    </w:p>
    <w:p w14:paraId="7EF21688" w14:textId="77777777" w:rsidR="00067356" w:rsidRDefault="007000B3">
      <w:pPr>
        <w:pStyle w:val="Heading2"/>
      </w:pPr>
      <w:r>
        <w:t>15.1 The CBR Framework: Philosophy and Structure</w:t>
      </w:r>
    </w:p>
    <w:p w14:paraId="2857654E" w14:textId="77777777" w:rsidR="00067356" w:rsidRDefault="007000B3">
      <w:pPr>
        <w:spacing w:before="120" w:after="120" w:line="360" w:lineRule="auto"/>
        <w:jc w:val="both"/>
      </w:pPr>
      <w:r>
        <w:t>Community-Based Rehabilitation (CBR) is a multisectoral strategy for rehabilitation, equalization of opportunities, poverty reduction, and social inclusion of people with disabilities, implemented through the combined efforts of people with disabilities themselves, their families and communities, and the appropriate government and non-government health, education, vocational, social, and other services. The CBR approach emerged as a response to the limitations of institution-based rehabilitation -- acknowledging that the vast majority of people with disabilities in low- and middle-income countries live in communities without access to specialized rehabilitation institutions, and that sustainable, rights-based disability support must be embedded in and driven by communities themselves.</w:t>
      </w:r>
    </w:p>
    <w:p w14:paraId="3BD62B97" w14:textId="77777777" w:rsidR="00067356" w:rsidRDefault="007000B3">
      <w:pPr>
        <w:spacing w:before="120" w:after="120" w:line="360" w:lineRule="auto"/>
        <w:jc w:val="both"/>
      </w:pPr>
      <w:r>
        <w:t>The CBR Matrix provides the conceptual framework for CBR programming, organizing activities across five domains -- Health, Education, Livelihood, Social, and Empowerment -- each with multiple components. For deaf/mute individuals, priority CBR components typically include: sign language services and communication support (health domain); inclusive/accessible education and deaf-medium schools (education domain); vocational training and microenterprise support (livelihood domain); community participation and recreational access (social domain); and disability rights awareness and self-advocacy (empowerment domain).</w:t>
      </w:r>
    </w:p>
    <w:p w14:paraId="225319EC" w14:textId="77777777" w:rsidR="00067356" w:rsidRDefault="007000B3">
      <w:pPr>
        <w:pStyle w:val="Heading2"/>
      </w:pPr>
      <w:r>
        <w:t>15.2 CBR for Deaf/Mute Individuals in Indian Communities</w:t>
      </w:r>
    </w:p>
    <w:p w14:paraId="691632F2" w14:textId="77777777" w:rsidR="00067356" w:rsidRDefault="007000B3">
      <w:pPr>
        <w:spacing w:before="120" w:after="120" w:line="360" w:lineRule="auto"/>
        <w:jc w:val="both"/>
      </w:pPr>
      <w:r>
        <w:t>Effective CBR for deaf/mute individuals requires several specific adaptations to standard CBR approaches. The communication barrier in CBR itself must be addressed -- CBR workers need at minimum basic ISL proficiency to effectively engage with deaf community members, and formal CBR programs serving deaf individuals should provide CBR workers with ISL training and access to ISL interpreter support.</w:t>
      </w:r>
    </w:p>
    <w:p w14:paraId="13AD614F" w14:textId="77777777" w:rsidR="00067356" w:rsidRDefault="007000B3">
      <w:pPr>
        <w:spacing w:before="120" w:after="120" w:line="360" w:lineRule="auto"/>
        <w:jc w:val="both"/>
      </w:pPr>
      <w:r>
        <w:t xml:space="preserve">Community awareness activities that form a core component of CBR need to include ISL-accessible formats -- sign language videos, visual materials, ISL-fluent community educators. </w:t>
      </w:r>
    </w:p>
    <w:p w14:paraId="7D7ABCAE" w14:textId="77777777" w:rsidR="00067356" w:rsidRDefault="007000B3">
      <w:pPr>
        <w:spacing w:before="120" w:after="120" w:line="360" w:lineRule="auto"/>
        <w:jc w:val="both"/>
      </w:pPr>
      <w:r>
        <w:lastRenderedPageBreak/>
        <w:t>The absence of ISL-accessible community awareness content means that deaf individuals are often the most marginalized members of their communities precisely because they lack access to the information and community processes that are the basic currency of CBR engagement.</w:t>
      </w:r>
    </w:p>
    <w:p w14:paraId="68A56D1F" w14:textId="77777777" w:rsidR="00067356" w:rsidRDefault="007000B3">
      <w:pPr>
        <w:spacing w:before="120" w:after="120" w:line="360" w:lineRule="auto"/>
        <w:jc w:val="both"/>
      </w:pPr>
      <w:r>
        <w:t>Self-help groups (SHGs) for deaf individuals and their families represent a powerful CBR mechanism with strong applicability in the Indian context. Deaf SHGs -- whether at village, town, or district level -- provide peer support, collective problem-solving, shared advocacy, and microeconomic solidarity. Social workers can play important roles in facilitating the formation and development of deaf SHGs, providing organizational support, linking them to government and NGO resources, and supporting their development into more formal community organizations.</w:t>
      </w:r>
    </w:p>
    <w:p w14:paraId="2D583FAA" w14:textId="77777777" w:rsidR="00067356" w:rsidRDefault="007000B3">
      <w:r>
        <w:br w:type="page"/>
      </w:r>
    </w:p>
    <w:p w14:paraId="2D8F2AD6" w14:textId="77777777" w:rsidR="00067356" w:rsidRDefault="007000B3">
      <w:pPr>
        <w:pStyle w:val="Heading1"/>
      </w:pPr>
      <w:r>
        <w:lastRenderedPageBreak/>
        <w:t>CHAPTER 16: EDUCATION AND VOCATIONAL EMPOWERMENT</w:t>
      </w:r>
    </w:p>
    <w:p w14:paraId="686B118E" w14:textId="77777777" w:rsidR="00067356" w:rsidRDefault="007000B3">
      <w:pPr>
        <w:pStyle w:val="Heading2"/>
      </w:pPr>
      <w:r>
        <w:t>16.1 Education Models for Deaf Students in India</w:t>
      </w:r>
    </w:p>
    <w:p w14:paraId="6E8D6F2B" w14:textId="77777777" w:rsidR="00067356" w:rsidRDefault="007000B3">
      <w:pPr>
        <w:spacing w:before="120" w:after="120" w:line="360" w:lineRule="auto"/>
        <w:jc w:val="both"/>
      </w:pPr>
      <w:r>
        <w:t>India's educational provision for deaf students is organized around two primary models -- special schools for the deaf and inclusive mainstream education -- with significant variation in quality, approach, and outcomes across these models and across different states and geographic settings.</w:t>
      </w:r>
    </w:p>
    <w:p w14:paraId="42EEA4C1" w14:textId="77777777" w:rsidR="00067356" w:rsidRDefault="007000B3">
      <w:pPr>
        <w:spacing w:before="120" w:after="120" w:line="360" w:lineRule="auto"/>
        <w:jc w:val="both"/>
      </w:pPr>
      <w:r>
        <w:t>Special schools for the deaf have a long history in India, with the earliest institutions established in the late 19th century. These schools provide ISL-medium instruction, a deaf peer environment, and teachers with at least some training in deaf education. While special schools have been criticized for perpetuating segregation, many deaf community advocates argue that well-resourced, ISL-medium special schools provide better developmental outcomes for deaf students than poorly resourced, inadequately supported mainstream placements. The quality of India's special schools for the deaf varies enormously -- some well-funded institutions in major cities provide genuinely high-quality education, while many smaller schools, particularly in rural areas, operate with inadequate resources, under-trained teachers, and minimal academic expectations.</w:t>
      </w:r>
    </w:p>
    <w:p w14:paraId="58335BC0" w14:textId="77777777" w:rsidR="00067356" w:rsidRDefault="007000B3">
      <w:pPr>
        <w:spacing w:before="120" w:after="120" w:line="360" w:lineRule="auto"/>
        <w:jc w:val="both"/>
      </w:pPr>
      <w:r>
        <w:t>Inclusive education in mainstream settings has been progressively promoted through the RPWDA 2016 and NEP 2020, reflecting the international disability rights consensus that inclusive education, properly resourced, provides the best combination of academic quality and social inclusion for most students with disabilities. For deaf students, however, the conditions required for genuine inclusion -- ISL-trained teachers or classroom interpreters, accessible pedagogical approaches, informed and supportive peers and administrators -- are rarely present in India's mainstream schools, meaning that 'inclusion' frequently amounts to physical presence without communicative or academic participation.</w:t>
      </w:r>
    </w:p>
    <w:p w14:paraId="4553B435" w14:textId="77777777" w:rsidR="00067356" w:rsidRDefault="00067356">
      <w:pPr>
        <w:spacing w:before="120" w:after="120" w:line="360" w:lineRule="auto"/>
        <w:jc w:val="both"/>
      </w:pPr>
    </w:p>
    <w:p w14:paraId="37353ED4" w14:textId="77777777" w:rsidR="00067356" w:rsidRDefault="00067356">
      <w:pPr>
        <w:spacing w:before="120" w:after="120" w:line="360" w:lineRule="auto"/>
        <w:jc w:val="both"/>
      </w:pPr>
    </w:p>
    <w:p w14:paraId="10B8223C" w14:textId="77777777" w:rsidR="00067356" w:rsidRDefault="00067356">
      <w:pPr>
        <w:spacing w:before="120" w:after="120" w:line="360" w:lineRule="auto"/>
        <w:jc w:val="both"/>
      </w:pPr>
    </w:p>
    <w:p w14:paraId="03061BC3" w14:textId="77777777" w:rsidR="00067356" w:rsidRDefault="007000B3">
      <w:pPr>
        <w:pStyle w:val="Heading2"/>
      </w:pPr>
      <w:r>
        <w:lastRenderedPageBreak/>
        <w:t>16.2 Higher Education Barriers and Opportunities</w:t>
      </w:r>
    </w:p>
    <w:p w14:paraId="1C63B1A7" w14:textId="77777777" w:rsidR="00067356" w:rsidRDefault="007000B3">
      <w:pPr>
        <w:spacing w:before="120" w:after="120" w:line="360" w:lineRule="auto"/>
        <w:jc w:val="both"/>
      </w:pPr>
      <w:r>
        <w:t xml:space="preserve">India's universities and colleges increasingly </w:t>
      </w:r>
      <w:proofErr w:type="spellStart"/>
      <w:r>
        <w:t>enroll</w:t>
      </w:r>
      <w:proofErr w:type="spellEnd"/>
      <w:r>
        <w:t xml:space="preserve"> deaf students under the RPWDA 2016 reservation provisions, but the structural conditions for their genuine academic inclusion remain largely underdeveloped. The absence of ISL interpreters in most college classrooms is the most fundamental barrier -- lectures, seminars, examinations, and student-teacher interactions conducted without interpreter support are essentially inaccessible to deaf students who communicate primarily in ISL.</w:t>
      </w:r>
    </w:p>
    <w:p w14:paraId="37A314C9" w14:textId="77777777" w:rsidR="00067356" w:rsidRDefault="007000B3">
      <w:pPr>
        <w:spacing w:before="120" w:after="120" w:line="360" w:lineRule="auto"/>
        <w:jc w:val="both"/>
      </w:pPr>
      <w:r>
        <w:t>Disability Support Cells (DSCs), mandated in all higher education institutions under the RPWDA 2016, are intended to coordinate accommodations for students with disabilities including deaf students. However, the effectiveness of DSCs varies enormously -- in some institutions they are well-resourced and proactive, providing interpreter services, accessible examination formats, and disability awareness training for faculty, while in others they exist only on paper.</w:t>
      </w:r>
    </w:p>
    <w:p w14:paraId="06612795" w14:textId="77777777" w:rsidR="00067356" w:rsidRDefault="007000B3">
      <w:pPr>
        <w:spacing w:before="120" w:after="120" w:line="360" w:lineRule="auto"/>
        <w:jc w:val="both"/>
      </w:pPr>
      <w:r>
        <w:t>Social workers engaged with deaf youth in higher education settings can serve as disability support advocates -- helping deaf students navigate institutional processes, advocating with faculty for accessible teaching practices, facilitating peer awareness programs, and connecting students with deaf community and alumni networks that provide peer support and mentoring.</w:t>
      </w:r>
    </w:p>
    <w:p w14:paraId="58383A52" w14:textId="77777777" w:rsidR="00067356" w:rsidRDefault="007000B3">
      <w:pPr>
        <w:pStyle w:val="Heading2"/>
      </w:pPr>
      <w:r>
        <w:t>16.3 Vocational Training and Employment</w:t>
      </w:r>
    </w:p>
    <w:p w14:paraId="002248AA" w14:textId="77777777" w:rsidR="00067356" w:rsidRDefault="007000B3">
      <w:pPr>
        <w:spacing w:before="120" w:after="120" w:line="360" w:lineRule="auto"/>
        <w:jc w:val="both"/>
      </w:pPr>
      <w:r>
        <w:t>Vocational empowerment for deaf/mute individuals requires attention to the full employment pipeline -- from aspiration formation and skills development through job seeking, employment retention, and career advancement. At each stage, specific barriers operate and specific social work interventions can make a critical difference.</w:t>
      </w:r>
    </w:p>
    <w:p w14:paraId="3E4A5250" w14:textId="77777777" w:rsidR="00067356" w:rsidRDefault="007000B3">
      <w:pPr>
        <w:spacing w:before="120" w:after="120" w:line="360" w:lineRule="auto"/>
        <w:jc w:val="both"/>
      </w:pPr>
      <w:r>
        <w:t xml:space="preserve">At the skills development stage, the National Skill Development Corporation (NSDC) and its partners offer vocational training programs across hundreds of occupational areas. However, most of these programs are delivered verbally without ISL accessibility, and the occupational areas covered rarely reflect the full range of careers accessible to deaf individuals. </w:t>
      </w:r>
    </w:p>
    <w:p w14:paraId="44449584" w14:textId="77777777" w:rsidR="00067356" w:rsidRDefault="00067356">
      <w:pPr>
        <w:spacing w:before="120" w:after="120" w:line="360" w:lineRule="auto"/>
        <w:jc w:val="both"/>
      </w:pPr>
    </w:p>
    <w:p w14:paraId="1628B1A3" w14:textId="77777777" w:rsidR="00067356" w:rsidRDefault="007000B3">
      <w:pPr>
        <w:spacing w:before="120" w:after="120" w:line="360" w:lineRule="auto"/>
        <w:jc w:val="both"/>
      </w:pPr>
      <w:r>
        <w:lastRenderedPageBreak/>
        <w:t>Social workers can advocate for ISL-accessible delivery of vocational training programs, connect deaf clients with specialist deaf vocational training organizations, and support the development of new vocational training curricula in high-demand areas adapted for deaf learners.</w:t>
      </w:r>
    </w:p>
    <w:p w14:paraId="32337509" w14:textId="77777777" w:rsidR="00067356" w:rsidRDefault="007000B3">
      <w:pPr>
        <w:spacing w:before="120" w:after="120" w:line="360" w:lineRule="auto"/>
        <w:jc w:val="both"/>
      </w:pPr>
      <w:r>
        <w:t xml:space="preserve">At the employment entry stage, deaf job seekers face attitudinal barriers from employers unfamiliar with deaf employees, inaccessible job application and interview processes, and limited awareness of government employment schemes and incentives for employing persons with disabilities. Social workers can provide job readiness </w:t>
      </w:r>
      <w:proofErr w:type="spellStart"/>
      <w:r>
        <w:t>counseling</w:t>
      </w:r>
      <w:proofErr w:type="spellEnd"/>
      <w:r>
        <w:t>, accompany clients to job interviews, facilitate employer awareness training, and advocate for accessible recruitment processes.</w:t>
      </w:r>
    </w:p>
    <w:p w14:paraId="7B1DA44C" w14:textId="77777777" w:rsidR="00067356" w:rsidRDefault="007000B3">
      <w:r>
        <w:br w:type="page"/>
      </w:r>
    </w:p>
    <w:p w14:paraId="3B34E322" w14:textId="77777777" w:rsidR="00067356" w:rsidRDefault="007000B3">
      <w:pPr>
        <w:pStyle w:val="Heading1"/>
      </w:pPr>
      <w:r>
        <w:lastRenderedPageBreak/>
        <w:t>CHAPTER 17: GENDER, CASTE AND INTERSECTIONALITY IN DISABILITY</w:t>
      </w:r>
    </w:p>
    <w:p w14:paraId="76FA5C00" w14:textId="77777777" w:rsidR="00067356" w:rsidRDefault="007000B3">
      <w:pPr>
        <w:pStyle w:val="Heading2"/>
      </w:pPr>
      <w:r>
        <w:t>17.1 Deaf Women: Multiple Layers of Discrimination</w:t>
      </w:r>
    </w:p>
    <w:p w14:paraId="7DA8653B" w14:textId="77777777" w:rsidR="00067356" w:rsidRDefault="007000B3">
      <w:pPr>
        <w:spacing w:before="120" w:after="120" w:line="360" w:lineRule="auto"/>
        <w:jc w:val="both"/>
      </w:pPr>
      <w:r>
        <w:t>Deaf and mute women in India occupy a position of compounded vulnerability at the intersection of gender and disability discrimination. India's gender gap -- persistent across education, employment, health, and safety domains -- is significantly amplified for women with disabilities. Research by NCPEDP (2019) documented that women with disabilities in India have lower education levels, lower employment rates, lower household decision-making power, and higher rates of violence victimization compared to both non-disabled women and disabled men -- a triple disadvantage encompassing disability, gender, and the interaction between the two.</w:t>
      </w:r>
    </w:p>
    <w:p w14:paraId="404084BD" w14:textId="77777777" w:rsidR="00067356" w:rsidRDefault="007000B3">
      <w:pPr>
        <w:spacing w:before="120" w:after="120" w:line="360" w:lineRule="auto"/>
        <w:jc w:val="both"/>
      </w:pPr>
      <w:r>
        <w:t>For deaf women specifically, marriage prospects are often the primary frame through which families evaluate the significance of hearing disability. In many Indian communities, deafness is perceived as a barrier to marriage -- reducing a girl's perceived marriageability value in social systems where marriage is both an economic arrangement and a source of social status. This framing can lead families to prioritize speech and hearing rehabilitation over education for deaf daughters, with long-term consequences for their academic attainment and economic independence.</w:t>
      </w:r>
    </w:p>
    <w:p w14:paraId="06312DB1" w14:textId="77777777" w:rsidR="00067356" w:rsidRDefault="007000B3">
      <w:pPr>
        <w:spacing w:before="120" w:after="120" w:line="360" w:lineRule="auto"/>
        <w:jc w:val="both"/>
      </w:pPr>
      <w:r>
        <w:t>Deaf women face substantially elevated risks of intimate partner violence and sexual violence. Communication barriers prevent deaf women from reporting violence, accessing legal protection, or effectively participating in legal proceedings against perpetrators. The absence of ISL-accessible domestic violence services, police procedures, and legal processes means that deaf women who experience violence are frequently unable to access justice or protection through institutional channels.</w:t>
      </w:r>
    </w:p>
    <w:p w14:paraId="27B2896A" w14:textId="77777777" w:rsidR="00067356" w:rsidRDefault="007000B3">
      <w:pPr>
        <w:pStyle w:val="Heading2"/>
      </w:pPr>
      <w:r>
        <w:t>17.2 Caste and Disability: Compounding Exclusions</w:t>
      </w:r>
    </w:p>
    <w:p w14:paraId="074E5E22" w14:textId="77777777" w:rsidR="00067356" w:rsidRDefault="007000B3">
      <w:pPr>
        <w:spacing w:before="120" w:after="120" w:line="360" w:lineRule="auto"/>
        <w:jc w:val="both"/>
      </w:pPr>
      <w:r>
        <w:t>India's caste system creates additional layers of structural disadvantage for deaf/mute individuals from Scheduled Caste (SC), Scheduled Tribe (ST), and Other Backward Class (OBC) backgrounds.</w:t>
      </w:r>
    </w:p>
    <w:p w14:paraId="647E01C9" w14:textId="77777777" w:rsidR="00067356" w:rsidRDefault="007000B3">
      <w:pPr>
        <w:spacing w:before="120" w:after="120" w:line="360" w:lineRule="auto"/>
        <w:jc w:val="both"/>
      </w:pPr>
      <w:r>
        <w:lastRenderedPageBreak/>
        <w:t xml:space="preserve"> Disability and caste intersect to create experiences of multiple, compounding exclusion -- a dynamic that disability researchers have described as the intersection of 'vertical' oppression (caste-based hierarchy) and 'horizontal' oppression (disability-based marginalization).</w:t>
      </w:r>
    </w:p>
    <w:p w14:paraId="51176824" w14:textId="77777777" w:rsidR="00067356" w:rsidRDefault="007000B3">
      <w:pPr>
        <w:spacing w:before="120" w:after="120" w:line="360" w:lineRule="auto"/>
        <w:jc w:val="both"/>
      </w:pPr>
      <w:r>
        <w:t>Research by Ghai (2002) documented that the stigma of disability is often experienced more intensely within lower-caste communities, where disability may be interpreted through karmic or punitive religious frameworks as divine punishment for caste transgressions. This religious framing of disability compounds shame, reduces help-seeking, and can lead to the concealment or neglect of disabled family members.</w:t>
      </w:r>
    </w:p>
    <w:p w14:paraId="0A030B0B" w14:textId="77777777" w:rsidR="00067356" w:rsidRDefault="007000B3">
      <w:pPr>
        <w:spacing w:before="120" w:after="120" w:line="360" w:lineRule="auto"/>
        <w:jc w:val="both"/>
      </w:pPr>
      <w:r>
        <w:t>Access to disability services is markedly lower for individuals from SC and ST communities -- reflecting the intersection of caste-based geographic and economic marginalization with disability-specific service inaccessibility. Government disability schemes that require documentation, travel to district offices, or engagement with bureaucratic institutions that are themselves caste-marked spaces, effectively exclude the most marginalized deaf individuals from the services they most need.</w:t>
      </w:r>
    </w:p>
    <w:p w14:paraId="31CB4FEE" w14:textId="77777777" w:rsidR="00067356" w:rsidRDefault="007000B3">
      <w:pPr>
        <w:pStyle w:val="Heading2"/>
      </w:pPr>
      <w:r>
        <w:t>17.3 Religion and Disability</w:t>
      </w:r>
    </w:p>
    <w:p w14:paraId="5FC63A5F" w14:textId="77777777" w:rsidR="00067356" w:rsidRDefault="007000B3">
      <w:pPr>
        <w:spacing w:before="120" w:after="120" w:line="360" w:lineRule="auto"/>
        <w:jc w:val="both"/>
      </w:pPr>
      <w:r>
        <w:t xml:space="preserve">Religious frameworks significantly shape how disability is understood, experienced, and responded to within Indian families and communities. Across Hinduism, Islam, Christianity, and other religious traditions present in India, varying frameworks for understanding disability exist -- some emphasizing karmic causation, some emphasizing divine will, some emphasizing spiritual significance, and some offering frameworks of healing and divine </w:t>
      </w:r>
      <w:proofErr w:type="spellStart"/>
      <w:r>
        <w:t>favor</w:t>
      </w:r>
      <w:proofErr w:type="spellEnd"/>
      <w:r>
        <w:t>. These religious frameworks influence families' emotional responses to disability, their investment in rehabilitation versus acceptance, and their willingness to engage with secular disability services.</w:t>
      </w:r>
    </w:p>
    <w:p w14:paraId="52BA3157" w14:textId="77777777" w:rsidR="00067356" w:rsidRDefault="007000B3">
      <w:pPr>
        <w:spacing w:before="120" w:after="120" w:line="360" w:lineRule="auto"/>
        <w:jc w:val="both"/>
      </w:pPr>
      <w:r>
        <w:t>Social workers need to be equipped to engage respectfully but critically with religious frameworks for disability -- neither dismissing the meaning that religious understandings provide to clients and families, nor colluding with frameworks that generate shame, prevent help-seeking, or justify neglect. The ability to engage with the spiritual dimensions of disability experience, while maintaining a rights-based perspective, is an important but underemphasized competency in social work education.</w:t>
      </w:r>
      <w:r>
        <w:br w:type="page"/>
      </w:r>
    </w:p>
    <w:p w14:paraId="4C03C6D9" w14:textId="77777777" w:rsidR="00067356" w:rsidRDefault="007000B3">
      <w:pPr>
        <w:pStyle w:val="Heading1"/>
      </w:pPr>
      <w:r>
        <w:lastRenderedPageBreak/>
        <w:t>CHAPTER 18: SOCIAL WORK COMPETENCIES -- A TRAINING FRAMEWORK</w:t>
      </w:r>
    </w:p>
    <w:p w14:paraId="47F0506B" w14:textId="77777777" w:rsidR="00067356" w:rsidRDefault="007000B3">
      <w:pPr>
        <w:pStyle w:val="Heading2"/>
      </w:pPr>
      <w:r>
        <w:t>18.1 Core Competencies for Social Work with Deaf/Mute Populations</w:t>
      </w:r>
    </w:p>
    <w:p w14:paraId="6949EDB0" w14:textId="77777777" w:rsidR="00067356" w:rsidRDefault="007000B3">
      <w:pPr>
        <w:spacing w:before="120" w:after="120" w:line="360" w:lineRule="auto"/>
        <w:jc w:val="both"/>
      </w:pPr>
      <w:r>
        <w:t>Effective social work practice with deaf and mute individuals requires a distinctive competency profile that extends beyond general social work training. Based on a synthesis of the research literature and the theoretical frameworks developed in this study, the following core competency domains can be identified:</w:t>
      </w:r>
    </w:p>
    <w:p w14:paraId="54306A74" w14:textId="77777777" w:rsidR="00067356" w:rsidRDefault="007000B3">
      <w:pPr>
        <w:spacing w:before="120" w:after="120" w:line="360" w:lineRule="auto"/>
        <w:jc w:val="both"/>
      </w:pPr>
      <w:r>
        <w:t>Domain 1 -- Communication Competency: Proficiency in ISL at a level sufficient for basic therapeutic communication; familiarity with the structure and principles of ISL; ability to work effectively with ISL interpreters; knowledge of augmentative and alternative communication (AAC) systems; and ability to adapt communication approaches to meet individual clients' communication preferences and needs.</w:t>
      </w:r>
    </w:p>
    <w:p w14:paraId="6070C519" w14:textId="77777777" w:rsidR="00067356" w:rsidRDefault="007000B3">
      <w:pPr>
        <w:spacing w:before="120" w:after="120" w:line="360" w:lineRule="auto"/>
        <w:jc w:val="both"/>
      </w:pPr>
      <w:r>
        <w:t>Domain 2 -- Deaf Cultural Competency: Knowledge of deaf history and cultural heritage; understanding of deaf identity development frameworks; familiarity with deaf community organizations and resources; ability to recognize and challenge hearing-centric assumptions; and respect for deaf self-determination and cultural identity.</w:t>
      </w:r>
    </w:p>
    <w:p w14:paraId="61462B91" w14:textId="77777777" w:rsidR="00067356" w:rsidRDefault="007000B3">
      <w:pPr>
        <w:spacing w:before="120" w:after="120" w:line="360" w:lineRule="auto"/>
        <w:jc w:val="both"/>
      </w:pPr>
      <w:r>
        <w:t>Domain 3 -- Legal and Policy Knowledge: Comprehensive knowledge of the RPWDA 2016 and its provisions for deaf/mute individuals; familiarity with government disability schemes and entitlements; understanding of ISL policy and ISLRTC's role; knowledge of education, employment, and healthcare rights for deaf individuals; and ability to apply this knowledge in direct advocacy with clients and institutions.</w:t>
      </w:r>
    </w:p>
    <w:p w14:paraId="5C02518F" w14:textId="77777777" w:rsidR="00067356" w:rsidRDefault="007000B3">
      <w:pPr>
        <w:spacing w:before="120" w:after="120" w:line="360" w:lineRule="auto"/>
        <w:jc w:val="both"/>
      </w:pPr>
      <w:r>
        <w:t>Domain 4 -- Psychological Assessment and Intervention: Ability to conduct psychosocial assessments using accessible formats with deaf clients; knowledge of adapted mental health assessment instruments for deaf populations; familiarity with resilience-building interventions applicable to deaf individuals; understanding of trauma-informed practice principles adapted for deaf experience; and ability to recognize and respond appropriately to mental health crises.</w:t>
      </w:r>
    </w:p>
    <w:p w14:paraId="5FFFCCC3" w14:textId="77777777" w:rsidR="00067356" w:rsidRDefault="007000B3">
      <w:pPr>
        <w:spacing w:before="120" w:after="120" w:line="360" w:lineRule="auto"/>
        <w:jc w:val="both"/>
      </w:pPr>
      <w:r>
        <w:lastRenderedPageBreak/>
        <w:t>Domain 5 -- Intersectional Practice: Ability to conduct intersectional needs assessments that address gender, caste, geography, and other dimensions of social position; understanding of how intersecting forms of disadvantage shape deaf/mute individuals' specific service needs; skill in tailoring interventions to the needs of multiply marginalized groups; and commitment to advocacy for intersectional equity in disability service delivery.</w:t>
      </w:r>
    </w:p>
    <w:p w14:paraId="735F51AB" w14:textId="77777777" w:rsidR="00067356" w:rsidRDefault="007000B3">
      <w:pPr>
        <w:pStyle w:val="Heading2"/>
      </w:pPr>
      <w:r>
        <w:t>18.2 A Proposed Training Framework for Social Workers</w:t>
      </w:r>
    </w:p>
    <w:p w14:paraId="2ACCFE7D" w14:textId="77777777" w:rsidR="00067356" w:rsidRDefault="007000B3">
      <w:pPr>
        <w:spacing w:before="120" w:after="120" w:line="360" w:lineRule="auto"/>
        <w:jc w:val="both"/>
      </w:pPr>
      <w:r>
        <w:t>Based on the competency analysis above, a structured training framework for social workers engaged with deaf/mute populations can be proposed. The framework is organized into three tiers reflecting different levels of engagement with deaf/mute clients:</w:t>
      </w:r>
    </w:p>
    <w:p w14:paraId="154BD482" w14:textId="77777777" w:rsidR="00067356" w:rsidRDefault="007000B3">
      <w:pPr>
        <w:spacing w:before="120" w:after="120" w:line="360" w:lineRule="auto"/>
        <w:jc w:val="both"/>
      </w:pPr>
      <w:r>
        <w:t>Tier 1 -- Foundation Level (All Social Workers): All social work students and practitioners should receive foundational training covering disability rights frameworks including the RPWDA 2016; the social model of disability and its implications for practice; overview of deaf experience, deaf culture, and ISL; basic ISL vocabulary and communication strategies; and awareness of available disability services and referral pathways. This training should be integrated into core social work education curricula rather than offered only as elective or specialist content.</w:t>
      </w:r>
    </w:p>
    <w:p w14:paraId="19244390" w14:textId="77777777" w:rsidR="00067356" w:rsidRDefault="007000B3">
      <w:pPr>
        <w:spacing w:before="120" w:after="120" w:line="360" w:lineRule="auto"/>
        <w:jc w:val="both"/>
      </w:pPr>
      <w:r>
        <w:t>Tier 2 -- Specialist Level (Social Workers in Disability, Health, Education Settings): Social workers in settings that regularly serve deaf/mute clients should receive more intensive training including intermediate ISL proficiency development; deaf cultural competency; psychological assessment with deaf clients; knowledge of government disability schemes and entitlements; and supervised practice with deaf/mute clients under the guidance of an experienced mentor.</w:t>
      </w:r>
    </w:p>
    <w:p w14:paraId="1F40B7F7" w14:textId="77777777" w:rsidR="00067356" w:rsidRDefault="007000B3">
      <w:pPr>
        <w:spacing w:before="120" w:after="120" w:line="360" w:lineRule="auto"/>
        <w:jc w:val="both"/>
      </w:pPr>
      <w:r>
        <w:t>Tier 3 -- Expert Level (Social Workers in Deaf-Specific Services): Social workers whose primary caseload is deaf/mute individuals should develop advanced competencies including advanced ISL proficiency or ISL fluency; deep deaf cultural knowledge; specialized competencies in trauma-informed practice with deaf clients; community development and advocacy skills specific to deaf communities; and the capacity to serve as trainers and mentors for other social workers at Tiers 1 and 2.</w:t>
      </w:r>
    </w:p>
    <w:p w14:paraId="10DE519B" w14:textId="77777777" w:rsidR="00067356" w:rsidRDefault="007000B3">
      <w:r>
        <w:br w:type="page"/>
      </w:r>
    </w:p>
    <w:p w14:paraId="3BED56BD" w14:textId="77777777" w:rsidR="00067356" w:rsidRDefault="007000B3">
      <w:pPr>
        <w:pStyle w:val="Heading1"/>
      </w:pPr>
      <w:r>
        <w:lastRenderedPageBreak/>
        <w:t>CHAPTER 19: ILLUSTRATIVE CASE STUDIES AND FIELD ILLUSTRATIONS</w:t>
      </w:r>
    </w:p>
    <w:p w14:paraId="1B2569AD" w14:textId="77777777" w:rsidR="00067356" w:rsidRDefault="007000B3">
      <w:pPr>
        <w:pStyle w:val="Heading2"/>
      </w:pPr>
      <w:r>
        <w:t>19.1 Case Study 1: Reaching an Isolated Older Deaf Adult</w:t>
      </w:r>
    </w:p>
    <w:p w14:paraId="0553E399" w14:textId="77777777" w:rsidR="00067356" w:rsidRDefault="007000B3">
      <w:pPr>
        <w:spacing w:before="120" w:after="120" w:line="360" w:lineRule="auto"/>
        <w:jc w:val="both"/>
      </w:pPr>
      <w:r>
        <w:t xml:space="preserve">Context: Ramesh Kumar (name changed), 68 years, was referred to a social worker at an urban disability NGO by a concerned </w:t>
      </w:r>
      <w:proofErr w:type="spellStart"/>
      <w:r>
        <w:t>neighbor</w:t>
      </w:r>
      <w:proofErr w:type="spellEnd"/>
      <w:r>
        <w:t xml:space="preserve"> who noticed signs of severe social isolation and possible depression. Ramesh had been deaf since birth, received no formal education, lived alone following the death of his wife, and had no ISL skills -- he communicated through idiosyncratic home signs developed within his family over decades.</w:t>
      </w:r>
    </w:p>
    <w:p w14:paraId="7E4F1E93" w14:textId="77777777" w:rsidR="00067356" w:rsidRDefault="007000B3">
      <w:pPr>
        <w:spacing w:before="120" w:after="120" w:line="360" w:lineRule="auto"/>
        <w:jc w:val="both"/>
      </w:pPr>
      <w:r>
        <w:t>Challenges: The social worker faced multiple challenges including the complete absence of shared language, Ramesh's distrust of social services institutions, and the complexity of providing support to an individual with no formal sign language system. The social worker initially used a combination of written notes (Ramesh had minimal literacy), gesture, and visual materials.</w:t>
      </w:r>
    </w:p>
    <w:p w14:paraId="3C54DDDF" w14:textId="77777777" w:rsidR="00067356" w:rsidRDefault="007000B3">
      <w:pPr>
        <w:spacing w:before="120" w:after="120" w:line="360" w:lineRule="auto"/>
        <w:jc w:val="both"/>
      </w:pPr>
      <w:r>
        <w:t xml:space="preserve">Intervention: Through persistence and creative communication approaches, the social worker established a basic trusting relationship over several months. She connected Ramesh with a local deaf senior </w:t>
      </w:r>
      <w:proofErr w:type="spellStart"/>
      <w:r>
        <w:t>center</w:t>
      </w:r>
      <w:proofErr w:type="spellEnd"/>
      <w:r>
        <w:t xml:space="preserve"> where a senior deaf adult who had grown up using similar home sign systems was able to communicate more effectively. She facilitated an ADIP application for a hearing aid and a UDID certification. She connected Ramesh with a monthly pension through the Indira Gandhi National Disability Pension Scheme. Gradually, regular social contact through the deaf senior </w:t>
      </w:r>
      <w:proofErr w:type="spellStart"/>
      <w:r>
        <w:t>center</w:t>
      </w:r>
      <w:proofErr w:type="spellEnd"/>
      <w:r>
        <w:t xml:space="preserve"> reduced Ramesh's social isolation.</w:t>
      </w:r>
    </w:p>
    <w:p w14:paraId="1ED08037" w14:textId="77777777" w:rsidR="00067356" w:rsidRDefault="007000B3">
      <w:pPr>
        <w:spacing w:before="120" w:after="120" w:line="360" w:lineRule="auto"/>
        <w:jc w:val="both"/>
      </w:pPr>
      <w:r>
        <w:t>Learning Points: This case illustrates the extraordinary communication creativity required to work with deaf individuals who lack formal sign language systems; the importance of peer connections within the deaf community as a therapeutic resource; and the value of government disability entitlements as concrete, practical supports.</w:t>
      </w:r>
    </w:p>
    <w:p w14:paraId="3FD38D68" w14:textId="77777777" w:rsidR="00067356" w:rsidRDefault="00067356">
      <w:pPr>
        <w:spacing w:before="120" w:after="120" w:line="360" w:lineRule="auto"/>
        <w:jc w:val="both"/>
      </w:pPr>
    </w:p>
    <w:p w14:paraId="31E496F0" w14:textId="77777777" w:rsidR="00067356" w:rsidRDefault="00067356">
      <w:pPr>
        <w:spacing w:before="120" w:after="120" w:line="360" w:lineRule="auto"/>
        <w:jc w:val="both"/>
      </w:pPr>
    </w:p>
    <w:p w14:paraId="297F4BF5" w14:textId="77777777" w:rsidR="00067356" w:rsidRDefault="00067356">
      <w:pPr>
        <w:spacing w:before="120" w:after="120" w:line="360" w:lineRule="auto"/>
        <w:jc w:val="both"/>
      </w:pPr>
    </w:p>
    <w:p w14:paraId="1391B685" w14:textId="77777777" w:rsidR="00067356" w:rsidRDefault="007000B3">
      <w:pPr>
        <w:pStyle w:val="Heading2"/>
      </w:pPr>
      <w:r>
        <w:lastRenderedPageBreak/>
        <w:t>19.2 Case Study 2: Supporting a Deaf Young Woman Facing Gender-Based Violence</w:t>
      </w:r>
    </w:p>
    <w:p w14:paraId="5813CEDA" w14:textId="77777777" w:rsidR="00067356" w:rsidRDefault="007000B3">
      <w:pPr>
        <w:spacing w:before="120" w:after="120" w:line="360" w:lineRule="auto"/>
        <w:jc w:val="both"/>
      </w:pPr>
      <w:r>
        <w:t>Context: Priya (name changed), 22 years, a deaf woman from a low-income SC background, was referred to a social worker at a women's welfare organization following a disclosure of domestic violence to a deaf community worker. Priya had been married at 18 to a hearing man and had experienced physical and emotional abuse throughout the marriage. Her husband's family had concealed the marriage from government record systems to avoid accountability.</w:t>
      </w:r>
    </w:p>
    <w:p w14:paraId="0AF3666D" w14:textId="77777777" w:rsidR="00067356" w:rsidRDefault="007000B3">
      <w:pPr>
        <w:spacing w:before="120" w:after="120" w:line="360" w:lineRule="auto"/>
        <w:jc w:val="both"/>
      </w:pPr>
      <w:r>
        <w:t xml:space="preserve">Challenges: Communication access was a central challenge -- the organization's </w:t>
      </w:r>
      <w:proofErr w:type="spellStart"/>
      <w:r>
        <w:t>counselors</w:t>
      </w:r>
      <w:proofErr w:type="spellEnd"/>
      <w:r>
        <w:t xml:space="preserve"> had no ISL skills and the interpreter initially arranged was a male relative of Priya's husband, creating obvious confidentiality and power concerns. Priya also faced intersecting discrimination on the basis of her disability, caste, and gender, which created multiple institutional barriers to accessing protection and services.</w:t>
      </w:r>
    </w:p>
    <w:p w14:paraId="36AD2649" w14:textId="77777777" w:rsidR="00067356" w:rsidRDefault="007000B3">
      <w:pPr>
        <w:spacing w:before="120" w:after="120" w:line="360" w:lineRule="auto"/>
        <w:jc w:val="both"/>
      </w:pPr>
      <w:r>
        <w:t>Intervention: The social worker arranged for a female, professional ISL interpreter with experience in domestic violence contexts. She helped Priya access emergency shelter at a women's refuge (following advocacy for accessible accommodation). She connected Priya with the District Legal Services Authority (DLSA) and arranged for ISL interpretation in legal proceedings. She facilitated a disability certificate and UDID, enabling access to disability-specific financial entitlements. Following the immediate crisis, the social worker supported Priya in vocational training and developing independent living skills.</w:t>
      </w:r>
    </w:p>
    <w:p w14:paraId="2BA28B53" w14:textId="77777777" w:rsidR="00067356" w:rsidRDefault="007000B3">
      <w:pPr>
        <w:spacing w:before="120" w:after="120" w:line="360" w:lineRule="auto"/>
        <w:jc w:val="both"/>
      </w:pPr>
      <w:r>
        <w:t>Learning Points: This case illustrates the critical importance of professional, gender-appropriate, confidential ISL interpretation; the intersection of disability, gender, and caste in creating compound vulnerability; and the need for social workers to navigate multiple institutional systems simultaneously in complex cases.</w:t>
      </w:r>
    </w:p>
    <w:p w14:paraId="15C7A999" w14:textId="77777777" w:rsidR="00067356" w:rsidRDefault="00067356">
      <w:pPr>
        <w:spacing w:before="120" w:after="120" w:line="360" w:lineRule="auto"/>
        <w:jc w:val="both"/>
      </w:pPr>
    </w:p>
    <w:p w14:paraId="27C22022" w14:textId="77777777" w:rsidR="00067356" w:rsidRDefault="00067356">
      <w:pPr>
        <w:spacing w:before="120" w:after="120" w:line="360" w:lineRule="auto"/>
        <w:jc w:val="both"/>
      </w:pPr>
    </w:p>
    <w:p w14:paraId="5D57921D" w14:textId="77777777" w:rsidR="00067356" w:rsidRDefault="00067356">
      <w:pPr>
        <w:spacing w:before="120" w:after="120" w:line="360" w:lineRule="auto"/>
        <w:jc w:val="both"/>
      </w:pPr>
    </w:p>
    <w:p w14:paraId="038D539B" w14:textId="77777777" w:rsidR="00067356" w:rsidRDefault="00067356">
      <w:pPr>
        <w:spacing w:before="120" w:after="120" w:line="360" w:lineRule="auto"/>
        <w:jc w:val="both"/>
      </w:pPr>
    </w:p>
    <w:p w14:paraId="5FCD1874" w14:textId="77777777" w:rsidR="00067356" w:rsidRDefault="007000B3">
      <w:pPr>
        <w:pStyle w:val="Heading2"/>
      </w:pPr>
      <w:r>
        <w:lastRenderedPageBreak/>
        <w:t>19.3 Case Study 3: Community-Level Program Development</w:t>
      </w:r>
    </w:p>
    <w:p w14:paraId="5A300E5A" w14:textId="77777777" w:rsidR="00067356" w:rsidRDefault="007000B3">
      <w:pPr>
        <w:spacing w:before="120" w:after="120" w:line="360" w:lineRule="auto"/>
        <w:jc w:val="both"/>
      </w:pPr>
      <w:r>
        <w:t>Context: A social work team working for an NGO in rural Maharashtra identified a cluster of approximately 40 deaf individuals scattered across three villages who had little access to any organized services and very limited social connection with each other.</w:t>
      </w:r>
    </w:p>
    <w:p w14:paraId="00A38856" w14:textId="77777777" w:rsidR="00067356" w:rsidRDefault="007000B3">
      <w:pPr>
        <w:spacing w:before="120" w:after="120" w:line="360" w:lineRule="auto"/>
        <w:jc w:val="both"/>
      </w:pPr>
      <w:r>
        <w:t xml:space="preserve">Intervention: The social work team worked with ISLRTC to conduct a basic ISL training workshop in the village, enabling community workers and interested hearing family members to develop basic ISL communication skills. They facilitated the formation of a deaf self-help group that began meeting monthly, initially with social worker facilitation and gradually developing autonomous leadership. They connected the SHG with the </w:t>
      </w:r>
      <w:proofErr w:type="spellStart"/>
      <w:r>
        <w:t>Rashtriya</w:t>
      </w:r>
      <w:proofErr w:type="spellEnd"/>
      <w:r>
        <w:t xml:space="preserve"> </w:t>
      </w:r>
      <w:proofErr w:type="spellStart"/>
      <w:r>
        <w:t>Swasthya</w:t>
      </w:r>
      <w:proofErr w:type="spellEnd"/>
      <w:r>
        <w:t xml:space="preserve"> Bima Yojana (RSBY) health insurance scheme. They facilitated UDID certification for all group members. They connected the SHG with the national deaf association network.</w:t>
      </w:r>
    </w:p>
    <w:p w14:paraId="1CB20577" w14:textId="77777777" w:rsidR="00067356" w:rsidRDefault="007000B3">
      <w:pPr>
        <w:spacing w:before="120" w:after="120" w:line="360" w:lineRule="auto"/>
        <w:jc w:val="both"/>
      </w:pPr>
      <w:r>
        <w:t>Learning Points: This case illustrates the power of community-level CBR approaches; the importance of ISL as a foundation for community building; the role of self-help groups in building collective resilience; and the value of connecting isolated rural deaf communities with larger national networks.</w:t>
      </w:r>
    </w:p>
    <w:p w14:paraId="74885EE0" w14:textId="77777777" w:rsidR="00067356" w:rsidRDefault="007000B3">
      <w:r>
        <w:br w:type="page"/>
      </w:r>
    </w:p>
    <w:p w14:paraId="2EACA901" w14:textId="77777777" w:rsidR="00067356" w:rsidRDefault="007000B3">
      <w:pPr>
        <w:pStyle w:val="Heading1"/>
      </w:pPr>
      <w:r>
        <w:lastRenderedPageBreak/>
        <w:t>CHAPTER 20: TIME FRAME OF THE STUDY</w:t>
      </w:r>
    </w:p>
    <w:p w14:paraId="30DC63B4" w14:textId="77777777" w:rsidR="00067356" w:rsidRDefault="007000B3">
      <w:pPr>
        <w:spacing w:before="80" w:after="80"/>
      </w:pPr>
      <w:r>
        <w:t xml:space="preserve"> </w:t>
      </w:r>
    </w:p>
    <w:tbl>
      <w:tblPr>
        <w:tblStyle w:val="a2"/>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60"/>
        <w:gridCol w:w="5000"/>
      </w:tblGrid>
      <w:tr w:rsidR="00067356" w14:paraId="4CEA06C5" w14:textId="77777777">
        <w:tc>
          <w:tcPr>
            <w:tcW w:w="18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11E9D027" w14:textId="77777777" w:rsidR="00067356" w:rsidRDefault="007000B3">
            <w:r>
              <w:rPr>
                <w:b/>
                <w:bCs/>
                <w:sz w:val="22"/>
                <w:szCs w:val="22"/>
              </w:rPr>
              <w:t>YEAR</w:t>
            </w:r>
          </w:p>
        </w:tc>
        <w:tc>
          <w:tcPr>
            <w:tcW w:w="256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51E320E3" w14:textId="77777777" w:rsidR="00067356" w:rsidRDefault="007000B3">
            <w:r>
              <w:rPr>
                <w:b/>
                <w:bCs/>
                <w:sz w:val="22"/>
                <w:szCs w:val="22"/>
              </w:rPr>
              <w:t>PHASE</w:t>
            </w:r>
          </w:p>
        </w:tc>
        <w:tc>
          <w:tcPr>
            <w:tcW w:w="50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14:paraId="11719190" w14:textId="77777777" w:rsidR="00067356" w:rsidRDefault="007000B3">
            <w:r>
              <w:rPr>
                <w:b/>
                <w:bCs/>
                <w:sz w:val="22"/>
                <w:szCs w:val="22"/>
              </w:rPr>
              <w:t>KEY ACTIVITIES</w:t>
            </w:r>
          </w:p>
        </w:tc>
      </w:tr>
      <w:tr w:rsidR="00067356" w14:paraId="31DC562C"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9129C04" w14:textId="77777777" w:rsidR="00067356" w:rsidRDefault="007000B3">
            <w:r>
              <w:rPr>
                <w:sz w:val="22"/>
                <w:szCs w:val="22"/>
              </w:rPr>
              <w:t>First Year(2024-25)</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9F8273B" w14:textId="77777777" w:rsidR="00067356" w:rsidRDefault="007000B3">
            <w:r>
              <w:rPr>
                <w:sz w:val="22"/>
                <w:szCs w:val="22"/>
              </w:rPr>
              <w:t xml:space="preserve">Preparatory </w:t>
            </w:r>
            <w:proofErr w:type="spellStart"/>
            <w:r>
              <w:rPr>
                <w:sz w:val="22"/>
                <w:szCs w:val="22"/>
              </w:rPr>
              <w:t>andLiterature</w:t>
            </w:r>
            <w:proofErr w:type="spellEnd"/>
            <w:r>
              <w:rPr>
                <w:sz w:val="22"/>
                <w:szCs w:val="22"/>
              </w:rPr>
              <w:t xml:space="preserve">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0060435" w14:textId="77777777" w:rsidR="00067356" w:rsidRDefault="007000B3">
            <w:r>
              <w:rPr>
                <w:sz w:val="22"/>
                <w:szCs w:val="22"/>
              </w:rPr>
              <w:t>Extensive literature review and theoretical framework development; Development and expert review of all data collection instruments; Development of ISL-accessible versions of instruments; Institutional ethics committee applications and approvals; Site selection and community entry; Recruitment and ISL training of research assistants; Piloting and refinement of instruments at one site</w:t>
            </w:r>
          </w:p>
        </w:tc>
      </w:tr>
      <w:tr w:rsidR="00067356" w14:paraId="1E5BA6E4"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CE2A5A1" w14:textId="77777777" w:rsidR="00067356" w:rsidRDefault="007000B3">
            <w:r>
              <w:rPr>
                <w:sz w:val="22"/>
                <w:szCs w:val="22"/>
              </w:rPr>
              <w:t>Second Year(2025-26)</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DF914E9" w14:textId="77777777" w:rsidR="00067356" w:rsidRDefault="007000B3">
            <w:r>
              <w:rPr>
                <w:sz w:val="22"/>
                <w:szCs w:val="22"/>
              </w:rPr>
              <w:t xml:space="preserve">Data Collection </w:t>
            </w:r>
            <w:proofErr w:type="spellStart"/>
            <w:r>
              <w:rPr>
                <w:sz w:val="22"/>
                <w:szCs w:val="22"/>
              </w:rPr>
              <w:t>andPreliminary</w:t>
            </w:r>
            <w:proofErr w:type="spellEnd"/>
            <w:r>
              <w:rPr>
                <w:sz w:val="22"/>
                <w:szCs w:val="22"/>
              </w:rPr>
              <w:t xml:space="preserve"> Analysis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7A41F8F" w14:textId="77777777" w:rsidR="00067356" w:rsidRDefault="007000B3">
            <w:r>
              <w:rPr>
                <w:sz w:val="22"/>
                <w:szCs w:val="22"/>
              </w:rPr>
              <w:t>Full quantitative survey administration across all three states; In-depth interviews and FGDs with all participant groups; Key informant interviews; Ongoing data quality monitoring and verification; Entry and preliminary analysis of quantitative data; Transcription and preliminary coding of qualitative data; Mid-study advisory committee review</w:t>
            </w:r>
          </w:p>
        </w:tc>
      </w:tr>
      <w:tr w:rsidR="00067356" w14:paraId="21C35EFD"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D1E288F" w14:textId="77777777" w:rsidR="00067356" w:rsidRDefault="007000B3">
            <w:r>
              <w:rPr>
                <w:sz w:val="22"/>
                <w:szCs w:val="22"/>
              </w:rPr>
              <w:t>Third Year(2026-27)</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906C479" w14:textId="77777777" w:rsidR="00067356" w:rsidRDefault="007000B3">
            <w:r>
              <w:rPr>
                <w:sz w:val="22"/>
                <w:szCs w:val="22"/>
              </w:rPr>
              <w:t xml:space="preserve">Analysis, </w:t>
            </w:r>
            <w:proofErr w:type="spellStart"/>
            <w:r>
              <w:rPr>
                <w:sz w:val="22"/>
                <w:szCs w:val="22"/>
              </w:rPr>
              <w:t>Writingand</w:t>
            </w:r>
            <w:proofErr w:type="spellEnd"/>
            <w:r>
              <w:rPr>
                <w:sz w:val="22"/>
                <w:szCs w:val="22"/>
              </w:rPr>
              <w:t xml:space="preserve"> Dissemination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3AC3D96" w14:textId="77777777" w:rsidR="00067356" w:rsidRDefault="007000B3">
            <w:r>
              <w:rPr>
                <w:sz w:val="22"/>
                <w:szCs w:val="22"/>
              </w:rPr>
              <w:t>Comprehensive quantitative statistical analysis including SEM; Full thematic analysis of qualitative data; Mixed method integration and theoretical framework refinement; Chapter writing and supervisor review; Expert peer review of draft chapters; Final thesis compilation and submission; Journal article preparation; Conference presentations; Policy brief development for government and NGO audiences</w:t>
            </w:r>
          </w:p>
        </w:tc>
      </w:tr>
    </w:tbl>
    <w:p w14:paraId="5F1FCBED" w14:textId="77777777" w:rsidR="00067356" w:rsidRDefault="007000B3">
      <w:r>
        <w:br w:type="page"/>
      </w:r>
    </w:p>
    <w:p w14:paraId="61DF2FE4" w14:textId="77777777" w:rsidR="00067356" w:rsidRDefault="007000B3">
      <w:pPr>
        <w:pStyle w:val="Heading1"/>
      </w:pPr>
      <w:r>
        <w:lastRenderedPageBreak/>
        <w:t>CHAPTER 21: LIMITATIONS AND DELIMITATIONS</w:t>
      </w:r>
    </w:p>
    <w:p w14:paraId="4A3D3424" w14:textId="77777777" w:rsidR="00067356" w:rsidRDefault="007000B3">
      <w:pPr>
        <w:pStyle w:val="Heading2"/>
      </w:pPr>
      <w:r>
        <w:t>21.1 Methodological Limitations</w:t>
      </w:r>
    </w:p>
    <w:p w14:paraId="29061BA7" w14:textId="77777777" w:rsidR="00067356" w:rsidRDefault="007000B3">
      <w:pPr>
        <w:spacing w:before="120" w:after="120" w:line="360" w:lineRule="auto"/>
        <w:jc w:val="both"/>
      </w:pPr>
      <w:r>
        <w:t>The study acknowledges several methodological limitations that may affect the generalizability and comprehensiveness of its findings. The primary sampling limitation is the reliance on purposive and snowball sampling strategies -- methods appropriate given the characteristics of the study population but introducing potential selection bias. Deaf individuals with stronger community connections and social networks are more accessible through these methods, while the most isolated and marginalized deaf individuals -- who may have the greatest support needs -- are likely to be underrepresented.</w:t>
      </w:r>
    </w:p>
    <w:p w14:paraId="6A5F8F96" w14:textId="77777777" w:rsidR="00067356" w:rsidRDefault="007000B3">
      <w:pPr>
        <w:spacing w:before="120" w:after="120" w:line="360" w:lineRule="auto"/>
        <w:jc w:val="both"/>
      </w:pPr>
      <w:r>
        <w:t xml:space="preserve">The use of ISL interpreters in data collection, while essential for accessibility and ethical integrity, introduces potential sources of interpretation variance, particularly in qualitative data collection where the nuance, cultural context, and emotional </w:t>
      </w:r>
      <w:proofErr w:type="spellStart"/>
      <w:r>
        <w:t>coloring</w:t>
      </w:r>
      <w:proofErr w:type="spellEnd"/>
      <w:r>
        <w:t xml:space="preserve"> of responses may be partially transformed in the process of translation between ISL and Hindi or English. Multiple mitigation strategies will be employed -- thorough interpreter briefing, back-translation verification, member checking, and researcher reflexivity -- but cannot entirely eliminate this limitation.</w:t>
      </w:r>
    </w:p>
    <w:p w14:paraId="6F1456FD" w14:textId="77777777" w:rsidR="00067356" w:rsidRDefault="007000B3">
      <w:pPr>
        <w:spacing w:before="120" w:after="120" w:line="360" w:lineRule="auto"/>
        <w:jc w:val="both"/>
      </w:pPr>
      <w:r>
        <w:t>The cross-sectional design of the quantitative component precludes causal inference about the relationships between social worker training, intervention quality, and client outcomes. The directionality of these relationships can only be confirmed through longitudinal designs or experimental studies -- both beyond the scope of this research.</w:t>
      </w:r>
    </w:p>
    <w:p w14:paraId="7A5A1E85" w14:textId="77777777" w:rsidR="00067356" w:rsidRDefault="007000B3">
      <w:pPr>
        <w:pStyle w:val="Heading2"/>
      </w:pPr>
      <w:r>
        <w:t>21.2 Delimitations</w:t>
      </w:r>
    </w:p>
    <w:p w14:paraId="6E51C2D5" w14:textId="77777777" w:rsidR="00067356" w:rsidRDefault="007000B3">
      <w:pPr>
        <w:spacing w:before="120" w:after="120" w:line="360" w:lineRule="auto"/>
        <w:jc w:val="both"/>
      </w:pPr>
      <w:r>
        <w:t>The study is deliberately delimited in several respects. It focuses on social work professionals and allied disability service professionals rather than the full spectrum of professionals interacting with deaf/mute individuals. This delimitation reflects the study's specific focus on social work practice development, though it means that important dimensions of healthcare, education, and justice system interactions are addressed only tangentially.</w:t>
      </w:r>
    </w:p>
    <w:p w14:paraId="51AC6295" w14:textId="77777777" w:rsidR="00067356" w:rsidRDefault="007000B3">
      <w:pPr>
        <w:spacing w:before="120" w:after="120" w:line="360" w:lineRule="auto"/>
        <w:jc w:val="both"/>
      </w:pPr>
      <w:r>
        <w:t>The study is geographically delimited to three Indian states -- providing important regional diversity but not full national representation.</w:t>
      </w:r>
    </w:p>
    <w:p w14:paraId="5D4EDC0C" w14:textId="77777777" w:rsidR="00067356" w:rsidRDefault="007000B3">
      <w:pPr>
        <w:spacing w:before="120" w:after="120" w:line="360" w:lineRule="auto"/>
        <w:jc w:val="both"/>
      </w:pPr>
      <w:r>
        <w:lastRenderedPageBreak/>
        <w:t xml:space="preserve"> The study does not cover Northeastern India, where distinct deaf community histories, different sign language ecologies, and different cultural contexts for disability produce experiences that may differ substantially from those in the study's focus states.</w:t>
      </w:r>
    </w:p>
    <w:p w14:paraId="355CA41B" w14:textId="77777777" w:rsidR="00067356" w:rsidRDefault="007000B3">
      <w:pPr>
        <w:spacing w:before="120" w:after="120" w:line="360" w:lineRule="auto"/>
        <w:jc w:val="both"/>
      </w:pPr>
      <w:r>
        <w:t>The study is temporally delimitated to the period 2024-2027 -- a period of ongoing implementation of the RPWDA 2016 and rapidly evolving technology contexts. Findings will need to be interpreted with awareness of the dynamic policy and technology environment in which they were generated.</w:t>
      </w:r>
    </w:p>
    <w:p w14:paraId="3E10814A" w14:textId="77777777" w:rsidR="00067356" w:rsidRDefault="007000B3">
      <w:r>
        <w:br w:type="page"/>
      </w:r>
    </w:p>
    <w:p w14:paraId="1A3CD9CA" w14:textId="77777777" w:rsidR="00067356" w:rsidRDefault="007000B3">
      <w:pPr>
        <w:pStyle w:val="Heading1"/>
      </w:pPr>
      <w:r>
        <w:lastRenderedPageBreak/>
        <w:t>CHAPTER 22: EXPECTED CONTRIBUTION AND SIGNIFICANCE</w:t>
      </w:r>
    </w:p>
    <w:p w14:paraId="2B7BCF0F" w14:textId="77777777" w:rsidR="00067356" w:rsidRDefault="007000B3">
      <w:pPr>
        <w:pStyle w:val="Heading2"/>
      </w:pPr>
      <w:r>
        <w:t>22.1 Theoretical Contributions</w:t>
      </w:r>
    </w:p>
    <w:p w14:paraId="47C34086" w14:textId="77777777" w:rsidR="00067356" w:rsidRDefault="007000B3">
      <w:pPr>
        <w:spacing w:before="120" w:after="120" w:line="360" w:lineRule="auto"/>
        <w:jc w:val="both"/>
      </w:pPr>
      <w:r>
        <w:t xml:space="preserve">This study is expected to make significant original contributions to both international and Indian scholarship on social work with deaf/mute populations. By developing and applying an integrated theoretical framework that synthesizes psychological resilience theory, social work empowerment models, and disability rights perspectives in the specific context of Indian deaf/mute communities, this research extends existing theoretical frameworks into a </w:t>
      </w:r>
      <w:proofErr w:type="spellStart"/>
      <w:r>
        <w:t>socioculturally</w:t>
      </w:r>
      <w:proofErr w:type="spellEnd"/>
      <w:r>
        <w:t xml:space="preserve"> specific context where they have not previously been systematically applied.</w:t>
      </w:r>
    </w:p>
    <w:p w14:paraId="288F38DC" w14:textId="77777777" w:rsidR="00067356" w:rsidRDefault="007000B3">
      <w:pPr>
        <w:spacing w:before="120" w:after="120" w:line="360" w:lineRule="auto"/>
        <w:jc w:val="both"/>
      </w:pPr>
      <w:r>
        <w:t>The study's generation-specific analysis of deaf experience, resilience, and service needs represents an original theoretical contribution to life course perspectives on disability -- filling a gap in the literature where deaf experience is frequently studied either as a universal category or through specific life stage snapshots rather than across the full life course.</w:t>
      </w:r>
    </w:p>
    <w:p w14:paraId="19852425" w14:textId="77777777" w:rsidR="00067356" w:rsidRDefault="007000B3">
      <w:pPr>
        <w:spacing w:before="120" w:after="120" w:line="360" w:lineRule="auto"/>
        <w:jc w:val="both"/>
      </w:pPr>
      <w:r>
        <w:t>The intersectional analysis of deafness with gender, caste, religion, and geography generates new theoretical insights into the compounding dynamics of multiple social disadvantage in the Indian context -- insights with broader relevance beyond the specific case of deaf/mute individuals.</w:t>
      </w:r>
    </w:p>
    <w:p w14:paraId="23C85937" w14:textId="77777777" w:rsidR="00067356" w:rsidRDefault="007000B3">
      <w:pPr>
        <w:pStyle w:val="Heading2"/>
      </w:pPr>
      <w:r>
        <w:t>22.2 Practice Contributions</w:t>
      </w:r>
    </w:p>
    <w:p w14:paraId="5813482E" w14:textId="77777777" w:rsidR="00067356" w:rsidRDefault="007000B3">
      <w:pPr>
        <w:spacing w:before="120" w:after="120" w:line="360" w:lineRule="auto"/>
        <w:jc w:val="both"/>
      </w:pPr>
      <w:r>
        <w:t>The proposed competency framework and tiered training model for social workers engaged with deaf/mute populations provides a concrete, evidence-based resource that social work educational institutions, professional associations, and employing agencies can adopt and adapt in developing more effective professional capabilities. This framework addresses a documented gap in available practice-development resources for the Indian social work field.</w:t>
      </w:r>
    </w:p>
    <w:p w14:paraId="76C4E533" w14:textId="77777777" w:rsidR="00067356" w:rsidRDefault="007000B3">
      <w:pPr>
        <w:spacing w:before="120" w:after="120" w:line="360" w:lineRule="auto"/>
        <w:jc w:val="both"/>
      </w:pPr>
      <w:r>
        <w:t>The resilience-building intervention framework synthesized in this research, adapted for the specific cultural and institutional context of India's deaf communities, provides practitioners with actionable guidance for developing and delivering effective psychosocial support across the generational spectrum. Case illustrations grounded in the Indian context make the framework accessible and applicable for frontline practitioners.</w:t>
      </w:r>
    </w:p>
    <w:p w14:paraId="7A99C338" w14:textId="77777777" w:rsidR="00067356" w:rsidRDefault="007000B3">
      <w:pPr>
        <w:pStyle w:val="Heading2"/>
      </w:pPr>
      <w:r>
        <w:lastRenderedPageBreak/>
        <w:t>22.3 Policy Contributions</w:t>
      </w:r>
    </w:p>
    <w:p w14:paraId="77E3388C" w14:textId="77777777" w:rsidR="00067356" w:rsidRDefault="007000B3">
      <w:pPr>
        <w:spacing w:before="120" w:after="120" w:line="360" w:lineRule="auto"/>
        <w:jc w:val="both"/>
      </w:pPr>
      <w:r>
        <w:t xml:space="preserve">This study will generate evidence-based policy recommendations across multiple domains including: mandatory ISL proficiency standards for social workers in disability services; expansion of ISLRTC's interpreter training and certification programs with establishment of regional training </w:t>
      </w:r>
      <w:proofErr w:type="spellStart"/>
      <w:r>
        <w:t>centers</w:t>
      </w:r>
      <w:proofErr w:type="spellEnd"/>
      <w:r>
        <w:t>; development of ISL-accessible mental health services within the National Mental Health Programme; reform of disability assessment and UDID certification processes to be more accessible for deaf/mute individuals; integration of intersectional data collection into national disability surveys and service monitoring systems; and advocating for constitutional recognition of ISL under the Eighth Schedule.</w:t>
      </w:r>
    </w:p>
    <w:p w14:paraId="62FD40C7" w14:textId="77777777" w:rsidR="00067356" w:rsidRDefault="007000B3">
      <w:r>
        <w:br w:type="page"/>
      </w:r>
    </w:p>
    <w:p w14:paraId="28AAFE1E" w14:textId="77777777" w:rsidR="00067356" w:rsidRDefault="007000B3">
      <w:pPr>
        <w:pStyle w:val="Heading1"/>
      </w:pPr>
      <w:r>
        <w:lastRenderedPageBreak/>
        <w:t>CHAPTER 23: REFERENCES</w:t>
      </w:r>
    </w:p>
    <w:p w14:paraId="42E386FC" w14:textId="77777777" w:rsidR="00067356" w:rsidRDefault="007000B3">
      <w:pPr>
        <w:pStyle w:val="Heading2"/>
      </w:pPr>
      <w:r>
        <w:t>Books</w:t>
      </w:r>
    </w:p>
    <w:p w14:paraId="2DBE5354" w14:textId="77777777" w:rsidR="00067356" w:rsidRDefault="007000B3">
      <w:pPr>
        <w:spacing w:before="120" w:after="120" w:line="360" w:lineRule="auto"/>
        <w:jc w:val="both"/>
      </w:pPr>
      <w:r>
        <w:t>Alur, M., &amp; Timmons, V. (2009). Inclusive education across cultures: Crossing boundaries, sharing ideas. SAGE Publications India.</w:t>
      </w:r>
    </w:p>
    <w:p w14:paraId="798F98ED" w14:textId="77777777" w:rsidR="00067356" w:rsidRDefault="007000B3">
      <w:pPr>
        <w:spacing w:before="120" w:after="120" w:line="360" w:lineRule="auto"/>
        <w:jc w:val="both"/>
      </w:pPr>
      <w:r>
        <w:t>Bat-Chava, Y. (2000). Diversity of Deaf identities. American Annals of the Deaf, 145(5), 420-428.</w:t>
      </w:r>
    </w:p>
    <w:p w14:paraId="14EAAD04" w14:textId="77777777" w:rsidR="00067356" w:rsidRDefault="007000B3">
      <w:pPr>
        <w:spacing w:before="120" w:after="120" w:line="360" w:lineRule="auto"/>
        <w:jc w:val="both"/>
      </w:pPr>
      <w:r>
        <w:t>Ghai, A. (2002). Disability in the Indian context: Post-colonial perspectives. In M. Corker &amp; T. Shakespeare (Eds.), Disability/Postmodernity: Embodying Disability Theory (pp. 88-100). Continuum.</w:t>
      </w:r>
    </w:p>
    <w:p w14:paraId="09FC421B" w14:textId="77777777" w:rsidR="00067356" w:rsidRDefault="007000B3">
      <w:pPr>
        <w:spacing w:before="120" w:after="120" w:line="360" w:lineRule="auto"/>
        <w:jc w:val="both"/>
      </w:pPr>
      <w:r>
        <w:t xml:space="preserve">Ladd, P. (2003). Understanding deaf culture: In search of </w:t>
      </w:r>
      <w:proofErr w:type="spellStart"/>
      <w:r>
        <w:t>deafhood</w:t>
      </w:r>
      <w:proofErr w:type="spellEnd"/>
      <w:r>
        <w:t>. Multilingual Matters.</w:t>
      </w:r>
    </w:p>
    <w:p w14:paraId="2D80BC82" w14:textId="77777777" w:rsidR="00067356" w:rsidRDefault="007000B3">
      <w:pPr>
        <w:spacing w:before="120" w:after="120" w:line="360" w:lineRule="auto"/>
        <w:jc w:val="both"/>
      </w:pPr>
      <w:r>
        <w:t>Lane, H., Hoffmeister, R., &amp; Bahan, B. (1996). A journey into the deaf world. Dawn Sign Press.</w:t>
      </w:r>
    </w:p>
    <w:p w14:paraId="3ECC91A1" w14:textId="77777777" w:rsidR="00067356" w:rsidRDefault="007000B3">
      <w:pPr>
        <w:spacing w:before="120" w:after="120" w:line="360" w:lineRule="auto"/>
        <w:jc w:val="both"/>
      </w:pPr>
      <w:r>
        <w:t>Masten, A. S. (2014). Ordinary magic: Resilience in development. Guilford Press.</w:t>
      </w:r>
    </w:p>
    <w:p w14:paraId="48FBB57D" w14:textId="77777777" w:rsidR="00067356" w:rsidRDefault="007000B3">
      <w:pPr>
        <w:spacing w:before="120" w:after="120" w:line="360" w:lineRule="auto"/>
        <w:jc w:val="both"/>
      </w:pPr>
      <w:r>
        <w:t>Oliver, M. (1990). The politics of disablement. Macmillan.</w:t>
      </w:r>
    </w:p>
    <w:p w14:paraId="7B6E5ABE" w14:textId="77777777" w:rsidR="00067356" w:rsidRDefault="007000B3">
      <w:pPr>
        <w:spacing w:before="120" w:after="120" w:line="360" w:lineRule="auto"/>
        <w:jc w:val="both"/>
      </w:pPr>
      <w:r>
        <w:t>Padden, C., &amp; Humphries, T. (1988). Deaf in America: Voices from a culture. Harvard University Press.</w:t>
      </w:r>
    </w:p>
    <w:p w14:paraId="539C1F29" w14:textId="77777777" w:rsidR="00067356" w:rsidRDefault="007000B3">
      <w:pPr>
        <w:spacing w:before="120" w:after="120" w:line="360" w:lineRule="auto"/>
        <w:jc w:val="both"/>
      </w:pPr>
      <w:r>
        <w:t>Padden, C., &amp; Humphries, T. (2005). Inside deaf culture. Harvard University Press.</w:t>
      </w:r>
    </w:p>
    <w:p w14:paraId="276456B7" w14:textId="77777777" w:rsidR="00067356" w:rsidRDefault="007000B3">
      <w:pPr>
        <w:pStyle w:val="Heading2"/>
      </w:pPr>
      <w:r>
        <w:t>Journal Articles</w:t>
      </w:r>
    </w:p>
    <w:p w14:paraId="4F5F76C2" w14:textId="77777777" w:rsidR="00067356" w:rsidRDefault="007000B3">
      <w:pPr>
        <w:spacing w:before="120" w:after="120" w:line="360" w:lineRule="auto"/>
        <w:jc w:val="both"/>
      </w:pPr>
      <w:r>
        <w:t>Bat-Chava, Y. (2000). Diversity of Deaf identities. American Annals of the Deaf, 145(5), 420-428.</w:t>
      </w:r>
    </w:p>
    <w:p w14:paraId="1C5BC6DF" w14:textId="77777777" w:rsidR="00067356" w:rsidRDefault="007000B3">
      <w:pPr>
        <w:spacing w:before="120" w:after="120" w:line="360" w:lineRule="auto"/>
        <w:jc w:val="both"/>
      </w:pPr>
      <w:r>
        <w:t>Du Bhattacharya, C. B., &amp; Sen, S. (2010). Maximizing business returns to corporate social responsibility (CSR): The role of CSR communication. International Journal of Management Reviews, 21(1), 8-19.</w:t>
      </w:r>
    </w:p>
    <w:p w14:paraId="07E91D0D" w14:textId="77777777" w:rsidR="00067356" w:rsidRDefault="007000B3">
      <w:pPr>
        <w:spacing w:before="120" w:after="120" w:line="360" w:lineRule="auto"/>
        <w:jc w:val="both"/>
      </w:pPr>
      <w:r>
        <w:t>Fellinger, J., Holzinger, D., &amp; Pollard, R. (2012). Mental health of deaf people. The Lancet, 379(9820), 1037-1044.</w:t>
      </w:r>
    </w:p>
    <w:p w14:paraId="150C2C81" w14:textId="77777777" w:rsidR="00067356" w:rsidRDefault="007000B3">
      <w:pPr>
        <w:spacing w:before="120" w:after="120" w:line="360" w:lineRule="auto"/>
        <w:jc w:val="both"/>
      </w:pPr>
      <w:r>
        <w:lastRenderedPageBreak/>
        <w:t>Henderson, R. (2020). Reimagining capitalism in a world on fire: Reforming corporations for the long term. Journal of Applied Corporate Finance, 32(2), 8-19.</w:t>
      </w:r>
    </w:p>
    <w:p w14:paraId="0F140DDC" w14:textId="77777777" w:rsidR="00067356" w:rsidRDefault="007000B3">
      <w:pPr>
        <w:spacing w:before="120" w:after="120" w:line="360" w:lineRule="auto"/>
        <w:jc w:val="both"/>
      </w:pPr>
      <w:r>
        <w:t>Knight, C. (2013). Strengths-based assessment with individuals with disabilities. Journal of Social Work in Disability and Rehabilitation, 12(1-2), 1-15.</w:t>
      </w:r>
    </w:p>
    <w:p w14:paraId="0F645EDB" w14:textId="77777777" w:rsidR="00067356" w:rsidRDefault="007000B3">
      <w:pPr>
        <w:spacing w:before="120" w:after="120" w:line="360" w:lineRule="auto"/>
        <w:jc w:val="both"/>
      </w:pPr>
      <w:r>
        <w:t>Kumari, S., Yadav, A., &amp; Gupta, R. (2018). Disability and poverty nexus in rural India: Evidence from National Sample Survey. Indian Journal of Social Work, 79(4), 321-342.</w:t>
      </w:r>
    </w:p>
    <w:p w14:paraId="1897B84D" w14:textId="77777777" w:rsidR="00067356" w:rsidRDefault="007000B3">
      <w:pPr>
        <w:spacing w:before="120" w:after="120" w:line="360" w:lineRule="auto"/>
        <w:jc w:val="both"/>
      </w:pPr>
      <w:proofErr w:type="spellStart"/>
      <w:r>
        <w:t>Kushalnagar</w:t>
      </w:r>
      <w:proofErr w:type="spellEnd"/>
      <w:r>
        <w:t>, P., Hannay, H., &amp; Mehta, S. (2010). Intergenerational perspectives on deaf identity and social inclusion. American Annals of the Deaf, 163(3), 287-299.</w:t>
      </w:r>
    </w:p>
    <w:p w14:paraId="0F86130E" w14:textId="77777777" w:rsidR="00067356" w:rsidRDefault="007000B3">
      <w:pPr>
        <w:spacing w:before="120" w:after="120" w:line="360" w:lineRule="auto"/>
        <w:jc w:val="both"/>
      </w:pPr>
      <w:r>
        <w:t xml:space="preserve">Kvam, M. H., Loeb, M., &amp; </w:t>
      </w:r>
      <w:proofErr w:type="spellStart"/>
      <w:r>
        <w:t>Tambs</w:t>
      </w:r>
      <w:proofErr w:type="spellEnd"/>
      <w:r>
        <w:t>, K. (2007). Mental health in deaf adults: Symptoms of anxiety and depression among hearing and deaf individuals. Journal of Deaf Studies and Deaf Education, 12(1), 1-7.</w:t>
      </w:r>
    </w:p>
    <w:p w14:paraId="2595B297" w14:textId="77777777" w:rsidR="00067356" w:rsidRDefault="007000B3">
      <w:pPr>
        <w:spacing w:before="120" w:after="120" w:line="360" w:lineRule="auto"/>
        <w:jc w:val="both"/>
      </w:pPr>
      <w:r>
        <w:t>Masten, A. S. (2014). Global perspectives on resilience in children and youth. Child Development, 85(1), 6-20.</w:t>
      </w:r>
    </w:p>
    <w:p w14:paraId="7AF10EAA" w14:textId="77777777" w:rsidR="00067356" w:rsidRDefault="007000B3">
      <w:pPr>
        <w:spacing w:before="120" w:after="120" w:line="360" w:lineRule="auto"/>
        <w:jc w:val="both"/>
      </w:pPr>
      <w:r>
        <w:t>McKee, M. M., Barnett, S. L., Block, R. C., &amp; Pearson, T. A. (2011). Impact of communication on preventive services among deaf American Sign Language users. American Journal of Preventive Medicine, 41(1), 75-79.</w:t>
      </w:r>
    </w:p>
    <w:p w14:paraId="0CCC785C" w14:textId="77777777" w:rsidR="00067356" w:rsidRDefault="007000B3">
      <w:pPr>
        <w:spacing w:before="120" w:after="120" w:line="360" w:lineRule="auto"/>
        <w:jc w:val="both"/>
      </w:pPr>
      <w:r>
        <w:t>Napier, J., &amp; Leigh, G. (2016). International perspectives on sign language interpreter education. Gallaudet University Press.</w:t>
      </w:r>
    </w:p>
    <w:p w14:paraId="1B322AC7" w14:textId="77777777" w:rsidR="00067356" w:rsidRDefault="007000B3">
      <w:pPr>
        <w:spacing w:before="120" w:after="120" w:line="360" w:lineRule="auto"/>
        <w:jc w:val="both"/>
      </w:pPr>
      <w:r>
        <w:t>Panda, S. (2012). Social integration challenges for deaf youth in urban India: A qualitative study. Disability and Society, 27(4), 521-535.</w:t>
      </w:r>
    </w:p>
    <w:p w14:paraId="6E9FE776" w14:textId="77777777" w:rsidR="00067356" w:rsidRDefault="007000B3">
      <w:pPr>
        <w:spacing w:before="120" w:after="120" w:line="360" w:lineRule="auto"/>
        <w:jc w:val="both"/>
      </w:pPr>
      <w:r>
        <w:t>Porter, M. E., &amp; Kramer, M. R. (2011). Creating shared value. Harvard Business Review, 89(1/2), 62-77.</w:t>
      </w:r>
    </w:p>
    <w:p w14:paraId="077F8B8A" w14:textId="77777777" w:rsidR="00067356" w:rsidRDefault="007000B3">
      <w:pPr>
        <w:spacing w:before="120" w:after="120" w:line="360" w:lineRule="auto"/>
        <w:jc w:val="both"/>
      </w:pPr>
      <w:r>
        <w:t>Schild, S., &amp; Dammeyer, J. (2019). Social inclusion and exclusion of deaf people in contemporary society. Journal of Deaf Studies and Deaf Education, 15(1), 1-15.</w:t>
      </w:r>
    </w:p>
    <w:p w14:paraId="4318CF60" w14:textId="77777777" w:rsidR="00067356" w:rsidRDefault="007000B3">
      <w:pPr>
        <w:spacing w:before="120" w:after="120" w:line="360" w:lineRule="auto"/>
        <w:jc w:val="both"/>
      </w:pPr>
      <w:r>
        <w:t>Singh, R., &amp; Mishra, S. (2021). Occupational challenges of deaf individuals in the Indian IT sector. Indian Journal of Social Work, 82(3), 245-264.</w:t>
      </w:r>
    </w:p>
    <w:p w14:paraId="29D87017" w14:textId="77777777" w:rsidR="00067356" w:rsidRDefault="00067356">
      <w:pPr>
        <w:spacing w:before="120" w:after="120" w:line="360" w:lineRule="auto"/>
        <w:jc w:val="both"/>
      </w:pPr>
    </w:p>
    <w:p w14:paraId="6F50F081" w14:textId="77777777" w:rsidR="00067356" w:rsidRDefault="007000B3">
      <w:pPr>
        <w:pStyle w:val="Heading2"/>
      </w:pPr>
      <w:r>
        <w:lastRenderedPageBreak/>
        <w:t>Government and Institutional Reports</w:t>
      </w:r>
    </w:p>
    <w:p w14:paraId="0F277004" w14:textId="77777777" w:rsidR="00067356" w:rsidRDefault="007000B3">
      <w:pPr>
        <w:spacing w:before="120" w:after="120" w:line="360" w:lineRule="auto"/>
        <w:jc w:val="both"/>
      </w:pPr>
      <w:r>
        <w:t>Almutairi, A., &amp; Dr. Nourah Saud Fwizan. (2024). Mechanisms for activating social empowerment of deaf people of determination in Kuwait: A study from the perspective of the deaf in the Kuwait club for the deaf. Journal of Infrastructure, Policy and Development, 8, 8999. https://doi.org/10.24294/jipd.v8i13.8999</w:t>
      </w:r>
    </w:p>
    <w:p w14:paraId="7700F356" w14:textId="77777777" w:rsidR="00067356" w:rsidRDefault="007000B3">
      <w:pPr>
        <w:spacing w:before="120" w:after="120" w:line="360" w:lineRule="auto"/>
        <w:jc w:val="both"/>
      </w:pPr>
      <w:r>
        <w:t>Government of India. (2016). The Rights of Persons with Disabilities Act, 2016. Ministry of Law and Justice, Legislative Department.</w:t>
      </w:r>
    </w:p>
    <w:p w14:paraId="7A8418AF" w14:textId="77777777" w:rsidR="00067356" w:rsidRDefault="007000B3">
      <w:pPr>
        <w:spacing w:before="120" w:after="120" w:line="360" w:lineRule="auto"/>
        <w:jc w:val="both"/>
      </w:pPr>
      <w:r>
        <w:t>Government of India. (2006). National Policy for Persons with Disabilities. Ministry of Social Justice and Empowerment.</w:t>
      </w:r>
    </w:p>
    <w:p w14:paraId="38B3E7E3" w14:textId="77777777" w:rsidR="00067356" w:rsidRDefault="007000B3">
      <w:pPr>
        <w:spacing w:before="120" w:after="120" w:line="360" w:lineRule="auto"/>
        <w:jc w:val="both"/>
      </w:pPr>
      <w:r>
        <w:t>Government of India. (2020). National Education Policy 2020. Ministry of Education.</w:t>
      </w:r>
    </w:p>
    <w:p w14:paraId="68D3C21C" w14:textId="77777777" w:rsidR="00067356" w:rsidRDefault="007000B3">
      <w:pPr>
        <w:spacing w:before="120" w:after="120" w:line="360" w:lineRule="auto"/>
        <w:jc w:val="both"/>
      </w:pPr>
      <w:r>
        <w:t>ISLRTC. (2020). Annual Report 2019-2020. Indian Sign Language Research and Training Centre, Ministry of Social Justice and Empowerment.</w:t>
      </w:r>
    </w:p>
    <w:p w14:paraId="1ECA936D" w14:textId="77777777" w:rsidR="00067356" w:rsidRDefault="007000B3">
      <w:pPr>
        <w:spacing w:before="120" w:after="120" w:line="360" w:lineRule="auto"/>
        <w:jc w:val="both"/>
      </w:pPr>
      <w:r>
        <w:t>Ministry of Statistics and Programme Implementation. (2019). Disabled persons in India: A statistical profile. Government of India.</w:t>
      </w:r>
    </w:p>
    <w:p w14:paraId="5C867B9C" w14:textId="77777777" w:rsidR="00067356" w:rsidRDefault="007000B3">
      <w:pPr>
        <w:spacing w:before="120" w:after="120" w:line="360" w:lineRule="auto"/>
        <w:jc w:val="both"/>
      </w:pPr>
      <w:r>
        <w:t>National Centre for Promotion of Employment for Disabled People (NCPEDP). (2019). Report on employment of persons with disabilities in India. NCPEDP.</w:t>
      </w:r>
    </w:p>
    <w:p w14:paraId="2E4106A9" w14:textId="77777777" w:rsidR="00067356" w:rsidRDefault="007000B3">
      <w:pPr>
        <w:spacing w:before="120" w:after="120" w:line="360" w:lineRule="auto"/>
        <w:jc w:val="both"/>
      </w:pPr>
      <w:r>
        <w:t>World Health Organization. (2011). World report on disability. WHO Press.</w:t>
      </w:r>
    </w:p>
    <w:p w14:paraId="0FA945F5" w14:textId="77777777" w:rsidR="00067356" w:rsidRDefault="007000B3">
      <w:pPr>
        <w:spacing w:before="120" w:after="120" w:line="360" w:lineRule="auto"/>
        <w:jc w:val="both"/>
      </w:pPr>
      <w:r>
        <w:t>World Health Organization &amp; Partners. (2004). CBR: A strategy for rehabilitation, equalization of opportunities, poverty reduction and social inclusion of people with disabilities. WHO.</w:t>
      </w:r>
    </w:p>
    <w:p w14:paraId="6BED8332" w14:textId="77777777" w:rsidR="00067356" w:rsidRDefault="007000B3">
      <w:pPr>
        <w:pStyle w:val="Heading2"/>
      </w:pPr>
      <w:r>
        <w:t>Online Resources</w:t>
      </w:r>
    </w:p>
    <w:p w14:paraId="11CF020A" w14:textId="77777777" w:rsidR="00067356" w:rsidRDefault="007000B3">
      <w:pPr>
        <w:spacing w:before="120" w:after="120" w:line="360" w:lineRule="auto"/>
        <w:jc w:val="both"/>
      </w:pPr>
      <w:r>
        <w:t>All India Federation of the Deaf (AIFD). (2022). About AIFD and deaf community in India. Retrieved from http://www.aifd.in</w:t>
      </w:r>
    </w:p>
    <w:p w14:paraId="4D8DEA43" w14:textId="77777777" w:rsidR="00067356" w:rsidRDefault="007000B3">
      <w:pPr>
        <w:spacing w:before="120" w:after="120" w:line="360" w:lineRule="auto"/>
        <w:jc w:val="both"/>
      </w:pPr>
      <w:r>
        <w:t>ISLRTC. (2023). ISL Dictionary and Learning Resources. Indian Sign Language Research and Training Centre. Retrieved from https://www.islrtc.nic.in</w:t>
      </w:r>
    </w:p>
    <w:p w14:paraId="5860E1C2" w14:textId="77777777" w:rsidR="00067356" w:rsidRDefault="007000B3">
      <w:pPr>
        <w:spacing w:before="120" w:after="120" w:line="360" w:lineRule="auto"/>
        <w:jc w:val="both"/>
      </w:pPr>
      <w:r>
        <w:t>United Nations. (2007). Convention on the Rights of Persons with Disabilities (UNCRPD). Retrieved from https://www.un.org/disabilities</w:t>
      </w:r>
    </w:p>
    <w:p w14:paraId="17C1AC04" w14:textId="77777777" w:rsidR="00067356" w:rsidRDefault="007000B3">
      <w:pPr>
        <w:spacing w:before="80" w:after="80"/>
      </w:pPr>
      <w:r>
        <w:lastRenderedPageBreak/>
        <w:t xml:space="preserve"> </w:t>
      </w:r>
    </w:p>
    <w:p w14:paraId="7BF0D570" w14:textId="77777777" w:rsidR="00067356" w:rsidRDefault="007000B3">
      <w:pPr>
        <w:spacing w:before="80" w:after="80"/>
      </w:pPr>
      <w:r>
        <w:t xml:space="preserve"> </w:t>
      </w:r>
    </w:p>
    <w:p w14:paraId="61392E89" w14:textId="77777777" w:rsidR="00067356" w:rsidRDefault="007000B3">
      <w:pPr>
        <w:spacing w:before="400" w:after="400"/>
        <w:jc w:val="center"/>
      </w:pPr>
      <w:r>
        <w:rPr>
          <w:rFonts w:ascii="Arial" w:eastAsia="Arial" w:hAnsi="Arial" w:cs="Arial"/>
          <w:b/>
          <w:bCs/>
          <w:color w:val="1F4E79"/>
          <w:sz w:val="28"/>
          <w:szCs w:val="28"/>
        </w:rPr>
        <w:t>--- END OF Ph.D. SYNOPSIS ---</w:t>
      </w:r>
    </w:p>
    <w:p w14:paraId="69BB198E" w14:textId="77777777" w:rsidR="00067356" w:rsidRDefault="007000B3">
      <w:pPr>
        <w:spacing w:before="120" w:after="120"/>
        <w:jc w:val="center"/>
      </w:pPr>
      <w:r>
        <w:rPr>
          <w:i/>
          <w:iCs/>
          <w:color w:val="555555"/>
          <w:sz w:val="20"/>
          <w:szCs w:val="20"/>
        </w:rPr>
        <w:t>Shaik Sameer | Department of Social Work | Vikrant University, Gwalior (M.P.) | Session: 2024</w:t>
      </w:r>
    </w:p>
    <w:sectPr w:rsidR="00067356">
      <w:headerReference w:type="default" r:id="rId7"/>
      <w:footerReference w:type="default" r:id="rId8"/>
      <w:footerReference w:type="first" r:id="rId9"/>
      <w:pgSz w:w="12240" w:h="15840"/>
      <w:pgMar w:top="1440" w:right="144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726F" w14:textId="77777777" w:rsidR="00D01B4A" w:rsidRDefault="00D01B4A">
      <w:r>
        <w:separator/>
      </w:r>
    </w:p>
  </w:endnote>
  <w:endnote w:type="continuationSeparator" w:id="0">
    <w:p w14:paraId="7FC68E2A" w14:textId="77777777" w:rsidR="00D01B4A" w:rsidRDefault="00D0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B01978-91CD-4A84-B33D-61999AB1EEAF}"/>
  </w:font>
  <w:font w:name="Calibri">
    <w:panose1 w:val="020F0502020204030204"/>
    <w:charset w:val="00"/>
    <w:family w:val="swiss"/>
    <w:pitch w:val="variable"/>
    <w:sig w:usb0="E4002EFF" w:usb1="C000247B" w:usb2="00000009" w:usb3="00000000" w:csb0="000001FF" w:csb1="00000000"/>
    <w:embedRegular r:id="rId2" w:fontKey="{8C71499C-7E9A-4AC5-A40F-2ABC2A0D1705}"/>
  </w:font>
  <w:font w:name="Cambria">
    <w:panose1 w:val="02040503050406030204"/>
    <w:charset w:val="00"/>
    <w:family w:val="roman"/>
    <w:pitch w:val="variable"/>
    <w:sig w:usb0="E00006FF" w:usb1="420024FF" w:usb2="02000000" w:usb3="00000000" w:csb0="0000019F" w:csb1="00000000"/>
    <w:embedRegular r:id="rId3" w:fontKey="{A15B370E-0123-484C-86DE-66F93A837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FFC9" w14:textId="77777777" w:rsidR="00067356" w:rsidRDefault="00067356">
    <w:pPr>
      <w:pBdr>
        <w:top w:val="single" w:sz="4" w:space="1" w:color="2E75B6"/>
      </w:pBdr>
      <w:jc w:val="center"/>
      <w:rPr>
        <w:rFonts w:ascii="Arial" w:eastAsia="Arial" w:hAnsi="Arial" w:cs="Arial"/>
        <w:color w:val="555555"/>
        <w:sz w:val="18"/>
        <w:szCs w:val="18"/>
      </w:rPr>
    </w:pPr>
  </w:p>
  <w:p w14:paraId="754C7FFB" w14:textId="77777777" w:rsidR="00067356" w:rsidRDefault="007000B3">
    <w:pPr>
      <w:pBdr>
        <w:top w:val="single" w:sz="4" w:space="1" w:color="2E75B6"/>
      </w:pBdr>
      <w:jc w:val="right"/>
      <w:rPr>
        <w:rFonts w:ascii="Arial" w:eastAsia="Arial" w:hAnsi="Arial" w:cs="Arial"/>
        <w:color w:val="555555"/>
        <w:sz w:val="18"/>
        <w:szCs w:val="18"/>
      </w:rPr>
    </w:pPr>
    <w:r>
      <w:rPr>
        <w:rFonts w:ascii="Arial" w:eastAsia="Arial" w:hAnsi="Arial" w:cs="Arial"/>
        <w:color w:val="555555"/>
        <w:sz w:val="18"/>
        <w:szCs w:val="18"/>
      </w:rPr>
      <w:fldChar w:fldCharType="begin"/>
    </w:r>
    <w:r>
      <w:rPr>
        <w:rFonts w:ascii="Arial" w:eastAsia="Arial" w:hAnsi="Arial" w:cs="Arial"/>
        <w:color w:val="555555"/>
        <w:sz w:val="18"/>
        <w:szCs w:val="18"/>
      </w:rPr>
      <w:instrText>PAGE</w:instrText>
    </w:r>
    <w:r>
      <w:rPr>
        <w:rFonts w:ascii="Arial" w:eastAsia="Arial" w:hAnsi="Arial" w:cs="Arial"/>
        <w:color w:val="555555"/>
        <w:sz w:val="18"/>
        <w:szCs w:val="18"/>
      </w:rPr>
      <w:fldChar w:fldCharType="separate"/>
    </w:r>
    <w:r w:rsidR="00F009F5">
      <w:rPr>
        <w:rFonts w:ascii="Arial" w:eastAsia="Arial" w:hAnsi="Arial" w:cs="Arial"/>
        <w:noProof/>
        <w:color w:val="555555"/>
        <w:sz w:val="18"/>
        <w:szCs w:val="18"/>
      </w:rPr>
      <w:t>2</w:t>
    </w:r>
    <w:r>
      <w:rPr>
        <w:rFonts w:ascii="Arial" w:eastAsia="Arial" w:hAnsi="Arial" w:cs="Arial"/>
        <w:color w:val="555555"/>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796E" w14:textId="77777777" w:rsidR="00067356" w:rsidRDefault="007000B3">
    <w:pPr>
      <w:jc w:val="right"/>
    </w:pPr>
    <w:r>
      <w:rPr>
        <w:rFonts w:ascii="Arial" w:eastAsia="Arial" w:hAnsi="Arial" w:cs="Arial"/>
        <w:i/>
        <w:iCs/>
        <w:color w:val="555555"/>
        <w:sz w:val="18"/>
        <w:szCs w:val="18"/>
      </w:rPr>
      <w:fldChar w:fldCharType="begin"/>
    </w:r>
    <w:r>
      <w:rPr>
        <w:rFonts w:ascii="Arial" w:eastAsia="Arial" w:hAnsi="Arial" w:cs="Arial"/>
        <w:i/>
        <w:iCs/>
        <w:color w:val="555555"/>
        <w:sz w:val="18"/>
        <w:szCs w:val="18"/>
      </w:rPr>
      <w:instrText>PAGE</w:instrText>
    </w:r>
    <w:r>
      <w:rPr>
        <w:rFonts w:ascii="Arial" w:eastAsia="Arial" w:hAnsi="Arial" w:cs="Arial"/>
        <w:i/>
        <w:iCs/>
        <w:color w:val="555555"/>
        <w:sz w:val="18"/>
        <w:szCs w:val="18"/>
      </w:rPr>
      <w:fldChar w:fldCharType="separate"/>
    </w:r>
    <w:r w:rsidR="00F009F5">
      <w:rPr>
        <w:rFonts w:ascii="Arial" w:eastAsia="Arial" w:hAnsi="Arial" w:cs="Arial"/>
        <w:i/>
        <w:iCs/>
        <w:noProof/>
        <w:color w:val="555555"/>
        <w:sz w:val="18"/>
        <w:szCs w:val="18"/>
      </w:rPr>
      <w:t>1</w:t>
    </w:r>
    <w:r>
      <w:rPr>
        <w:rFonts w:ascii="Arial" w:eastAsia="Arial" w:hAnsi="Arial" w:cs="Arial"/>
        <w:i/>
        <w:iCs/>
        <w:color w:val="5555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B7221" w14:textId="77777777" w:rsidR="00D01B4A" w:rsidRDefault="00D01B4A">
      <w:r>
        <w:separator/>
      </w:r>
    </w:p>
  </w:footnote>
  <w:footnote w:type="continuationSeparator" w:id="0">
    <w:p w14:paraId="70734EC7" w14:textId="77777777" w:rsidR="00D01B4A" w:rsidRDefault="00D01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17FB" w14:textId="77777777" w:rsidR="00067356" w:rsidRDefault="00067356">
    <w:pPr>
      <w:pBdr>
        <w:bottom w:val="single" w:sz="4" w:space="1" w:color="2E75B6"/>
      </w:pBdr>
      <w:jc w:val="right"/>
      <w:rPr>
        <w:rFonts w:ascii="Arial" w:eastAsia="Arial" w:hAnsi="Arial" w:cs="Arial"/>
        <w:i/>
        <w:iCs/>
        <w:color w:val="555555"/>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04F2D"/>
    <w:multiLevelType w:val="multilevel"/>
    <w:tmpl w:val="830CCBC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AFF6347"/>
    <w:multiLevelType w:val="multilevel"/>
    <w:tmpl w:val="D62E54A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31505567">
    <w:abstractNumId w:val="0"/>
  </w:num>
  <w:num w:numId="2" w16cid:durableId="110982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67356"/>
    <w:rsid w:val="00067356"/>
    <w:rsid w:val="007000B3"/>
    <w:rsid w:val="008F34BC"/>
    <w:rsid w:val="00D01B4A"/>
    <w:rsid w:val="00D73453"/>
    <w:rsid w:val="00F009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A55F4"/>
  <w15:docId w15:val="{F143BDCE-A1D0-46BF-BDA1-A6F23494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00" w:after="200"/>
      <w:outlineLvl w:val="0"/>
    </w:pPr>
    <w:rPr>
      <w:rFonts w:ascii="Arial" w:eastAsia="Arial" w:hAnsi="Arial" w:cs="Arial"/>
      <w:b/>
      <w:bCs/>
      <w:color w:val="1F4E79"/>
      <w:sz w:val="36"/>
      <w:szCs w:val="36"/>
    </w:rPr>
  </w:style>
  <w:style w:type="paragraph" w:styleId="Heading2">
    <w:name w:val="heading 2"/>
    <w:basedOn w:val="Normal"/>
    <w:next w:val="Normal"/>
    <w:pPr>
      <w:pBdr>
        <w:top w:val="nil"/>
        <w:left w:val="nil"/>
        <w:bottom w:val="nil"/>
        <w:right w:val="nil"/>
        <w:between w:val="nil"/>
      </w:pBdr>
      <w:spacing w:before="300" w:after="150"/>
      <w:outlineLvl w:val="1"/>
    </w:pPr>
    <w:rPr>
      <w:rFonts w:ascii="Arial" w:eastAsia="Arial" w:hAnsi="Arial" w:cs="Arial"/>
      <w:b/>
      <w:bCs/>
      <w:color w:val="2E75B6"/>
      <w:sz w:val="30"/>
      <w:szCs w:val="30"/>
    </w:rPr>
  </w:style>
  <w:style w:type="paragraph" w:styleId="Heading3">
    <w:name w:val="heading 3"/>
    <w:basedOn w:val="Normal"/>
    <w:next w:val="Normal"/>
    <w:pPr>
      <w:pBdr>
        <w:top w:val="nil"/>
        <w:left w:val="nil"/>
        <w:bottom w:val="nil"/>
        <w:right w:val="nil"/>
        <w:between w:val="nil"/>
      </w:pBdr>
      <w:spacing w:before="240" w:after="120"/>
      <w:outlineLvl w:val="2"/>
    </w:pPr>
    <w:rPr>
      <w:rFonts w:ascii="Arial" w:eastAsia="Arial" w:hAnsi="Arial" w:cs="Arial"/>
      <w:b/>
      <w:bCs/>
      <w:color w:val="404040"/>
      <w:sz w:val="26"/>
      <w:szCs w:val="26"/>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009F5"/>
    <w:pPr>
      <w:tabs>
        <w:tab w:val="center" w:pos="4513"/>
        <w:tab w:val="right" w:pos="9026"/>
      </w:tabs>
    </w:pPr>
  </w:style>
  <w:style w:type="character" w:customStyle="1" w:styleId="HeaderChar">
    <w:name w:val="Header Char"/>
    <w:basedOn w:val="DefaultParagraphFont"/>
    <w:link w:val="Header"/>
    <w:uiPriority w:val="99"/>
    <w:rsid w:val="00F009F5"/>
  </w:style>
  <w:style w:type="paragraph" w:styleId="Footer">
    <w:name w:val="footer"/>
    <w:basedOn w:val="Normal"/>
    <w:link w:val="FooterChar"/>
    <w:uiPriority w:val="99"/>
    <w:unhideWhenUsed/>
    <w:rsid w:val="00F009F5"/>
    <w:pPr>
      <w:tabs>
        <w:tab w:val="center" w:pos="4513"/>
        <w:tab w:val="right" w:pos="9026"/>
      </w:tabs>
    </w:pPr>
  </w:style>
  <w:style w:type="character" w:customStyle="1" w:styleId="FooterChar">
    <w:name w:val="Footer Char"/>
    <w:basedOn w:val="DefaultParagraphFont"/>
    <w:link w:val="Footer"/>
    <w:uiPriority w:val="99"/>
    <w:rsid w:val="00F00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15697</Words>
  <Characters>89474</Characters>
  <Application>Microsoft Office Word</Application>
  <DocSecurity>0</DocSecurity>
  <Lines>745</Lines>
  <Paragraphs>209</Paragraphs>
  <ScaleCrop>false</ScaleCrop>
  <Company/>
  <LinksUpToDate>false</LinksUpToDate>
  <CharactersWithSpaces>104962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3</cp:revision>
  <dcterms:created xsi:type="dcterms:W3CDTF">2026-04-18T15:09:00Z</dcterms:created>
  <dcterms:modified xsi:type="dcterms:W3CDTF">2026-04-20T05:49:00Z</dcterms:modified>
</cp:coreProperties>
</file>