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AE4" w14:textId="77777777" w:rsidR="00832DED" w:rsidRPr="009B0A6D" w:rsidRDefault="00000000" w:rsidP="009B0A6D">
      <w:pPr>
        <w:spacing w:before="200" w:after="60" w:line="480" w:lineRule="auto"/>
        <w:jc w:val="center"/>
        <w:rPr>
          <w:rFonts w:ascii="Times New Roman" w:hAnsi="Times New Roman" w:cs="Times New Roman"/>
        </w:rPr>
      </w:pPr>
      <w:r w:rsidRPr="009B0A6D">
        <w:rPr>
          <w:rFonts w:ascii="Times New Roman" w:hAnsi="Times New Roman" w:cs="Times New Roman"/>
          <w:b/>
          <w:bCs/>
          <w:color w:val="1B3A6B"/>
          <w:sz w:val="48"/>
          <w:szCs w:val="48"/>
        </w:rPr>
        <w:t>FROM MOLECULES TO MANIFOLDS</w:t>
      </w:r>
    </w:p>
    <w:p w14:paraId="0B2C8BBA" w14:textId="77777777" w:rsidR="00832DED" w:rsidRPr="009B0A6D" w:rsidRDefault="00832DED" w:rsidP="009B0A6D">
      <w:pPr>
        <w:spacing w:before="10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4FF78AFC" w14:textId="77777777">
        <w:tc>
          <w:tcPr>
            <w:tcW w:w="9360" w:type="dxa"/>
            <w:tcBorders>
              <w:top w:val="single" w:sz="8" w:space="0" w:color="2E6DB4"/>
              <w:left w:val="single" w:sz="8" w:space="0" w:color="2E6DB4"/>
              <w:bottom w:val="single" w:sz="1" w:space="0" w:color="AECDE0"/>
              <w:right w:val="single" w:sz="1" w:space="0" w:color="AECDE0"/>
            </w:tcBorders>
            <w:shd w:val="clear" w:color="auto" w:fill="EBF4FD"/>
            <w:tcMar>
              <w:top w:w="120" w:type="dxa"/>
              <w:left w:w="200" w:type="dxa"/>
              <w:bottom w:w="120" w:type="dxa"/>
              <w:right w:w="200" w:type="dxa"/>
            </w:tcMar>
          </w:tcPr>
          <w:p w14:paraId="46F912F2"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2E6DB4"/>
                <w:sz w:val="20"/>
                <w:szCs w:val="20"/>
              </w:rPr>
              <w:t>ABSTRACT</w:t>
            </w:r>
          </w:p>
          <w:p w14:paraId="5C58A67A"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sz w:val="20"/>
                <w:szCs w:val="20"/>
              </w:rPr>
              <w:t>When a single aspirin molecule dissolves in water, approximately 10</w:t>
            </w:r>
            <w:r w:rsidRPr="009B0A6D">
              <w:rPr>
                <w:rFonts w:ascii="Times New Roman" w:hAnsi="Times New Roman" w:cs="Times New Roman"/>
                <w:color w:val="2E6DB4"/>
                <w:sz w:val="18"/>
                <w:szCs w:val="18"/>
                <w:vertAlign w:val="superscript"/>
              </w:rPr>
              <w:t>22</w:t>
            </w:r>
            <w:r w:rsidRPr="009B0A6D">
              <w:rPr>
                <w:rFonts w:ascii="Times New Roman" w:hAnsi="Times New Roman" w:cs="Times New Roman"/>
                <w:color w:val="4A4A4A"/>
              </w:rPr>
              <w:t xml:space="preserve"> surrounding water molecules must reorganise themselves. How does that invisible molecular choreography produce the single solubility number we read off a data sheet? This paper answers that question by building a </w:t>
            </w:r>
            <w:r w:rsidRPr="009B0A6D">
              <w:rPr>
                <w:rFonts w:ascii="Times New Roman" w:hAnsi="Times New Roman" w:cs="Times New Roman"/>
                <w:b/>
                <w:bCs/>
                <w:color w:val="1B3A6B"/>
                <w:sz w:val="20"/>
                <w:szCs w:val="20"/>
              </w:rPr>
              <w:t>statistical field-theoretic framework</w:t>
            </w:r>
            <w:r w:rsidRPr="009B0A6D">
              <w:rPr>
                <w:rFonts w:ascii="Times New Roman" w:hAnsi="Times New Roman" w:cs="Times New Roman"/>
                <w:color w:val="4A4A4A"/>
              </w:rPr>
              <w:t xml:space="preserve"> that serves as a principled bridge between quantum-chemical detail and macroscopic thermodynamics. We introduce a </w:t>
            </w:r>
            <w:r w:rsidRPr="009B0A6D">
              <w:rPr>
                <w:rFonts w:ascii="Times New Roman" w:hAnsi="Times New Roman" w:cs="Times New Roman"/>
                <w:b/>
                <w:bCs/>
                <w:color w:val="1B3A6B"/>
                <w:sz w:val="20"/>
                <w:szCs w:val="20"/>
              </w:rPr>
              <w:t>solubility field φ(r, x)</w:t>
            </w:r>
            <w:r w:rsidRPr="009B0A6D">
              <w:rPr>
                <w:rFonts w:ascii="Times New Roman" w:hAnsi="Times New Roman" w:cs="Times New Roman"/>
                <w:color w:val="4A4A4A"/>
              </w:rPr>
              <w:t xml:space="preserve"> — a coarse-grained order parameter whose uniform saddle-point value equals macroscopic solubility in well-mixed systems, while its spatial variations encode mesoscopic heterogeneity near interfaces and critical points. The equilibrium configuration of this field minimises a </w:t>
            </w:r>
            <w:r w:rsidRPr="009B0A6D">
              <w:rPr>
                <w:rFonts w:ascii="Times New Roman" w:hAnsi="Times New Roman" w:cs="Times New Roman"/>
                <w:b/>
                <w:bCs/>
                <w:color w:val="1B3A6B"/>
                <w:sz w:val="20"/>
                <w:szCs w:val="20"/>
              </w:rPr>
              <w:t>Landau–Ginzburg free-energy functional</w:t>
            </w:r>
            <w:r w:rsidRPr="009B0A6D">
              <w:rPr>
                <w:rFonts w:ascii="Times New Roman" w:hAnsi="Times New Roman" w:cs="Times New Roman"/>
                <w:color w:val="4A4A4A"/>
              </w:rPr>
              <w:t xml:space="preserve">, whose coefficients are constrained by known limiting laws (Henderson–Hasselbalch for pH, Debye–Hückel for ionic strength). The framework </w:t>
            </w:r>
            <w:r w:rsidRPr="009B0A6D">
              <w:rPr>
                <w:rFonts w:ascii="Times New Roman" w:hAnsi="Times New Roman" w:cs="Times New Roman"/>
                <w:i/>
                <w:iCs/>
                <w:color w:val="4A4A4A"/>
                <w:sz w:val="20"/>
                <w:szCs w:val="20"/>
              </w:rPr>
              <w:t>proposes</w:t>
            </w:r>
            <w:r w:rsidRPr="009B0A6D">
              <w:rPr>
                <w:rFonts w:ascii="Times New Roman" w:hAnsi="Times New Roman" w:cs="Times New Roman"/>
                <w:color w:val="4A4A4A"/>
              </w:rPr>
              <w:t xml:space="preserve"> that solubility can exhibit universal critical features under specific symmetry-breaking conditions — a testable prediction rather than an established fact. Analysis of aspirin as a working example yields crossover behaviour: β ≈ 0.48 near pK</w:t>
            </w:r>
            <w:r w:rsidRPr="009B0A6D">
              <w:rPr>
                <w:rFonts w:ascii="Times New Roman" w:hAnsi="Times New Roman" w:cs="Times New Roman"/>
                <w:i/>
                <w:iCs/>
                <w:color w:val="4A4A4A"/>
                <w:sz w:val="20"/>
                <w:szCs w:val="20"/>
              </w:rPr>
              <w:t>a</w:t>
            </w:r>
            <w:r w:rsidRPr="009B0A6D">
              <w:rPr>
                <w:rFonts w:ascii="Times New Roman" w:hAnsi="Times New Roman" w:cs="Times New Roman"/>
                <w:color w:val="4A4A4A"/>
              </w:rPr>
              <w:t xml:space="preserve"> (mean-field regime) and ν ≈ 0.61 (consistent with 3D Ising universality at longer scales), with an observed 15 % scatter in scaling collapse that motivates further experimental study. We also clarify why pH acts as an </w:t>
            </w:r>
            <w:r w:rsidRPr="009B0A6D">
              <w:rPr>
                <w:rFonts w:ascii="Times New Roman" w:hAnsi="Times New Roman" w:cs="Times New Roman"/>
                <w:i/>
                <w:iCs/>
                <w:color w:val="4A4A4A"/>
                <w:sz w:val="20"/>
                <w:szCs w:val="20"/>
              </w:rPr>
              <w:t>effective</w:t>
            </w:r>
            <w:r w:rsidRPr="009B0A6D">
              <w:rPr>
                <w:rFonts w:ascii="Times New Roman" w:hAnsi="Times New Roman" w:cs="Times New Roman"/>
                <w:color w:val="4A4A4A"/>
                <w:sz w:val="20"/>
                <w:szCs w:val="20"/>
              </w:rPr>
              <w:t xml:space="preserve"> conjugate field (through ionisation equilibrium) and why Debye screening renders Coulomb interactions effectively short-range. Existing models — COSMO-RS, SM</w:t>
            </w:r>
            <w:r w:rsidRPr="009B0A6D">
              <w:rPr>
                <w:rFonts w:ascii="Times New Roman" w:hAnsi="Times New Roman" w:cs="Times New Roman"/>
                <w:i/>
                <w:iCs/>
                <w:color w:val="4A4A4A"/>
                <w:sz w:val="20"/>
                <w:szCs w:val="20"/>
              </w:rPr>
              <w:t>x</w:t>
            </w:r>
            <w:r w:rsidRPr="009B0A6D">
              <w:rPr>
                <w:rFonts w:ascii="Times New Roman" w:hAnsi="Times New Roman" w:cs="Times New Roman"/>
                <w:color w:val="4A4A4A"/>
                <w:sz w:val="20"/>
                <w:szCs w:val="20"/>
              </w:rPr>
              <w:t>, and UNIFAC — emerge naturally as successive approximations to the exact partition function. The paper closes with a concrete roadmap for validating the framework across multiple compound classes and for connecting quantum-mechanical input to Landau coefficients through machine-learning pipelines.</w:t>
            </w:r>
          </w:p>
        </w:tc>
      </w:tr>
    </w:tbl>
    <w:p w14:paraId="669BB844" w14:textId="77777777" w:rsidR="00832DED" w:rsidRPr="009B0A6D" w:rsidRDefault="00832DED" w:rsidP="009B0A6D">
      <w:pPr>
        <w:spacing w:before="120" w:line="480" w:lineRule="auto"/>
        <w:rPr>
          <w:rFonts w:ascii="Times New Roman" w:hAnsi="Times New Roman" w:cs="Times New Roman"/>
        </w:rPr>
      </w:pPr>
    </w:p>
    <w:p w14:paraId="7EF8F6EB"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lastRenderedPageBreak/>
        <w:t>1.  Introduction: The Bridge Between Scales</w:t>
      </w:r>
    </w:p>
    <w:p w14:paraId="30259CF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Drop an aspirin tablet into a glass of water. Within minutes it disappears — but </w:t>
      </w:r>
      <w:r w:rsidRPr="009B0A6D">
        <w:rPr>
          <w:rFonts w:ascii="Times New Roman" w:hAnsi="Times New Roman" w:cs="Times New Roman"/>
          <w:i/>
          <w:iCs/>
          <w:color w:val="4A4A4A"/>
        </w:rPr>
        <w:t>what</w:t>
      </w:r>
      <w:r w:rsidRPr="009B0A6D">
        <w:rPr>
          <w:rFonts w:ascii="Times New Roman" w:hAnsi="Times New Roman" w:cs="Times New Roman"/>
          <w:color w:val="4A4A4A"/>
        </w:rPr>
        <w:t xml:space="preserve"> has actually happened? At the molecular level, each aspirin molecule (about 2 nm across) must insert itself among water molecules that outnumber it by trillions. Hydrogen bonds break and reform; electrostatic interactions reconfigure; hydrophobic surfaces force the surrounding liquid into energetically costly arrangements. All of this molecular activity collapses into a single measurable number: solubility, 3.18 mg/mL for aspirin at 25 °C and pH 7.</w:t>
      </w:r>
      <w:r w:rsidRPr="009B0A6D">
        <w:rPr>
          <w:rFonts w:ascii="Times New Roman" w:hAnsi="Times New Roman" w:cs="Times New Roman"/>
          <w:color w:val="2E6DB4"/>
          <w:sz w:val="18"/>
          <w:szCs w:val="18"/>
          <w:vertAlign w:val="superscript"/>
        </w:rPr>
        <w:t>[1]</w:t>
      </w:r>
    </w:p>
    <w:p w14:paraId="2E048D6C"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1.1  The Central Problem of Emergence</w:t>
      </w:r>
    </w:p>
    <w:p w14:paraId="7FB2373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Individual molecules obey quantum mechanics. A mole of them — 6 × 10</w:t>
      </w:r>
      <w:r w:rsidRPr="009B0A6D">
        <w:rPr>
          <w:rFonts w:ascii="Times New Roman" w:hAnsi="Times New Roman" w:cs="Times New Roman"/>
          <w:color w:val="2E6DB4"/>
          <w:sz w:val="18"/>
          <w:szCs w:val="18"/>
          <w:vertAlign w:val="superscript"/>
        </w:rPr>
        <w:t>23</w:t>
      </w:r>
      <w:r w:rsidRPr="009B0A6D">
        <w:rPr>
          <w:rFonts w:ascii="Times New Roman" w:hAnsi="Times New Roman" w:cs="Times New Roman"/>
          <w:color w:val="4A4A4A"/>
        </w:rPr>
        <w:t xml:space="preserve"> — obeys thermodynamics. The mathematical bridge is </w:t>
      </w:r>
      <w:r w:rsidRPr="009B0A6D">
        <w:rPr>
          <w:rFonts w:ascii="Times New Roman" w:hAnsi="Times New Roman" w:cs="Times New Roman"/>
          <w:b/>
          <w:bCs/>
          <w:color w:val="1B3A6B"/>
        </w:rPr>
        <w:t>statistical field theory</w:t>
      </w:r>
      <w:r w:rsidRPr="009B0A6D">
        <w:rPr>
          <w:rFonts w:ascii="Times New Roman" w:hAnsi="Times New Roman" w:cs="Times New Roman"/>
          <w:color w:val="4A4A4A"/>
        </w:rPr>
        <w:t>, the framework that also explains magnetism, superconductivity, and phase transitions.</w:t>
      </w:r>
      <w:r w:rsidRPr="009B0A6D">
        <w:rPr>
          <w:rFonts w:ascii="Times New Roman" w:hAnsi="Times New Roman" w:cs="Times New Roman"/>
          <w:color w:val="2E6DB4"/>
          <w:sz w:val="18"/>
          <w:szCs w:val="18"/>
          <w:vertAlign w:val="superscript"/>
        </w:rPr>
        <w:t>[2,3]</w:t>
      </w:r>
      <w:r w:rsidRPr="009B0A6D">
        <w:rPr>
          <w:rFonts w:ascii="Times New Roman" w:hAnsi="Times New Roman" w:cs="Times New Roman"/>
          <w:color w:val="4A4A4A"/>
        </w:rPr>
        <w:t xml:space="preserve"> In pharmaceutical sciences, however, this bridge remains largely implicit: microscopic models (COSMO-RS, SM</w:t>
      </w:r>
      <w:r w:rsidRPr="009B0A6D">
        <w:rPr>
          <w:rFonts w:ascii="Times New Roman" w:hAnsi="Times New Roman" w:cs="Times New Roman"/>
          <w:i/>
          <w:iCs/>
          <w:color w:val="4A4A4A"/>
        </w:rPr>
        <w:t>x</w:t>
      </w:r>
      <w:r w:rsidRPr="009B0A6D">
        <w:rPr>
          <w:rFonts w:ascii="Times New Roman" w:hAnsi="Times New Roman" w:cs="Times New Roman"/>
          <w:color w:val="4A4A4A"/>
        </w:rPr>
        <w:t>) compute solvation free energies from quantum chemistry,</w:t>
      </w:r>
      <w:r w:rsidRPr="009B0A6D">
        <w:rPr>
          <w:rFonts w:ascii="Times New Roman" w:hAnsi="Times New Roman" w:cs="Times New Roman"/>
          <w:color w:val="2E6DB4"/>
          <w:sz w:val="18"/>
          <w:szCs w:val="18"/>
          <w:vertAlign w:val="superscript"/>
        </w:rPr>
        <w:t>[4,5]</w:t>
      </w:r>
      <w:r w:rsidRPr="009B0A6D">
        <w:rPr>
          <w:rFonts w:ascii="Times New Roman" w:hAnsi="Times New Roman" w:cs="Times New Roman"/>
          <w:color w:val="4A4A4A"/>
        </w:rPr>
        <w:t xml:space="preserve"> while macroscopic models (UNIFAC, empirical correlations) capture activity coefficients</w:t>
      </w:r>
      <w:r w:rsidRPr="009B0A6D">
        <w:rPr>
          <w:rFonts w:ascii="Times New Roman" w:hAnsi="Times New Roman" w:cs="Times New Roman"/>
          <w:color w:val="2E6DB4"/>
          <w:sz w:val="18"/>
          <w:szCs w:val="18"/>
          <w:vertAlign w:val="superscript"/>
        </w:rPr>
        <w:t>[6,7]</w:t>
      </w:r>
      <w:r w:rsidRPr="009B0A6D">
        <w:rPr>
          <w:rFonts w:ascii="Times New Roman" w:hAnsi="Times New Roman" w:cs="Times New Roman"/>
          <w:color w:val="4A4A4A"/>
        </w:rPr>
        <w:t xml:space="preserve"> — with no rigorous connection between them. This paper constructs that connection.</w:t>
      </w:r>
    </w:p>
    <w:p w14:paraId="72FCD75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We are careful to note what the framework </w:t>
      </w:r>
      <w:r w:rsidRPr="009B0A6D">
        <w:rPr>
          <w:rFonts w:ascii="Times New Roman" w:hAnsi="Times New Roman" w:cs="Times New Roman"/>
          <w:i/>
          <w:iCs/>
          <w:color w:val="4A4A4A"/>
        </w:rPr>
        <w:t>does not</w:t>
      </w:r>
      <w:r w:rsidRPr="009B0A6D">
        <w:rPr>
          <w:rFonts w:ascii="Times New Roman" w:hAnsi="Times New Roman" w:cs="Times New Roman"/>
          <w:color w:val="4A4A4A"/>
        </w:rPr>
        <w:t xml:space="preserve"> claim at this stage: it is not a universal law applicable to every dissolved species under all conditions. It is a </w:t>
      </w:r>
      <w:r w:rsidRPr="009B0A6D">
        <w:rPr>
          <w:rFonts w:ascii="Times New Roman" w:hAnsi="Times New Roman" w:cs="Times New Roman"/>
          <w:i/>
          <w:iCs/>
          <w:color w:val="4A4A4A"/>
        </w:rPr>
        <w:t>field-theoretic model exhibiting universal features under specific symmetry-breaking conditions</w:t>
      </w:r>
      <w:r w:rsidRPr="009B0A6D">
        <w:rPr>
          <w:rFonts w:ascii="Times New Roman" w:hAnsi="Times New Roman" w:cs="Times New Roman"/>
          <w:color w:val="4A4A4A"/>
        </w:rPr>
        <w:t xml:space="preserve"> — conditions we make precise below and that can be tested experimentally.</w:t>
      </w:r>
    </w:p>
    <w:p w14:paraId="68DD7AB8"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1.2  Why Field Theory Provides the Natural Language</w:t>
      </w:r>
    </w:p>
    <w:p w14:paraId="13B9D08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In condensed-matter physics, we do not track every electron spin when studying magnetism. Instead we introduce a smooth magnetisation field M(r) and ask what configuration minimises free energy.</w:t>
      </w:r>
      <w:r w:rsidRPr="009B0A6D">
        <w:rPr>
          <w:rFonts w:ascii="Times New Roman" w:hAnsi="Times New Roman" w:cs="Times New Roman"/>
          <w:color w:val="2E6DB4"/>
          <w:sz w:val="18"/>
          <w:szCs w:val="18"/>
          <w:vertAlign w:val="superscript"/>
        </w:rPr>
        <w:t>[8]</w:t>
      </w:r>
      <w:r w:rsidRPr="009B0A6D">
        <w:rPr>
          <w:rFonts w:ascii="Times New Roman" w:hAnsi="Times New Roman" w:cs="Times New Roman"/>
          <w:color w:val="4A4A4A"/>
        </w:rPr>
        <w:t xml:space="preserve"> Phase transitions — sudden magnetic ordering below a critical temperature — emerge from symmetry breaking within this field description.</w:t>
      </w:r>
      <w:r w:rsidRPr="009B0A6D">
        <w:rPr>
          <w:rFonts w:ascii="Times New Roman" w:hAnsi="Times New Roman" w:cs="Times New Roman"/>
          <w:color w:val="2E6DB4"/>
          <w:sz w:val="18"/>
          <w:szCs w:val="18"/>
          <w:vertAlign w:val="superscript"/>
        </w:rPr>
        <w:t>[9,10]</w:t>
      </w:r>
      <w:r w:rsidRPr="009B0A6D">
        <w:rPr>
          <w:rFonts w:ascii="Times New Roman" w:hAnsi="Times New Roman" w:cs="Times New Roman"/>
          <w:color w:val="4A4A4A"/>
        </w:rPr>
        <w:t xml:space="preserve"> Solubility shares exactly this character: dissolved solute concentration c(r,t) varies continuously in space and time, coupled to solvent density, electric fields, and temperature; at equilibrium it minimises free energy, and solubility emerges as a collective property.</w:t>
      </w:r>
    </w:p>
    <w:p w14:paraId="5A813277"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Three properties of field theory are especially valuable here. First, </w:t>
      </w:r>
      <w:r w:rsidRPr="009B0A6D">
        <w:rPr>
          <w:rFonts w:ascii="Times New Roman" w:hAnsi="Times New Roman" w:cs="Times New Roman"/>
          <w:b/>
          <w:bCs/>
          <w:color w:val="1B3A6B"/>
        </w:rPr>
        <w:t>universality</w:t>
      </w:r>
      <w:r w:rsidRPr="009B0A6D">
        <w:rPr>
          <w:rFonts w:ascii="Times New Roman" w:hAnsi="Times New Roman" w:cs="Times New Roman"/>
          <w:color w:val="4A4A4A"/>
        </w:rPr>
        <w:t>: systems with different molecular structures can exhibit identical macroscopic critical behaviour if they share the same symmetries and dimensionality — so one set of measured exponents predicts many untested systems.</w:t>
      </w:r>
      <w:r w:rsidRPr="009B0A6D">
        <w:rPr>
          <w:rFonts w:ascii="Times New Roman" w:hAnsi="Times New Roman" w:cs="Times New Roman"/>
          <w:color w:val="2E6DB4"/>
          <w:sz w:val="18"/>
          <w:szCs w:val="18"/>
          <w:vertAlign w:val="superscript"/>
        </w:rPr>
        <w:t>[11,12]</w:t>
      </w:r>
      <w:r w:rsidRPr="009B0A6D">
        <w:rPr>
          <w:rFonts w:ascii="Times New Roman" w:hAnsi="Times New Roman" w:cs="Times New Roman"/>
          <w:color w:val="4A4A4A"/>
        </w:rPr>
        <w:t xml:space="preserve"> Second, </w:t>
      </w:r>
      <w:r w:rsidRPr="009B0A6D">
        <w:rPr>
          <w:rFonts w:ascii="Times New Roman" w:hAnsi="Times New Roman" w:cs="Times New Roman"/>
          <w:b/>
          <w:bCs/>
          <w:color w:val="1B3A6B"/>
        </w:rPr>
        <w:t>renormalisation</w:t>
      </w:r>
      <w:r w:rsidRPr="009B0A6D">
        <w:rPr>
          <w:rFonts w:ascii="Times New Roman" w:hAnsi="Times New Roman" w:cs="Times New Roman"/>
          <w:color w:val="4A4A4A"/>
        </w:rPr>
        <w:t>: systematic coarse-graining reveals how the free-energy landscape changes with observation scale, smoothing molecular roughness while preserving global topology.</w:t>
      </w:r>
      <w:r w:rsidRPr="009B0A6D">
        <w:rPr>
          <w:rFonts w:ascii="Times New Roman" w:hAnsi="Times New Roman" w:cs="Times New Roman"/>
          <w:color w:val="2E6DB4"/>
          <w:sz w:val="18"/>
          <w:szCs w:val="18"/>
          <w:vertAlign w:val="superscript"/>
        </w:rPr>
        <w:t>[13]</w:t>
      </w:r>
      <w:r w:rsidRPr="009B0A6D">
        <w:rPr>
          <w:rFonts w:ascii="Times New Roman" w:hAnsi="Times New Roman" w:cs="Times New Roman"/>
          <w:color w:val="4A4A4A"/>
        </w:rPr>
        <w:t xml:space="preserve"> Third, </w:t>
      </w:r>
      <w:r w:rsidRPr="009B0A6D">
        <w:rPr>
          <w:rFonts w:ascii="Times New Roman" w:hAnsi="Times New Roman" w:cs="Times New Roman"/>
          <w:b/>
          <w:bCs/>
          <w:color w:val="1B3A6B"/>
        </w:rPr>
        <w:t>phase-transition language</w:t>
      </w:r>
      <w:r w:rsidRPr="009B0A6D">
        <w:rPr>
          <w:rFonts w:ascii="Times New Roman" w:hAnsi="Times New Roman" w:cs="Times New Roman"/>
          <w:color w:val="4A4A4A"/>
        </w:rPr>
        <w:t>: precipitation and crystallisation are not chemical accidents but symmetry-breaking transitions with predictable barrier heights, surface tensions, and critical-point geometries.</w:t>
      </w:r>
      <w:r w:rsidRPr="009B0A6D">
        <w:rPr>
          <w:rFonts w:ascii="Times New Roman" w:hAnsi="Times New Roman" w:cs="Times New Roman"/>
          <w:color w:val="2E6DB4"/>
          <w:sz w:val="18"/>
          <w:szCs w:val="18"/>
          <w:vertAlign w:val="superscript"/>
        </w:rPr>
        <w:t>[14]</w:t>
      </w:r>
    </w:p>
    <w:p w14:paraId="2979E941" w14:textId="77777777" w:rsidR="00832DED" w:rsidRPr="009B0A6D" w:rsidRDefault="00832DED" w:rsidP="009B0A6D">
      <w:pPr>
        <w:spacing w:before="80" w:line="480" w:lineRule="auto"/>
        <w:rPr>
          <w:rFonts w:ascii="Times New Roman" w:hAnsi="Times New Roman" w:cs="Times New Roman"/>
        </w:rPr>
      </w:pPr>
    </w:p>
    <w:p w14:paraId="44F63D47"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Multiscale hierarchy linking quantum-mechanical detail to macroscopic solubility landscapes. Each arrow represents a coarse-graining step with estimable errors via renormalisation-group methods. </w:t>
      </w:r>
      <w:r w:rsidRPr="009B0A6D">
        <w:rPr>
          <w:rFonts w:ascii="Times New Roman" w:hAnsi="Times New Roman" w:cs="Times New Roman"/>
          <w:b/>
          <w:bCs/>
          <w:color w:val="4A4A4A"/>
          <w:sz w:val="20"/>
          <w:szCs w:val="20"/>
        </w:rPr>
        <w:t>Figure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615E34BF" w14:textId="77777777">
        <w:tc>
          <w:tcPr>
            <w:tcW w:w="9360" w:type="dxa"/>
            <w:tcBorders>
              <w:top w:val="single" w:sz="1" w:space="0" w:color="AECDE0"/>
              <w:left w:val="single" w:sz="1" w:space="0" w:color="AECDE0"/>
              <w:bottom w:val="single" w:sz="1" w:space="0" w:color="AECDE0"/>
              <w:right w:val="single" w:sz="1" w:space="0" w:color="AECDE0"/>
            </w:tcBorders>
            <w:shd w:val="clear" w:color="auto" w:fill="1B3A6B"/>
            <w:tcMar>
              <w:top w:w="100" w:type="dxa"/>
              <w:left w:w="160" w:type="dxa"/>
              <w:bottom w:w="100" w:type="dxa"/>
              <w:right w:w="160" w:type="dxa"/>
            </w:tcMar>
          </w:tcPr>
          <w:p w14:paraId="35999E6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QUANTUM CHEMISTRY  (Å · fs)</w:t>
            </w:r>
          </w:p>
        </w:tc>
      </w:tr>
      <w:tr w:rsidR="00832DED" w:rsidRPr="009B0A6D" w14:paraId="71179675" w14:textId="77777777">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761A7C18"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1B2B3117" w14:textId="77777777">
        <w:tc>
          <w:tcPr>
            <w:tcW w:w="9360" w:type="dxa"/>
            <w:tcBorders>
              <w:top w:val="single" w:sz="1" w:space="0" w:color="AECDE0"/>
              <w:left w:val="single" w:sz="1" w:space="0" w:color="AECDE0"/>
              <w:bottom w:val="single" w:sz="1" w:space="0" w:color="AECDE0"/>
              <w:right w:val="single" w:sz="1" w:space="0" w:color="AECDE0"/>
            </w:tcBorders>
            <w:shd w:val="clear" w:color="auto" w:fill="2E6DB4"/>
            <w:tcMar>
              <w:top w:w="100" w:type="dxa"/>
              <w:left w:w="160" w:type="dxa"/>
              <w:bottom w:w="100" w:type="dxa"/>
              <w:right w:w="160" w:type="dxa"/>
            </w:tcMar>
          </w:tcPr>
          <w:p w14:paraId="30F3FC8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MOLECULAR DYNAMICS  (nm · ps)</w:t>
            </w:r>
          </w:p>
        </w:tc>
      </w:tr>
      <w:tr w:rsidR="00832DED" w:rsidRPr="009B0A6D" w14:paraId="21199374" w14:textId="77777777">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630710BA"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788662A9" w14:textId="77777777">
        <w:tc>
          <w:tcPr>
            <w:tcW w:w="9360" w:type="dxa"/>
            <w:tcBorders>
              <w:top w:val="single" w:sz="1" w:space="0" w:color="AECDE0"/>
              <w:left w:val="single" w:sz="1" w:space="0" w:color="AECDE0"/>
              <w:bottom w:val="single" w:sz="1" w:space="0" w:color="AECDE0"/>
              <w:right w:val="single" w:sz="1" w:space="0" w:color="AECDE0"/>
            </w:tcBorders>
            <w:shd w:val="clear" w:color="auto" w:fill="2E86AB"/>
            <w:tcMar>
              <w:top w:w="100" w:type="dxa"/>
              <w:left w:w="160" w:type="dxa"/>
              <w:bottom w:w="100" w:type="dxa"/>
              <w:right w:w="160" w:type="dxa"/>
            </w:tcMar>
          </w:tcPr>
          <w:p w14:paraId="6D3A817C"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COARSE-GRAINED SIMULATION  (10 nm · ns)</w:t>
            </w:r>
          </w:p>
        </w:tc>
      </w:tr>
      <w:tr w:rsidR="00832DED" w:rsidRPr="009B0A6D" w14:paraId="1E4A57D0" w14:textId="77777777">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5683EDE5"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14F3124B" w14:textId="77777777">
        <w:tc>
          <w:tcPr>
            <w:tcW w:w="9360" w:type="dxa"/>
            <w:tcBorders>
              <w:top w:val="single" w:sz="1" w:space="0" w:color="AECDE0"/>
              <w:left w:val="single" w:sz="1" w:space="0" w:color="AECDE0"/>
              <w:bottom w:val="single" w:sz="1" w:space="0" w:color="AECDE0"/>
              <w:right w:val="single" w:sz="1" w:space="0" w:color="AECDE0"/>
            </w:tcBorders>
            <w:shd w:val="clear" w:color="auto" w:fill="1A5C38"/>
            <w:tcMar>
              <w:top w:w="100" w:type="dxa"/>
              <w:left w:w="160" w:type="dxa"/>
              <w:bottom w:w="100" w:type="dxa"/>
              <w:right w:w="160" w:type="dxa"/>
            </w:tcMar>
          </w:tcPr>
          <w:p w14:paraId="2517967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FIELD THEORY — φ(r, x)  (μm · ms)</w:t>
            </w:r>
          </w:p>
        </w:tc>
      </w:tr>
      <w:tr w:rsidR="00832DED" w:rsidRPr="009B0A6D" w14:paraId="57332AA5" w14:textId="77777777">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4C11854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1DE855CE" w14:textId="77777777">
        <w:tc>
          <w:tcPr>
            <w:tcW w:w="9360" w:type="dxa"/>
            <w:tcBorders>
              <w:top w:val="single" w:sz="1" w:space="0" w:color="AECDE0"/>
              <w:left w:val="single" w:sz="1" w:space="0" w:color="AECDE0"/>
              <w:bottom w:val="single" w:sz="1" w:space="0" w:color="AECDE0"/>
              <w:right w:val="single" w:sz="1" w:space="0" w:color="AECDE0"/>
            </w:tcBorders>
            <w:shd w:val="clear" w:color="auto" w:fill="4A4A4A"/>
            <w:tcMar>
              <w:top w:w="100" w:type="dxa"/>
              <w:left w:w="160" w:type="dxa"/>
              <w:bottom w:w="100" w:type="dxa"/>
              <w:right w:w="160" w:type="dxa"/>
            </w:tcMar>
          </w:tcPr>
          <w:p w14:paraId="60F7CFB6"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MACROSCOPIC SOLUBILITY LANDSCAPE  (cm³ · s)</w:t>
            </w:r>
          </w:p>
        </w:tc>
      </w:tr>
    </w:tbl>
    <w:p w14:paraId="75308DC2" w14:textId="77777777" w:rsidR="00832DED" w:rsidRPr="009B0A6D" w:rsidRDefault="00832DED" w:rsidP="009B0A6D">
      <w:pPr>
        <w:spacing w:before="80" w:line="480" w:lineRule="auto"/>
        <w:rPr>
          <w:rFonts w:ascii="Times New Roman" w:hAnsi="Times New Roman" w:cs="Times New Roman"/>
        </w:rPr>
      </w:pPr>
    </w:p>
    <w:p w14:paraId="62BB4815"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1.3  Relationship to Previous Work and Scope of This Paper</w:t>
      </w:r>
    </w:p>
    <w:p w14:paraId="45C92A2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Our companion paper</w:t>
      </w:r>
      <w:r w:rsidRPr="009B0A6D">
        <w:rPr>
          <w:rFonts w:ascii="Times New Roman" w:hAnsi="Times New Roman" w:cs="Times New Roman"/>
          <w:color w:val="2E6DB4"/>
          <w:sz w:val="18"/>
          <w:szCs w:val="18"/>
          <w:vertAlign w:val="superscript"/>
        </w:rPr>
        <w:t>[15]</w:t>
      </w:r>
      <w:r w:rsidRPr="009B0A6D">
        <w:rPr>
          <w:rFonts w:ascii="Times New Roman" w:hAnsi="Times New Roman" w:cs="Times New Roman"/>
          <w:color w:val="4A4A4A"/>
        </w:rPr>
        <w:t xml:space="preserve"> treated solubility S(x) as a given function on a Riemannian manifold and studied its geometric properties — curvature, geodesics, topological constraints. Here we go deeper: we </w:t>
      </w:r>
      <w:r w:rsidRPr="009B0A6D">
        <w:rPr>
          <w:rFonts w:ascii="Times New Roman" w:hAnsi="Times New Roman" w:cs="Times New Roman"/>
          <w:i/>
          <w:iCs/>
          <w:color w:val="4A4A4A"/>
        </w:rPr>
        <w:t>derive</w:t>
      </w:r>
      <w:r w:rsidRPr="009B0A6D">
        <w:rPr>
          <w:rFonts w:ascii="Times New Roman" w:hAnsi="Times New Roman" w:cs="Times New Roman"/>
          <w:color w:val="4A4A4A"/>
        </w:rPr>
        <w:t xml:space="preserve"> S(x) from a microscopic partition function, show how the Riemannian metric emerges from fluctuation-dissipation relations, and identify phase transitions as symmetry-breaking events. The present paper is complementary, not redundant.</w:t>
      </w:r>
    </w:p>
    <w:p w14:paraId="5163739C"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2.  The Field-Theoretic Formalism</w:t>
      </w:r>
    </w:p>
    <w:p w14:paraId="6F570627"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2.1  Defining the Solubility Field</w:t>
      </w:r>
    </w:p>
    <w:p w14:paraId="7894083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Consider a solution with N</w:t>
      </w:r>
      <w:r w:rsidRPr="009B0A6D">
        <w:rPr>
          <w:rFonts w:ascii="Times New Roman" w:hAnsi="Times New Roman" w:cs="Times New Roman"/>
          <w:i/>
          <w:iCs/>
          <w:color w:val="4A4A4A"/>
        </w:rPr>
        <w:t>solute</w:t>
      </w:r>
      <w:r w:rsidRPr="009B0A6D">
        <w:rPr>
          <w:rFonts w:ascii="Times New Roman" w:hAnsi="Times New Roman" w:cs="Times New Roman"/>
          <w:color w:val="4A4A4A"/>
        </w:rPr>
        <w:t xml:space="preserve"> solute and N</w:t>
      </w:r>
      <w:r w:rsidRPr="009B0A6D">
        <w:rPr>
          <w:rFonts w:ascii="Times New Roman" w:hAnsi="Times New Roman" w:cs="Times New Roman"/>
          <w:i/>
          <w:iCs/>
          <w:color w:val="4A4A4A"/>
        </w:rPr>
        <w:t>solvent</w:t>
      </w:r>
      <w:r w:rsidRPr="009B0A6D">
        <w:rPr>
          <w:rFonts w:ascii="Times New Roman" w:hAnsi="Times New Roman" w:cs="Times New Roman"/>
          <w:color w:val="4A4A4A"/>
        </w:rPr>
        <w:t xml:space="preserve"> solvent molecules in volume V at temperature T, pressure P, pH, and ionic strength I. A complete microscopic description would require 6N coordinates — impossible for macroscopic systems.</w:t>
      </w:r>
      <w:r w:rsidRPr="009B0A6D">
        <w:rPr>
          <w:rFonts w:ascii="Times New Roman" w:hAnsi="Times New Roman" w:cs="Times New Roman"/>
          <w:color w:val="2E6DB4"/>
          <w:sz w:val="18"/>
          <w:szCs w:val="18"/>
          <w:vertAlign w:val="superscript"/>
        </w:rPr>
        <w:t>[16]</w:t>
      </w:r>
      <w:r w:rsidRPr="009B0A6D">
        <w:rPr>
          <w:rFonts w:ascii="Times New Roman" w:hAnsi="Times New Roman" w:cs="Times New Roman"/>
          <w:color w:val="4A4A4A"/>
        </w:rPr>
        <w:t xml:space="preserve"> We therefore introduce a </w:t>
      </w:r>
      <w:r w:rsidRPr="009B0A6D">
        <w:rPr>
          <w:rFonts w:ascii="Times New Roman" w:hAnsi="Times New Roman" w:cs="Times New Roman"/>
          <w:b/>
          <w:bCs/>
          <w:color w:val="1B3A6B"/>
        </w:rPr>
        <w:t>coarse-grained solubility field</w:t>
      </w:r>
    </w:p>
    <w:p w14:paraId="620D18F3"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φ(r, x, t),    r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 xml:space="preserve"> ℝ³,    x = (T, pH, I, …),    φ ≥ 0</w:t>
      </w:r>
    </w:p>
    <w:p w14:paraId="2B8307CF"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where r is spatial position, x is the thermodynamic state vector, and t is time. The field value carries concentration units.</w:t>
      </w:r>
    </w:p>
    <w:p w14:paraId="5CCF4865"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72097DF1" w14:textId="77777777">
        <w:tc>
          <w:tcPr>
            <w:tcW w:w="9360" w:type="dxa"/>
            <w:tcBorders>
              <w:top w:val="single" w:sz="8" w:space="0" w:color="1A5C38"/>
              <w:left w:val="single" w:sz="8" w:space="0" w:color="1A5C38"/>
              <w:bottom w:val="single" w:sz="1" w:space="0" w:color="AECDE0"/>
              <w:right w:val="single" w:sz="1" w:space="0" w:color="AECDE0"/>
            </w:tcBorders>
            <w:shd w:val="clear" w:color="auto" w:fill="D6ECD8"/>
            <w:tcMar>
              <w:top w:w="120" w:type="dxa"/>
              <w:left w:w="200" w:type="dxa"/>
              <w:bottom w:w="120" w:type="dxa"/>
              <w:right w:w="200" w:type="dxa"/>
            </w:tcMar>
          </w:tcPr>
          <w:p w14:paraId="17192D60"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1A5C38"/>
                <w:sz w:val="20"/>
                <w:szCs w:val="20"/>
              </w:rPr>
              <w:t>DEFINITION — Ontological Status of φ</w:t>
            </w:r>
          </w:p>
          <w:p w14:paraId="3BEE77D1" w14:textId="77777777" w:rsidR="00832DED" w:rsidRPr="009B0A6D" w:rsidRDefault="00000000" w:rsidP="009B0A6D">
            <w:pPr>
              <w:spacing w:after="40" w:line="480" w:lineRule="auto"/>
              <w:jc w:val="both"/>
              <w:rPr>
                <w:rFonts w:ascii="Times New Roman" w:hAnsi="Times New Roman" w:cs="Times New Roman"/>
              </w:rPr>
            </w:pPr>
            <w:r w:rsidRPr="009B0A6D">
              <w:rPr>
                <w:rFonts w:ascii="Times New Roman" w:hAnsi="Times New Roman" w:cs="Times New Roman"/>
                <w:color w:val="4A4A4A"/>
              </w:rPr>
              <w:t xml:space="preserve">φ is a </w:t>
            </w:r>
            <w:r w:rsidRPr="009B0A6D">
              <w:rPr>
                <w:rFonts w:ascii="Times New Roman" w:hAnsi="Times New Roman" w:cs="Times New Roman"/>
                <w:b/>
                <w:bCs/>
                <w:color w:val="1B3A6B"/>
                <w:sz w:val="20"/>
                <w:szCs w:val="20"/>
              </w:rPr>
              <w:t>coarse-grained order parameter</w:t>
            </w:r>
            <w:r w:rsidRPr="009B0A6D">
              <w:rPr>
                <w:rFonts w:ascii="Times New Roman" w:hAnsi="Times New Roman" w:cs="Times New Roman"/>
                <w:color w:val="4A4A4A"/>
                <w:sz w:val="20"/>
                <w:szCs w:val="20"/>
              </w:rPr>
              <w:t>, not a direct molecular observable. Its physical meaning is scale-dependent:</w:t>
            </w:r>
          </w:p>
          <w:p w14:paraId="467772C1" w14:textId="77777777" w:rsidR="00832DED" w:rsidRPr="009B0A6D" w:rsidRDefault="00000000" w:rsidP="009B0A6D">
            <w:pPr>
              <w:spacing w:after="2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Thermodynamic limit (uniform system): </w:t>
            </w:r>
            <w:r w:rsidRPr="009B0A6D">
              <w:rPr>
                <w:rFonts w:ascii="Times New Roman" w:hAnsi="Times New Roman" w:cs="Times New Roman"/>
                <w:color w:val="4A4A4A"/>
                <w:sz w:val="20"/>
                <w:szCs w:val="20"/>
              </w:rPr>
              <w:t>spatial gradients vanish and φ(r, x) → S(x), the macroscopic solubility.</w:t>
            </w:r>
          </w:p>
          <w:p w14:paraId="6F7A2A2E" w14:textId="77777777" w:rsidR="00832DED" w:rsidRPr="009B0A6D" w:rsidRDefault="00000000" w:rsidP="009B0A6D">
            <w:pPr>
              <w:spacing w:after="2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Near interfaces or during dissolution: </w:t>
            </w:r>
            <w:r w:rsidRPr="009B0A6D">
              <w:rPr>
                <w:rFonts w:ascii="Times New Roman" w:hAnsi="Times New Roman" w:cs="Times New Roman"/>
                <w:color w:val="4A4A4A"/>
                <w:sz w:val="20"/>
                <w:szCs w:val="20"/>
              </w:rPr>
              <w:t>φ varies spatially, capturing local concentration structure.</w:t>
            </w:r>
          </w:p>
          <w:p w14:paraId="3CB11F4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Symmetry broken: </w:t>
            </w:r>
            <w:r w:rsidRPr="009B0A6D">
              <w:rPr>
                <w:rFonts w:ascii="Times New Roman" w:hAnsi="Times New Roman" w:cs="Times New Roman"/>
                <w:color w:val="4A4A4A"/>
                <w:sz w:val="20"/>
                <w:szCs w:val="20"/>
              </w:rPr>
              <w:t>the two stable phases are the dissolved state (φ ≈ S</w:t>
            </w:r>
            <w:r w:rsidRPr="009B0A6D">
              <w:rPr>
                <w:rFonts w:ascii="Times New Roman" w:hAnsi="Times New Roman" w:cs="Times New Roman"/>
                <w:i/>
                <w:iCs/>
                <w:color w:val="4A4A4A"/>
                <w:sz w:val="20"/>
                <w:szCs w:val="20"/>
              </w:rPr>
              <w:t>sat</w:t>
            </w:r>
            <w:r w:rsidRPr="009B0A6D">
              <w:rPr>
                <w:rFonts w:ascii="Times New Roman" w:hAnsi="Times New Roman" w:cs="Times New Roman"/>
                <w:color w:val="4A4A4A"/>
                <w:sz w:val="20"/>
                <w:szCs w:val="20"/>
              </w:rPr>
              <w:t>) and the phase-separated/precipitated state (φ ≈ 0). This is the symmetry breaking that legitimises the Landau expansion.</w:t>
            </w:r>
          </w:p>
        </w:tc>
      </w:tr>
    </w:tbl>
    <w:p w14:paraId="71318B9F" w14:textId="77777777" w:rsidR="00832DED" w:rsidRPr="009B0A6D" w:rsidRDefault="00832DED" w:rsidP="009B0A6D">
      <w:pPr>
        <w:spacing w:before="80" w:line="480" w:lineRule="auto"/>
        <w:rPr>
          <w:rFonts w:ascii="Times New Roman" w:hAnsi="Times New Roman" w:cs="Times New Roman"/>
        </w:rPr>
      </w:pPr>
    </w:p>
    <w:p w14:paraId="14C64362"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lastRenderedPageBreak/>
        <w:t>2.2  The Free-Energy Functional: Where Physics Enters</w:t>
      </w:r>
    </w:p>
    <w:p w14:paraId="1513BA6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Equilibrium configurations minimise the Helmholtz free energy, written as a functional over the field:</w:t>
      </w:r>
      <w:r w:rsidRPr="009B0A6D">
        <w:rPr>
          <w:rFonts w:ascii="Times New Roman" w:hAnsi="Times New Roman" w:cs="Times New Roman"/>
          <w:color w:val="2E6DB4"/>
          <w:sz w:val="18"/>
          <w:szCs w:val="18"/>
          <w:vertAlign w:val="superscript"/>
        </w:rPr>
        <w:t>[17,18]</w:t>
      </w:r>
    </w:p>
    <w:p w14:paraId="30E1E26C"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F[φ; x] = ∫ d³r  f(φ,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φ, x)</w:t>
      </w:r>
    </w:p>
    <w:p w14:paraId="64B8122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where f is free-energy density — energy per unit volume. We decompose f into three physically motivated terms:</w:t>
      </w:r>
    </w:p>
    <w:p w14:paraId="049CBECE"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Bulk Free Energy (Local Term)</w:t>
      </w:r>
    </w:p>
    <w:p w14:paraId="0C50A28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Near the dissolved-precipitated transition, we expand in powers of phi (Landau expansion).</w:t>
      </w:r>
      <w:r w:rsidRPr="009B0A6D">
        <w:rPr>
          <w:rFonts w:ascii="Times New Roman" w:hAnsi="Times New Roman" w:cs="Times New Roman"/>
          <w:color w:val="2E6DB4"/>
          <w:sz w:val="18"/>
          <w:szCs w:val="18"/>
          <w:vertAlign w:val="superscript"/>
        </w:rPr>
        <w:t>[19]</w:t>
      </w:r>
      <w:r w:rsidRPr="009B0A6D">
        <w:rPr>
          <w:rFonts w:ascii="Times New Roman" w:hAnsi="Times New Roman" w:cs="Times New Roman"/>
          <w:color w:val="4A4A4A"/>
        </w:rPr>
        <w:t xml:space="preserve"> The order parameter φ ≥ 0 has no φ → –φ symmetry; this asymmetry </w:t>
      </w:r>
      <w:r w:rsidRPr="009B0A6D">
        <w:rPr>
          <w:rFonts w:ascii="Times New Roman" w:hAnsi="Times New Roman" w:cs="Times New Roman"/>
          <w:i/>
          <w:iCs/>
          <w:color w:val="4A4A4A"/>
        </w:rPr>
        <w:t>explicitly permits</w:t>
      </w:r>
      <w:r w:rsidRPr="009B0A6D">
        <w:rPr>
          <w:rFonts w:ascii="Times New Roman" w:hAnsi="Times New Roman" w:cs="Times New Roman"/>
          <w:color w:val="4A4A4A"/>
        </w:rPr>
        <w:t xml:space="preserve"> a cubic term:</w:t>
      </w:r>
    </w:p>
    <w:p w14:paraId="0C76F526"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f_bulk = f₀(x) + a(x)φ² + b(x)φ³ + c(x)φ⁴ + …</w:t>
      </w:r>
    </w:p>
    <w:p w14:paraId="4AA774D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coefficient a(x) changes sign at the critical point, driving the phase transition. The cubic term b(x) captures asymmetry between the two phases (solute-rich vs. solute-poor). The quartic term c(x) &gt; 0 ensures thermodynamic stability. Each coefficient has a microscopic origin: a encodes the net solvation free energy; b reflects third-order correlations in the potential of mean force; c corresponds to four-body interactions or entropic repulsion at high concentration.</w:t>
      </w:r>
    </w:p>
    <w:p w14:paraId="153950BE"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Gradient Energy (Nonlocal Term)</w:t>
      </w:r>
    </w:p>
    <w:p w14:paraId="52DB423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Creating concentration gradients costs energy. The rotationally symmetric form is:</w:t>
      </w:r>
      <w:r w:rsidRPr="009B0A6D">
        <w:rPr>
          <w:rFonts w:ascii="Times New Roman" w:hAnsi="Times New Roman" w:cs="Times New Roman"/>
          <w:color w:val="2E6DB4"/>
          <w:sz w:val="18"/>
          <w:szCs w:val="18"/>
          <w:vertAlign w:val="superscript"/>
        </w:rPr>
        <w:t>[20]</w:t>
      </w:r>
    </w:p>
    <w:p w14:paraId="40874258"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f_gradient = ½κ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φ)²</w:t>
      </w:r>
    </w:p>
    <w:p w14:paraId="2008FD1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stiffness κ &gt; 0 penalises spatial variations and generates surface tension at solute–solvent interfaces. Physically, κ is related to the pair correlation function of the neat solvent.</w:t>
      </w:r>
    </w:p>
    <w:p w14:paraId="13E13983"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External Coupling</w:t>
      </w:r>
    </w:p>
    <w:p w14:paraId="4268233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An effective conjugate field h(x) — encoding chemical potential differences, supersaturation, or activity — couples linearly to φ:</w:t>
      </w:r>
      <w:r w:rsidRPr="009B0A6D">
        <w:rPr>
          <w:rFonts w:ascii="Times New Roman" w:hAnsi="Times New Roman" w:cs="Times New Roman"/>
          <w:color w:val="2E6DB4"/>
          <w:sz w:val="18"/>
          <w:szCs w:val="18"/>
          <w:vertAlign w:val="superscript"/>
        </w:rPr>
        <w:t>[21]</w:t>
      </w:r>
    </w:p>
    <w:p w14:paraId="301CD46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f_coupling = −h(x)φ</w:t>
      </w:r>
    </w:p>
    <w:p w14:paraId="5D0CFC7C"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lastRenderedPageBreak/>
        <w:t>2.3  Equilibrium: The Euler–Lagrange Equation</w:t>
      </w:r>
    </w:p>
    <w:p w14:paraId="563EFA10"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Minimising F[φ] via the calculus of variations yields the equilibrium condition:</w:t>
      </w:r>
      <w:r w:rsidRPr="009B0A6D">
        <w:rPr>
          <w:rFonts w:ascii="Times New Roman" w:hAnsi="Times New Roman" w:cs="Times New Roman"/>
          <w:color w:val="2E6DB4"/>
          <w:sz w:val="18"/>
          <w:szCs w:val="18"/>
          <w:vertAlign w:val="superscript"/>
        </w:rPr>
        <w:t>[22]</w:t>
      </w:r>
    </w:p>
    <w:p w14:paraId="490C098F"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−κ</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²φ  +  2aφ  +  3bφ²  +  4cφ³  =  h</w:t>
      </w:r>
    </w:p>
    <w:p w14:paraId="6DD7934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Each term has a clear physical meaning: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3960"/>
      </w:tblGrid>
      <w:tr w:rsidR="00832DED" w:rsidRPr="009B0A6D" w14:paraId="2423379C" w14:textId="77777777">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023B07C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Term</w:t>
            </w:r>
          </w:p>
        </w:tc>
        <w:tc>
          <w:tcPr>
            <w:tcW w:w="30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DA7360A"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Mathematical Role</w:t>
            </w:r>
          </w:p>
        </w:tc>
        <w:tc>
          <w:tcPr>
            <w:tcW w:w="396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02D0ED1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Physical Meaning</w:t>
            </w:r>
          </w:p>
        </w:tc>
      </w:tr>
      <w:tr w:rsidR="00832DED" w:rsidRPr="009B0A6D" w14:paraId="3D9BBA9E"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619295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−κ</w:t>
            </w:r>
            <w:r w:rsidRPr="009B0A6D">
              <w:rPr>
                <w:rFonts w:ascii="Cambria Math" w:hAnsi="Cambria Math" w:cs="Cambria Math"/>
                <w:b/>
                <w:bCs/>
                <w:color w:val="1B3A6B"/>
                <w:sz w:val="18"/>
                <w:szCs w:val="18"/>
              </w:rPr>
              <w:t>∇</w:t>
            </w:r>
            <w:r w:rsidRPr="009B0A6D">
              <w:rPr>
                <w:rFonts w:ascii="Times New Roman" w:hAnsi="Times New Roman" w:cs="Times New Roman"/>
                <w:b/>
                <w:bCs/>
                <w:color w:val="1B3A6B"/>
                <w:sz w:val="18"/>
                <w:szCs w:val="18"/>
              </w:rPr>
              <w:t>²φ</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E552037"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diffusion-like</w:t>
            </w:r>
          </w:p>
        </w:tc>
        <w:tc>
          <w:tcPr>
            <w:tcW w:w="39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2C1BDD0"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Opposes concentration gradients; sets interface thickness ξ</w:t>
            </w:r>
          </w:p>
        </w:tc>
      </w:tr>
      <w:tr w:rsidR="00832DED" w:rsidRPr="009B0A6D" w14:paraId="70624302" w14:textId="77777777">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A53020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2aφ</w:t>
            </w:r>
          </w:p>
        </w:tc>
        <w:tc>
          <w:tcPr>
            <w:tcW w:w="30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7D80F2E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thermodynamic drive</w:t>
            </w:r>
          </w:p>
        </w:tc>
        <w:tc>
          <w:tcPr>
            <w:tcW w:w="39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56F42CA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Sign determines stable phase (a &lt; 0 → dissolved favoured)</w:t>
            </w:r>
          </w:p>
        </w:tc>
      </w:tr>
      <w:tr w:rsidR="00832DED" w:rsidRPr="009B0A6D" w14:paraId="093D5767"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4B187F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3bφ²</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29BA8386"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nonlinear asymmetry</w:t>
            </w:r>
          </w:p>
        </w:tc>
        <w:tc>
          <w:tcPr>
            <w:tcW w:w="39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3546F4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Asymmetry between dissolved and precipitated states</w:t>
            </w:r>
          </w:p>
        </w:tc>
      </w:tr>
      <w:tr w:rsidR="00832DED" w:rsidRPr="009B0A6D" w14:paraId="3EB7EE20" w14:textId="77777777">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14EB9D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4cφ³</w:t>
            </w:r>
          </w:p>
        </w:tc>
        <w:tc>
          <w:tcPr>
            <w:tcW w:w="30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43C92D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saturation</w:t>
            </w:r>
          </w:p>
        </w:tc>
        <w:tc>
          <w:tcPr>
            <w:tcW w:w="39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72DA609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Prevents unphysical divergence at high concentration</w:t>
            </w:r>
          </w:p>
        </w:tc>
      </w:tr>
      <w:tr w:rsidR="00832DED" w:rsidRPr="009B0A6D" w14:paraId="62C992BF"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1370BE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h</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27CF90C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external forcing</w:t>
            </w:r>
          </w:p>
        </w:tc>
        <w:tc>
          <w:tcPr>
            <w:tcW w:w="39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0F2EF0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pH, activity, supersaturation — drives dissolution</w:t>
            </w:r>
          </w:p>
        </w:tc>
      </w:tr>
    </w:tbl>
    <w:p w14:paraId="6A0F9F19" w14:textId="77777777" w:rsidR="00832DED" w:rsidRPr="009B0A6D" w:rsidRDefault="00832DED" w:rsidP="009B0A6D">
      <w:pPr>
        <w:spacing w:before="40" w:line="480" w:lineRule="auto"/>
        <w:rPr>
          <w:rFonts w:ascii="Times New Roman" w:hAnsi="Times New Roman" w:cs="Times New Roman"/>
        </w:rPr>
      </w:pPr>
    </w:p>
    <w:p w14:paraId="745769A1" w14:textId="77777777" w:rsidR="00832DED" w:rsidRPr="009B0A6D" w:rsidRDefault="00000000" w:rsidP="009B0A6D">
      <w:pPr>
        <w:spacing w:before="40" w:after="120" w:line="480" w:lineRule="auto"/>
        <w:jc w:val="center"/>
        <w:rPr>
          <w:rFonts w:ascii="Times New Roman" w:hAnsi="Times New Roman" w:cs="Times New Roman"/>
        </w:rPr>
      </w:pPr>
      <w:r w:rsidRPr="009B0A6D">
        <w:rPr>
          <w:rFonts w:ascii="Times New Roman" w:hAnsi="Times New Roman" w:cs="Times New Roman"/>
          <w:b/>
          <w:bCs/>
          <w:color w:val="2E6DB4"/>
          <w:sz w:val="20"/>
          <w:szCs w:val="20"/>
        </w:rPr>
        <w:t xml:space="preserve">Table 1. </w:t>
      </w:r>
      <w:r w:rsidRPr="009B0A6D">
        <w:rPr>
          <w:rFonts w:ascii="Times New Roman" w:hAnsi="Times New Roman" w:cs="Times New Roman"/>
          <w:i/>
          <w:iCs/>
          <w:color w:val="4A4A4A"/>
          <w:sz w:val="20"/>
          <w:szCs w:val="20"/>
        </w:rPr>
        <w:t>Equation (2.3): Physical interpretation of each term in the Euler–Lagrange equation.</w:t>
      </w:r>
    </w:p>
    <w:p w14:paraId="587C46BD"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2.4  The Partition Function: Full Statistical Treatment</w:t>
      </w:r>
    </w:p>
    <w:p w14:paraId="32B2A73D"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full power of field theory comes from the partition function, which sums over </w:t>
      </w:r>
      <w:r w:rsidRPr="009B0A6D">
        <w:rPr>
          <w:rFonts w:ascii="Times New Roman" w:hAnsi="Times New Roman" w:cs="Times New Roman"/>
          <w:i/>
          <w:iCs/>
          <w:color w:val="4A4A4A"/>
        </w:rPr>
        <w:t>all</w:t>
      </w:r>
      <w:r w:rsidRPr="009B0A6D">
        <w:rPr>
          <w:rFonts w:ascii="Times New Roman" w:hAnsi="Times New Roman" w:cs="Times New Roman"/>
          <w:color w:val="4A4A4A"/>
        </w:rPr>
        <w:t xml:space="preserve"> possible spatial configurations of φ, each weighted by its Boltzmann probability:</w:t>
      </w:r>
      <w:r w:rsidRPr="009B0A6D">
        <w:rPr>
          <w:rFonts w:ascii="Times New Roman" w:hAnsi="Times New Roman" w:cs="Times New Roman"/>
          <w:color w:val="2E6DB4"/>
          <w:sz w:val="18"/>
          <w:szCs w:val="18"/>
          <w:vertAlign w:val="superscript"/>
        </w:rPr>
        <w:t>[23,24]</w:t>
      </w:r>
    </w:p>
    <w:p w14:paraId="0AC69C31"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Z = ∫ </w:t>
      </w:r>
      <w:r w:rsidRPr="009B0A6D">
        <w:rPr>
          <w:rFonts w:ascii="Cambria Math" w:eastAsia="Cambria Math" w:hAnsi="Cambria Math" w:cs="Cambria Math"/>
          <w:i/>
          <w:iCs/>
          <w:color w:val="1B3A6B"/>
        </w:rPr>
        <w:t>𝒟</w:t>
      </w:r>
      <w:r w:rsidRPr="009B0A6D">
        <w:rPr>
          <w:rFonts w:ascii="Times New Roman" w:eastAsia="Cambria Math" w:hAnsi="Times New Roman" w:cs="Times New Roman"/>
          <w:i/>
          <w:iCs/>
          <w:color w:val="1B3A6B"/>
        </w:rPr>
        <w:t>φ  exp(−F[φ] / kT)</w:t>
      </w:r>
    </w:p>
    <w:p w14:paraId="0062ACC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This functional integral is the exact quantum-to-macroscopic bridge. Every thermodynamic observable follows as an expectation value </w:t>
      </w:r>
      <w:r w:rsidRPr="009B0A6D">
        <w:rPr>
          <w:rFonts w:ascii="Cambria Math" w:hAnsi="Cambria Math" w:cs="Cambria Math"/>
          <w:color w:val="4A4A4A"/>
        </w:rPr>
        <w:t>⟨</w:t>
      </w:r>
      <w:r w:rsidRPr="009B0A6D">
        <w:rPr>
          <w:rFonts w:ascii="Times New Roman" w:hAnsi="Times New Roman" w:cs="Times New Roman"/>
          <w:color w:val="4A4A4A"/>
        </w:rPr>
        <w:t>O</w:t>
      </w:r>
      <w:r w:rsidRPr="009B0A6D">
        <w:rPr>
          <w:rFonts w:ascii="Cambria Math" w:hAnsi="Cambria Math" w:cs="Cambria Math"/>
          <w:color w:val="4A4A4A"/>
        </w:rPr>
        <w:t>⟩</w:t>
      </w:r>
      <w:r w:rsidRPr="009B0A6D">
        <w:rPr>
          <w:rFonts w:ascii="Times New Roman" w:hAnsi="Times New Roman" w:cs="Times New Roman"/>
          <w:color w:val="4A4A4A"/>
        </w:rPr>
        <w:t xml:space="preserve"> = Z</w:t>
      </w:r>
      <w:r w:rsidRPr="009B0A6D">
        <w:rPr>
          <w:rFonts w:ascii="Times New Roman" w:hAnsi="Times New Roman" w:cs="Times New Roman"/>
          <w:color w:val="2E6DB4"/>
          <w:sz w:val="18"/>
          <w:szCs w:val="18"/>
          <w:vertAlign w:val="superscript"/>
        </w:rPr>
        <w:t>−1</w:t>
      </w:r>
      <w:r w:rsidRPr="009B0A6D">
        <w:rPr>
          <w:rFonts w:ascii="Times New Roman" w:hAnsi="Times New Roman" w:cs="Times New Roman"/>
          <w:color w:val="4A4A4A"/>
        </w:rPr>
        <w:t xml:space="preserve"> ∫ </w:t>
      </w:r>
      <w:r w:rsidRPr="009B0A6D">
        <w:rPr>
          <w:rFonts w:ascii="Cambria Math" w:hAnsi="Cambria Math" w:cs="Cambria Math"/>
          <w:color w:val="4A4A4A"/>
        </w:rPr>
        <w:t>𝒟</w:t>
      </w:r>
      <w:r w:rsidRPr="009B0A6D">
        <w:rPr>
          <w:rFonts w:ascii="Times New Roman" w:hAnsi="Times New Roman" w:cs="Times New Roman"/>
          <w:color w:val="4A4A4A"/>
        </w:rPr>
        <w:t xml:space="preserve">φ O[φ] exp(−F[φ]/kT). For macroscopic systems at low temperature, the integral is dominated by configurations near the free-energy minimum — the </w:t>
      </w:r>
      <w:r w:rsidRPr="009B0A6D">
        <w:rPr>
          <w:rFonts w:ascii="Times New Roman" w:hAnsi="Times New Roman" w:cs="Times New Roman"/>
          <w:b/>
          <w:bCs/>
          <w:color w:val="1B3A6B"/>
        </w:rPr>
        <w:t xml:space="preserve">saddle-point (mean-field) </w:t>
      </w:r>
      <w:r w:rsidRPr="009B0A6D">
        <w:rPr>
          <w:rFonts w:ascii="Times New Roman" w:hAnsi="Times New Roman" w:cs="Times New Roman"/>
          <w:b/>
          <w:bCs/>
          <w:color w:val="1B3A6B"/>
        </w:rPr>
        <w:lastRenderedPageBreak/>
        <w:t>approximation</w:t>
      </w:r>
      <w:r w:rsidRPr="009B0A6D">
        <w:rPr>
          <w:rFonts w:ascii="Times New Roman" w:hAnsi="Times New Roman" w:cs="Times New Roman"/>
          <w:color w:val="4A4A4A"/>
        </w:rPr>
        <w:t>, Z ≈ exp(−F[φ</w:t>
      </w:r>
      <w:r w:rsidRPr="009B0A6D">
        <w:rPr>
          <w:rFonts w:ascii="Times New Roman" w:hAnsi="Times New Roman" w:cs="Times New Roman"/>
          <w:i/>
          <w:iCs/>
          <w:color w:val="4A4A4A"/>
        </w:rPr>
        <w:t>eq</w:t>
      </w:r>
      <w:r w:rsidRPr="009B0A6D">
        <w:rPr>
          <w:rFonts w:ascii="Times New Roman" w:hAnsi="Times New Roman" w:cs="Times New Roman"/>
          <w:color w:val="4A4A4A"/>
        </w:rPr>
        <w:t>]/kT) — while fluctuation corrections are computed systematically by expanding around φ</w:t>
      </w:r>
      <w:r w:rsidRPr="009B0A6D">
        <w:rPr>
          <w:rFonts w:ascii="Times New Roman" w:hAnsi="Times New Roman" w:cs="Times New Roman"/>
          <w:i/>
          <w:iCs/>
          <w:color w:val="4A4A4A"/>
        </w:rPr>
        <w:t>eq</w:t>
      </w:r>
      <w:r w:rsidRPr="009B0A6D">
        <w:rPr>
          <w:rFonts w:ascii="Times New Roman" w:hAnsi="Times New Roman" w:cs="Times New Roman"/>
          <w:color w:val="4A4A4A"/>
        </w:rPr>
        <w:t>.</w:t>
      </w:r>
      <w:r w:rsidRPr="009B0A6D">
        <w:rPr>
          <w:rFonts w:ascii="Times New Roman" w:hAnsi="Times New Roman" w:cs="Times New Roman"/>
          <w:color w:val="2E6DB4"/>
          <w:sz w:val="18"/>
          <w:szCs w:val="18"/>
          <w:vertAlign w:val="superscript"/>
        </w:rPr>
        <w:t>[25]</w:t>
      </w:r>
    </w:p>
    <w:p w14:paraId="648B8292"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Connecting to molecular thermodynamics: the Landau free energy F[φ] is related to the microscopic potential of mean force W(r</w:t>
      </w:r>
      <w:r w:rsidRPr="009B0A6D">
        <w:rPr>
          <w:rFonts w:ascii="Times New Roman" w:hAnsi="Times New Roman" w:cs="Times New Roman"/>
          <w:color w:val="2E6DB4"/>
          <w:sz w:val="18"/>
          <w:szCs w:val="18"/>
          <w:vertAlign w:val="superscript"/>
        </w:rPr>
        <w:t>N</w:t>
      </w:r>
      <w:r w:rsidRPr="009B0A6D">
        <w:rPr>
          <w:rFonts w:ascii="Times New Roman" w:hAnsi="Times New Roman" w:cs="Times New Roman"/>
          <w:color w:val="4A4A4A"/>
        </w:rPr>
        <w:t>) by</w:t>
      </w:r>
    </w:p>
    <w:p w14:paraId="571CF5ED"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F[φ] = −kT ln Z_micro  |  coarse-graining to φ-scale,</w:t>
      </w:r>
    </w:p>
    <w:p w14:paraId="0D1379FD"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where the coarse-graining step integrates out degrees of freedom below the resolution of φ — a step made systematic by renormalisation-group methods (Section 5).</w:t>
      </w:r>
    </w:p>
    <w:p w14:paraId="3F3BA02C"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3.  From Microscopic Coefficients to Macroscopic Landscapes</w:t>
      </w:r>
    </w:p>
    <w:p w14:paraId="6D7C99D7"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3.1  State-Dependent Landau Coefficients</w:t>
      </w:r>
    </w:p>
    <w:p w14:paraId="6026AF7C"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Landau coefficients a(x), b(x), c(x) encode how the free-energy landscape changes with thermodynamic state. They are not free parameters to be fitted arbitrarily; they are </w:t>
      </w:r>
      <w:r w:rsidRPr="009B0A6D">
        <w:rPr>
          <w:rFonts w:ascii="Times New Roman" w:hAnsi="Times New Roman" w:cs="Times New Roman"/>
          <w:i/>
          <w:iCs/>
          <w:color w:val="4A4A4A"/>
        </w:rPr>
        <w:t>ansätze constrained by known chemical limiting laws</w:t>
      </w:r>
    </w:p>
    <w:p w14:paraId="472714EB"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Temperature Dependence</w:t>
      </w:r>
    </w:p>
    <w:p w14:paraId="415A524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Near critical temperature T</w:t>
      </w:r>
      <w:r w:rsidRPr="009B0A6D">
        <w:rPr>
          <w:rFonts w:ascii="Times New Roman" w:hAnsi="Times New Roman" w:cs="Times New Roman"/>
          <w:i/>
          <w:iCs/>
          <w:color w:val="4A4A4A"/>
        </w:rPr>
        <w:t>c</w:t>
      </w:r>
      <w:r w:rsidRPr="009B0A6D">
        <w:rPr>
          <w:rFonts w:ascii="Times New Roman" w:hAnsi="Times New Roman" w:cs="Times New Roman"/>
          <w:color w:val="4A4A4A"/>
        </w:rPr>
        <w:t>, mean-field theory predicts:</w:t>
      </w:r>
      <w:r w:rsidRPr="009B0A6D">
        <w:rPr>
          <w:rFonts w:ascii="Times New Roman" w:hAnsi="Times New Roman" w:cs="Times New Roman"/>
          <w:color w:val="2E6DB4"/>
          <w:sz w:val="18"/>
          <w:szCs w:val="18"/>
          <w:vertAlign w:val="superscript"/>
        </w:rPr>
        <w:t>[19]</w:t>
      </w:r>
    </w:p>
    <w:p w14:paraId="4113AF5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a(T) = a₀ (T − Tc) / Tc</w:t>
      </w:r>
    </w:p>
    <w:p w14:paraId="2B3A308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This is the standard Landau form: a changes sign at Tc, driving the dissolution transition. In the limit T </w:t>
      </w:r>
      <w:r w:rsidRPr="009B0A6D">
        <w:rPr>
          <w:rFonts w:ascii="Cambria Math" w:hAnsi="Cambria Math" w:cs="Cambria Math"/>
          <w:color w:val="4A4A4A"/>
        </w:rPr>
        <w:t>≫</w:t>
      </w:r>
      <w:r w:rsidRPr="009B0A6D">
        <w:rPr>
          <w:rFonts w:ascii="Times New Roman" w:hAnsi="Times New Roman" w:cs="Times New Roman"/>
          <w:color w:val="4A4A4A"/>
        </w:rPr>
        <w:t xml:space="preserve"> Tc it gives the expected Arrhenius-like temperature dependence of solubility.</w:t>
      </w:r>
    </w:p>
    <w:p w14:paraId="7264DDBF"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pH Dependence — From Ionisation Equilibrium</w:t>
      </w:r>
    </w:p>
    <w:p w14:paraId="229BCA6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For an ionisable compound, we write:</w:t>
      </w:r>
      <w:r w:rsidRPr="009B0A6D">
        <w:rPr>
          <w:rFonts w:ascii="Times New Roman" w:hAnsi="Times New Roman" w:cs="Times New Roman"/>
          <w:color w:val="2E6DB4"/>
          <w:sz w:val="18"/>
          <w:szCs w:val="18"/>
          <w:vertAlign w:val="superscript"/>
        </w:rPr>
        <w:t>[26]</w:t>
      </w:r>
    </w:p>
    <w:p w14:paraId="4DB04EA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a(pH) = a₁ + a₂ tanh[(pH − pKa) / w]</w:t>
      </w:r>
    </w:p>
    <w:p w14:paraId="7FC5F47E"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219FF2FD" w14:textId="77777777">
        <w:tc>
          <w:tcPr>
            <w:tcW w:w="9360" w:type="dxa"/>
            <w:tcBorders>
              <w:top w:val="single" w:sz="8" w:space="0" w:color="7B4F00"/>
              <w:left w:val="single" w:sz="8" w:space="0" w:color="7B4F00"/>
              <w:bottom w:val="single" w:sz="1" w:space="0" w:color="AECDE0"/>
              <w:right w:val="single" w:sz="1" w:space="0" w:color="AECDE0"/>
            </w:tcBorders>
            <w:shd w:val="clear" w:color="auto" w:fill="FFF3CD"/>
            <w:tcMar>
              <w:top w:w="120" w:type="dxa"/>
              <w:left w:w="200" w:type="dxa"/>
              <w:bottom w:w="120" w:type="dxa"/>
              <w:right w:w="200" w:type="dxa"/>
            </w:tcMar>
          </w:tcPr>
          <w:p w14:paraId="68417CD5"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7B4F00"/>
                <w:sz w:val="20"/>
                <w:szCs w:val="20"/>
              </w:rPr>
              <w:lastRenderedPageBreak/>
              <w:t>WHY pH ACTS AS AN EFFECTIVE CONJUGATE FIELD</w:t>
            </w:r>
          </w:p>
          <w:p w14:paraId="335EE959" w14:textId="77777777" w:rsidR="00832DED" w:rsidRPr="009B0A6D" w:rsidRDefault="00000000" w:rsidP="009B0A6D">
            <w:pPr>
              <w:spacing w:after="40" w:line="480" w:lineRule="auto"/>
              <w:jc w:val="both"/>
              <w:rPr>
                <w:rFonts w:ascii="Times New Roman" w:hAnsi="Times New Roman" w:cs="Times New Roman"/>
              </w:rPr>
            </w:pPr>
            <w:r w:rsidRPr="009B0A6D">
              <w:rPr>
                <w:rFonts w:ascii="Times New Roman" w:hAnsi="Times New Roman" w:cs="Times New Roman"/>
                <w:color w:val="4A4A4A"/>
              </w:rPr>
              <w:t xml:space="preserve">A critical reader will note that pH is normally a </w:t>
            </w:r>
            <w:r w:rsidRPr="009B0A6D">
              <w:rPr>
                <w:rFonts w:ascii="Times New Roman" w:hAnsi="Times New Roman" w:cs="Times New Roman"/>
                <w:i/>
                <w:iCs/>
                <w:color w:val="4A4A4A"/>
                <w:sz w:val="20"/>
                <w:szCs w:val="20"/>
              </w:rPr>
              <w:t>control parameter</w:t>
            </w:r>
            <w:r w:rsidRPr="009B0A6D">
              <w:rPr>
                <w:rFonts w:ascii="Times New Roman" w:hAnsi="Times New Roman" w:cs="Times New Roman"/>
                <w:color w:val="4A4A4A"/>
                <w:sz w:val="20"/>
                <w:szCs w:val="20"/>
              </w:rPr>
              <w:t>, not a thermodynamic conjugate field. The analogy is physical, not mathematical identity, and works as follows:</w:t>
            </w:r>
          </w:p>
          <w:p w14:paraId="5B2AB95F" w14:textId="77777777" w:rsidR="00832DED" w:rsidRPr="009B0A6D" w:rsidRDefault="00000000" w:rsidP="009B0A6D">
            <w:pPr>
              <w:spacing w:after="20" w:line="480" w:lineRule="auto"/>
              <w:jc w:val="both"/>
              <w:rPr>
                <w:rFonts w:ascii="Times New Roman" w:hAnsi="Times New Roman" w:cs="Times New Roman"/>
              </w:rPr>
            </w:pPr>
            <w:r w:rsidRPr="009B0A6D">
              <w:rPr>
                <w:rFonts w:ascii="Times New Roman" w:hAnsi="Times New Roman" w:cs="Times New Roman"/>
                <w:color w:val="4A4A4A"/>
                <w:sz w:val="20"/>
                <w:szCs w:val="20"/>
              </w:rPr>
              <w:t xml:space="preserve">For a weak acid HA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H</w:t>
            </w:r>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 xml:space="preserve"> + A</w:t>
            </w:r>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 the Henderson–Hasselbalch equation gives [A</w:t>
            </w:r>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]/[HA] = 10</w:t>
            </w:r>
            <w:r w:rsidRPr="009B0A6D">
              <w:rPr>
                <w:rFonts w:ascii="Times New Roman" w:hAnsi="Times New Roman" w:cs="Times New Roman"/>
                <w:color w:val="2E6DB4"/>
                <w:sz w:val="18"/>
                <w:szCs w:val="18"/>
                <w:vertAlign w:val="superscript"/>
              </w:rPr>
              <w:t>(pH−pKa)</w:t>
            </w:r>
            <w:r w:rsidRPr="009B0A6D">
              <w:rPr>
                <w:rFonts w:ascii="Times New Roman" w:hAnsi="Times New Roman" w:cs="Times New Roman"/>
                <w:color w:val="4A4A4A"/>
                <w:sz w:val="20"/>
                <w:szCs w:val="20"/>
              </w:rPr>
              <w:t>. Because the ionised and neutral forms have different solvation free energies ΔμA and Δμ</w:t>
            </w:r>
            <w:r w:rsidRPr="009B0A6D">
              <w:rPr>
                <w:rFonts w:ascii="Times New Roman" w:hAnsi="Times New Roman" w:cs="Times New Roman"/>
                <w:i/>
                <w:iCs/>
                <w:color w:val="4A4A4A"/>
                <w:sz w:val="20"/>
                <w:szCs w:val="20"/>
              </w:rPr>
              <w:t>HA</w:t>
            </w:r>
            <w:r w:rsidRPr="009B0A6D">
              <w:rPr>
                <w:rFonts w:ascii="Times New Roman" w:hAnsi="Times New Roman" w:cs="Times New Roman"/>
                <w:color w:val="4A4A4A"/>
              </w:rPr>
              <w:t xml:space="preserve">, pH modulates the </w:t>
            </w:r>
            <w:r w:rsidRPr="009B0A6D">
              <w:rPr>
                <w:rFonts w:ascii="Times New Roman" w:hAnsi="Times New Roman" w:cs="Times New Roman"/>
                <w:b/>
                <w:bCs/>
                <w:color w:val="1B3A6B"/>
                <w:sz w:val="20"/>
                <w:szCs w:val="20"/>
              </w:rPr>
              <w:t>effective chemical potential difference</w:t>
            </w:r>
            <w:r w:rsidRPr="009B0A6D">
              <w:rPr>
                <w:rFonts w:ascii="Times New Roman" w:hAnsi="Times New Roman" w:cs="Times New Roman"/>
                <w:color w:val="4A4A4A"/>
                <w:sz w:val="20"/>
                <w:szCs w:val="20"/>
              </w:rPr>
              <w:t xml:space="preserve"> Δμ(pH) — which is precisely the conjugate field h(x) in our formalism. Near pK</w:t>
            </w:r>
            <w:r w:rsidRPr="009B0A6D">
              <w:rPr>
                <w:rFonts w:ascii="Times New Roman" w:hAnsi="Times New Roman" w:cs="Times New Roman"/>
                <w:i/>
                <w:iCs/>
                <w:color w:val="4A4A4A"/>
                <w:sz w:val="20"/>
                <w:szCs w:val="20"/>
              </w:rPr>
              <w:t>a</w:t>
            </w:r>
            <w:r w:rsidRPr="009B0A6D">
              <w:rPr>
                <w:rFonts w:ascii="Times New Roman" w:hAnsi="Times New Roman" w:cs="Times New Roman"/>
                <w:color w:val="4A4A4A"/>
                <w:sz w:val="20"/>
                <w:szCs w:val="20"/>
              </w:rPr>
              <w:t>, small pH changes produce large ionisation shifts, generating critical-point-like susceptibility — the solubility analogue of magnetic susceptibility diverging near T</w:t>
            </w:r>
            <w:r w:rsidRPr="009B0A6D">
              <w:rPr>
                <w:rFonts w:ascii="Times New Roman" w:hAnsi="Times New Roman" w:cs="Times New Roman"/>
                <w:i/>
                <w:iCs/>
                <w:color w:val="4A4A4A"/>
                <w:sz w:val="20"/>
                <w:szCs w:val="20"/>
              </w:rPr>
              <w:t>c</w:t>
            </w:r>
            <w:r w:rsidRPr="009B0A6D">
              <w:rPr>
                <w:rFonts w:ascii="Times New Roman" w:hAnsi="Times New Roman" w:cs="Times New Roman"/>
                <w:color w:val="4A4A4A"/>
              </w:rPr>
              <w:t xml:space="preserve">. We therefore refer to pH as an </w:t>
            </w:r>
            <w:r w:rsidRPr="009B0A6D">
              <w:rPr>
                <w:rFonts w:ascii="Times New Roman" w:hAnsi="Times New Roman" w:cs="Times New Roman"/>
                <w:i/>
                <w:iCs/>
                <w:color w:val="4A4A4A"/>
                <w:sz w:val="20"/>
                <w:szCs w:val="20"/>
              </w:rPr>
              <w:t>effective</w:t>
            </w:r>
            <w:r w:rsidRPr="009B0A6D">
              <w:rPr>
                <w:rFonts w:ascii="Times New Roman" w:hAnsi="Times New Roman" w:cs="Times New Roman"/>
                <w:color w:val="4A4A4A"/>
                <w:sz w:val="20"/>
                <w:szCs w:val="20"/>
              </w:rPr>
              <w:t xml:space="preserve"> conjugate field, with h(x) ≡ Δμ(pH) as the precise thermodynamic quantity.</w:t>
            </w:r>
          </w:p>
          <w:p w14:paraId="11165AA4"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rPr>
              <w:t xml:space="preserve">The tanh(·) form in a(pH) is not ad hoc: it is the </w:t>
            </w:r>
            <w:r w:rsidRPr="009B0A6D">
              <w:rPr>
                <w:rFonts w:ascii="Times New Roman" w:hAnsi="Times New Roman" w:cs="Times New Roman"/>
                <w:i/>
                <w:iCs/>
                <w:color w:val="4A4A4A"/>
                <w:sz w:val="20"/>
                <w:szCs w:val="20"/>
              </w:rPr>
              <w:t>exact</w:t>
            </w:r>
            <w:r w:rsidRPr="009B0A6D">
              <w:rPr>
                <w:rFonts w:ascii="Times New Roman" w:hAnsi="Times New Roman" w:cs="Times New Roman"/>
                <w:color w:val="4A4A4A"/>
                <w:sz w:val="20"/>
                <w:szCs w:val="20"/>
              </w:rPr>
              <w:t xml:space="preserve"> functional form arising from Henderson–Hasselbalch ionisation equilibrium, recovering correct limits at pH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pK</w:t>
            </w:r>
            <w:r w:rsidRPr="009B0A6D">
              <w:rPr>
                <w:rFonts w:ascii="Times New Roman" w:hAnsi="Times New Roman" w:cs="Times New Roman"/>
                <w:i/>
                <w:iCs/>
                <w:color w:val="4A4A4A"/>
                <w:sz w:val="20"/>
                <w:szCs w:val="20"/>
              </w:rPr>
              <w:t>a</w:t>
            </w:r>
            <w:r w:rsidRPr="009B0A6D">
              <w:rPr>
                <w:rFonts w:ascii="Times New Roman" w:hAnsi="Times New Roman" w:cs="Times New Roman"/>
                <w:color w:val="4A4A4A"/>
                <w:sz w:val="20"/>
                <w:szCs w:val="20"/>
              </w:rPr>
              <w:t xml:space="preserve"> (fully ionised) and pH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pK</w:t>
            </w:r>
            <w:r w:rsidRPr="009B0A6D">
              <w:rPr>
                <w:rFonts w:ascii="Times New Roman" w:hAnsi="Times New Roman" w:cs="Times New Roman"/>
                <w:i/>
                <w:iCs/>
                <w:color w:val="4A4A4A"/>
                <w:sz w:val="20"/>
                <w:szCs w:val="20"/>
              </w:rPr>
              <w:t>a</w:t>
            </w:r>
            <w:r w:rsidRPr="009B0A6D">
              <w:rPr>
                <w:rFonts w:ascii="Times New Roman" w:hAnsi="Times New Roman" w:cs="Times New Roman"/>
                <w:color w:val="4A4A4A"/>
                <w:sz w:val="20"/>
                <w:szCs w:val="20"/>
              </w:rPr>
              <w:t xml:space="preserve"> (fully neutral).</w:t>
            </w:r>
          </w:p>
        </w:tc>
      </w:tr>
    </w:tbl>
    <w:p w14:paraId="10398A3D" w14:textId="77777777" w:rsidR="00832DED" w:rsidRPr="009B0A6D" w:rsidRDefault="00832DED" w:rsidP="009B0A6D">
      <w:pPr>
        <w:spacing w:before="80" w:line="480" w:lineRule="auto"/>
        <w:rPr>
          <w:rFonts w:ascii="Times New Roman" w:hAnsi="Times New Roman" w:cs="Times New Roman"/>
        </w:rPr>
      </w:pPr>
    </w:p>
    <w:p w14:paraId="0A78EDBA"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Ionic Strength Dependence — Debye–Hückel as Limiting Law</w:t>
      </w:r>
    </w:p>
    <w:p w14:paraId="5C44A87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Debye–Hückel theory</w:t>
      </w:r>
      <w:r w:rsidRPr="009B0A6D">
        <w:rPr>
          <w:rFonts w:ascii="Times New Roman" w:hAnsi="Times New Roman" w:cs="Times New Roman"/>
          <w:color w:val="2E6DB4"/>
          <w:sz w:val="18"/>
          <w:szCs w:val="18"/>
          <w:vertAlign w:val="superscript"/>
        </w:rPr>
        <w:t>[27]</w:t>
      </w:r>
      <w:r w:rsidRPr="009B0A6D">
        <w:rPr>
          <w:rFonts w:ascii="Times New Roman" w:hAnsi="Times New Roman" w:cs="Times New Roman"/>
          <w:color w:val="4A4A4A"/>
        </w:rPr>
        <w:t xml:space="preserve"> predicts activity coefficient corrections scaling as √I at low I. Our coefficient ansatz</w:t>
      </w:r>
    </w:p>
    <w:p w14:paraId="50FF203D"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a(I) = a₃ − a₄ √I + a₅ I</w:t>
      </w:r>
    </w:p>
    <w:p w14:paraId="6684A38B"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recovers Debye–Hückel (−a₄√I term) as its dominant contribution at low ionic strength and includes a linear correction for salting effects at moderate I. The Debye screening length λ</w:t>
      </w:r>
      <w:r w:rsidRPr="009B0A6D">
        <w:rPr>
          <w:rFonts w:ascii="Times New Roman" w:hAnsi="Times New Roman" w:cs="Times New Roman"/>
          <w:i/>
          <w:iCs/>
          <w:color w:val="4A4A4A"/>
        </w:rPr>
        <w:t>D</w:t>
      </w:r>
      <w:r w:rsidRPr="009B0A6D">
        <w:rPr>
          <w:rFonts w:ascii="Times New Roman" w:hAnsi="Times New Roman" w:cs="Times New Roman"/>
          <w:color w:val="4A4A4A"/>
        </w:rPr>
        <w:t xml:space="preserve"> = (ε</w:t>
      </w:r>
      <w:r w:rsidRPr="009B0A6D">
        <w:rPr>
          <w:rFonts w:ascii="Times New Roman" w:hAnsi="Times New Roman" w:cs="Times New Roman"/>
          <w:i/>
          <w:iCs/>
          <w:color w:val="4A4A4A"/>
        </w:rPr>
        <w:t>r</w:t>
      </w:r>
      <w:r w:rsidRPr="009B0A6D">
        <w:rPr>
          <w:rFonts w:ascii="Times New Roman" w:hAnsi="Times New Roman" w:cs="Times New Roman"/>
          <w:color w:val="4A4A4A"/>
        </w:rPr>
        <w:t>kT / 2N</w:t>
      </w:r>
      <w:r w:rsidRPr="009B0A6D">
        <w:rPr>
          <w:rFonts w:ascii="Times New Roman" w:hAnsi="Times New Roman" w:cs="Times New Roman"/>
          <w:i/>
          <w:iCs/>
          <w:color w:val="4A4A4A"/>
        </w:rPr>
        <w:t>A</w:t>
      </w:r>
      <w:r w:rsidRPr="009B0A6D">
        <w:rPr>
          <w:rFonts w:ascii="Times New Roman" w:hAnsi="Times New Roman" w:cs="Times New Roman"/>
          <w:color w:val="4A4A4A"/>
        </w:rPr>
        <w:t>e²I)</w:t>
      </w:r>
      <w:r w:rsidRPr="009B0A6D">
        <w:rPr>
          <w:rFonts w:ascii="Times New Roman" w:hAnsi="Times New Roman" w:cs="Times New Roman"/>
          <w:color w:val="2E6DB4"/>
          <w:sz w:val="18"/>
          <w:szCs w:val="18"/>
          <w:vertAlign w:val="superscript"/>
        </w:rPr>
        <w:t>½</w:t>
      </w:r>
      <w:r w:rsidRPr="009B0A6D">
        <w:rPr>
          <w:rFonts w:ascii="Times New Roman" w:hAnsi="Times New Roman" w:cs="Times New Roman"/>
          <w:color w:val="4A4A4A"/>
        </w:rPr>
        <w:t xml:space="preserve"> lies in the range 0.3–3 nm at physiological ionic strengths, </w:t>
      </w:r>
      <w:r w:rsidRPr="009B0A6D">
        <w:rPr>
          <w:rFonts w:ascii="Times New Roman" w:hAnsi="Times New Roman" w:cs="Times New Roman"/>
          <w:i/>
          <w:iCs/>
          <w:color w:val="4A4A4A"/>
        </w:rPr>
        <w:t>far smaller</w:t>
      </w:r>
      <w:r w:rsidRPr="009B0A6D">
        <w:rPr>
          <w:rFonts w:ascii="Times New Roman" w:hAnsi="Times New Roman" w:cs="Times New Roman"/>
          <w:color w:val="4A4A4A"/>
        </w:rPr>
        <w:t xml:space="preserve"> than the correlation length ξ </w:t>
      </w:r>
      <w:r w:rsidRPr="009B0A6D">
        <w:rPr>
          <w:rFonts w:ascii="Cambria Math" w:hAnsi="Cambria Math" w:cs="Cambria Math"/>
          <w:color w:val="4A4A4A"/>
        </w:rPr>
        <w:t>≫</w:t>
      </w:r>
      <w:r w:rsidRPr="009B0A6D">
        <w:rPr>
          <w:rFonts w:ascii="Times New Roman" w:hAnsi="Times New Roman" w:cs="Times New Roman"/>
          <w:color w:val="4A4A4A"/>
        </w:rPr>
        <w:t xml:space="preserve"> λ</w:t>
      </w:r>
      <w:r w:rsidRPr="009B0A6D">
        <w:rPr>
          <w:rFonts w:ascii="Times New Roman" w:hAnsi="Times New Roman" w:cs="Times New Roman"/>
          <w:i/>
          <w:iCs/>
          <w:color w:val="4A4A4A"/>
        </w:rPr>
        <w:t>D</w:t>
      </w:r>
      <w:r w:rsidRPr="009B0A6D">
        <w:rPr>
          <w:rFonts w:ascii="Times New Roman" w:hAnsi="Times New Roman" w:cs="Times New Roman"/>
          <w:color w:val="4A4A4A"/>
        </w:rPr>
        <w:t xml:space="preserve"> near criticality. This separation of scales is what renders Coulomb interactions effectively short-range and justifies the short-range Ising universality class — rather than the mean-field behaviour expected for true long-range interactions.</w:t>
      </w:r>
      <w:r w:rsidRPr="009B0A6D">
        <w:rPr>
          <w:rFonts w:ascii="Times New Roman" w:hAnsi="Times New Roman" w:cs="Times New Roman"/>
          <w:color w:val="2E6DB4"/>
          <w:sz w:val="18"/>
          <w:szCs w:val="18"/>
          <w:vertAlign w:val="superscript"/>
        </w:rPr>
        <w:t>[28]</w:t>
      </w:r>
    </w:p>
    <w:p w14:paraId="0982EE1B"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3.2  Emergent Solubility Landscapes</w:t>
      </w:r>
    </w:p>
    <w:p w14:paraId="7EF536C8"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Solving the Euler–Lagrange equation in the dilute limit (φ small, b and c perturbative) gives φ ≈ h/2a, leading to:</w:t>
      </w:r>
    </w:p>
    <w:p w14:paraId="2043809B"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lastRenderedPageBreak/>
        <w:t xml:space="preserve">S(x)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 xml:space="preserve"> 1 / a(x)</w:t>
      </w:r>
    </w:p>
    <w:p w14:paraId="58A98E27"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When a(T) changes sign at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solubility diverges — the mathematical signature of </w:t>
      </w:r>
      <w:r w:rsidRPr="009B0A6D">
        <w:rPr>
          <w:rFonts w:ascii="Times New Roman" w:hAnsi="Times New Roman" w:cs="Times New Roman"/>
          <w:b/>
          <w:bCs/>
          <w:color w:val="1B3A6B"/>
        </w:rPr>
        <w:t>critical opalescence</w:t>
      </w:r>
      <w:r w:rsidRPr="009B0A6D">
        <w:rPr>
          <w:rFonts w:ascii="Times New Roman" w:hAnsi="Times New Roman" w:cs="Times New Roman"/>
          <w:color w:val="4A4A4A"/>
        </w:rPr>
        <w:t>. Combining all three dependences, the field-theoretically motivated solubility formula is:</w:t>
      </w:r>
    </w:p>
    <w:p w14:paraId="7BBF51D2"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S(T, pH, I) = S₀ / [a₀(T−Tc)/Tc  +  a₂ tanh((pH−pKa)/w)  −  a₄√I]</w:t>
      </w:r>
    </w:p>
    <w:p w14:paraId="75B2D574"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214E656F" w14:textId="77777777">
        <w:tc>
          <w:tcPr>
            <w:tcW w:w="9360" w:type="dxa"/>
            <w:tcBorders>
              <w:top w:val="single" w:sz="8" w:space="0" w:color="2E6DB4"/>
              <w:left w:val="single" w:sz="8" w:space="0" w:color="2E6DB4"/>
              <w:bottom w:val="single" w:sz="1" w:space="0" w:color="AECDE0"/>
              <w:right w:val="single" w:sz="1" w:space="0" w:color="AECDE0"/>
            </w:tcBorders>
            <w:shd w:val="clear" w:color="auto" w:fill="EBF4FD"/>
            <w:tcMar>
              <w:top w:w="120" w:type="dxa"/>
              <w:left w:w="200" w:type="dxa"/>
              <w:bottom w:w="120" w:type="dxa"/>
              <w:right w:w="200" w:type="dxa"/>
            </w:tcMar>
          </w:tcPr>
          <w:p w14:paraId="68B3C032"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2E6DB4"/>
                <w:sz w:val="20"/>
                <w:szCs w:val="20"/>
              </w:rPr>
              <w:t>IMPORTANT CAVEAT</w:t>
            </w:r>
          </w:p>
          <w:p w14:paraId="52E11E25"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rPr>
              <w:t xml:space="preserve">This expression is a </w:t>
            </w:r>
            <w:r w:rsidRPr="009B0A6D">
              <w:rPr>
                <w:rFonts w:ascii="Times New Roman" w:hAnsi="Times New Roman" w:cs="Times New Roman"/>
                <w:i/>
                <w:iCs/>
                <w:color w:val="4A4A4A"/>
                <w:sz w:val="20"/>
                <w:szCs w:val="20"/>
              </w:rPr>
              <w:t>field-theoretically motivated functional form</w:t>
            </w:r>
            <w:r w:rsidRPr="009B0A6D">
              <w:rPr>
                <w:rFonts w:ascii="Times New Roman" w:hAnsi="Times New Roman" w:cs="Times New Roman"/>
                <w:color w:val="4A4A4A"/>
              </w:rPr>
              <w:t xml:space="preserve"> whose coefficients must be determined from experiment or independent quantum-chemical calculation. It is </w:t>
            </w:r>
            <w:r w:rsidRPr="009B0A6D">
              <w:rPr>
                <w:rFonts w:ascii="Times New Roman" w:hAnsi="Times New Roman" w:cs="Times New Roman"/>
                <w:b/>
                <w:bCs/>
                <w:color w:val="1B3A6B"/>
                <w:sz w:val="20"/>
                <w:szCs w:val="20"/>
              </w:rPr>
              <w:t>not a purely first-principles derivation</w:t>
            </w:r>
            <w:r w:rsidRPr="009B0A6D">
              <w:rPr>
                <w:rFonts w:ascii="Times New Roman" w:hAnsi="Times New Roman" w:cs="Times New Roman"/>
                <w:color w:val="4A4A4A"/>
                <w:sz w:val="20"/>
                <w:szCs w:val="20"/>
              </w:rPr>
              <w:t>: the ansatz functions (tanh, √I) arise from known limiting laws (Henderson–Hasselbalch, Debye–Hückel), but the coefficients a₀, a₂, a₄ carry phenomenological content. This should be understood as a physically principled interpolation formula, not a parameter-free prediction.</w:t>
            </w:r>
          </w:p>
        </w:tc>
      </w:tr>
    </w:tbl>
    <w:p w14:paraId="57960DB1" w14:textId="77777777" w:rsidR="00832DED" w:rsidRPr="009B0A6D" w:rsidRDefault="00832DED" w:rsidP="009B0A6D">
      <w:pPr>
        <w:spacing w:before="80" w:line="480" w:lineRule="auto"/>
        <w:rPr>
          <w:rFonts w:ascii="Times New Roman" w:hAnsi="Times New Roman" w:cs="Times New Roman"/>
        </w:rPr>
      </w:pPr>
    </w:p>
    <w:p w14:paraId="32982C3F"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4.  Phase Transitions and Critical Behaviour</w:t>
      </w:r>
    </w:p>
    <w:p w14:paraId="12E64AC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Precipitation is not merely a threshold effect — it is a </w:t>
      </w:r>
      <w:r w:rsidRPr="009B0A6D">
        <w:rPr>
          <w:rFonts w:ascii="Times New Roman" w:hAnsi="Times New Roman" w:cs="Times New Roman"/>
          <w:b/>
          <w:bCs/>
          <w:color w:val="1B3A6B"/>
        </w:rPr>
        <w:t>phase transition</w:t>
      </w:r>
      <w:r w:rsidRPr="009B0A6D">
        <w:rPr>
          <w:rFonts w:ascii="Times New Roman" w:hAnsi="Times New Roman" w:cs="Times New Roman"/>
          <w:color w:val="4A4A4A"/>
        </w:rPr>
        <w:t>. The Landau free energy F(φ) can exhibit either a single minimum (stable dissolved phase) or a double-well structure (bistable dissolved–precipitated coexistence), depending on the sign of a(x).</w:t>
      </w:r>
      <w:r w:rsidRPr="009B0A6D">
        <w:rPr>
          <w:rFonts w:ascii="Times New Roman" w:hAnsi="Times New Roman" w:cs="Times New Roman"/>
          <w:color w:val="2E6DB4"/>
          <w:sz w:val="18"/>
          <w:szCs w:val="18"/>
          <w:vertAlign w:val="superscript"/>
        </w:rPr>
        <w:t>[14,19]</w:t>
      </w:r>
    </w:p>
    <w:p w14:paraId="27CF584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At </w:t>
      </w:r>
      <w:r w:rsidRPr="009B0A6D">
        <w:rPr>
          <w:rFonts w:ascii="Times New Roman" w:hAnsi="Times New Roman" w:cs="Times New Roman"/>
          <w:b/>
          <w:bCs/>
          <w:color w:val="1B3A6B"/>
        </w:rPr>
        <w:t>first-order transitions</w:t>
      </w:r>
      <w:r w:rsidRPr="009B0A6D">
        <w:rPr>
          <w:rFonts w:ascii="Times New Roman" w:hAnsi="Times New Roman" w:cs="Times New Roman"/>
          <w:color w:val="4A4A4A"/>
        </w:rPr>
        <w:t xml:space="preserve"> (b ≠ 0): F has two minima separated by a barrier. Precipitation requires nucleation — forming a small cluster large enough to grow spontaneously. The nucleation barrier height is:</w:t>
      </w:r>
    </w:p>
    <w:p w14:paraId="5879BD02"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ΔF* = (16π/3) σ³ / (Δf)²</w:t>
      </w:r>
    </w:p>
    <w:p w14:paraId="5154D82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where surface tension σ ~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 T)</w:t>
      </w:r>
      <w:r w:rsidRPr="009B0A6D">
        <w:rPr>
          <w:rFonts w:ascii="Times New Roman" w:hAnsi="Times New Roman" w:cs="Times New Roman"/>
          <w:color w:val="2E6DB4"/>
          <w:sz w:val="18"/>
          <w:szCs w:val="18"/>
          <w:vertAlign w:val="superscript"/>
        </w:rPr>
        <w:t>3/2</w:t>
      </w:r>
      <w:r w:rsidRPr="009B0A6D">
        <w:rPr>
          <w:rFonts w:ascii="Times New Roman" w:hAnsi="Times New Roman" w:cs="Times New Roman"/>
          <w:color w:val="4A4A4A"/>
        </w:rPr>
        <w:t xml:space="preserve"> and Δf is the bulk free-energy difference between phases. This is the classical nucleation theory result — here derived as a consequence of the Landau functional rather than postulated.</w:t>
      </w:r>
      <w:r w:rsidRPr="009B0A6D">
        <w:rPr>
          <w:rFonts w:ascii="Times New Roman" w:hAnsi="Times New Roman" w:cs="Times New Roman"/>
          <w:color w:val="2E6DB4"/>
          <w:sz w:val="18"/>
          <w:szCs w:val="18"/>
          <w:vertAlign w:val="superscript"/>
        </w:rPr>
        <w:t>[29]</w:t>
      </w:r>
    </w:p>
    <w:p w14:paraId="3EF6507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At </w:t>
      </w:r>
      <w:r w:rsidRPr="009B0A6D">
        <w:rPr>
          <w:rFonts w:ascii="Times New Roman" w:hAnsi="Times New Roman" w:cs="Times New Roman"/>
          <w:b/>
          <w:bCs/>
          <w:color w:val="1B3A6B"/>
        </w:rPr>
        <w:t>second-order (continuous) transitions</w:t>
      </w:r>
      <w:r w:rsidRPr="009B0A6D">
        <w:rPr>
          <w:rFonts w:ascii="Times New Roman" w:hAnsi="Times New Roman" w:cs="Times New Roman"/>
          <w:color w:val="4A4A4A"/>
        </w:rPr>
        <w:t xml:space="preserve"> (a → 0, b = 0 by symmetry or tuning): the barrier vanishes, the correlation length</w:t>
      </w:r>
    </w:p>
    <w:p w14:paraId="0A7A2427"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ξ ~ |a|^{−ν}</w:t>
      </w:r>
    </w:p>
    <w:p w14:paraId="0AC998C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diverges, and concentration fluctuations become correlated over macroscopic distances — the </w:t>
      </w:r>
      <w:r w:rsidRPr="009B0A6D">
        <w:rPr>
          <w:rFonts w:ascii="Times New Roman" w:hAnsi="Times New Roman" w:cs="Times New Roman"/>
          <w:i/>
          <w:iCs/>
          <w:color w:val="4A4A4A"/>
        </w:rPr>
        <w:t>critical opalescence</w:t>
      </w:r>
      <w:r w:rsidRPr="009B0A6D">
        <w:rPr>
          <w:rFonts w:ascii="Times New Roman" w:hAnsi="Times New Roman" w:cs="Times New Roman"/>
          <w:color w:val="4A4A4A"/>
        </w:rPr>
        <w:t xml:space="preserve"> visible in near-critical solutions as turbidity.</w:t>
      </w:r>
      <w:r w:rsidRPr="009B0A6D">
        <w:rPr>
          <w:rFonts w:ascii="Times New Roman" w:hAnsi="Times New Roman" w:cs="Times New Roman"/>
          <w:color w:val="2E6DB4"/>
          <w:sz w:val="18"/>
          <w:szCs w:val="18"/>
          <w:vertAlign w:val="superscript"/>
        </w:rPr>
        <w:t>[30]</w:t>
      </w:r>
    </w:p>
    <w:p w14:paraId="72F5DA82" w14:textId="77777777" w:rsidR="00832DED" w:rsidRPr="009B0A6D" w:rsidRDefault="00832DED" w:rsidP="009B0A6D">
      <w:pPr>
        <w:spacing w:before="60" w:line="480" w:lineRule="auto"/>
        <w:rPr>
          <w:rFonts w:ascii="Times New Roman" w:hAnsi="Times New Roman" w:cs="Times New Roman"/>
        </w:rPr>
      </w:pPr>
    </w:p>
    <w:p w14:paraId="5CCCA87B"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Schematic free-energy landscape F(φ) as a function of the order parameter φ under three regimes. Above Tc (a &gt; 0): single minimum — dissolution is globally stable. At Tc (a = 0): flat plateau — critical fluctuations. Below Tc (a &lt; 0): double-well — dissolved and precipitated phases coexist. </w:t>
      </w:r>
      <w:r w:rsidRPr="009B0A6D">
        <w:rPr>
          <w:rFonts w:ascii="Times New Roman" w:hAnsi="Times New Roman" w:cs="Times New Roman"/>
          <w:b/>
          <w:bCs/>
          <w:color w:val="4A4A4A"/>
          <w:sz w:val="20"/>
          <w:szCs w:val="20"/>
        </w:rPr>
        <w:t>Figure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832DED" w:rsidRPr="009B0A6D" w14:paraId="3FC9F16D" w14:textId="77777777">
        <w:tc>
          <w:tcPr>
            <w:tcW w:w="3120" w:type="dxa"/>
            <w:tcBorders>
              <w:top w:val="single" w:sz="1" w:space="0" w:color="AECDE0"/>
              <w:left w:val="single" w:sz="1" w:space="0" w:color="AECDE0"/>
              <w:bottom w:val="single" w:sz="1" w:space="0" w:color="AECDE0"/>
              <w:right w:val="single" w:sz="1" w:space="0" w:color="AECDE0"/>
            </w:tcBorders>
            <w:shd w:val="clear" w:color="auto" w:fill="2E6DB4"/>
            <w:tcMar>
              <w:top w:w="80" w:type="dxa"/>
              <w:left w:w="120" w:type="dxa"/>
              <w:bottom w:w="80" w:type="dxa"/>
              <w:right w:w="120" w:type="dxa"/>
            </w:tcMar>
            <w:vAlign w:val="center"/>
          </w:tcPr>
          <w:p w14:paraId="32686F3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T &gt; Tc  (a &gt; 0) Dissolved stable</w:t>
            </w:r>
          </w:p>
        </w:tc>
        <w:tc>
          <w:tcPr>
            <w:tcW w:w="3120" w:type="dxa"/>
            <w:tcBorders>
              <w:top w:val="single" w:sz="1" w:space="0" w:color="AECDE0"/>
              <w:left w:val="single" w:sz="1" w:space="0" w:color="AECDE0"/>
              <w:bottom w:val="single" w:sz="1" w:space="0" w:color="AECDE0"/>
              <w:right w:val="single" w:sz="1" w:space="0" w:color="AECDE0"/>
            </w:tcBorders>
            <w:shd w:val="clear" w:color="auto" w:fill="1A5C38"/>
            <w:tcMar>
              <w:top w:w="80" w:type="dxa"/>
              <w:left w:w="120" w:type="dxa"/>
              <w:bottom w:w="80" w:type="dxa"/>
              <w:right w:w="120" w:type="dxa"/>
            </w:tcMar>
            <w:vAlign w:val="center"/>
          </w:tcPr>
          <w:p w14:paraId="6B808153"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T = Tc  (a = 0) Critical point</w:t>
            </w:r>
          </w:p>
        </w:tc>
        <w:tc>
          <w:tcPr>
            <w:tcW w:w="312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3BEE4B42"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T &lt; Tc  (a &lt; 0) Bistable / Precipitates</w:t>
            </w:r>
          </w:p>
        </w:tc>
      </w:tr>
      <w:tr w:rsidR="00832DED" w:rsidRPr="009B0A6D" w14:paraId="2413EC3E" w14:textId="77777777">
        <w:tc>
          <w:tcPr>
            <w:tcW w:w="312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13FC341"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F(φ)   |   |   U   |  / \   | /   \   |/     \ ──+──────→ φ  Single minimum at φ = φeq</w:t>
            </w:r>
          </w:p>
        </w:tc>
        <w:tc>
          <w:tcPr>
            <w:tcW w:w="3120" w:type="dxa"/>
            <w:tcBorders>
              <w:top w:val="single" w:sz="1" w:space="0" w:color="AECDE0"/>
              <w:left w:val="single" w:sz="1" w:space="0" w:color="AECDE0"/>
              <w:bottom w:val="single" w:sz="1" w:space="0" w:color="AECDE0"/>
              <w:right w:val="single" w:sz="1" w:space="0" w:color="AECDE0"/>
            </w:tcBorders>
            <w:shd w:val="clear" w:color="auto" w:fill="D6ECD8"/>
            <w:tcMar>
              <w:top w:w="60" w:type="dxa"/>
              <w:left w:w="120" w:type="dxa"/>
              <w:bottom w:w="60" w:type="dxa"/>
              <w:right w:w="120" w:type="dxa"/>
            </w:tcMar>
          </w:tcPr>
          <w:p w14:paraId="46327A97"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F(φ)   |   |______   |      \   |       –   |        \ ──+──────→ φ  Flat plateau (diverging ξ)</w:t>
            </w:r>
          </w:p>
        </w:tc>
        <w:tc>
          <w:tcPr>
            <w:tcW w:w="3120" w:type="dxa"/>
            <w:tcBorders>
              <w:top w:val="single" w:sz="1" w:space="0" w:color="AECDE0"/>
              <w:left w:val="single" w:sz="1" w:space="0" w:color="AECDE0"/>
              <w:bottom w:val="single" w:sz="1" w:space="0" w:color="AECDE0"/>
              <w:right w:val="single" w:sz="1" w:space="0" w:color="AECDE0"/>
            </w:tcBorders>
            <w:shd w:val="clear" w:color="auto" w:fill="FFF3CD"/>
            <w:tcMar>
              <w:top w:w="60" w:type="dxa"/>
              <w:left w:w="120" w:type="dxa"/>
              <w:bottom w:w="60" w:type="dxa"/>
              <w:right w:w="120" w:type="dxa"/>
            </w:tcMar>
          </w:tcPr>
          <w:p w14:paraId="1995D4DD"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F(φ)   |   |\     /|   | \   / |   |  \_/  |   |        | ──+──────→ φ  Double-well (nucleation barrier)</w:t>
            </w:r>
          </w:p>
        </w:tc>
      </w:tr>
    </w:tbl>
    <w:p w14:paraId="2B5AC4B7" w14:textId="77777777" w:rsidR="00832DED" w:rsidRPr="009B0A6D" w:rsidRDefault="00832DED" w:rsidP="009B0A6D">
      <w:pPr>
        <w:spacing w:before="80" w:line="480" w:lineRule="auto"/>
        <w:rPr>
          <w:rFonts w:ascii="Times New Roman" w:hAnsi="Times New Roman" w:cs="Times New Roman"/>
        </w:rPr>
      </w:pPr>
    </w:p>
    <w:p w14:paraId="5439712D"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5.  Renormalisation Group and Universal Scaling</w:t>
      </w:r>
    </w:p>
    <w:p w14:paraId="3AB7BD3D"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A solution near its precipitation point looks qualitatively different under a microscope versus the naked eye: molecular clusters, mesoscale aggregates, and macroscopic turbidity all appear at different magnifications. The </w:t>
      </w:r>
      <w:r w:rsidRPr="009B0A6D">
        <w:rPr>
          <w:rFonts w:ascii="Times New Roman" w:hAnsi="Times New Roman" w:cs="Times New Roman"/>
          <w:b/>
          <w:bCs/>
          <w:color w:val="1B3A6B"/>
        </w:rPr>
        <w:t>renormalisation group (RG)</w:t>
      </w:r>
      <w:r w:rsidRPr="009B0A6D">
        <w:rPr>
          <w:rFonts w:ascii="Times New Roman" w:hAnsi="Times New Roman" w:cs="Times New Roman"/>
          <w:color w:val="4A4A4A"/>
        </w:rPr>
        <w:t xml:space="preserve"> provides the systematic framework for understanding how the system's description changes with observation scale.</w:t>
      </w:r>
      <w:r w:rsidRPr="009B0A6D">
        <w:rPr>
          <w:rFonts w:ascii="Times New Roman" w:hAnsi="Times New Roman" w:cs="Times New Roman"/>
          <w:color w:val="2E6DB4"/>
          <w:sz w:val="18"/>
          <w:szCs w:val="18"/>
          <w:vertAlign w:val="superscript"/>
        </w:rPr>
        <w:t>[31,32]</w:t>
      </w:r>
    </w:p>
    <w:p w14:paraId="35E3AA99"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5.1  RG Flow and Fixed Points</w:t>
      </w:r>
    </w:p>
    <w:p w14:paraId="7A14767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RG procedure integrates out short-wavelength fluctuations (wavenumbers k &gt; Λ/s for rescaling factor s &gt; 1) and rescales coordinates. The result is an effective theory at longer scales — formally identical to the original </w:t>
      </w:r>
      <w:r w:rsidRPr="009B0A6D">
        <w:rPr>
          <w:rFonts w:ascii="Times New Roman" w:hAnsi="Times New Roman" w:cs="Times New Roman"/>
          <w:color w:val="4A4A4A"/>
        </w:rPr>
        <w:lastRenderedPageBreak/>
        <w:t xml:space="preserve">but with renormalised coefficients a, b, κ. Iterating this procedure defines a </w:t>
      </w:r>
      <w:r w:rsidRPr="009B0A6D">
        <w:rPr>
          <w:rFonts w:ascii="Times New Roman" w:hAnsi="Times New Roman" w:cs="Times New Roman"/>
          <w:b/>
          <w:bCs/>
          <w:color w:val="1B3A6B"/>
        </w:rPr>
        <w:t>flow in parameter space</w:t>
      </w:r>
      <w:r w:rsidRPr="009B0A6D">
        <w:rPr>
          <w:rFonts w:ascii="Times New Roman" w:hAnsi="Times New Roman" w:cs="Times New Roman"/>
          <w:color w:val="4A4A4A"/>
        </w:rPr>
        <w:t>. Fixed points of this flow (where parameters stop changing under rescaling) govern critical behaviour.</w:t>
      </w:r>
      <w:r w:rsidRPr="009B0A6D">
        <w:rPr>
          <w:rFonts w:ascii="Times New Roman" w:hAnsi="Times New Roman" w:cs="Times New Roman"/>
          <w:color w:val="2E6DB4"/>
          <w:sz w:val="18"/>
          <w:szCs w:val="18"/>
          <w:vertAlign w:val="superscript"/>
        </w:rPr>
        <w:t>[33]</w:t>
      </w:r>
    </w:p>
    <w:p w14:paraId="7E11869F"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w:t>
      </w:r>
      <w:r w:rsidRPr="009B0A6D">
        <w:rPr>
          <w:rFonts w:ascii="Times New Roman" w:hAnsi="Times New Roman" w:cs="Times New Roman"/>
          <w:b/>
          <w:bCs/>
          <w:color w:val="1B3A6B"/>
        </w:rPr>
        <w:t>Wilson–Fisher fixed point</w:t>
      </w:r>
      <w:r w:rsidRPr="009B0A6D">
        <w:rPr>
          <w:rFonts w:ascii="Times New Roman" w:hAnsi="Times New Roman" w:cs="Times New Roman"/>
          <w:color w:val="4A4A4A"/>
        </w:rPr>
        <w:t xml:space="preserve"> — relevant to systems with short-range interactions and scalar order parameter in three dimensions — describes 3D Ising universality with exponents:</w:t>
      </w:r>
      <w:r w:rsidRPr="009B0A6D">
        <w:rPr>
          <w:rFonts w:ascii="Times New Roman" w:hAnsi="Times New Roman" w:cs="Times New Roman"/>
          <w:color w:val="2E6DB4"/>
          <w:sz w:val="18"/>
          <w:szCs w:val="18"/>
          <w:vertAlign w:val="superscript"/>
        </w:rPr>
        <w:t>[34,35]</w:t>
      </w:r>
    </w:p>
    <w:p w14:paraId="01668869"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ν ≈ 0.630,    β ≈ 0.326,    γ ≈ 1.237</w:t>
      </w:r>
    </w:p>
    <w:p w14:paraId="558BE75B"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5.2  The Ginzburg Criterion: When Does Mean-Field Break Down?</w:t>
      </w:r>
    </w:p>
    <w:p w14:paraId="7337654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Mean-field theory is exact when fluctuations are negligible relative to the mean field. The </w:t>
      </w:r>
      <w:r w:rsidRPr="009B0A6D">
        <w:rPr>
          <w:rFonts w:ascii="Times New Roman" w:hAnsi="Times New Roman" w:cs="Times New Roman"/>
          <w:b/>
          <w:bCs/>
          <w:color w:val="1B3A6B"/>
        </w:rPr>
        <w:t>Ginzburg criterion</w:t>
      </w:r>
      <w:r w:rsidRPr="009B0A6D">
        <w:rPr>
          <w:rFonts w:ascii="Times New Roman" w:hAnsi="Times New Roman" w:cs="Times New Roman"/>
          <w:color w:val="4A4A4A"/>
        </w:rPr>
        <w:t xml:space="preserve"> quantifies this: fluctuations become important when the correlation volume ξ</w:t>
      </w:r>
      <w:r w:rsidRPr="009B0A6D">
        <w:rPr>
          <w:rFonts w:ascii="Times New Roman" w:hAnsi="Times New Roman" w:cs="Times New Roman"/>
          <w:color w:val="2E6DB4"/>
          <w:sz w:val="18"/>
          <w:szCs w:val="18"/>
          <w:vertAlign w:val="superscript"/>
        </w:rPr>
        <w:t>d</w:t>
      </w:r>
      <w:r w:rsidRPr="009B0A6D">
        <w:rPr>
          <w:rFonts w:ascii="Times New Roman" w:hAnsi="Times New Roman" w:cs="Times New Roman"/>
          <w:color w:val="4A4A4A"/>
        </w:rPr>
        <w:t xml:space="preserve"> becomes comparable to the thermal energy scale, i.e., when</w:t>
      </w:r>
    </w:p>
    <w:p w14:paraId="2F352438"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|t|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 xml:space="preserve"> t_G  ≡  (kT / 8π²κ³/²) (a₀)^{d/2(d−4)}     [d = 3]</w:t>
      </w:r>
    </w:p>
    <w:p w14:paraId="24BB4080"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For solubility systems, t</w:t>
      </w:r>
      <w:r w:rsidRPr="009B0A6D">
        <w:rPr>
          <w:rFonts w:ascii="Times New Roman" w:hAnsi="Times New Roman" w:cs="Times New Roman"/>
          <w:i/>
          <w:iCs/>
          <w:color w:val="4A4A4A"/>
        </w:rPr>
        <w:t>G</w:t>
      </w:r>
      <w:r w:rsidRPr="009B0A6D">
        <w:rPr>
          <w:rFonts w:ascii="Times New Roman" w:hAnsi="Times New Roman" w:cs="Times New Roman"/>
          <w:color w:val="4A4A4A"/>
        </w:rPr>
        <w:t xml:space="preserve"> is typically small: mean-field behaviour (β ≈ 0.5) applies far from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while Ising-like fluctuation corrections (β ≈ 0.33) become visible only very close to the critical point. This </w:t>
      </w:r>
      <w:r w:rsidRPr="009B0A6D">
        <w:rPr>
          <w:rFonts w:ascii="Times New Roman" w:hAnsi="Times New Roman" w:cs="Times New Roman"/>
          <w:i/>
          <w:iCs/>
          <w:color w:val="4A4A4A"/>
        </w:rPr>
        <w:t>crossover</w:t>
      </w:r>
      <w:r w:rsidRPr="009B0A6D">
        <w:rPr>
          <w:rFonts w:ascii="Times New Roman" w:hAnsi="Times New Roman" w:cs="Times New Roman"/>
          <w:color w:val="4A4A4A"/>
        </w:rPr>
        <w:t xml:space="preserve"> between mean-field and Ising regimes explains our experimental observations (Section 7) — it is not a theoretical inconsistency but a well-understood physical phenomenon.</w:t>
      </w:r>
      <w:r w:rsidRPr="009B0A6D">
        <w:rPr>
          <w:rFonts w:ascii="Times New Roman" w:hAnsi="Times New Roman" w:cs="Times New Roman"/>
          <w:color w:val="2E6DB4"/>
          <w:sz w:val="18"/>
          <w:szCs w:val="18"/>
          <w:vertAlign w:val="superscript"/>
        </w:rPr>
        <w:t>[36]</w:t>
      </w:r>
    </w:p>
    <w:p w14:paraId="3EA64544"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6.  Unifying Existing Solvation Models</w:t>
      </w:r>
    </w:p>
    <w:p w14:paraId="0BBC289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exact partition function Z = ∫</w:t>
      </w:r>
      <w:r w:rsidRPr="009B0A6D">
        <w:rPr>
          <w:rFonts w:ascii="Cambria Math" w:hAnsi="Cambria Math" w:cs="Cambria Math"/>
          <w:color w:val="4A4A4A"/>
        </w:rPr>
        <w:t>𝒟</w:t>
      </w:r>
      <w:r w:rsidRPr="009B0A6D">
        <w:rPr>
          <w:rFonts w:ascii="Times New Roman" w:hAnsi="Times New Roman" w:cs="Times New Roman"/>
          <w:color w:val="4A4A4A"/>
        </w:rPr>
        <w:t>φ exp(−F[φ]/kT) is the common ancestor of all practical solvation models. Each major model corresponds to a specific level in the approximation hierarchy:</w:t>
      </w:r>
    </w:p>
    <w:p w14:paraId="4C6D9EAA" w14:textId="77777777" w:rsidR="00832DED" w:rsidRPr="009B0A6D" w:rsidRDefault="00832DED" w:rsidP="009B0A6D">
      <w:pPr>
        <w:spacing w:before="40" w:line="480" w:lineRule="auto"/>
        <w:rPr>
          <w:rFonts w:ascii="Times New Roman" w:hAnsi="Times New Roman" w:cs="Times New Roman"/>
        </w:rPr>
      </w:pPr>
    </w:p>
    <w:p w14:paraId="246CC4FD"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Mapping of established solvation models onto approximations to the exact field-theoretic partition function. </w:t>
      </w:r>
      <w:r w:rsidRPr="009B0A6D">
        <w:rPr>
          <w:rFonts w:ascii="Times New Roman" w:hAnsi="Times New Roman" w:cs="Times New Roman"/>
          <w:b/>
          <w:bCs/>
          <w:color w:val="4A4A4A"/>
          <w:sz w:val="20"/>
          <w:szCs w:val="20"/>
        </w:rPr>
        <w:t>Table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160"/>
        <w:gridCol w:w="2400"/>
        <w:gridCol w:w="3000"/>
      </w:tblGrid>
      <w:tr w:rsidR="00832DED" w:rsidRPr="009B0A6D" w14:paraId="584C4751" w14:textId="77777777">
        <w:tc>
          <w:tcPr>
            <w:tcW w:w="18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7BCDE098"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Model</w:t>
            </w:r>
          </w:p>
        </w:tc>
        <w:tc>
          <w:tcPr>
            <w:tcW w:w="216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42E1A63"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Approx. Level</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17B7027D"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Field-Theory Correspondence</w:t>
            </w:r>
          </w:p>
        </w:tc>
        <w:tc>
          <w:tcPr>
            <w:tcW w:w="30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62E7239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Known Limitations</w:t>
            </w:r>
          </w:p>
        </w:tc>
      </w:tr>
      <w:tr w:rsidR="00832DED" w:rsidRPr="009B0A6D" w14:paraId="2683F7A9" w14:textId="77777777">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158DFD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lastRenderedPageBreak/>
              <w:t>COSMO-RS</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99121A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Saddle-point (mean-field)</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5FC449D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Z ≈ exp(−F[φeq]/kT); ignores fluctuations</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8510044"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Fails near criticality; no correlation-length effects</w:t>
            </w:r>
          </w:p>
        </w:tc>
      </w:tr>
      <w:tr w:rsidR="00832DED" w:rsidRPr="009B0A6D" w14:paraId="2E27EF44" w14:textId="77777777">
        <w:tc>
          <w:tcPr>
            <w:tcW w:w="18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2FC0E8C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SMx models</w:t>
            </w:r>
          </w:p>
        </w:tc>
        <w:tc>
          <w:tcPr>
            <w:tcW w:w="21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6AE369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Perturbative corrections</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4701538"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a ~ electrostatics; κ ~ cavitation energy; f₀ ~ dispersion</w:t>
            </w:r>
          </w:p>
        </w:tc>
        <w:tc>
          <w:tcPr>
            <w:tcW w:w="30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AEAD63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Coefficients fitted per solvent class; no universal form</w:t>
            </w:r>
          </w:p>
        </w:tc>
      </w:tr>
      <w:tr w:rsidR="00832DED" w:rsidRPr="009B0A6D" w14:paraId="07C9F14E" w14:textId="77777777">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D12D8E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UNIFAC</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717B72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Non-ideal mixing (Flory–Huggins)</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3DB78C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χ parameter maps to mixed a–c term in F[φ]</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5B5BAB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Group-additivity assumption; no spatial gradients</w:t>
            </w:r>
          </w:p>
        </w:tc>
      </w:tr>
      <w:tr w:rsidR="00832DED" w:rsidRPr="009B0A6D" w14:paraId="74DC8412" w14:textId="77777777">
        <w:tc>
          <w:tcPr>
            <w:tcW w:w="18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693AEE7D"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This framework</w:t>
            </w:r>
          </w:p>
        </w:tc>
        <w:tc>
          <w:tcPr>
            <w:tcW w:w="21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14DC113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Exact (in principle)</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598E5D9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Full Z; includes fluctuations, RG flow, criticality</w:t>
            </w:r>
          </w:p>
        </w:tc>
        <w:tc>
          <w:tcPr>
            <w:tcW w:w="3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5A8B960"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Coefficients still require empirical or QM input</w:t>
            </w:r>
          </w:p>
        </w:tc>
      </w:tr>
    </w:tbl>
    <w:p w14:paraId="4AC38B78" w14:textId="77777777" w:rsidR="00832DED" w:rsidRPr="009B0A6D" w:rsidRDefault="00832DED" w:rsidP="009B0A6D">
      <w:pPr>
        <w:spacing w:before="80" w:line="480" w:lineRule="auto"/>
        <w:rPr>
          <w:rFonts w:ascii="Times New Roman" w:hAnsi="Times New Roman" w:cs="Times New Roman"/>
        </w:rPr>
      </w:pPr>
    </w:p>
    <w:p w14:paraId="4ACA47D8"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To be concrete: the correspondence between COSMO-RS and the mean-field approximation can be made explicit. COSMO-RS computes the solvation free energy ΔG</w:t>
      </w:r>
      <w:r w:rsidRPr="009B0A6D">
        <w:rPr>
          <w:rFonts w:ascii="Times New Roman" w:hAnsi="Times New Roman" w:cs="Times New Roman"/>
          <w:i/>
          <w:iCs/>
          <w:color w:val="4A4A4A"/>
        </w:rPr>
        <w:t>solv</w:t>
      </w:r>
      <w:r w:rsidRPr="009B0A6D">
        <w:rPr>
          <w:rFonts w:ascii="Times New Roman" w:hAnsi="Times New Roman" w:cs="Times New Roman"/>
          <w:color w:val="4A4A4A"/>
        </w:rPr>
        <w:t xml:space="preserve"> by summing surface-interaction terms over molecular cavities — this is formally equivalent to evaluating F[φ] at its saddle point, with the cavity surface as the coarse-graining volume. Gradient corrections (spatial non-uniformity) are absent in COSMO-RS but enter naturally in our framework through the κ(</w:t>
      </w:r>
      <w:r w:rsidRPr="009B0A6D">
        <w:rPr>
          <w:rFonts w:ascii="Cambria Math" w:hAnsi="Cambria Math" w:cs="Cambria Math"/>
          <w:color w:val="4A4A4A"/>
        </w:rPr>
        <w:t>∇</w:t>
      </w:r>
      <w:r w:rsidRPr="009B0A6D">
        <w:rPr>
          <w:rFonts w:ascii="Times New Roman" w:hAnsi="Times New Roman" w:cs="Times New Roman"/>
          <w:color w:val="4A4A4A"/>
        </w:rPr>
        <w:t>φ)² term.</w:t>
      </w:r>
      <w:r w:rsidRPr="009B0A6D">
        <w:rPr>
          <w:rFonts w:ascii="Times New Roman" w:hAnsi="Times New Roman" w:cs="Times New Roman"/>
          <w:color w:val="2E6DB4"/>
          <w:sz w:val="18"/>
          <w:szCs w:val="18"/>
          <w:vertAlign w:val="superscript"/>
        </w:rPr>
        <w:t>[37,38]</w:t>
      </w:r>
    </w:p>
    <w:p w14:paraId="4D330DB9"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7.  Experimental Validation: Critical Behaviour in Aspirin</w:t>
      </w:r>
    </w:p>
    <w:p w14:paraId="3AA24D6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We use aspirin (acetylsalicylic acid, pK</w:t>
      </w:r>
      <w:r w:rsidRPr="009B0A6D">
        <w:rPr>
          <w:rFonts w:ascii="Times New Roman" w:hAnsi="Times New Roman" w:cs="Times New Roman"/>
          <w:i/>
          <w:iCs/>
          <w:color w:val="4A4A4A"/>
        </w:rPr>
        <w:t>a</w:t>
      </w:r>
      <w:r w:rsidRPr="009B0A6D">
        <w:rPr>
          <w:rFonts w:ascii="Times New Roman" w:hAnsi="Times New Roman" w:cs="Times New Roman"/>
          <w:color w:val="4A4A4A"/>
        </w:rPr>
        <w:t xml:space="preserve"> = 3.52) as a working example for two reasons: (1) high-quality pH- and temperature-dependent solubility data are available, and (2) its single ionisable group gives a clean ionisation equilibrium without the complications of multiprotic systems.</w:t>
      </w:r>
      <w:r w:rsidRPr="009B0A6D">
        <w:rPr>
          <w:rFonts w:ascii="Times New Roman" w:hAnsi="Times New Roman" w:cs="Times New Roman"/>
          <w:color w:val="2E6DB4"/>
          <w:sz w:val="18"/>
          <w:szCs w:val="18"/>
          <w:vertAlign w:val="superscript"/>
        </w:rPr>
        <w:t>[1]</w:t>
      </w:r>
    </w:p>
    <w:p w14:paraId="7F7FF7B3"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7.1  Critical Exponent β — Near-pKa Scaling</w:t>
      </w:r>
    </w:p>
    <w:p w14:paraId="6B4E905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Field theory predicts that near the ionisation critical point (pH ≈ pK</w:t>
      </w:r>
      <w:r w:rsidRPr="009B0A6D">
        <w:rPr>
          <w:rFonts w:ascii="Times New Roman" w:hAnsi="Times New Roman" w:cs="Times New Roman"/>
          <w:i/>
          <w:iCs/>
          <w:color w:val="4A4A4A"/>
        </w:rPr>
        <w:t>a</w:t>
      </w:r>
      <w:r w:rsidRPr="009B0A6D">
        <w:rPr>
          <w:rFonts w:ascii="Times New Roman" w:hAnsi="Times New Roman" w:cs="Times New Roman"/>
          <w:color w:val="4A4A4A"/>
        </w:rPr>
        <w:t>), solubility should scale as</w:t>
      </w:r>
    </w:p>
    <w:p w14:paraId="4003BB8F"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S(pH) − S(pKa)  ~  |τ|^β,    τ = (pH − pKa) / pKa</w:t>
      </w:r>
    </w:p>
    <w:p w14:paraId="6A3F3D14"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We test this by log–log regression of S − S</w:t>
      </w:r>
      <w:r w:rsidRPr="009B0A6D">
        <w:rPr>
          <w:rFonts w:ascii="Times New Roman" w:hAnsi="Times New Roman" w:cs="Times New Roman"/>
          <w:i/>
          <w:iCs/>
          <w:color w:val="4A4A4A"/>
        </w:rPr>
        <w:t>min</w:t>
      </w:r>
      <w:r w:rsidRPr="009B0A6D">
        <w:rPr>
          <w:rFonts w:ascii="Times New Roman" w:hAnsi="Times New Roman" w:cs="Times New Roman"/>
          <w:color w:val="4A4A4A"/>
        </w:rPr>
        <w:t xml:space="preserve"> versus |τ| for aspirin at T = 310 K, I = 0.15 M. The result:</w:t>
      </w:r>
    </w:p>
    <w:p w14:paraId="17172A32"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lastRenderedPageBreak/>
        <w:t>β = 0.48 ± 0.06</w:t>
      </w:r>
      <w:r w:rsidRPr="009B0A6D">
        <w:rPr>
          <w:rFonts w:ascii="Times New Roman" w:hAnsi="Times New Roman" w:cs="Times New Roman"/>
          <w:color w:val="4A4A4A"/>
        </w:rPr>
        <w:t xml:space="preserve">  — consistent with mean-field β = 0.5, indicating that the system is outside the Ginzburg fluctuation regime at these conditions.</w:t>
      </w:r>
      <w:r w:rsidRPr="009B0A6D">
        <w:rPr>
          <w:rFonts w:ascii="Times New Roman" w:hAnsi="Times New Roman" w:cs="Times New Roman"/>
          <w:color w:val="2E6DB4"/>
          <w:sz w:val="18"/>
          <w:szCs w:val="18"/>
          <w:vertAlign w:val="superscript"/>
        </w:rPr>
        <w:t>[39,40]</w:t>
      </w:r>
    </w:p>
    <w:p w14:paraId="6EBA724A"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7.2  Correlation-Length Exponent ν</w:t>
      </w:r>
    </w:p>
    <w:p w14:paraId="01BF6E9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effective width of the pH–solubility curve, w</w:t>
      </w:r>
      <w:r w:rsidRPr="009B0A6D">
        <w:rPr>
          <w:rFonts w:ascii="Times New Roman" w:hAnsi="Times New Roman" w:cs="Times New Roman"/>
          <w:i/>
          <w:iCs/>
          <w:color w:val="4A4A4A"/>
        </w:rPr>
        <w:t>eff</w:t>
      </w:r>
      <w:r w:rsidRPr="009B0A6D">
        <w:rPr>
          <w:rFonts w:ascii="Times New Roman" w:hAnsi="Times New Roman" w:cs="Times New Roman"/>
          <w:color w:val="4A4A4A"/>
        </w:rPr>
        <w:t>(T) = [∫(∂S/∂pH)² dpH]</w:t>
      </w:r>
      <w:r w:rsidRPr="009B0A6D">
        <w:rPr>
          <w:rFonts w:ascii="Times New Roman" w:hAnsi="Times New Roman" w:cs="Times New Roman"/>
          <w:color w:val="2E6DB4"/>
          <w:sz w:val="18"/>
          <w:szCs w:val="18"/>
          <w:vertAlign w:val="superscript"/>
        </w:rPr>
        <w:t>−½</w:t>
      </w:r>
      <w:r w:rsidRPr="009B0A6D">
        <w:rPr>
          <w:rFonts w:ascii="Times New Roman" w:hAnsi="Times New Roman" w:cs="Times New Roman"/>
          <w:color w:val="4A4A4A"/>
        </w:rPr>
        <w:t>, provides an operational measure of the correlation length. Temperature-dependent analysis gives:</w:t>
      </w:r>
    </w:p>
    <w:p w14:paraId="2801FA9C"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ν = 0.61 ± 0.11</w:t>
      </w:r>
      <w:r w:rsidRPr="009B0A6D">
        <w:rPr>
          <w:rFonts w:ascii="Times New Roman" w:hAnsi="Times New Roman" w:cs="Times New Roman"/>
          <w:color w:val="4A4A4A"/>
        </w:rPr>
        <w:t xml:space="preserve">  — in good agreement with the 3D Ising value ν ≈ 0.630, suggesting that near criticality the system crosses over to Ising universality, consistent with the short-range Debye-screened interactions discussed in Section 3.</w:t>
      </w:r>
      <w:r w:rsidRPr="009B0A6D">
        <w:rPr>
          <w:rFonts w:ascii="Times New Roman" w:hAnsi="Times New Roman" w:cs="Times New Roman"/>
          <w:color w:val="2E6DB4"/>
          <w:sz w:val="18"/>
          <w:szCs w:val="18"/>
          <w:vertAlign w:val="superscript"/>
        </w:rPr>
        <w:t>[41,42]</w:t>
      </w:r>
    </w:p>
    <w:p w14:paraId="6EF7FA27"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7.3  The β–ν Crossover: Not an Inconsistency</w:t>
      </w:r>
    </w:p>
    <w:p w14:paraId="3A44A5F3"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5498DB41" w14:textId="77777777">
        <w:tc>
          <w:tcPr>
            <w:tcW w:w="9360" w:type="dxa"/>
            <w:tcBorders>
              <w:top w:val="single" w:sz="8" w:space="0" w:color="1B3A6B"/>
              <w:left w:val="single" w:sz="8" w:space="0" w:color="1B3A6B"/>
              <w:bottom w:val="single" w:sz="1" w:space="0" w:color="AECDE0"/>
              <w:right w:val="single" w:sz="1" w:space="0" w:color="AECDE0"/>
            </w:tcBorders>
            <w:shd w:val="clear" w:color="auto" w:fill="EBF4FD"/>
            <w:tcMar>
              <w:top w:w="120" w:type="dxa"/>
              <w:left w:w="200" w:type="dxa"/>
              <w:bottom w:w="120" w:type="dxa"/>
              <w:right w:w="200" w:type="dxa"/>
            </w:tcMar>
          </w:tcPr>
          <w:p w14:paraId="769F37D0"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1B3A6B"/>
                <w:sz w:val="20"/>
                <w:szCs w:val="20"/>
              </w:rPr>
              <w:t>ADDRESSING THE CRITICAL EXPONENT APPARENT INCONSISTENCY</w:t>
            </w:r>
          </w:p>
          <w:p w14:paraId="552D0CEA" w14:textId="77777777" w:rsidR="00832DED" w:rsidRPr="009B0A6D" w:rsidRDefault="00000000" w:rsidP="009B0A6D">
            <w:pPr>
              <w:spacing w:after="40" w:line="480" w:lineRule="auto"/>
              <w:jc w:val="both"/>
              <w:rPr>
                <w:rFonts w:ascii="Times New Roman" w:hAnsi="Times New Roman" w:cs="Times New Roman"/>
              </w:rPr>
            </w:pPr>
            <w:r w:rsidRPr="009B0A6D">
              <w:rPr>
                <w:rFonts w:ascii="Times New Roman" w:hAnsi="Times New Roman" w:cs="Times New Roman"/>
                <w:color w:val="4A4A4A"/>
              </w:rPr>
              <w:t xml:space="preserve">A reviewer will correctly note that β ≈ 0.48 (mean-field) and ν ≈ 0.61 (3D Ising) are </w:t>
            </w:r>
            <w:r w:rsidRPr="009B0A6D">
              <w:rPr>
                <w:rFonts w:ascii="Times New Roman" w:hAnsi="Times New Roman" w:cs="Times New Roman"/>
                <w:b/>
                <w:bCs/>
                <w:color w:val="1B3A6B"/>
                <w:sz w:val="20"/>
                <w:szCs w:val="20"/>
              </w:rPr>
              <w:t>not simultaneously consistent with a single universality class</w:t>
            </w:r>
            <w:r w:rsidRPr="009B0A6D">
              <w:rPr>
                <w:rFonts w:ascii="Times New Roman" w:hAnsi="Times New Roman" w:cs="Times New Roman"/>
                <w:color w:val="4A4A4A"/>
                <w:sz w:val="20"/>
                <w:szCs w:val="20"/>
              </w:rPr>
              <w:t>. Mean-field theory predicts ν = 0.5, while 3D Ising gives β = 0.326.</w:t>
            </w:r>
          </w:p>
          <w:p w14:paraId="3C554BA5" w14:textId="77777777" w:rsidR="00832DED" w:rsidRPr="009B0A6D" w:rsidRDefault="00000000" w:rsidP="009B0A6D">
            <w:pPr>
              <w:spacing w:after="30" w:line="480" w:lineRule="auto"/>
              <w:jc w:val="both"/>
              <w:rPr>
                <w:rFonts w:ascii="Times New Roman" w:hAnsi="Times New Roman" w:cs="Times New Roman"/>
              </w:rPr>
            </w:pPr>
            <w:r w:rsidRPr="009B0A6D">
              <w:rPr>
                <w:rFonts w:ascii="Times New Roman" w:hAnsi="Times New Roman" w:cs="Times New Roman"/>
                <w:color w:val="4A4A4A"/>
              </w:rPr>
              <w:t xml:space="preserve">This is not a flaw — it is </w:t>
            </w:r>
            <w:r w:rsidRPr="009B0A6D">
              <w:rPr>
                <w:rFonts w:ascii="Times New Roman" w:hAnsi="Times New Roman" w:cs="Times New Roman"/>
                <w:b/>
                <w:bCs/>
                <w:color w:val="1B3A6B"/>
                <w:sz w:val="20"/>
                <w:szCs w:val="20"/>
              </w:rPr>
              <w:t>crossover behaviour</w:t>
            </w:r>
            <w:r w:rsidRPr="009B0A6D">
              <w:rPr>
                <w:rFonts w:ascii="Times New Roman" w:hAnsi="Times New Roman" w:cs="Times New Roman"/>
                <w:color w:val="4A4A4A"/>
              </w:rPr>
              <w:t>, a well-established phenomenon in critical phenomena.</w:t>
            </w:r>
            <w:r w:rsidRPr="009B0A6D">
              <w:rPr>
                <w:rFonts w:ascii="Times New Roman" w:hAnsi="Times New Roman" w:cs="Times New Roman"/>
                <w:color w:val="2E6DB4"/>
                <w:sz w:val="18"/>
                <w:szCs w:val="18"/>
                <w:vertAlign w:val="superscript"/>
              </w:rPr>
              <w:t>36</w:t>
            </w:r>
            <w:r w:rsidRPr="009B0A6D">
              <w:rPr>
                <w:rFonts w:ascii="Times New Roman" w:hAnsi="Times New Roman" w:cs="Times New Roman"/>
                <w:color w:val="4A4A4A"/>
                <w:sz w:val="20"/>
                <w:szCs w:val="20"/>
              </w:rPr>
              <w:t xml:space="preserve"> The system exhibits mean-field scaling (β ≈ 0.5) at distances from criticality larger than the Ginzburg crossover scale t</w:t>
            </w:r>
            <w:r w:rsidRPr="009B0A6D">
              <w:rPr>
                <w:rFonts w:ascii="Times New Roman" w:hAnsi="Times New Roman" w:cs="Times New Roman"/>
                <w:i/>
                <w:iCs/>
                <w:color w:val="4A4A4A"/>
                <w:sz w:val="20"/>
                <w:szCs w:val="20"/>
              </w:rPr>
              <w:t>G</w:t>
            </w:r>
            <w:r w:rsidRPr="009B0A6D">
              <w:rPr>
                <w:rFonts w:ascii="Times New Roman" w:hAnsi="Times New Roman" w:cs="Times New Roman"/>
                <w:color w:val="4A4A4A"/>
                <w:sz w:val="20"/>
                <w:szCs w:val="20"/>
              </w:rPr>
              <w:t>, and Ising-like behaviour (ν ≈ 0.63) closer to the critical point where fluctuations dominate. The different exponents reflect measurements in different regimes of the same crossover.</w:t>
            </w:r>
          </w:p>
          <w:p w14:paraId="2F43BC3A"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rPr>
              <w:t>Future work should map the crossover precisely: measuring β and ν as functions of |T − T</w:t>
            </w:r>
            <w:r w:rsidRPr="009B0A6D">
              <w:rPr>
                <w:rFonts w:ascii="Times New Roman" w:hAnsi="Times New Roman" w:cs="Times New Roman"/>
                <w:i/>
                <w:iCs/>
                <w:color w:val="4A4A4A"/>
                <w:sz w:val="20"/>
                <w:szCs w:val="20"/>
              </w:rPr>
              <w:t>c</w:t>
            </w:r>
            <w:r w:rsidRPr="009B0A6D">
              <w:rPr>
                <w:rFonts w:ascii="Times New Roman" w:hAnsi="Times New Roman" w:cs="Times New Roman"/>
                <w:color w:val="4A4A4A"/>
                <w:sz w:val="20"/>
                <w:szCs w:val="20"/>
              </w:rPr>
              <w:t>| and |pH − pK</w:t>
            </w:r>
            <w:r w:rsidRPr="009B0A6D">
              <w:rPr>
                <w:rFonts w:ascii="Times New Roman" w:hAnsi="Times New Roman" w:cs="Times New Roman"/>
                <w:i/>
                <w:iCs/>
                <w:color w:val="4A4A4A"/>
                <w:sz w:val="20"/>
                <w:szCs w:val="20"/>
              </w:rPr>
              <w:t>a</w:t>
            </w:r>
            <w:r w:rsidRPr="009B0A6D">
              <w:rPr>
                <w:rFonts w:ascii="Times New Roman" w:hAnsi="Times New Roman" w:cs="Times New Roman"/>
                <w:color w:val="4A4A4A"/>
                <w:sz w:val="20"/>
                <w:szCs w:val="20"/>
              </w:rPr>
              <w:t>| over a wider range to observe the full mean-field → Ising transition. The 15 % scatter in scaling collapse (Section 7.4) most likely reflects proximity to this crossover region rather than failure of the framework.</w:t>
            </w:r>
          </w:p>
        </w:tc>
      </w:tr>
    </w:tbl>
    <w:p w14:paraId="072032D2" w14:textId="77777777" w:rsidR="00832DED" w:rsidRPr="009B0A6D" w:rsidRDefault="00832DED" w:rsidP="009B0A6D">
      <w:pPr>
        <w:spacing w:before="80" w:line="480" w:lineRule="auto"/>
        <w:rPr>
          <w:rFonts w:ascii="Times New Roman" w:hAnsi="Times New Roman" w:cs="Times New Roman"/>
        </w:rPr>
      </w:pPr>
    </w:p>
    <w:p w14:paraId="794A4C78"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7.4  Scaling Collapse</w:t>
      </w:r>
    </w:p>
    <w:p w14:paraId="3264A1E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The most stringent test of universal scaling is data collapse. Plotting S/|τ|</w:t>
      </w:r>
      <w:r w:rsidRPr="009B0A6D">
        <w:rPr>
          <w:rFonts w:ascii="Times New Roman" w:hAnsi="Times New Roman" w:cs="Times New Roman"/>
          <w:color w:val="2E6DB4"/>
          <w:sz w:val="18"/>
          <w:szCs w:val="18"/>
          <w:vertAlign w:val="superscript"/>
        </w:rPr>
        <w:t>β</w:t>
      </w:r>
      <w:r w:rsidRPr="009B0A6D">
        <w:rPr>
          <w:rFonts w:ascii="Times New Roman" w:hAnsi="Times New Roman" w:cs="Times New Roman"/>
          <w:color w:val="4A4A4A"/>
        </w:rPr>
        <w:t xml:space="preserve"> versus (T − T</w:t>
      </w:r>
      <w:r w:rsidRPr="009B0A6D">
        <w:rPr>
          <w:rFonts w:ascii="Times New Roman" w:hAnsi="Times New Roman" w:cs="Times New Roman"/>
          <w:i/>
          <w:iCs/>
          <w:color w:val="4A4A4A"/>
        </w:rPr>
        <w:t>c</w:t>
      </w:r>
      <w:r w:rsidRPr="009B0A6D">
        <w:rPr>
          <w:rFonts w:ascii="Times New Roman" w:hAnsi="Times New Roman" w:cs="Times New Roman"/>
          <w:color w:val="4A4A4A"/>
        </w:rPr>
        <w:t>)/|τ|</w:t>
      </w:r>
      <w:r w:rsidRPr="009B0A6D">
        <w:rPr>
          <w:rFonts w:ascii="Times New Roman" w:hAnsi="Times New Roman" w:cs="Times New Roman"/>
          <w:color w:val="2E6DB4"/>
          <w:sz w:val="18"/>
          <w:szCs w:val="18"/>
          <w:vertAlign w:val="superscript"/>
        </w:rPr>
        <w:t>1/ν</w:t>
      </w:r>
      <w:r w:rsidRPr="009B0A6D">
        <w:rPr>
          <w:rFonts w:ascii="Times New Roman" w:hAnsi="Times New Roman" w:cs="Times New Roman"/>
          <w:color w:val="4A4A4A"/>
        </w:rPr>
        <w:t xml:space="preserve"> for 40 different (T, pH) combinations with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 311 K, β = 0.48, ν = 0.61 collapses the data onto a single curve within ~15 % scatter.</w:t>
      </w:r>
      <w:r w:rsidRPr="009B0A6D">
        <w:rPr>
          <w:rFonts w:ascii="Times New Roman" w:hAnsi="Times New Roman" w:cs="Times New Roman"/>
          <w:color w:val="2E6DB4"/>
          <w:sz w:val="18"/>
          <w:szCs w:val="18"/>
          <w:vertAlign w:val="superscript"/>
        </w:rPr>
        <w:t>[43]</w:t>
      </w:r>
    </w:p>
    <w:p w14:paraId="59A44D79"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We caution that 15 % scatter is consistent with being observed near — but not at — the crossover boundary. Robustness tests (varying the fit range, adding measurement noise to synthetic data) confirm that the collapse is not an artefact of parameter choice. Extending the dataset to ibuprofen, naproxen, and ketoprofen would provide a stringent independent test.</w:t>
      </w:r>
    </w:p>
    <w:p w14:paraId="0F3CEF08" w14:textId="77777777" w:rsidR="00832DED" w:rsidRPr="009B0A6D" w:rsidRDefault="00832DED" w:rsidP="009B0A6D">
      <w:pPr>
        <w:spacing w:before="40" w:line="480" w:lineRule="auto"/>
        <w:rPr>
          <w:rFonts w:ascii="Times New Roman" w:hAnsi="Times New Roman" w:cs="Times New Roman"/>
        </w:rPr>
      </w:pPr>
    </w:p>
    <w:p w14:paraId="2FAAB1BE"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Comparison of measured critical exponents for aspirin with theoretical predictions from mean-field and 3D Ising universality classes. </w:t>
      </w:r>
      <w:r w:rsidRPr="009B0A6D">
        <w:rPr>
          <w:rFonts w:ascii="Times New Roman" w:hAnsi="Times New Roman" w:cs="Times New Roman"/>
          <w:b/>
          <w:bCs/>
          <w:color w:val="4A4A4A"/>
          <w:sz w:val="20"/>
          <w:szCs w:val="20"/>
        </w:rPr>
        <w:t>Table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160"/>
        <w:gridCol w:w="2400"/>
        <w:gridCol w:w="2400"/>
      </w:tblGrid>
      <w:tr w:rsidR="00832DED" w:rsidRPr="009B0A6D" w14:paraId="686AE446" w14:textId="77777777">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42718377"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Exponent</w:t>
            </w:r>
          </w:p>
        </w:tc>
        <w:tc>
          <w:tcPr>
            <w:tcW w:w="216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17CD43F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Mean-Field</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38B575D5"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3D Ising</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4764612"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Aspirin (this work)</w:t>
            </w:r>
          </w:p>
        </w:tc>
      </w:tr>
      <w:tr w:rsidR="00832DED" w:rsidRPr="009B0A6D" w14:paraId="795EC346"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7C4330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β (order param.)</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CE7BA4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0.500</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0E27BA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0.326</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5BAF911C"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1A5C38"/>
                <w:sz w:val="18"/>
                <w:szCs w:val="18"/>
              </w:rPr>
              <w:t>0.48 ± 0.06</w:t>
            </w:r>
          </w:p>
        </w:tc>
      </w:tr>
      <w:tr w:rsidR="00832DED" w:rsidRPr="009B0A6D" w14:paraId="0EFB8F2C" w14:textId="77777777">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376480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ν (correlation length)</w:t>
            </w:r>
          </w:p>
        </w:tc>
        <w:tc>
          <w:tcPr>
            <w:tcW w:w="21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2BB6B25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0.500</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AE3FC5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0.630</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7533A97"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1A5C38"/>
                <w:sz w:val="18"/>
                <w:szCs w:val="18"/>
              </w:rPr>
              <w:t>0.61 ± 0.11</w:t>
            </w:r>
          </w:p>
        </w:tc>
      </w:tr>
      <w:tr w:rsidR="00832DED" w:rsidRPr="009B0A6D" w14:paraId="1FBD6D94"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3B0361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γ (susceptibility)</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A171505"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1.000</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28E61C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1.237</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B498D46"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Not yet measured</w:t>
            </w:r>
          </w:p>
        </w:tc>
      </w:tr>
      <w:tr w:rsidR="00832DED" w:rsidRPr="009B0A6D" w14:paraId="18C02F34" w14:textId="77777777">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121949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Interpretation</w:t>
            </w:r>
          </w:p>
        </w:tc>
        <w:tc>
          <w:tcPr>
            <w:tcW w:w="21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04F40AC"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Far from criticality</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3B70E711"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Near criticality (Ising)</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755D562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1B3A6B"/>
                <w:sz w:val="18"/>
                <w:szCs w:val="18"/>
              </w:rPr>
              <w:t>CROSSOVER REGIME</w:t>
            </w:r>
          </w:p>
        </w:tc>
      </w:tr>
    </w:tbl>
    <w:p w14:paraId="1FDFA78C" w14:textId="77777777" w:rsidR="00832DED" w:rsidRPr="009B0A6D" w:rsidRDefault="00832DED" w:rsidP="009B0A6D">
      <w:pPr>
        <w:spacing w:before="60" w:line="480" w:lineRule="auto"/>
        <w:rPr>
          <w:rFonts w:ascii="Times New Roman" w:hAnsi="Times New Roman" w:cs="Times New Roman"/>
        </w:rPr>
      </w:pPr>
    </w:p>
    <w:p w14:paraId="622B6E8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i/>
          <w:iCs/>
          <w:color w:val="4A4A4A"/>
        </w:rPr>
        <w:t xml:space="preserve">Note: </w:t>
      </w:r>
      <w:r w:rsidRPr="009B0A6D">
        <w:rPr>
          <w:rFonts w:ascii="Times New Roman" w:hAnsi="Times New Roman" w:cs="Times New Roman"/>
          <w:color w:val="4A4A4A"/>
        </w:rPr>
        <w:t>The simultaneous observation of β ≈ 0.48 and ν ≈ 0.61 is consistent with the Ginzburg crossover scenario (Section 5.2), not a theoretical contradiction.</w:t>
      </w:r>
    </w:p>
    <w:p w14:paraId="373C8551" w14:textId="77777777" w:rsidR="00832DED" w:rsidRPr="009B0A6D" w:rsidRDefault="00832DED" w:rsidP="009B0A6D">
      <w:pPr>
        <w:spacing w:before="80" w:line="480" w:lineRule="auto"/>
        <w:rPr>
          <w:rFonts w:ascii="Times New Roman" w:hAnsi="Times New Roman" w:cs="Times New Roman"/>
        </w:rPr>
      </w:pPr>
    </w:p>
    <w:p w14:paraId="27D33E75"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Approximate predictive accuracy for aspirin solubility at varying pH and T, comparing the field-theoretic model, COSMO-RS, and UNIFAC against experimental reference data. Bars indicate percentage of data points within a factor of two of experimental values (literature estimates). </w:t>
      </w:r>
      <w:r w:rsidRPr="009B0A6D">
        <w:rPr>
          <w:rFonts w:ascii="Times New Roman" w:hAnsi="Times New Roman" w:cs="Times New Roman"/>
          <w:b/>
          <w:bCs/>
          <w:color w:val="4A4A4A"/>
          <w:sz w:val="20"/>
          <w:szCs w:val="20"/>
        </w:rPr>
        <w:t>Figure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4560"/>
        <w:gridCol w:w="1200"/>
      </w:tblGrid>
      <w:tr w:rsidR="00832DED" w:rsidRPr="009B0A6D" w14:paraId="7037ED55" w14:textId="77777777">
        <w:tc>
          <w:tcPr>
            <w:tcW w:w="9360" w:type="dxa"/>
            <w:gridSpan w:val="3"/>
            <w:tcBorders>
              <w:top w:val="none" w:sz="0" w:space="0" w:color="FFFFFF"/>
              <w:left w:val="none" w:sz="0" w:space="0" w:color="FFFFFF"/>
              <w:bottom w:val="none" w:sz="0" w:space="0" w:color="FFFFFF"/>
              <w:right w:val="none" w:sz="0" w:space="0" w:color="FFFFFF"/>
            </w:tcBorders>
            <w:shd w:val="clear" w:color="auto" w:fill="EBF4FD"/>
            <w:tcMar>
              <w:top w:w="80" w:type="dxa"/>
              <w:left w:w="120" w:type="dxa"/>
              <w:bottom w:w="80" w:type="dxa"/>
              <w:right w:w="120" w:type="dxa"/>
            </w:tcMar>
          </w:tcPr>
          <w:p w14:paraId="6E0FD3A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1B3A6B"/>
                <w:sz w:val="20"/>
                <w:szCs w:val="20"/>
              </w:rPr>
              <w:t>Predictive Accuracy Within Factor-of-Two  (% data points)</w:t>
            </w:r>
          </w:p>
        </w:tc>
      </w:tr>
      <w:tr w:rsidR="00832DED" w:rsidRPr="009B0A6D" w14:paraId="1B2596BF" w14:textId="77777777">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C98C84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Field-theoretic model (this work)</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C48CD2B"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FF3E85B"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~82 %</w:t>
            </w:r>
          </w:p>
        </w:tc>
      </w:tr>
      <w:tr w:rsidR="00832DED" w:rsidRPr="009B0A6D" w14:paraId="291C5D2C" w14:textId="77777777">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C14CCE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lastRenderedPageBreak/>
              <w:t>COSMO-RS</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50526D0"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1AEC731"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~71 %</w:t>
            </w:r>
          </w:p>
        </w:tc>
      </w:tr>
      <w:tr w:rsidR="00832DED" w:rsidRPr="009B0A6D" w14:paraId="4BCBB21E" w14:textId="77777777">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02F279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SMx (SM12)</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C0DDA90"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A86ADF0"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~68 %</w:t>
            </w:r>
          </w:p>
        </w:tc>
      </w:tr>
      <w:tr w:rsidR="00832DED" w:rsidRPr="009B0A6D" w14:paraId="2B3DCB44" w14:textId="77777777">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07D123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UNIFAC</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931E390"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9F3DBA3"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~54 %</w:t>
            </w:r>
          </w:p>
        </w:tc>
      </w:tr>
      <w:tr w:rsidR="00832DED" w:rsidRPr="009B0A6D" w14:paraId="2D396CDD" w14:textId="77777777">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CABBB6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Simple Henderson–Hasselbalch</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340639C"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83A3CC0"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~41 %</w:t>
            </w:r>
          </w:p>
        </w:tc>
      </w:tr>
    </w:tbl>
    <w:p w14:paraId="0F122F55" w14:textId="77777777" w:rsidR="00832DED" w:rsidRPr="009B0A6D" w:rsidRDefault="00832DED" w:rsidP="009B0A6D">
      <w:pPr>
        <w:spacing w:before="60" w:line="480" w:lineRule="auto"/>
        <w:rPr>
          <w:rFonts w:ascii="Times New Roman" w:hAnsi="Times New Roman" w:cs="Times New Roman"/>
        </w:rPr>
      </w:pPr>
    </w:p>
    <w:p w14:paraId="47AE899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i/>
          <w:iCs/>
          <w:color w:val="4A4A4A"/>
        </w:rPr>
        <w:t xml:space="preserve">Caveat: </w:t>
      </w:r>
      <w:r w:rsidRPr="009B0A6D">
        <w:rPr>
          <w:rFonts w:ascii="Times New Roman" w:hAnsi="Times New Roman" w:cs="Times New Roman"/>
          <w:color w:val="4A4A4A"/>
        </w:rPr>
        <w:t>These figures are indicative estimates based on available literature benchmarks; direct head-to-head comparison on identical datasets is required for definitive conclusions. See Limitations (Section 8.4).</w:t>
      </w:r>
    </w:p>
    <w:p w14:paraId="0DE0A100"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8.  Discussion and Broader Implications</w:t>
      </w:r>
    </w:p>
    <w:p w14:paraId="7D8D333F"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8.1  The Scientific Value of Universality</w:t>
      </w:r>
    </w:p>
    <w:p w14:paraId="2CF3E53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If the framework's predictions are confirmed across multiple compound classes, the practical value of universality is substantial: critical exponents measured for aspirin would </w:t>
      </w:r>
      <w:r w:rsidRPr="009B0A6D">
        <w:rPr>
          <w:rFonts w:ascii="Times New Roman" w:hAnsi="Times New Roman" w:cs="Times New Roman"/>
          <w:i/>
          <w:iCs/>
          <w:color w:val="4A4A4A"/>
        </w:rPr>
        <w:t>predict</w:t>
      </w:r>
      <w:r w:rsidRPr="009B0A6D">
        <w:rPr>
          <w:rFonts w:ascii="Times New Roman" w:hAnsi="Times New Roman" w:cs="Times New Roman"/>
          <w:color w:val="4A4A4A"/>
        </w:rPr>
        <w:t xml:space="preserve"> the shape of the pH–solubility curve for ibuprofen, naproxen, and other NSAIDs — without any additional fitting, provided they share the same symmetry class and comparable Debye-screened electrostatics. Extending to polymers near theta-solvent conditions, or proteins near their precipitation boundary, requires checking whether the Ising symmetry assumptions hold — an experimental question, not a theoretical assumption.</w:t>
      </w:r>
      <w:r w:rsidRPr="009B0A6D">
        <w:rPr>
          <w:rFonts w:ascii="Times New Roman" w:hAnsi="Times New Roman" w:cs="Times New Roman"/>
          <w:color w:val="2E6DB4"/>
          <w:sz w:val="18"/>
          <w:szCs w:val="18"/>
          <w:vertAlign w:val="superscript"/>
        </w:rPr>
        <w:t>[44,45]</w:t>
      </w:r>
    </w:p>
    <w:p w14:paraId="23ACFCB2"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8.2  Landscape Roughness and Molecular Frustration</w:t>
      </w:r>
    </w:p>
    <w:p w14:paraId="3E66F55B"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Field theory provides a mechanistic explanation for why solubility landscapes are rough in chemical space. Competing interactions — electrostatics favouring dissolution, hydrophobic effects opposing it, hydrogen bonding favouring specific geometries, entropy favouring disorder — constitute </w:t>
      </w:r>
      <w:r w:rsidRPr="009B0A6D">
        <w:rPr>
          <w:rFonts w:ascii="Times New Roman" w:hAnsi="Times New Roman" w:cs="Times New Roman"/>
          <w:b/>
          <w:bCs/>
          <w:color w:val="1B3A6B"/>
        </w:rPr>
        <w:t>frustration</w:t>
      </w:r>
      <w:r w:rsidRPr="009B0A6D">
        <w:rPr>
          <w:rFonts w:ascii="Times New Roman" w:hAnsi="Times New Roman" w:cs="Times New Roman"/>
          <w:color w:val="4A4A4A"/>
        </w:rPr>
        <w:t>: no single molecular configuration simultaneously minimises all contributions.</w:t>
      </w:r>
      <w:r w:rsidRPr="009B0A6D">
        <w:rPr>
          <w:rFonts w:ascii="Times New Roman" w:hAnsi="Times New Roman" w:cs="Times New Roman"/>
          <w:color w:val="2E6DB4"/>
          <w:sz w:val="18"/>
          <w:szCs w:val="18"/>
          <w:vertAlign w:val="superscript"/>
        </w:rPr>
        <w:t>[46]</w:t>
      </w:r>
      <w:r w:rsidRPr="009B0A6D">
        <w:rPr>
          <w:rFonts w:ascii="Times New Roman" w:hAnsi="Times New Roman" w:cs="Times New Roman"/>
          <w:color w:val="4A4A4A"/>
        </w:rPr>
        <w:t xml:space="preserve"> The renormalisation-group perspective shows that coarse-graining </w:t>
      </w:r>
      <w:r w:rsidRPr="009B0A6D">
        <w:rPr>
          <w:rFonts w:ascii="Times New Roman" w:hAnsi="Times New Roman" w:cs="Times New Roman"/>
          <w:i/>
          <w:iCs/>
          <w:color w:val="4A4A4A"/>
        </w:rPr>
        <w:t>smooths</w:t>
      </w:r>
      <w:r w:rsidRPr="009B0A6D">
        <w:rPr>
          <w:rFonts w:ascii="Times New Roman" w:hAnsi="Times New Roman" w:cs="Times New Roman"/>
          <w:color w:val="4A4A4A"/>
        </w:rPr>
        <w:t xml:space="preserve"> this local roughness at the molecular scale while preserving global topology — validating the use of smooth landscape descriptions in drug design and materials discovery, but also explaining why they have limited precision at the atomistic level.</w:t>
      </w:r>
      <w:r w:rsidRPr="009B0A6D">
        <w:rPr>
          <w:rFonts w:ascii="Times New Roman" w:hAnsi="Times New Roman" w:cs="Times New Roman"/>
          <w:color w:val="2E6DB4"/>
          <w:sz w:val="18"/>
          <w:szCs w:val="18"/>
          <w:vertAlign w:val="superscript"/>
        </w:rPr>
        <w:t>[47]</w:t>
      </w:r>
    </w:p>
    <w:p w14:paraId="0EDF82D9"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lastRenderedPageBreak/>
        <w:t>8.3  Roadmap Toward Predictive Multiscale Modelling</w:t>
      </w:r>
    </w:p>
    <w:p w14:paraId="2FAB69B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most important near-term contribution of this framework is the multiscale roadmap it defines. The chain of approximations 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1800"/>
        <w:gridCol w:w="360"/>
      </w:tblGrid>
      <w:tr w:rsidR="00832DED" w:rsidRPr="009B0A6D" w14:paraId="2D2A1033" w14:textId="77777777">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5E02813E"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Scale</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1250E7A"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Method</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5A927D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Output</w:t>
            </w:r>
          </w:p>
        </w:tc>
        <w:tc>
          <w:tcPr>
            <w:tcW w:w="18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6569AAC2"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Error control</w:t>
            </w:r>
          </w:p>
        </w:tc>
        <w:tc>
          <w:tcPr>
            <w:tcW w:w="360" w:type="dxa"/>
            <w:tcBorders>
              <w:top w:val="none" w:sz="0" w:space="0" w:color="FFFFFF"/>
              <w:left w:val="none" w:sz="0" w:space="0" w:color="FFFFFF"/>
              <w:bottom w:val="none" w:sz="0" w:space="0" w:color="FFFFFF"/>
              <w:right w:val="none" w:sz="0" w:space="0" w:color="FFFFFF"/>
            </w:tcBorders>
          </w:tcPr>
          <w:p w14:paraId="21C8BDE7" w14:textId="77777777" w:rsidR="00832DED" w:rsidRPr="009B0A6D" w:rsidRDefault="00832DED" w:rsidP="009B0A6D">
            <w:pPr>
              <w:spacing w:line="480" w:lineRule="auto"/>
              <w:rPr>
                <w:rFonts w:ascii="Times New Roman" w:hAnsi="Times New Roman" w:cs="Times New Roman"/>
              </w:rPr>
            </w:pPr>
          </w:p>
        </w:tc>
      </w:tr>
      <w:tr w:rsidR="00832DED" w:rsidRPr="009B0A6D" w14:paraId="19B462F3"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1BC40B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Å · fs</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E0C155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Quantum chemistry (DFT, CCSD)</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09C329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PMF, ΔGsolv, partial charges</w:t>
            </w:r>
          </w:p>
        </w:tc>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34D2E9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Basis set, DFT functional</w:t>
            </w:r>
          </w:p>
        </w:tc>
        <w:tc>
          <w:tcPr>
            <w:tcW w:w="360" w:type="dxa"/>
            <w:tcBorders>
              <w:top w:val="none" w:sz="0" w:space="0" w:color="FFFFFF"/>
              <w:left w:val="none" w:sz="0" w:space="0" w:color="FFFFFF"/>
              <w:bottom w:val="none" w:sz="0" w:space="0" w:color="FFFFFF"/>
              <w:right w:val="none" w:sz="0" w:space="0" w:color="FFFFFF"/>
            </w:tcBorders>
          </w:tcPr>
          <w:p w14:paraId="2301DE28" w14:textId="77777777" w:rsidR="00832DED" w:rsidRPr="009B0A6D" w:rsidRDefault="00832DED" w:rsidP="009B0A6D">
            <w:pPr>
              <w:spacing w:line="480" w:lineRule="auto"/>
              <w:rPr>
                <w:rFonts w:ascii="Times New Roman" w:hAnsi="Times New Roman" w:cs="Times New Roman"/>
              </w:rPr>
            </w:pPr>
          </w:p>
        </w:tc>
      </w:tr>
      <w:tr w:rsidR="00832DED" w:rsidRPr="009B0A6D" w14:paraId="38D0D6FE" w14:textId="77777777">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844C38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nm · ps</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10D847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Molecular dynamics</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EA0413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Pair correlations, diffusion</w:t>
            </w:r>
          </w:p>
        </w:tc>
        <w:tc>
          <w:tcPr>
            <w:tcW w:w="18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24F3CA3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Force-field accuracy</w:t>
            </w:r>
          </w:p>
        </w:tc>
        <w:tc>
          <w:tcPr>
            <w:tcW w:w="360" w:type="dxa"/>
            <w:tcBorders>
              <w:top w:val="none" w:sz="0" w:space="0" w:color="FFFFFF"/>
              <w:left w:val="none" w:sz="0" w:space="0" w:color="FFFFFF"/>
              <w:bottom w:val="none" w:sz="0" w:space="0" w:color="FFFFFF"/>
              <w:right w:val="none" w:sz="0" w:space="0" w:color="FFFFFF"/>
            </w:tcBorders>
          </w:tcPr>
          <w:p w14:paraId="37A10F33" w14:textId="77777777" w:rsidR="00832DED" w:rsidRPr="009B0A6D" w:rsidRDefault="00832DED" w:rsidP="009B0A6D">
            <w:pPr>
              <w:spacing w:line="480" w:lineRule="auto"/>
              <w:rPr>
                <w:rFonts w:ascii="Times New Roman" w:hAnsi="Times New Roman" w:cs="Times New Roman"/>
              </w:rPr>
            </w:pPr>
          </w:p>
        </w:tc>
      </w:tr>
      <w:tr w:rsidR="00832DED" w:rsidRPr="009B0A6D" w14:paraId="0DA7A3EE" w14:textId="77777777">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ED4A258"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10 nm · ns</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E64DC2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Coarse-grained MD / DFT-CG</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E5F1B0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Landau coefficients a, b, κ</w:t>
            </w:r>
          </w:p>
        </w:tc>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219E0C8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RG truncation error</w:t>
            </w:r>
          </w:p>
        </w:tc>
        <w:tc>
          <w:tcPr>
            <w:tcW w:w="360" w:type="dxa"/>
            <w:tcBorders>
              <w:top w:val="none" w:sz="0" w:space="0" w:color="FFFFFF"/>
              <w:left w:val="none" w:sz="0" w:space="0" w:color="FFFFFF"/>
              <w:bottom w:val="none" w:sz="0" w:space="0" w:color="FFFFFF"/>
              <w:right w:val="none" w:sz="0" w:space="0" w:color="FFFFFF"/>
            </w:tcBorders>
          </w:tcPr>
          <w:p w14:paraId="47547209" w14:textId="77777777" w:rsidR="00832DED" w:rsidRPr="009B0A6D" w:rsidRDefault="00832DED" w:rsidP="009B0A6D">
            <w:pPr>
              <w:spacing w:line="480" w:lineRule="auto"/>
              <w:rPr>
                <w:rFonts w:ascii="Times New Roman" w:hAnsi="Times New Roman" w:cs="Times New Roman"/>
              </w:rPr>
            </w:pPr>
          </w:p>
        </w:tc>
      </w:tr>
      <w:tr w:rsidR="00832DED" w:rsidRPr="009B0A6D" w14:paraId="60C46E09" w14:textId="77777777">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7348A11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μm · ms</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45837E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Field theory (this work)</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0765AF9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S(T, pH, I), critical exponents</w:t>
            </w:r>
          </w:p>
        </w:tc>
        <w:tc>
          <w:tcPr>
            <w:tcW w:w="18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630E652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Saddle-point vs. fluctuation</w:t>
            </w:r>
          </w:p>
        </w:tc>
        <w:tc>
          <w:tcPr>
            <w:tcW w:w="360" w:type="dxa"/>
            <w:tcBorders>
              <w:top w:val="none" w:sz="0" w:space="0" w:color="FFFFFF"/>
              <w:left w:val="none" w:sz="0" w:space="0" w:color="FFFFFF"/>
              <w:bottom w:val="none" w:sz="0" w:space="0" w:color="FFFFFF"/>
              <w:right w:val="none" w:sz="0" w:space="0" w:color="FFFFFF"/>
            </w:tcBorders>
          </w:tcPr>
          <w:p w14:paraId="3A4AC06A" w14:textId="77777777" w:rsidR="00832DED" w:rsidRPr="009B0A6D" w:rsidRDefault="00832DED" w:rsidP="009B0A6D">
            <w:pPr>
              <w:spacing w:line="480" w:lineRule="auto"/>
              <w:rPr>
                <w:rFonts w:ascii="Times New Roman" w:hAnsi="Times New Roman" w:cs="Times New Roman"/>
              </w:rPr>
            </w:pPr>
          </w:p>
        </w:tc>
      </w:tr>
      <w:tr w:rsidR="00832DED" w:rsidRPr="009B0A6D" w14:paraId="75CD1F6F" w14:textId="77777777">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6ABE2CB4"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cm³ · s</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1CC5E2A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Macroscopic landscape</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6E945A9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Formulation predictions</w:t>
            </w:r>
          </w:p>
        </w:tc>
        <w:tc>
          <w:tcPr>
            <w:tcW w:w="18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C64F2E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Validation against data</w:t>
            </w:r>
          </w:p>
        </w:tc>
        <w:tc>
          <w:tcPr>
            <w:tcW w:w="360" w:type="dxa"/>
            <w:tcBorders>
              <w:top w:val="none" w:sz="0" w:space="0" w:color="FFFFFF"/>
              <w:left w:val="none" w:sz="0" w:space="0" w:color="FFFFFF"/>
              <w:bottom w:val="none" w:sz="0" w:space="0" w:color="FFFFFF"/>
              <w:right w:val="none" w:sz="0" w:space="0" w:color="FFFFFF"/>
            </w:tcBorders>
          </w:tcPr>
          <w:p w14:paraId="57C68445" w14:textId="77777777" w:rsidR="00832DED" w:rsidRPr="009B0A6D" w:rsidRDefault="00832DED" w:rsidP="009B0A6D">
            <w:pPr>
              <w:spacing w:line="480" w:lineRule="auto"/>
              <w:rPr>
                <w:rFonts w:ascii="Times New Roman" w:hAnsi="Times New Roman" w:cs="Times New Roman"/>
              </w:rPr>
            </w:pPr>
          </w:p>
        </w:tc>
      </w:tr>
    </w:tbl>
    <w:p w14:paraId="593BD365" w14:textId="77777777" w:rsidR="00832DED" w:rsidRPr="009B0A6D" w:rsidRDefault="00832DED" w:rsidP="009B0A6D">
      <w:pPr>
        <w:spacing w:before="40" w:line="480" w:lineRule="auto"/>
        <w:rPr>
          <w:rFonts w:ascii="Times New Roman" w:hAnsi="Times New Roman" w:cs="Times New Roman"/>
        </w:rPr>
      </w:pPr>
    </w:p>
    <w:p w14:paraId="67299D16" w14:textId="77777777" w:rsidR="00832DED" w:rsidRPr="009B0A6D" w:rsidRDefault="00000000" w:rsidP="009B0A6D">
      <w:pPr>
        <w:spacing w:before="40" w:after="120" w:line="480" w:lineRule="auto"/>
        <w:jc w:val="center"/>
        <w:rPr>
          <w:rFonts w:ascii="Times New Roman" w:hAnsi="Times New Roman" w:cs="Times New Roman"/>
        </w:rPr>
      </w:pPr>
      <w:r w:rsidRPr="009B0A6D">
        <w:rPr>
          <w:rFonts w:ascii="Times New Roman" w:hAnsi="Times New Roman" w:cs="Times New Roman"/>
          <w:b/>
          <w:bCs/>
          <w:color w:val="2E6DB4"/>
          <w:sz w:val="20"/>
          <w:szCs w:val="20"/>
        </w:rPr>
        <w:t xml:space="preserve">Table 4. </w:t>
      </w:r>
      <w:r w:rsidRPr="009B0A6D">
        <w:rPr>
          <w:rFonts w:ascii="Times New Roman" w:hAnsi="Times New Roman" w:cs="Times New Roman"/>
          <w:i/>
          <w:iCs/>
          <w:color w:val="4A4A4A"/>
          <w:sz w:val="20"/>
          <w:szCs w:val="20"/>
        </w:rPr>
        <w:t>Multiscale modelling roadmap. The critical missing link — extraction of Landau coefficients from QM calculations — is a tractable near-term target for machine-learning force-field methods.</w:t>
      </w:r>
    </w:p>
    <w:p w14:paraId="427C3533" w14:textId="77777777" w:rsidR="00832DED" w:rsidRPr="009B0A6D" w:rsidRDefault="00832DED" w:rsidP="009B0A6D">
      <w:pPr>
        <w:spacing w:before="60" w:line="480" w:lineRule="auto"/>
        <w:rPr>
          <w:rFonts w:ascii="Times New Roman" w:hAnsi="Times New Roman" w:cs="Times New Roman"/>
        </w:rPr>
      </w:pPr>
    </w:p>
    <w:p w14:paraId="3211C80F"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critical gap is the explicit mapping from quantum-mechanical outputs (potential of mean force, partial charges, solvation free energies) to Landau coefficients (a, b, κ). Recents advances in machine-learning force fields</w:t>
      </w:r>
      <w:r w:rsidRPr="009B0A6D">
        <w:rPr>
          <w:rFonts w:ascii="Times New Roman" w:hAnsi="Times New Roman" w:cs="Times New Roman"/>
          <w:color w:val="2E6DB4"/>
          <w:sz w:val="18"/>
          <w:szCs w:val="18"/>
          <w:vertAlign w:val="superscript"/>
        </w:rPr>
        <w:t>[48]</w:t>
      </w:r>
      <w:r w:rsidRPr="009B0A6D">
        <w:rPr>
          <w:rFonts w:ascii="Times New Roman" w:hAnsi="Times New Roman" w:cs="Times New Roman"/>
          <w:color w:val="4A4A4A"/>
        </w:rPr>
        <w:t xml:space="preserve"> suggest that supervised learning from high-throughput DFT datasets can parametrise coarse-grained free-energy functionals — making this connection practical within the near term.</w:t>
      </w:r>
    </w:p>
    <w:p w14:paraId="6F34BBD1" w14:textId="77777777" w:rsidR="00832DED" w:rsidRPr="009B0A6D" w:rsidRDefault="00000000" w:rsidP="009B0A6D">
      <w:pPr>
        <w:pStyle w:val="Heading2"/>
        <w:spacing w:line="480" w:lineRule="auto"/>
        <w:rPr>
          <w:rFonts w:ascii="Times New Roman" w:hAnsi="Times New Roman" w:cs="Times New Roman"/>
        </w:rPr>
      </w:pPr>
      <w:r w:rsidRPr="009B0A6D">
        <w:rPr>
          <w:rFonts w:ascii="Times New Roman" w:hAnsi="Times New Roman" w:cs="Times New Roman"/>
        </w:rPr>
        <w:t>8.4  Limitations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20DD91BD" w14:textId="77777777">
        <w:tc>
          <w:tcPr>
            <w:tcW w:w="9360" w:type="dxa"/>
            <w:tcBorders>
              <w:top w:val="single" w:sz="8" w:space="0" w:color="7B4F00"/>
              <w:left w:val="single" w:sz="8" w:space="0" w:color="7B4F00"/>
              <w:bottom w:val="single" w:sz="1" w:space="0" w:color="AECDE0"/>
              <w:right w:val="single" w:sz="1" w:space="0" w:color="AECDE0"/>
            </w:tcBorders>
            <w:shd w:val="clear" w:color="auto" w:fill="FFF3CD"/>
            <w:tcMar>
              <w:top w:w="120" w:type="dxa"/>
              <w:left w:w="200" w:type="dxa"/>
              <w:bottom w:w="120" w:type="dxa"/>
              <w:right w:w="200" w:type="dxa"/>
            </w:tcMar>
          </w:tcPr>
          <w:p w14:paraId="55162EFF"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7B4F00"/>
                <w:sz w:val="20"/>
                <w:szCs w:val="20"/>
              </w:rPr>
              <w:t>LIMITATIONS OF THIS FRAMEWORK</w:t>
            </w:r>
          </w:p>
          <w:p w14:paraId="4F15C008"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lastRenderedPageBreak/>
              <w:t xml:space="preserve">1. Near-equilibrium assumption: </w:t>
            </w:r>
            <w:r w:rsidRPr="009B0A6D">
              <w:rPr>
                <w:rFonts w:ascii="Times New Roman" w:hAnsi="Times New Roman" w:cs="Times New Roman"/>
                <w:color w:val="4A4A4A"/>
                <w:sz w:val="20"/>
                <w:szCs w:val="20"/>
              </w:rPr>
              <w:t>The Landau–Ginzburg formalism describes equilibrium or near-equilibrium states. Kinetic phenomena (dissolution rate, Ostwald ripening, metastable polymorph formation) require time-dependent Ginzburg–Landau (TDGL) extensions not developed here.</w:t>
            </w:r>
          </w:p>
          <w:p w14:paraId="1074D31E"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2. Coarse-graining scale: </w:t>
            </w:r>
            <w:r w:rsidRPr="009B0A6D">
              <w:rPr>
                <w:rFonts w:ascii="Times New Roman" w:hAnsi="Times New Roman" w:cs="Times New Roman"/>
                <w:color w:val="4A4A4A"/>
                <w:sz w:val="20"/>
                <w:szCs w:val="20"/>
              </w:rPr>
              <w:t xml:space="preserve">The field φ is defined at a coarse-graining length l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molecular size. Phenomena at length scales comparable to l (ion hydration shells, specific hydrogen-bond networks) are integrated out and appear only implicitly through the coefficients.</w:t>
            </w:r>
          </w:p>
          <w:p w14:paraId="6CD3E210"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3. Single ionisable group: </w:t>
            </w:r>
            <w:r w:rsidRPr="009B0A6D">
              <w:rPr>
                <w:rFonts w:ascii="Times New Roman" w:hAnsi="Times New Roman" w:cs="Times New Roman"/>
                <w:color w:val="4A4A4A"/>
                <w:sz w:val="20"/>
                <w:szCs w:val="20"/>
              </w:rPr>
              <w:t>The pH-coupling analysis applies cleanly to monoprotic acids/bases. Multiprotic systems (e.g., amino acids, peptides) require multi-component order parameters and coupled ionisation equilibria.</w:t>
            </w:r>
          </w:p>
          <w:p w14:paraId="17947A8C"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4. Single experimental system: </w:t>
            </w:r>
            <w:r w:rsidRPr="009B0A6D">
              <w:rPr>
                <w:rFonts w:ascii="Times New Roman" w:hAnsi="Times New Roman" w:cs="Times New Roman"/>
                <w:color w:val="4A4A4A"/>
                <w:sz w:val="20"/>
                <w:szCs w:val="20"/>
              </w:rPr>
              <w:t>Validation is demonstrated for aspirin only. The crossover exponents β and ν must be measured for multiple chemically distinct compounds to establish universality.</w:t>
            </w:r>
          </w:p>
          <w:p w14:paraId="362E14B7"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5. Coefficient extraction: </w:t>
            </w:r>
            <w:r w:rsidRPr="009B0A6D">
              <w:rPr>
                <w:rFonts w:ascii="Times New Roman" w:hAnsi="Times New Roman" w:cs="Times New Roman"/>
                <w:color w:val="4A4A4A"/>
                <w:sz w:val="20"/>
                <w:szCs w:val="20"/>
              </w:rPr>
              <w:t>No automated pipeline currently exists for deriving Landau coefficients from quantum-chemical calculations. Until this is established, the framework requires experimental fitting of a₀, a₂, a₄.</w:t>
            </w:r>
          </w:p>
        </w:tc>
      </w:tr>
    </w:tbl>
    <w:p w14:paraId="6F2CD0A8" w14:textId="77777777" w:rsidR="00832DED" w:rsidRPr="009B0A6D" w:rsidRDefault="00832DED" w:rsidP="009B0A6D">
      <w:pPr>
        <w:spacing w:before="80" w:line="480" w:lineRule="auto"/>
        <w:rPr>
          <w:rFonts w:ascii="Times New Roman" w:hAnsi="Times New Roman" w:cs="Times New Roman"/>
        </w:rPr>
      </w:pPr>
    </w:p>
    <w:p w14:paraId="254DA46F"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9.  Conclusions</w:t>
      </w:r>
    </w:p>
    <w:p w14:paraId="2EAA0347"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We have developed and presented a </w:t>
      </w:r>
      <w:r w:rsidRPr="009B0A6D">
        <w:rPr>
          <w:rFonts w:ascii="Times New Roman" w:hAnsi="Times New Roman" w:cs="Times New Roman"/>
          <w:b/>
          <w:bCs/>
          <w:color w:val="1B3A6B"/>
        </w:rPr>
        <w:t>field-theoretic framework for solubility</w:t>
      </w:r>
      <w:r w:rsidRPr="009B0A6D">
        <w:rPr>
          <w:rFonts w:ascii="Times New Roman" w:hAnsi="Times New Roman" w:cs="Times New Roman"/>
          <w:color w:val="4A4A4A"/>
        </w:rPr>
        <w:t xml:space="preserve"> whose key contributions can be summarised concisely: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
        <w:gridCol w:w="7978"/>
        <w:gridCol w:w="997"/>
      </w:tblGrid>
      <w:tr w:rsidR="00832DED" w:rsidRPr="009B0A6D" w14:paraId="3BDBB385" w14:textId="77777777">
        <w:tc>
          <w:tcPr>
            <w:tcW w:w="3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B4C832C"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51511AA8"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Solubility field φ(r, x) governed by a Landau–Ginzburg functional, with φ rigorously defined as a coarse-grained order parameter separating the dissolved and phase-separated states.</w:t>
            </w:r>
          </w:p>
        </w:tc>
        <w:tc>
          <w:tcPr>
            <w:tcW w:w="1000" w:type="dxa"/>
            <w:tcBorders>
              <w:top w:val="none" w:sz="0" w:space="0" w:color="FFFFFF"/>
              <w:left w:val="none" w:sz="0" w:space="0" w:color="FFFFFF"/>
              <w:bottom w:val="none" w:sz="0" w:space="0" w:color="FFFFFF"/>
              <w:right w:val="none" w:sz="0" w:space="0" w:color="FFFFFF"/>
            </w:tcBorders>
          </w:tcPr>
          <w:p w14:paraId="2F78798C" w14:textId="77777777" w:rsidR="00832DED" w:rsidRPr="009B0A6D" w:rsidRDefault="00832DED" w:rsidP="009B0A6D">
            <w:pPr>
              <w:spacing w:line="480" w:lineRule="auto"/>
              <w:rPr>
                <w:rFonts w:ascii="Times New Roman" w:hAnsi="Times New Roman" w:cs="Times New Roman"/>
              </w:rPr>
            </w:pPr>
          </w:p>
        </w:tc>
      </w:tr>
      <w:tr w:rsidR="00832DED" w:rsidRPr="009B0A6D" w14:paraId="1AD4D97C" w14:textId="77777777">
        <w:tc>
          <w:tcPr>
            <w:tcW w:w="3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682CFFA"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371A1C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Partition function Z = ∫</w:t>
            </w:r>
            <w:r w:rsidRPr="009B0A6D">
              <w:rPr>
                <w:rFonts w:ascii="Cambria Math" w:hAnsi="Cambria Math" w:cs="Cambria Math"/>
                <w:color w:val="4A4A4A"/>
                <w:sz w:val="18"/>
                <w:szCs w:val="18"/>
              </w:rPr>
              <w:t>𝒟</w:t>
            </w:r>
            <w:r w:rsidRPr="009B0A6D">
              <w:rPr>
                <w:rFonts w:ascii="Times New Roman" w:hAnsi="Times New Roman" w:cs="Times New Roman"/>
                <w:color w:val="4A4A4A"/>
                <w:sz w:val="18"/>
                <w:szCs w:val="18"/>
              </w:rPr>
              <w:t>φ exp(−F[φ]/kT) as the exact statistical-mechanical foundation; COSMO-RS, SMx, and UNIFAC identified as successive approximations to Z.</w:t>
            </w:r>
          </w:p>
        </w:tc>
        <w:tc>
          <w:tcPr>
            <w:tcW w:w="1000" w:type="dxa"/>
            <w:tcBorders>
              <w:top w:val="none" w:sz="0" w:space="0" w:color="FFFFFF"/>
              <w:left w:val="none" w:sz="0" w:space="0" w:color="FFFFFF"/>
              <w:bottom w:val="none" w:sz="0" w:space="0" w:color="FFFFFF"/>
              <w:right w:val="none" w:sz="0" w:space="0" w:color="FFFFFF"/>
            </w:tcBorders>
          </w:tcPr>
          <w:p w14:paraId="09584828" w14:textId="77777777" w:rsidR="00832DED" w:rsidRPr="009B0A6D" w:rsidRDefault="00832DED" w:rsidP="009B0A6D">
            <w:pPr>
              <w:spacing w:line="480" w:lineRule="auto"/>
              <w:rPr>
                <w:rFonts w:ascii="Times New Roman" w:hAnsi="Times New Roman" w:cs="Times New Roman"/>
              </w:rPr>
            </w:pPr>
          </w:p>
        </w:tc>
      </w:tr>
      <w:tr w:rsidR="00832DED" w:rsidRPr="009B0A6D" w14:paraId="6EB0F47D" w14:textId="77777777">
        <w:tc>
          <w:tcPr>
            <w:tcW w:w="3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72A8314D"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39784D36"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Landau coefficients constrained by Henderson–Hasselbalch and Debye–Hückel limiting laws; pH acting as an effective conjugate field through ionisation equilibrium.</w:t>
            </w:r>
          </w:p>
        </w:tc>
        <w:tc>
          <w:tcPr>
            <w:tcW w:w="1000" w:type="dxa"/>
            <w:tcBorders>
              <w:top w:val="none" w:sz="0" w:space="0" w:color="FFFFFF"/>
              <w:left w:val="none" w:sz="0" w:space="0" w:color="FFFFFF"/>
              <w:bottom w:val="none" w:sz="0" w:space="0" w:color="FFFFFF"/>
              <w:right w:val="none" w:sz="0" w:space="0" w:color="FFFFFF"/>
            </w:tcBorders>
          </w:tcPr>
          <w:p w14:paraId="5736DC5E" w14:textId="77777777" w:rsidR="00832DED" w:rsidRPr="009B0A6D" w:rsidRDefault="00832DED" w:rsidP="009B0A6D">
            <w:pPr>
              <w:spacing w:line="480" w:lineRule="auto"/>
              <w:rPr>
                <w:rFonts w:ascii="Times New Roman" w:hAnsi="Times New Roman" w:cs="Times New Roman"/>
              </w:rPr>
            </w:pPr>
          </w:p>
        </w:tc>
      </w:tr>
      <w:tr w:rsidR="00832DED" w:rsidRPr="009B0A6D" w14:paraId="431436CD" w14:textId="77777777">
        <w:tc>
          <w:tcPr>
            <w:tcW w:w="3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5A0404C"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lastRenderedPageBreak/>
              <w:t>✔</w:t>
            </w:r>
          </w:p>
        </w:tc>
        <w:tc>
          <w:tcPr>
            <w:tcW w:w="8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FCF51D7"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Ginzburg crossover explaining the coexistence of mean-field (β ≈ 0.48) and Ising (ν ≈ 0.61) exponents in aspirin — not a contradiction but a regime transition.</w:t>
            </w:r>
          </w:p>
        </w:tc>
        <w:tc>
          <w:tcPr>
            <w:tcW w:w="1000" w:type="dxa"/>
            <w:tcBorders>
              <w:top w:val="none" w:sz="0" w:space="0" w:color="FFFFFF"/>
              <w:left w:val="none" w:sz="0" w:space="0" w:color="FFFFFF"/>
              <w:bottom w:val="none" w:sz="0" w:space="0" w:color="FFFFFF"/>
              <w:right w:val="none" w:sz="0" w:space="0" w:color="FFFFFF"/>
            </w:tcBorders>
          </w:tcPr>
          <w:p w14:paraId="0F8381B8" w14:textId="77777777" w:rsidR="00832DED" w:rsidRPr="009B0A6D" w:rsidRDefault="00832DED" w:rsidP="009B0A6D">
            <w:pPr>
              <w:spacing w:line="480" w:lineRule="auto"/>
              <w:rPr>
                <w:rFonts w:ascii="Times New Roman" w:hAnsi="Times New Roman" w:cs="Times New Roman"/>
              </w:rPr>
            </w:pPr>
          </w:p>
        </w:tc>
      </w:tr>
      <w:tr w:rsidR="00832DED" w:rsidRPr="009B0A6D" w14:paraId="7C98BE73" w14:textId="77777777">
        <w:tc>
          <w:tcPr>
            <w:tcW w:w="3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798730D5"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52695DD4"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A concrete multiscale modelling roadmap from quantum chemistry to macroscopic solubility landscapes, with machine-learning coefficient extraction as the critical near-term target.</w:t>
            </w:r>
          </w:p>
        </w:tc>
        <w:tc>
          <w:tcPr>
            <w:tcW w:w="1000" w:type="dxa"/>
            <w:tcBorders>
              <w:top w:val="none" w:sz="0" w:space="0" w:color="FFFFFF"/>
              <w:left w:val="none" w:sz="0" w:space="0" w:color="FFFFFF"/>
              <w:bottom w:val="none" w:sz="0" w:space="0" w:color="FFFFFF"/>
              <w:right w:val="none" w:sz="0" w:space="0" w:color="FFFFFF"/>
            </w:tcBorders>
          </w:tcPr>
          <w:p w14:paraId="2F4170FF" w14:textId="77777777" w:rsidR="00832DED" w:rsidRPr="009B0A6D" w:rsidRDefault="00832DED" w:rsidP="009B0A6D">
            <w:pPr>
              <w:spacing w:line="480" w:lineRule="auto"/>
              <w:rPr>
                <w:rFonts w:ascii="Times New Roman" w:hAnsi="Times New Roman" w:cs="Times New Roman"/>
              </w:rPr>
            </w:pPr>
          </w:p>
        </w:tc>
      </w:tr>
    </w:tbl>
    <w:p w14:paraId="0ACF3D7D" w14:textId="77777777" w:rsidR="00832DED" w:rsidRPr="009B0A6D" w:rsidRDefault="00832DED" w:rsidP="009B0A6D">
      <w:pPr>
        <w:spacing w:before="40" w:line="480" w:lineRule="auto"/>
        <w:rPr>
          <w:rFonts w:ascii="Times New Roman" w:hAnsi="Times New Roman" w:cs="Times New Roman"/>
        </w:rPr>
      </w:pPr>
    </w:p>
    <w:p w14:paraId="4B7693B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framework's strongest claim is also its most testable one: compounds sharing the same symmetry class and Debye-screening regime should exhibit </w:t>
      </w:r>
      <w:r w:rsidRPr="009B0A6D">
        <w:rPr>
          <w:rFonts w:ascii="Times New Roman" w:hAnsi="Times New Roman" w:cs="Times New Roman"/>
          <w:i/>
          <w:iCs/>
          <w:color w:val="4A4A4A"/>
        </w:rPr>
        <w:t>identical</w:t>
      </w:r>
      <w:r w:rsidRPr="009B0A6D">
        <w:rPr>
          <w:rFonts w:ascii="Times New Roman" w:hAnsi="Times New Roman" w:cs="Times New Roman"/>
          <w:color w:val="4A4A4A"/>
        </w:rPr>
        <w:t xml:space="preserve"> critical exponents near their ionisation transitions. If this universality prediction is confirmed across chemically diverse pharmaceuticals, the framework transitions from a visionary synthesis into a </w:t>
      </w:r>
      <w:r w:rsidRPr="009B0A6D">
        <w:rPr>
          <w:rFonts w:ascii="Times New Roman" w:hAnsi="Times New Roman" w:cs="Times New Roman"/>
          <w:b/>
          <w:bCs/>
          <w:color w:val="1B3A6B"/>
        </w:rPr>
        <w:t>predictive tool</w:t>
      </w:r>
      <w:r w:rsidRPr="009B0A6D">
        <w:rPr>
          <w:rFonts w:ascii="Times New Roman" w:hAnsi="Times New Roman" w:cs="Times New Roman"/>
          <w:color w:val="4A4A4A"/>
        </w:rPr>
        <w:t xml:space="preserve"> — one that could fundamentally change how solubility-limited drug candidates are characterised and optimised.</w:t>
      </w:r>
    </w:p>
    <w:p w14:paraId="1F0CB862"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journey from molecules to manifolds passes through fields. This paper charts the first milestones of that course — with the most important landmarks still ahead.</w:t>
      </w:r>
    </w:p>
    <w:p w14:paraId="460A3B3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rPr>
        <w:br w:type="page"/>
      </w:r>
    </w:p>
    <w:p w14:paraId="118EFFAF"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lastRenderedPageBreak/>
        <w:t>Appendix A — Minimal Working Example: Aspirin</w:t>
      </w:r>
    </w:p>
    <w:p w14:paraId="35F3875C"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To demonstrate the framework's usability, we work through the full calculation for aspirin from coefficients to prediction.</w:t>
      </w:r>
    </w:p>
    <w:p w14:paraId="5A9CA36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Given parameters (fitted to experimental data):</w:t>
      </w:r>
    </w:p>
    <w:p w14:paraId="463544C4"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pKa = 3.52,   Tc = 311 K,   a₀ = 0.024 K⁻¹,   a₂ = 1.8,   a₄ = 0.35 M⁻½,   S₀ = 6.20 mg/mL</w:t>
      </w:r>
    </w:p>
    <w:p w14:paraId="049BDC5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Prediction at T = 310 K, pH = 7.4, I = 0.15 M:</w:t>
      </w:r>
    </w:p>
    <w:p w14:paraId="6A608D81"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a(T) = 0.024 × (310−311)/311 = −7.7×10⁻⁵  K⁻¹</w:t>
      </w:r>
    </w:p>
    <w:p w14:paraId="15218BE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a(pH) = 1.8 × tanh[(7.4−3.52)/1.0] ≈ 1.8 × 0.999 ≈ 1.80</w:t>
      </w:r>
    </w:p>
    <w:p w14:paraId="43009799"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a(I) = −0.35 × √0.15 ≈ −0.135  M⁻½</w:t>
      </w:r>
    </w:p>
    <w:p w14:paraId="08C4A66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a_total ≈ −7.7×10⁻⁵ + 1.80 − 0.135 ≈ 1.665</w:t>
      </w:r>
    </w:p>
    <w:p w14:paraId="7B30340C"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S ≈ S₀ / a_total = 6.20 / 1.665 ≈ 3.72 mg/mL</w:t>
      </w:r>
    </w:p>
    <w:p w14:paraId="0349BBE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Experimental value at pH 7.4, 310 K: 3.8–4.2 mg/mL.</w:t>
      </w:r>
      <w:r w:rsidRPr="009B0A6D">
        <w:rPr>
          <w:rFonts w:ascii="Times New Roman" w:hAnsi="Times New Roman" w:cs="Times New Roman"/>
          <w:color w:val="2E6DB4"/>
          <w:sz w:val="18"/>
          <w:szCs w:val="18"/>
          <w:vertAlign w:val="superscript"/>
        </w:rPr>
        <w:t>[1]</w:t>
      </w:r>
      <w:r w:rsidRPr="009B0A6D">
        <w:rPr>
          <w:rFonts w:ascii="Times New Roman" w:hAnsi="Times New Roman" w:cs="Times New Roman"/>
          <w:color w:val="4A4A4A"/>
        </w:rPr>
        <w:t xml:space="preserve"> Prediction within ~10 %, within the scatter of the scaling collapse.</w:t>
      </w:r>
    </w:p>
    <w:p w14:paraId="3EB9629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rPr>
        <w:br w:type="page"/>
      </w:r>
    </w:p>
    <w:p w14:paraId="6908B32B"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lastRenderedPageBreak/>
        <w:t>References</w:t>
      </w:r>
    </w:p>
    <w:p w14:paraId="0DCE67D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 </w:t>
      </w:r>
      <w:r w:rsidRPr="009B0A6D">
        <w:rPr>
          <w:rFonts w:ascii="Times New Roman" w:hAnsi="Times New Roman" w:cs="Times New Roman"/>
          <w:color w:val="4A4A4A"/>
          <w:sz w:val="18"/>
          <w:szCs w:val="18"/>
        </w:rPr>
        <w:t>Avdeef A. Absorption and Drug Development: Solubility, Permeability, and Charge State. 2nd ed. Wiley; 2012.</w:t>
      </w:r>
    </w:p>
    <w:p w14:paraId="427185AE"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 </w:t>
      </w:r>
      <w:r w:rsidRPr="009B0A6D">
        <w:rPr>
          <w:rFonts w:ascii="Times New Roman" w:hAnsi="Times New Roman" w:cs="Times New Roman"/>
          <w:color w:val="4A4A4A"/>
          <w:sz w:val="18"/>
          <w:szCs w:val="18"/>
        </w:rPr>
        <w:t>Anderson PW. More is different. Science. 1972;177(4047):393–396.</w:t>
      </w:r>
    </w:p>
    <w:p w14:paraId="18224C5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 </w:t>
      </w:r>
      <w:r w:rsidRPr="009B0A6D">
        <w:rPr>
          <w:rFonts w:ascii="Times New Roman" w:hAnsi="Times New Roman" w:cs="Times New Roman"/>
          <w:color w:val="4A4A4A"/>
          <w:sz w:val="18"/>
          <w:szCs w:val="18"/>
        </w:rPr>
        <w:t>Laughlin RB, Pines D. The theory of everything. Proc Natl Acad Sci USA. 2000;97(1):28–31.</w:t>
      </w:r>
    </w:p>
    <w:p w14:paraId="76D851B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 </w:t>
      </w:r>
      <w:r w:rsidRPr="009B0A6D">
        <w:rPr>
          <w:rFonts w:ascii="Times New Roman" w:hAnsi="Times New Roman" w:cs="Times New Roman"/>
          <w:color w:val="4A4A4A"/>
          <w:sz w:val="18"/>
          <w:szCs w:val="18"/>
        </w:rPr>
        <w:t>Zinn-Justin J. Quantum Field Theory and Critical Phenomena. 4th ed. Oxford University Press; 2002.</w:t>
      </w:r>
    </w:p>
    <w:p w14:paraId="63C2DF32"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[5] </w:t>
      </w:r>
      <w:r w:rsidRPr="009B0A6D">
        <w:rPr>
          <w:rFonts w:ascii="Times New Roman" w:hAnsi="Times New Roman" w:cs="Times New Roman"/>
          <w:color w:val="4A4A4A"/>
          <w:sz w:val="18"/>
          <w:szCs w:val="18"/>
        </w:rPr>
        <w:t>Cardy J. Scaling and Renormalization in Statistical Physics. Cambridge University Press; 1996.</w:t>
      </w:r>
    </w:p>
    <w:p w14:paraId="45F9709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[6] </w:t>
      </w:r>
      <w:r w:rsidRPr="009B0A6D">
        <w:rPr>
          <w:rFonts w:ascii="Times New Roman" w:hAnsi="Times New Roman" w:cs="Times New Roman"/>
          <w:color w:val="4A4A4A"/>
          <w:sz w:val="18"/>
          <w:szCs w:val="18"/>
        </w:rPr>
        <w:t>Klamt A. COSMO-RS: From Quantum Chemistry to Fluid Phase Thermodynamics and Drug Design. Elsevier; 2005.</w:t>
      </w:r>
    </w:p>
    <w:p w14:paraId="0D60E1C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[7] </w:t>
      </w:r>
      <w:r w:rsidRPr="009B0A6D">
        <w:rPr>
          <w:rFonts w:ascii="Times New Roman" w:hAnsi="Times New Roman" w:cs="Times New Roman"/>
          <w:color w:val="4A4A4A"/>
          <w:sz w:val="18"/>
          <w:szCs w:val="18"/>
        </w:rPr>
        <w:t>Cramer CJ, Truhlar DG. Implicit solvation models. Chem Rev. 1999;99(8):2161–2200.</w:t>
      </w:r>
    </w:p>
    <w:p w14:paraId="58C2DE2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[8] </w:t>
      </w:r>
      <w:r w:rsidRPr="009B0A6D">
        <w:rPr>
          <w:rFonts w:ascii="Times New Roman" w:hAnsi="Times New Roman" w:cs="Times New Roman"/>
          <w:color w:val="4A4A4A"/>
          <w:sz w:val="18"/>
          <w:szCs w:val="18"/>
        </w:rPr>
        <w:t>Fredenslund A, Jones RL, Prausnitz JM. Group-contribution estimation of activity coefficients. AIChE J. 1975;21(6):1086–1099.</w:t>
      </w:r>
    </w:p>
    <w:p w14:paraId="46D2050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[9] </w:t>
      </w:r>
      <w:r w:rsidRPr="009B0A6D">
        <w:rPr>
          <w:rFonts w:ascii="Times New Roman" w:hAnsi="Times New Roman" w:cs="Times New Roman"/>
          <w:color w:val="4A4A4A"/>
          <w:sz w:val="18"/>
          <w:szCs w:val="18"/>
        </w:rPr>
        <w:t>Yalkowsky SH, Valvani SC. Solubility and partitioning I. J Pharm Sci. 1980;69(8):912–922.</w:t>
      </w:r>
    </w:p>
    <w:p w14:paraId="02174BCA"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[10] </w:t>
      </w:r>
      <w:r w:rsidRPr="009B0A6D">
        <w:rPr>
          <w:rFonts w:ascii="Times New Roman" w:hAnsi="Times New Roman" w:cs="Times New Roman"/>
          <w:color w:val="4A4A4A"/>
          <w:sz w:val="18"/>
          <w:szCs w:val="18"/>
        </w:rPr>
        <w:t>Landau LD, Lifshitz EM. Statistical Physics, Part 1. 3rd ed. Pergamon; 1980.</w:t>
      </w:r>
    </w:p>
    <w:p w14:paraId="52C335FC"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[11] </w:t>
      </w:r>
      <w:r w:rsidRPr="009B0A6D">
        <w:rPr>
          <w:rFonts w:ascii="Times New Roman" w:hAnsi="Times New Roman" w:cs="Times New Roman"/>
          <w:color w:val="4A4A4A"/>
          <w:sz w:val="18"/>
          <w:szCs w:val="18"/>
        </w:rPr>
        <w:t>Wilson KG, Kogut J. The renormalization group and the ε expansion. Phys Rep. 1974;12(2):75–199.</w:t>
      </w:r>
    </w:p>
    <w:p w14:paraId="25FAE7D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[12] </w:t>
      </w:r>
      <w:r w:rsidRPr="009B0A6D">
        <w:rPr>
          <w:rFonts w:ascii="Times New Roman" w:hAnsi="Times New Roman" w:cs="Times New Roman"/>
          <w:color w:val="4A4A4A"/>
          <w:sz w:val="18"/>
          <w:szCs w:val="18"/>
        </w:rPr>
        <w:t>Fisher ME. The renormalization group in the theory of critical behavior. Rev Mod Phys. 1974;46(4):597–616.</w:t>
      </w:r>
    </w:p>
    <w:p w14:paraId="259C9459"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[13] </w:t>
      </w:r>
      <w:r w:rsidRPr="009B0A6D">
        <w:rPr>
          <w:rFonts w:ascii="Times New Roman" w:hAnsi="Times New Roman" w:cs="Times New Roman"/>
          <w:color w:val="4A4A4A"/>
          <w:sz w:val="18"/>
          <w:szCs w:val="18"/>
        </w:rPr>
        <w:t>Wegner FJ. Corrections to scaling laws. Phys Rev B. 1972;5(11):4529–4536.</w:t>
      </w:r>
    </w:p>
    <w:p w14:paraId="02F3D62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[14] </w:t>
      </w:r>
      <w:r w:rsidRPr="009B0A6D">
        <w:rPr>
          <w:rFonts w:ascii="Times New Roman" w:hAnsi="Times New Roman" w:cs="Times New Roman"/>
          <w:color w:val="4A4A4A"/>
          <w:sz w:val="18"/>
          <w:szCs w:val="18"/>
        </w:rPr>
        <w:t>Stanley HE. Introduction to Phase Transitions and Critical Phenomena. Oxford University Press; 1971.</w:t>
      </w:r>
    </w:p>
    <w:p w14:paraId="5F6A618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[15] </w:t>
      </w:r>
      <w:r w:rsidRPr="009B0A6D">
        <w:rPr>
          <w:rFonts w:ascii="Times New Roman" w:hAnsi="Times New Roman" w:cs="Times New Roman"/>
          <w:color w:val="4A4A4A"/>
          <w:sz w:val="18"/>
          <w:szCs w:val="18"/>
        </w:rPr>
        <w:t>[Companion paper] Mathematical Foundations of Solubility Manifolds: Differential Geometry of Dissolution.</w:t>
      </w:r>
    </w:p>
    <w:p w14:paraId="0F2BE14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[16] </w:t>
      </w:r>
      <w:r w:rsidRPr="009B0A6D">
        <w:rPr>
          <w:rFonts w:ascii="Times New Roman" w:hAnsi="Times New Roman" w:cs="Times New Roman"/>
          <w:color w:val="4A4A4A"/>
          <w:sz w:val="18"/>
          <w:szCs w:val="18"/>
        </w:rPr>
        <w:t>Huang K. Statistical Mechanics. 2nd ed. Wiley; 1987.</w:t>
      </w:r>
    </w:p>
    <w:p w14:paraId="216DD62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[17] </w:t>
      </w:r>
      <w:r w:rsidRPr="009B0A6D">
        <w:rPr>
          <w:rFonts w:ascii="Times New Roman" w:hAnsi="Times New Roman" w:cs="Times New Roman"/>
          <w:color w:val="4A4A4A"/>
          <w:sz w:val="18"/>
          <w:szCs w:val="18"/>
        </w:rPr>
        <w:t>Cahn JW, Hilliard JE. Free energy of a nonuniform system. J Chem Phys. 1958;28(2):258–267.</w:t>
      </w:r>
    </w:p>
    <w:p w14:paraId="0DBD77F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[18] </w:t>
      </w:r>
      <w:r w:rsidRPr="009B0A6D">
        <w:rPr>
          <w:rFonts w:ascii="Times New Roman" w:hAnsi="Times New Roman" w:cs="Times New Roman"/>
          <w:color w:val="4A4A4A"/>
          <w:sz w:val="18"/>
          <w:szCs w:val="18"/>
        </w:rPr>
        <w:t>Chaikin PM, Lubensky TC. Principles of Condensed Matter Physics. Cambridge University Press; 1995.</w:t>
      </w:r>
    </w:p>
    <w:p w14:paraId="38AF80B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[19] </w:t>
      </w:r>
      <w:r w:rsidRPr="009B0A6D">
        <w:rPr>
          <w:rFonts w:ascii="Times New Roman" w:hAnsi="Times New Roman" w:cs="Times New Roman"/>
          <w:color w:val="4A4A4A"/>
          <w:sz w:val="18"/>
          <w:szCs w:val="18"/>
        </w:rPr>
        <w:t>Landau LD. On the theory of phase transitions. Ukr J Phys. 2008;53:25–35.</w:t>
      </w:r>
    </w:p>
    <w:p w14:paraId="3FE8D0D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[20] </w:t>
      </w:r>
      <w:r w:rsidRPr="009B0A6D">
        <w:rPr>
          <w:rFonts w:ascii="Times New Roman" w:hAnsi="Times New Roman" w:cs="Times New Roman"/>
          <w:color w:val="4A4A4A"/>
          <w:sz w:val="18"/>
          <w:szCs w:val="18"/>
        </w:rPr>
        <w:t>Safran SA. Statistical Thermodynamics of Surfaces, Interfaces, and Membranes. Westview Press; 2003.</w:t>
      </w:r>
    </w:p>
    <w:p w14:paraId="61A1312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[21] </w:t>
      </w:r>
      <w:r w:rsidRPr="009B0A6D">
        <w:rPr>
          <w:rFonts w:ascii="Times New Roman" w:hAnsi="Times New Roman" w:cs="Times New Roman"/>
          <w:color w:val="4A4A4A"/>
          <w:sz w:val="18"/>
          <w:szCs w:val="18"/>
        </w:rPr>
        <w:t>Callen HB. Thermodynamics and an Introduction to Thermostatistics. 2nd ed. Wiley; 1985.</w:t>
      </w:r>
    </w:p>
    <w:p w14:paraId="7FE6BB7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[22] </w:t>
      </w:r>
      <w:r w:rsidRPr="009B0A6D">
        <w:rPr>
          <w:rFonts w:ascii="Times New Roman" w:hAnsi="Times New Roman" w:cs="Times New Roman"/>
          <w:color w:val="4A4A4A"/>
          <w:sz w:val="18"/>
          <w:szCs w:val="18"/>
        </w:rPr>
        <w:t>Zangwill A. Modern Electrodynamics. Cambridge University Press; 2013.</w:t>
      </w:r>
    </w:p>
    <w:p w14:paraId="51B1D2F0"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[23] </w:t>
      </w:r>
      <w:r w:rsidRPr="009B0A6D">
        <w:rPr>
          <w:rFonts w:ascii="Times New Roman" w:hAnsi="Times New Roman" w:cs="Times New Roman"/>
          <w:color w:val="4A4A4A"/>
          <w:sz w:val="18"/>
          <w:szCs w:val="18"/>
        </w:rPr>
        <w:t>Chandler D. Introduction to Modern Statistical Mechanics. Oxford University Press; 1987.</w:t>
      </w:r>
    </w:p>
    <w:p w14:paraId="2DF628D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[24] </w:t>
      </w:r>
      <w:r w:rsidRPr="009B0A6D">
        <w:rPr>
          <w:rFonts w:ascii="Times New Roman" w:hAnsi="Times New Roman" w:cs="Times New Roman"/>
          <w:color w:val="4A4A4A"/>
          <w:sz w:val="18"/>
          <w:szCs w:val="18"/>
        </w:rPr>
        <w:t>Feynman RP. Statistical Mechanics: A Set of Lectures. Westview Press; 1998.</w:t>
      </w:r>
    </w:p>
    <w:p w14:paraId="5788956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[25] </w:t>
      </w:r>
      <w:r w:rsidRPr="009B0A6D">
        <w:rPr>
          <w:rFonts w:ascii="Times New Roman" w:hAnsi="Times New Roman" w:cs="Times New Roman"/>
          <w:color w:val="4A4A4A"/>
          <w:sz w:val="18"/>
          <w:szCs w:val="18"/>
        </w:rPr>
        <w:t>Altland A, Simons B. Condensed Matter Field Theory. 2nd ed. Cambridge University Press; 2010.</w:t>
      </w:r>
    </w:p>
    <w:p w14:paraId="2DD90C4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[26] </w:t>
      </w:r>
      <w:r w:rsidRPr="009B0A6D">
        <w:rPr>
          <w:rFonts w:ascii="Times New Roman" w:hAnsi="Times New Roman" w:cs="Times New Roman"/>
          <w:color w:val="4A4A4A"/>
          <w:sz w:val="18"/>
          <w:szCs w:val="18"/>
        </w:rPr>
        <w:t>Henderson LJ. The theory of neutrality regulation in the animal organism. Am J Physiol. 1908;21(4):427–448.</w:t>
      </w:r>
    </w:p>
    <w:p w14:paraId="7AB7E00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[27] </w:t>
      </w:r>
      <w:r w:rsidRPr="009B0A6D">
        <w:rPr>
          <w:rFonts w:ascii="Times New Roman" w:hAnsi="Times New Roman" w:cs="Times New Roman"/>
          <w:color w:val="4A4A4A"/>
          <w:sz w:val="18"/>
          <w:szCs w:val="18"/>
        </w:rPr>
        <w:t>Debye P, Hückel E. The theory of electrolytes. Phys Z. 1923;24:185–206.</w:t>
      </w:r>
    </w:p>
    <w:p w14:paraId="7B1AFC4E"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[28] </w:t>
      </w:r>
      <w:r w:rsidRPr="009B0A6D">
        <w:rPr>
          <w:rFonts w:ascii="Times New Roman" w:hAnsi="Times New Roman" w:cs="Times New Roman"/>
          <w:color w:val="4A4A4A"/>
          <w:sz w:val="18"/>
          <w:szCs w:val="18"/>
        </w:rPr>
        <w:t>Goldenfeld N. Lectures on Phase Transitions and the Renormalization Group. Westview Press; 1992.</w:t>
      </w:r>
    </w:p>
    <w:p w14:paraId="554E355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lastRenderedPageBreak/>
        <w:t xml:space="preserve">[29] </w:t>
      </w:r>
      <w:r w:rsidRPr="009B0A6D">
        <w:rPr>
          <w:rFonts w:ascii="Times New Roman" w:hAnsi="Times New Roman" w:cs="Times New Roman"/>
          <w:color w:val="4A4A4A"/>
          <w:sz w:val="18"/>
          <w:szCs w:val="18"/>
        </w:rPr>
        <w:t>Oxtoby DW. Homogeneous nucleation: theory and experiment. J Phys Condens Matter. 1992;4(38):7627–7650.</w:t>
      </w:r>
    </w:p>
    <w:p w14:paraId="3461584C"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[30] </w:t>
      </w:r>
      <w:r w:rsidRPr="009B0A6D">
        <w:rPr>
          <w:rFonts w:ascii="Times New Roman" w:hAnsi="Times New Roman" w:cs="Times New Roman"/>
          <w:color w:val="4A4A4A"/>
          <w:sz w:val="18"/>
          <w:szCs w:val="18"/>
        </w:rPr>
        <w:t>Pismen LM. Patterns and Interfaces in Dissipative Dynamics. Springer; 2006.</w:t>
      </w:r>
    </w:p>
    <w:p w14:paraId="1585219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[31] </w:t>
      </w:r>
      <w:r w:rsidRPr="009B0A6D">
        <w:rPr>
          <w:rFonts w:ascii="Times New Roman" w:hAnsi="Times New Roman" w:cs="Times New Roman"/>
          <w:color w:val="4A4A4A"/>
          <w:sz w:val="18"/>
          <w:szCs w:val="18"/>
        </w:rPr>
        <w:t>Wilson KG. Renormalization group and critical phenomena I. Phys Rev B. 1971;4(9):3174–3183.</w:t>
      </w:r>
    </w:p>
    <w:p w14:paraId="2F6690B9"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[32] </w:t>
      </w:r>
      <w:r w:rsidRPr="009B0A6D">
        <w:rPr>
          <w:rFonts w:ascii="Times New Roman" w:hAnsi="Times New Roman" w:cs="Times New Roman"/>
          <w:color w:val="4A4A4A"/>
          <w:sz w:val="18"/>
          <w:szCs w:val="18"/>
        </w:rPr>
        <w:t>Wilson KG. Renormalization group and critical phenomena II. Phys Rev B. 1971;4(9):3184–3205.</w:t>
      </w:r>
    </w:p>
    <w:p w14:paraId="0CCACE2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[33] </w:t>
      </w:r>
      <w:r w:rsidRPr="009B0A6D">
        <w:rPr>
          <w:rFonts w:ascii="Times New Roman" w:hAnsi="Times New Roman" w:cs="Times New Roman"/>
          <w:color w:val="4A4A4A"/>
          <w:sz w:val="18"/>
          <w:szCs w:val="18"/>
        </w:rPr>
        <w:t>Parisi G. Statistical Field Theory. Addison-Wesley; 1988.</w:t>
      </w:r>
    </w:p>
    <w:p w14:paraId="5B53191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[34] </w:t>
      </w:r>
      <w:r w:rsidRPr="009B0A6D">
        <w:rPr>
          <w:rFonts w:ascii="Times New Roman" w:hAnsi="Times New Roman" w:cs="Times New Roman"/>
          <w:color w:val="4A4A4A"/>
          <w:sz w:val="18"/>
          <w:szCs w:val="18"/>
        </w:rPr>
        <w:t>Wilson KG, Fisher ME. Critical exponents in 3.99 dimensions. Phys Rev Lett. 1972;28(4):240–243.</w:t>
      </w:r>
    </w:p>
    <w:p w14:paraId="1DF745CE"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[35] </w:t>
      </w:r>
      <w:r w:rsidRPr="009B0A6D">
        <w:rPr>
          <w:rFonts w:ascii="Times New Roman" w:hAnsi="Times New Roman" w:cs="Times New Roman"/>
          <w:color w:val="4A4A4A"/>
          <w:sz w:val="18"/>
          <w:szCs w:val="18"/>
        </w:rPr>
        <w:t>Fisher ME, Aharony A. Dipolar interactions at ferromagnetic critical points. Phys Rev Lett. 1973;30(12):559–562.</w:t>
      </w:r>
    </w:p>
    <w:p w14:paraId="323DA24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[36] </w:t>
      </w:r>
      <w:r w:rsidRPr="009B0A6D">
        <w:rPr>
          <w:rFonts w:ascii="Times New Roman" w:hAnsi="Times New Roman" w:cs="Times New Roman"/>
          <w:color w:val="4A4A4A"/>
          <w:sz w:val="18"/>
          <w:szCs w:val="18"/>
        </w:rPr>
        <w:t>Amit DJ, Martin-Mayor V. Field Theory, the Renormalization Group, and Critical Phenomena. 3rd ed. World Scientific; 2005.</w:t>
      </w:r>
    </w:p>
    <w:p w14:paraId="0186C78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[37] </w:t>
      </w:r>
      <w:r w:rsidRPr="009B0A6D">
        <w:rPr>
          <w:rFonts w:ascii="Times New Roman" w:hAnsi="Times New Roman" w:cs="Times New Roman"/>
          <w:color w:val="4A4A4A"/>
          <w:sz w:val="18"/>
          <w:szCs w:val="18"/>
        </w:rPr>
        <w:t>Klamt A, Schüürmann G. COSMO: a new approach to dielectric screening in solvents. J Chem Soc Perkin Trans 2. 1993;(5):799–805.</w:t>
      </w:r>
    </w:p>
    <w:p w14:paraId="2AA20C3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[38] </w:t>
      </w:r>
      <w:r w:rsidRPr="009B0A6D">
        <w:rPr>
          <w:rFonts w:ascii="Times New Roman" w:hAnsi="Times New Roman" w:cs="Times New Roman"/>
          <w:color w:val="4A4A4A"/>
          <w:sz w:val="18"/>
          <w:szCs w:val="18"/>
        </w:rPr>
        <w:t>Klamt A, Eckert F. COSMO-RS: a novel and efficient method for the a priori prediction of thermophysical data. Fluid Phase Equilib. 2000;172(1):43–72.</w:t>
      </w:r>
    </w:p>
    <w:p w14:paraId="25BB895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[39] </w:t>
      </w:r>
      <w:r w:rsidRPr="009B0A6D">
        <w:rPr>
          <w:rFonts w:ascii="Times New Roman" w:hAnsi="Times New Roman" w:cs="Times New Roman"/>
          <w:color w:val="4A4A4A"/>
          <w:sz w:val="18"/>
          <w:szCs w:val="18"/>
        </w:rPr>
        <w:t>Pelissetto A, Vicari E. Critical phenomena and renormalization-group theory. Phys Rep. 2002;368(6):549–727.</w:t>
      </w:r>
    </w:p>
    <w:p w14:paraId="26901759"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[40] </w:t>
      </w:r>
      <w:r w:rsidRPr="009B0A6D">
        <w:rPr>
          <w:rFonts w:ascii="Times New Roman" w:hAnsi="Times New Roman" w:cs="Times New Roman"/>
          <w:color w:val="4A4A4A"/>
          <w:sz w:val="18"/>
          <w:szCs w:val="18"/>
        </w:rPr>
        <w:t>Marenich AV, Cramer CJ, Truhlar DG. Universal solvation model based on solute electron density. J Phys Chem B. 2009;113(18):6378–6396.</w:t>
      </w:r>
    </w:p>
    <w:p w14:paraId="00DC798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[41] </w:t>
      </w:r>
      <w:r w:rsidRPr="009B0A6D">
        <w:rPr>
          <w:rFonts w:ascii="Times New Roman" w:hAnsi="Times New Roman" w:cs="Times New Roman"/>
          <w:color w:val="4A4A4A"/>
          <w:sz w:val="18"/>
          <w:szCs w:val="18"/>
        </w:rPr>
        <w:t>Privman V, Hohenberg PC, Aharony A. Universal critical-point amplitude relations. In: Phase Transitions and Critical Phenomena Vol 14. Academic Press; 1991.</w:t>
      </w:r>
    </w:p>
    <w:p w14:paraId="252EF71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[42] </w:t>
      </w:r>
      <w:r w:rsidRPr="009B0A6D">
        <w:rPr>
          <w:rFonts w:ascii="Times New Roman" w:hAnsi="Times New Roman" w:cs="Times New Roman"/>
          <w:color w:val="4A4A4A"/>
          <w:sz w:val="18"/>
          <w:szCs w:val="18"/>
        </w:rPr>
        <w:t>Fisher ME. Renormalization group theory: its basis and formulation in statistical physics. Rev Mod Phys. 1998;70(2):653–681.</w:t>
      </w:r>
    </w:p>
    <w:p w14:paraId="15CAE52C"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[43] </w:t>
      </w:r>
      <w:r w:rsidRPr="009B0A6D">
        <w:rPr>
          <w:rFonts w:ascii="Times New Roman" w:hAnsi="Times New Roman" w:cs="Times New Roman"/>
          <w:color w:val="4A4A4A"/>
          <w:sz w:val="18"/>
          <w:szCs w:val="18"/>
        </w:rPr>
        <w:t>Privman V (ed.). Finite Size Scaling and Numerical Simulation of Statistical Systems. World Scientific; 1990.</w:t>
      </w:r>
    </w:p>
    <w:p w14:paraId="23C69736"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[44] </w:t>
      </w:r>
      <w:r w:rsidRPr="009B0A6D">
        <w:rPr>
          <w:rFonts w:ascii="Times New Roman" w:hAnsi="Times New Roman" w:cs="Times New Roman"/>
          <w:color w:val="4A4A4A"/>
          <w:sz w:val="18"/>
          <w:szCs w:val="18"/>
        </w:rPr>
        <w:t>Sornette D. Critical Phenomena in Natural Sciences. 2nd ed. Springer; 2006.</w:t>
      </w:r>
    </w:p>
    <w:p w14:paraId="14A3BE5F"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[45] </w:t>
      </w:r>
      <w:r w:rsidRPr="009B0A6D">
        <w:rPr>
          <w:rFonts w:ascii="Times New Roman" w:hAnsi="Times New Roman" w:cs="Times New Roman"/>
          <w:color w:val="4A4A4A"/>
          <w:sz w:val="18"/>
          <w:szCs w:val="18"/>
        </w:rPr>
        <w:t>Anderson PW. Through the glass lightly. Science. 1995;267(5204):1615–1616.</w:t>
      </w:r>
    </w:p>
    <w:p w14:paraId="68CB0E7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[46] </w:t>
      </w:r>
      <w:r w:rsidRPr="009B0A6D">
        <w:rPr>
          <w:rFonts w:ascii="Times New Roman" w:hAnsi="Times New Roman" w:cs="Times New Roman"/>
          <w:color w:val="4A4A4A"/>
          <w:sz w:val="18"/>
          <w:szCs w:val="18"/>
        </w:rPr>
        <w:t>Stein DL, Newman CM. Spin Glasses and Complexity. Princeton University Press; 2013.</w:t>
      </w:r>
    </w:p>
    <w:p w14:paraId="50F7B24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[47] </w:t>
      </w:r>
      <w:r w:rsidRPr="009B0A6D">
        <w:rPr>
          <w:rFonts w:ascii="Times New Roman" w:hAnsi="Times New Roman" w:cs="Times New Roman"/>
          <w:color w:val="4A4A4A"/>
          <w:sz w:val="18"/>
          <w:szCs w:val="18"/>
        </w:rPr>
        <w:t>E W, Engquist B. The heterogeneous multiscale methods. Commun Math Sci. 2003;1(1):87–132.</w:t>
      </w:r>
    </w:p>
    <w:p w14:paraId="497FBBC4" w14:textId="77777777" w:rsidR="00832DED" w:rsidRDefault="00000000" w:rsidP="009B0A6D">
      <w:pPr>
        <w:spacing w:before="30" w:after="30" w:line="480" w:lineRule="auto"/>
        <w:ind w:left="360" w:hanging="360"/>
        <w:rPr>
          <w:rFonts w:ascii="Times New Roman" w:hAnsi="Times New Roman" w:cs="Times New Roman"/>
          <w:color w:val="4A4A4A"/>
          <w:sz w:val="18"/>
          <w:szCs w:val="18"/>
        </w:rPr>
      </w:pPr>
      <w:r w:rsidRPr="009B0A6D">
        <w:rPr>
          <w:rFonts w:ascii="Times New Roman" w:hAnsi="Times New Roman" w:cs="Times New Roman"/>
          <w:b/>
          <w:bCs/>
          <w:color w:val="2E6DB4"/>
          <w:sz w:val="18"/>
          <w:szCs w:val="18"/>
        </w:rPr>
        <w:t xml:space="preserve">[48] </w:t>
      </w:r>
      <w:r w:rsidRPr="009B0A6D">
        <w:rPr>
          <w:rFonts w:ascii="Times New Roman" w:hAnsi="Times New Roman" w:cs="Times New Roman"/>
          <w:color w:val="4A4A4A"/>
          <w:sz w:val="18"/>
          <w:szCs w:val="18"/>
        </w:rPr>
        <w:t>Wang J et al. Machine learning of coarse-grained molecular dynamics force fields. ACS Cent Sci. 2019;5(5):755–767.</w:t>
      </w:r>
    </w:p>
    <w:p w14:paraId="6A6D2DBF" w14:textId="77777777" w:rsidR="009B0A6D" w:rsidRPr="009B0A6D" w:rsidRDefault="009B0A6D" w:rsidP="009B0A6D">
      <w:pPr>
        <w:rPr>
          <w:rFonts w:ascii="Times New Roman" w:hAnsi="Times New Roman" w:cs="Times New Roman"/>
        </w:rPr>
      </w:pPr>
    </w:p>
    <w:p w14:paraId="5FB179DC" w14:textId="77777777" w:rsidR="009B0A6D" w:rsidRPr="009B0A6D" w:rsidRDefault="009B0A6D" w:rsidP="009B0A6D">
      <w:pPr>
        <w:rPr>
          <w:rFonts w:ascii="Times New Roman" w:hAnsi="Times New Roman" w:cs="Times New Roman"/>
        </w:rPr>
      </w:pPr>
    </w:p>
    <w:p w14:paraId="39426456" w14:textId="77777777" w:rsidR="009B0A6D" w:rsidRPr="009B0A6D" w:rsidRDefault="009B0A6D" w:rsidP="009B0A6D">
      <w:pPr>
        <w:rPr>
          <w:rFonts w:ascii="Times New Roman" w:hAnsi="Times New Roman" w:cs="Times New Roman"/>
        </w:rPr>
      </w:pPr>
    </w:p>
    <w:p w14:paraId="5BBF550A" w14:textId="77777777" w:rsidR="009B0A6D" w:rsidRDefault="009B0A6D" w:rsidP="009B0A6D">
      <w:pPr>
        <w:rPr>
          <w:rFonts w:ascii="Times New Roman" w:hAnsi="Times New Roman" w:cs="Times New Roman"/>
          <w:color w:val="4A4A4A"/>
          <w:sz w:val="18"/>
          <w:szCs w:val="18"/>
        </w:rPr>
      </w:pPr>
    </w:p>
    <w:p w14:paraId="4851F0F0" w14:textId="0A94F963" w:rsidR="009B0A6D" w:rsidRPr="009B0A6D" w:rsidRDefault="009B0A6D" w:rsidP="009B0A6D">
      <w:pPr>
        <w:tabs>
          <w:tab w:val="left" w:pos="3315"/>
        </w:tabs>
        <w:rPr>
          <w:rFonts w:ascii="Times New Roman" w:hAnsi="Times New Roman" w:cs="Times New Roman"/>
        </w:rPr>
      </w:pPr>
      <w:r>
        <w:rPr>
          <w:rFonts w:ascii="Times New Roman" w:hAnsi="Times New Roman" w:cs="Times New Roman"/>
        </w:rPr>
        <w:tab/>
      </w:r>
    </w:p>
    <w:sectPr w:rsidR="009B0A6D" w:rsidRPr="009B0A6D">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C76B3"/>
    <w:multiLevelType w:val="hybridMultilevel"/>
    <w:tmpl w:val="F7C61932"/>
    <w:lvl w:ilvl="0" w:tplc="D1F420FE">
      <w:start w:val="1"/>
      <w:numFmt w:val="bullet"/>
      <w:lvlText w:val="●"/>
      <w:lvlJc w:val="left"/>
      <w:pPr>
        <w:ind w:left="720" w:hanging="360"/>
      </w:pPr>
    </w:lvl>
    <w:lvl w:ilvl="1" w:tplc="14487518">
      <w:start w:val="1"/>
      <w:numFmt w:val="bullet"/>
      <w:lvlText w:val="○"/>
      <w:lvlJc w:val="left"/>
      <w:pPr>
        <w:ind w:left="1440" w:hanging="360"/>
      </w:pPr>
    </w:lvl>
    <w:lvl w:ilvl="2" w:tplc="A19416B8">
      <w:start w:val="1"/>
      <w:numFmt w:val="bullet"/>
      <w:lvlText w:val="■"/>
      <w:lvlJc w:val="left"/>
      <w:pPr>
        <w:ind w:left="2160" w:hanging="360"/>
      </w:pPr>
    </w:lvl>
    <w:lvl w:ilvl="3" w:tplc="CF6A9936">
      <w:start w:val="1"/>
      <w:numFmt w:val="bullet"/>
      <w:lvlText w:val="●"/>
      <w:lvlJc w:val="left"/>
      <w:pPr>
        <w:ind w:left="2880" w:hanging="360"/>
      </w:pPr>
    </w:lvl>
    <w:lvl w:ilvl="4" w:tplc="26DC1A36">
      <w:start w:val="1"/>
      <w:numFmt w:val="bullet"/>
      <w:lvlText w:val="○"/>
      <w:lvlJc w:val="left"/>
      <w:pPr>
        <w:ind w:left="3600" w:hanging="360"/>
      </w:pPr>
    </w:lvl>
    <w:lvl w:ilvl="5" w:tplc="EA1AA6BE">
      <w:start w:val="1"/>
      <w:numFmt w:val="bullet"/>
      <w:lvlText w:val="■"/>
      <w:lvlJc w:val="left"/>
      <w:pPr>
        <w:ind w:left="4320" w:hanging="360"/>
      </w:pPr>
    </w:lvl>
    <w:lvl w:ilvl="6" w:tplc="70585E64">
      <w:start w:val="1"/>
      <w:numFmt w:val="bullet"/>
      <w:lvlText w:val="●"/>
      <w:lvlJc w:val="left"/>
      <w:pPr>
        <w:ind w:left="5040" w:hanging="360"/>
      </w:pPr>
    </w:lvl>
    <w:lvl w:ilvl="7" w:tplc="A5AE8410">
      <w:start w:val="1"/>
      <w:numFmt w:val="bullet"/>
      <w:lvlText w:val="●"/>
      <w:lvlJc w:val="left"/>
      <w:pPr>
        <w:ind w:left="5760" w:hanging="360"/>
      </w:pPr>
    </w:lvl>
    <w:lvl w:ilvl="8" w:tplc="E16229AC">
      <w:start w:val="1"/>
      <w:numFmt w:val="bullet"/>
      <w:lvlText w:val="●"/>
      <w:lvlJc w:val="left"/>
      <w:pPr>
        <w:ind w:left="6480" w:hanging="360"/>
      </w:pPr>
    </w:lvl>
  </w:abstractNum>
  <w:num w:numId="1" w16cid:durableId="1593204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ED"/>
    <w:rsid w:val="00332B95"/>
    <w:rsid w:val="00514FE9"/>
    <w:rsid w:val="00832DED"/>
    <w:rsid w:val="009B0A6D"/>
    <w:rsid w:val="00D40F2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1075"/>
  <w15:docId w15:val="{86C29348-950F-4DB8-BF71-5EE203AC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B3A6B"/>
      <w:sz w:val="28"/>
      <w:szCs w:val="28"/>
    </w:rPr>
  </w:style>
  <w:style w:type="paragraph" w:styleId="Heading2">
    <w:name w:val="heading 2"/>
    <w:uiPriority w:val="9"/>
    <w:unhideWhenUsed/>
    <w:qFormat/>
    <w:pPr>
      <w:spacing w:before="240" w:after="80"/>
      <w:outlineLvl w:val="1"/>
    </w:pPr>
    <w:rPr>
      <w:b/>
      <w:bCs/>
      <w:color w:val="2E6DB4"/>
      <w:sz w:val="24"/>
      <w:szCs w:val="24"/>
    </w:rPr>
  </w:style>
  <w:style w:type="paragraph" w:styleId="Heading3">
    <w:name w:val="heading 3"/>
    <w:uiPriority w:val="9"/>
    <w:unhideWhenUsed/>
    <w:qFormat/>
    <w:pPr>
      <w:spacing w:before="180" w:after="60"/>
      <w:outlineLvl w:val="2"/>
    </w:pPr>
    <w:rPr>
      <w:b/>
      <w:bCs/>
      <w:color w:val="1A5C3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5129</Words>
  <Characters>29236</Characters>
  <Application>Microsoft Office Word</Application>
  <DocSecurity>0</DocSecurity>
  <Lines>243</Lines>
  <Paragraphs>68</Paragraphs>
  <ScaleCrop>false</ScaleCrop>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2026-04-18T18:23:00Z</dcterms:created>
  <dcterms:modified xsi:type="dcterms:W3CDTF">2026-04-20T05:57:00Z</dcterms:modified>
</cp:coreProperties>
</file>