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39F7" w14:textId="59DDA5AD" w:rsidR="00383CA1" w:rsidRP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Factors Influencing Teenage Pregnancy in Odravu Sub-County, Yumbe District,</w:t>
      </w:r>
    </w:p>
    <w:p w14:paraId="50B395DA" w14:textId="307639A4" w:rsid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Northern Uganda.</w:t>
      </w:r>
    </w:p>
    <w:p w14:paraId="0713E5A1" w14:textId="77777777" w:rsidR="00383CA1" w:rsidRPr="00383CA1" w:rsidRDefault="00383CA1" w:rsidP="00383CA1">
      <w:pPr>
        <w:spacing w:after="0" w:line="360" w:lineRule="auto"/>
        <w:jc w:val="center"/>
        <w:rPr>
          <w:rFonts w:ascii="Times New Roman" w:hAnsi="Times New Roman" w:cs="Times New Roman"/>
          <w:b/>
          <w:bCs/>
        </w:rPr>
      </w:pPr>
    </w:p>
    <w:p w14:paraId="505A30D1" w14:textId="77777777" w:rsidR="00383CA1" w:rsidRDefault="00383CA1" w:rsidP="00383CA1">
      <w:pPr>
        <w:spacing w:after="0" w:line="360" w:lineRule="auto"/>
        <w:jc w:val="both"/>
        <w:rPr>
          <w:rFonts w:ascii="Times New Roman" w:hAnsi="Times New Roman" w:cs="Times New Roman"/>
          <w:i/>
          <w:iCs/>
        </w:rPr>
      </w:pPr>
    </w:p>
    <w:p w14:paraId="12D370C5" w14:textId="77777777" w:rsidR="00383CA1" w:rsidRPr="00383CA1" w:rsidRDefault="00383CA1" w:rsidP="00383CA1">
      <w:pPr>
        <w:spacing w:after="0" w:line="360" w:lineRule="auto"/>
        <w:jc w:val="both"/>
        <w:rPr>
          <w:rFonts w:ascii="Times New Roman" w:hAnsi="Times New Roman" w:cs="Times New Roman"/>
          <w:i/>
          <w:iCs/>
        </w:rPr>
      </w:pPr>
    </w:p>
    <w:p w14:paraId="70904A1C" w14:textId="77777777" w:rsidR="007643C1" w:rsidRPr="005E5315" w:rsidRDefault="007643C1" w:rsidP="005E5315">
      <w:pPr>
        <w:textAlignment w:val="center"/>
        <w:rPr>
          <w:rFonts w:ascii="Times New Roman" w:hAnsi="Times New Roman" w:cs="Times New Roman"/>
        </w:rPr>
      </w:pPr>
    </w:p>
    <w:p w14:paraId="714A6F40" w14:textId="4A2B2F8B" w:rsidR="00383CA1" w:rsidRPr="00383CA1" w:rsidRDefault="00383CA1" w:rsidP="00383CA1">
      <w:pPr>
        <w:spacing w:after="0" w:line="360" w:lineRule="auto"/>
        <w:jc w:val="both"/>
        <w:rPr>
          <w:rFonts w:ascii="Times New Roman" w:hAnsi="Times New Roman" w:cs="Times New Roman"/>
        </w:rPr>
      </w:pPr>
    </w:p>
    <w:p w14:paraId="764E497F" w14:textId="5F8FC976" w:rsidR="00383CA1" w:rsidRPr="00383CA1" w:rsidRDefault="00383CA1" w:rsidP="00383CA1">
      <w:pPr>
        <w:spacing w:after="0" w:line="360" w:lineRule="auto"/>
        <w:jc w:val="both"/>
        <w:rPr>
          <w:rFonts w:ascii="Times New Roman" w:hAnsi="Times New Roman" w:cs="Times New Roman"/>
        </w:rPr>
      </w:pPr>
    </w:p>
    <w:p w14:paraId="346690C9"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Abstract</w:t>
      </w:r>
    </w:p>
    <w:p w14:paraId="5DCD4E67" w14:textId="63A3326C" w:rsidR="00383CA1" w:rsidRPr="00383CA1" w:rsidRDefault="00383CA1" w:rsidP="002538F5">
      <w:pPr>
        <w:spacing w:after="0" w:line="360" w:lineRule="auto"/>
        <w:jc w:val="both"/>
        <w:rPr>
          <w:rFonts w:ascii="Times New Roman" w:hAnsi="Times New Roman" w:cs="Times New Roman"/>
        </w:rPr>
      </w:pPr>
      <w:r w:rsidRPr="002538F5">
        <w:rPr>
          <w:rFonts w:ascii="Times New Roman" w:hAnsi="Times New Roman" w:cs="Times New Roman"/>
          <w:b/>
          <w:bCs/>
        </w:rPr>
        <w:t>Introduction</w:t>
      </w:r>
      <w:r w:rsidRPr="00383CA1">
        <w:rPr>
          <w:rFonts w:ascii="Times New Roman" w:hAnsi="Times New Roman" w:cs="Times New Roman"/>
          <w:b/>
          <w:bCs/>
        </w:rPr>
        <w:t>: </w:t>
      </w:r>
      <w:r w:rsidRPr="00383CA1">
        <w:rPr>
          <w:rFonts w:ascii="Times New Roman" w:hAnsi="Times New Roman" w:cs="Times New Roman"/>
        </w:rPr>
        <w:t>Teenage pregnancy is a critical public health and social welfare challenge in Uganda, perpetuating cycles of poverty and gender inequality. Odravu Sub-County in Yumbe District reports high rates, yet context-specific evidence for social work intervention is limited. This study investigated the sociodemographic, economic, and cultural factors influencing teenage pregnancy in this region.</w:t>
      </w:r>
    </w:p>
    <w:p w14:paraId="2845A806" w14:textId="5B697F3A"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Methods: </w:t>
      </w:r>
      <w:r w:rsidRPr="00383CA1">
        <w:rPr>
          <w:rFonts w:ascii="Times New Roman" w:hAnsi="Times New Roman" w:cs="Times New Roman"/>
        </w:rPr>
        <w:t>A community-based cross-sectional study was conducted among 346 teenage girls aged 15-19 in Odravu Sub-County. A structured questionnaire was administered through face-to-face interviews. Data analysis included descriptive statistics, Pearson</w:t>
      </w:r>
      <w:r w:rsidRPr="002538F5">
        <w:rPr>
          <w:rFonts w:ascii="Times New Roman" w:hAnsi="Times New Roman" w:cs="Times New Roman"/>
        </w:rPr>
        <w:t>'</w:t>
      </w:r>
      <w:r w:rsidRPr="00383CA1">
        <w:rPr>
          <w:rFonts w:ascii="Times New Roman" w:hAnsi="Times New Roman" w:cs="Times New Roman"/>
        </w:rPr>
        <w:t>s correlation, and multiple logistic regression.</w:t>
      </w:r>
    </w:p>
    <w:p w14:paraId="134BC985" w14:textId="175CC8A2"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Findings:</w:t>
      </w:r>
      <w:r w:rsidRPr="00383CA1">
        <w:rPr>
          <w:rFonts w:ascii="Times New Roman" w:hAnsi="Times New Roman" w:cs="Times New Roman"/>
        </w:rPr>
        <w:t> The prevalence of teenage pregnancy was 57.5%. Logistic regression identified marital status as the strongest predictor (AOR=6.312, p&lt;0.001), followed by cultural support for early marriage (AOR=1.809, p&lt;0.001) and household poverty (AOR=1.570, p&lt;0.001). Higher education was protective (</w:t>
      </w:r>
      <w:r w:rsidR="007643C1">
        <w:rPr>
          <w:rFonts w:ascii="Times New Roman" w:hAnsi="Times New Roman" w:cs="Times New Roman"/>
        </w:rPr>
        <w:t>AOR = 0.750, p = 0.002</w:t>
      </w:r>
      <w:r w:rsidRPr="00383CA1">
        <w:rPr>
          <w:rFonts w:ascii="Times New Roman" w:hAnsi="Times New Roman" w:cs="Times New Roman"/>
        </w:rPr>
        <w:t>). Over 80% of respondents cited poverty and early marriage as the primary reasons for pregnancy.</w:t>
      </w:r>
    </w:p>
    <w:p w14:paraId="5D7EB6E6" w14:textId="0454746B"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b/>
          <w:bCs/>
        </w:rPr>
        <w:t>Conclusion:</w:t>
      </w:r>
      <w:r w:rsidRPr="00383CA1">
        <w:rPr>
          <w:rFonts w:ascii="Times New Roman" w:hAnsi="Times New Roman" w:cs="Times New Roman"/>
        </w:rPr>
        <w:t> Teenage pregnancy in this context is driven by a vicious cycle of early marriage, economic deprivation, and low female education. Social work interventions must move beyond individual health education to address systemic factors, including enforc</w:t>
      </w:r>
      <w:r w:rsidRPr="002538F5">
        <w:rPr>
          <w:rFonts w:ascii="Times New Roman" w:hAnsi="Times New Roman" w:cs="Times New Roman"/>
        </w:rPr>
        <w:t>ing marriage laws, empowering girls economically, and transforming gender norms within communitie</w:t>
      </w:r>
      <w:r w:rsidRPr="00383CA1">
        <w:rPr>
          <w:rFonts w:ascii="Times New Roman" w:hAnsi="Times New Roman" w:cs="Times New Roman"/>
        </w:rPr>
        <w:t>s.</w:t>
      </w:r>
    </w:p>
    <w:p w14:paraId="613B8F9C" w14:textId="77777777"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Keywords: </w:t>
      </w:r>
      <w:r w:rsidRPr="00383CA1">
        <w:rPr>
          <w:rFonts w:ascii="Times New Roman" w:hAnsi="Times New Roman" w:cs="Times New Roman"/>
          <w:b/>
          <w:bCs/>
        </w:rPr>
        <w:t>Teenage Pregnancy, Child Marriage, Social Work, Uganda, Poverty, Gender Norms</w:t>
      </w:r>
      <w:r w:rsidRPr="00383CA1">
        <w:rPr>
          <w:rFonts w:ascii="Times New Roman" w:hAnsi="Times New Roman" w:cs="Times New Roman"/>
        </w:rPr>
        <w:t>.</w:t>
      </w:r>
    </w:p>
    <w:p w14:paraId="45014FC1" w14:textId="03D6D031" w:rsidR="00383CA1" w:rsidRPr="002538F5" w:rsidRDefault="00383CA1" w:rsidP="002538F5">
      <w:pPr>
        <w:spacing w:after="0" w:line="360" w:lineRule="auto"/>
        <w:jc w:val="both"/>
        <w:rPr>
          <w:rFonts w:ascii="Times New Roman" w:hAnsi="Times New Roman" w:cs="Times New Roman"/>
        </w:rPr>
      </w:pPr>
    </w:p>
    <w:p w14:paraId="045A1F85" w14:textId="77777777" w:rsidR="00383CA1" w:rsidRPr="002538F5" w:rsidRDefault="00383CA1" w:rsidP="002538F5">
      <w:pPr>
        <w:spacing w:after="0" w:line="360" w:lineRule="auto"/>
        <w:jc w:val="both"/>
        <w:rPr>
          <w:rFonts w:ascii="Times New Roman" w:hAnsi="Times New Roman" w:cs="Times New Roman"/>
        </w:rPr>
      </w:pPr>
    </w:p>
    <w:p w14:paraId="5E5D7129" w14:textId="215D0C29" w:rsidR="00383CA1" w:rsidRPr="002538F5" w:rsidRDefault="00383CA1" w:rsidP="002538F5">
      <w:pPr>
        <w:pStyle w:val="Heading1"/>
        <w:spacing w:before="0" w:after="0" w:line="360" w:lineRule="auto"/>
        <w:rPr>
          <w:rFonts w:cs="Times New Roman"/>
          <w:szCs w:val="24"/>
        </w:rPr>
      </w:pPr>
      <w:r w:rsidRPr="002538F5">
        <w:rPr>
          <w:rFonts w:cs="Times New Roman"/>
          <w:szCs w:val="24"/>
        </w:rPr>
        <w:lastRenderedPageBreak/>
        <w:t>1.0 Introduction</w:t>
      </w:r>
    </w:p>
    <w:p w14:paraId="41CB07C3" w14:textId="374CE2E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Teenage pregnancy is a significant social justice issue, disproportionately affecting girls in low-resource settings. Defined by the World Health Organization as pregnancy in girls aged 15-19, it is associated with higher risks of maternal mortality, school dropout, and intergenerational poverty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{"citationID":"CVPXt6rv","properties":{"formattedCitation":"(WHO, 2024)","plainCitation":"(WHO, 2024)","noteIndex":0},"citationItems":[{"id":1350,"uris":["http://zotero.org/users/17127802/items/RCZ89EW6"],"itemData":{"id":1350,"type":"webpage","abstract":"WHO fact sheet on adolescent pregnancy providing key facts and information on causes, consequences and WHO response.","language":"en","title":"Adolescent pregnancy","URL":"https://www.who.int/news-room/fact-sheets/detail/adolescent-pregnancy","author":[{"literal":"WHO"}],"accessed":{"date-parts":[["2026",4,14]]},"issued":{"date-parts":[["2024"]]}}}],"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(WHO, 2024)</w:t>
      </w:r>
      <w:r w:rsidR="002538F5" w:rsidRPr="002538F5">
        <w:rPr>
          <w:rFonts w:ascii="Times New Roman" w:hAnsi="Times New Roman" w:cs="Times New Roman"/>
        </w:rPr>
        <w:fldChar w:fldCharType="end"/>
      </w:r>
      <w:r w:rsidRPr="00383CA1">
        <w:rPr>
          <w:rFonts w:ascii="Times New Roman" w:hAnsi="Times New Roman" w:cs="Times New Roman"/>
        </w:rPr>
        <w:t xml:space="preserve">. In sub-Saharan Africa, adolescent birth rates remain the highest in the world, driven by a complex interplay of poverty, lack of education, and harmful cultural practices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{"citationID":"YUlUT8tx","properties":{"formattedCitation":"(Maharaj, 2022)","plainCitation":"(Maharaj, 2022)","noteIndex":0},"citationItems":[{"id":1352,"uris":["http://zotero.org/users/17127802/items/7JNJ94NG"],"itemData":{"id":1352,"type":"article-journal","abstract":"Adolescent pregnancy in sub-Saharan Africa – a cause for concernIt is estimated that adolescent girls in low- and middle-income countries (LMICs) have approximately 21 million pregnancies each year.1 Adolescent pregnancy, which occurs amongst adolescent girls aged between 10-19 years, is associated with various public health concerns and increased risks of maternal mortality, low birthweight, and other severe neonatal complications.2 They also have an unfavourable impact on the mental, physical, and social wellbeing of adolescents, and remain a leading cause of death among adolescent girls globally.2 Although a decline in adolescent birth rates (ABR) has been observed globally, sub-Saharan Africa (SSA) continues to have twice the global average, with over 100 births per 1000 women, in 2021.3 The estimated actual number of births among 15–19-year-olds was 6 114 000 and 332 000 among younger adolescents aged 10–14 years in SSA in 2021.3 Africa has a higher proportion of youth compared to any other continent; and adolescent pregnancy rates are therefore likely to increase further in countries in SSA.4 Adolescent pregnancies are therefore a significant health concern and have been recognised as a key objective in the United Nations Sustainable Development Goals (SDGs).5 The contributing factors for high ABR in SSA are heterogenous and differ amongst countries in SSA. Existing data on the contributing factors for adolescent pregnancies in SSA emanate from country specific studies and collective data is limited. However, a few studies that combined data from single country studies on the determinants of adolescent pregnancy have been conducted.6-8 Collectively, these studies suggest that inter alia, socio economic status, lack of parental communication and support, early marriage, religion, and low educational status of adolescents are contributing factors.Economic, sociocultural, and environmental factors: Poverty is generally considered as an indicator of the economic status of a country. Studies from Ghana9, South Africa10 and Tanzania11 demonstrate the relationship between poverty and coerced sexual relations with older men, as a means for adolescents to meet their basic financial needs. Adolescent girls may also become pregnant intentionally to receive government support grants intended for teenage mothers, without considering the consequences of their actions.12 Nigeria, the country with the largest economy in Africa had an adolescent pregnancy rate of 106 adolescent births per 1000 population in 2021 and shows an increasing trend.13 In South Africa (SA), which has the second largest economy in Africa, the ABR is also high.14 In SA, the lack of adequate reproductive health services and appropriate sexuality education are part of the composite etiology that contributes to increasing ABR’s.15 Between 2017 and 2021, births among girls aged 10 - 14 years and 15-19 years increased in SA by 48.7% and 17.9 % respectively, and are likely to increase.16 In contrast, in Burundi, which has the lowest gross domestic product per capita in Africa,17 the adolescent fertility rate (births per 1,000 women ages 15-19) was 58/1000 compared with the total fertility rate of 5.5/1000 women in that country.18 These comparisons suggest that the economic status of countries in Africa remains part of a composite etiology, which may also include power imbalances, gender-based violence, substance abuse, lack of access to termination of pregnancy services, negative attitudes of caregivers and inadequate reproductive health education. It has also been suggested that lower levels of education may be associated with adolescent pregnancies. In Niger, Mali, and Chad, where the adolescent fertility rates are amongst the highest in the world, the expected years of schooling attained by girls between the ages of 4 and 17 is fewer than seven years.2 On the contrary, other studies suggest that higher levels of education are likely to be associated with a lower likelihood of having a first adolescent pregnancy, particularly in SSA. 4,19 Adolescents with higher levels of education are more likely to delay the onset of sexual relations and marriage; and are more informed about their rights, reproductive health, timing of marriage and pregnancy.20 Child marriages are also implicated as a contributing cause for high ABR’s in SSA, particularly in the Congo and Central Africa.21 The Congo has one of highest rates of child marriage globally, with one in three girls married before age 18 , and 7% married before the age of 15.21 Similarly, other studies have also shown an association between child marriage and adolescent pregnancy in African countries.22,23 Most girls who experience child marriage have low levels of education, live in poor households and often in rural areas, increasing their odds of engaging in behaviours that put them at risk of pregnancy.24 Data also suggests the association of child marriages with first pregnancy among adolescent girls in SSA.25 Pregnancies in these marriages may occur because of pressure from partners or family members to start families earlier or to prove reproductive potential. In most sub-Saharan African countries, adolescent girls may face social pressure to marry and, once married, to have children.4 In parts of South Africa, cultural practices like ‘ukuthwala’ also lead to adolescent pregnancies. This practice involves the arranged marriage of girls below the age 18 mostly to older men, without the bride&amp;#39;s consent.26 This type of marriage is in violation of the country’s national law, as well as regional and international instruments to which this country is a party.26Individual factors: Individual perceptions about abstinence from sexual intercourse, early sexual debut, and negative perceptions about contraceptive usage among adolescents may contribute to adolescent pregnancies. Sexual coercion, low or incorrect use of contraceptives, and low self-esteem have also been suggested as contributing factors. 6-8 Other personal factors may include stigma, fear of negative attitudes from parents and elders in the community and discrimination by healthcare providers. It has been suggested that healthcare providers may not appreciate the fears of adolescents regarding contraception or reproductive health issues, and adolescents themselves may not appreciate comprehensive sexuality education.27 Adolescents may also perceive contraceptive usage as a reserve for married couples, thereby contributing to low contraceptive uptake and resultant pregnancies.27 Additionally, a lack of awareness, misconceptions and poor knowledge about the range and use of contraceptive methods exists amongst some adolescents.28 Alternatively, some adolescents may desire pregnancy despite a suitable knowledge and available access to contraception. Career plans may also be affected, and poorly educated, unemployed and grant dependent youngsters pose an economic burden on the fiscus in the long term.Health related factors: Teenagers may also face challenges in accessing reproductive health care in their communities. In some rural areas, the sparsity of clinics, long distances, and lack of transport may present barriers to access to reproductive health services. Judgemental attitudes of staff, particularly to teenagers seeking contraception or termination of pregnancy services should be avoided. Poor staff attitudes at termination of pregnancy clinics, may drive teenagers to seek ‘back street’ terminations, with potential morbidity and even mortality. The Covid epidemic may have exacerbated the problem further, with resultant school closures and access to contraception and healthcare services being unavailable or restricted during this period. A lock down of recreational, sporting, and other youth activities that keep youngsters occupied may also be a contributing factor. During the Covid period, secondary school girls in rural western Kenya were more likely to be sexually active, less likely to report their first sexual encounter, and reported increased hours of non-school-related work.29 Higher rates of teenage pregnancies were also seen in SA in the past 2 years, possibly in relation to the Covid 19 pandemic.30 Unprotected sex, either consensual or resulting from sexual co-ercion and exploitation, predisposes young girls to contracting sexually transmitted infections and HIV. Evidence shows that adolescent girls and young women have the highest rate of acquisition of HIV currently.31 Most teenage pregnancies are unplanned and often concealed, and not only have a disruptive effect on the schooling trajectory of children, but are also associated with complicated pregnancies, difficult labour, challenges with breastfeeding and issues with the ongoing healthcare of the baby.Mapping the way forward: Bold steps need to be taken and concerted efforts must be made to turn the tide of this trend. There should be a consolidation of efforts from various state and non-state actors to achieve a reduction in ABR’s in SSA and globally. Data from South Asia, Middle East and North Africa indicates that ABR’s dropped by between 75- 80 % by 2019 and continues to show a consistent decline.2 Activities that have proven to be effective in reducing adolescent pregnancy include the implementation of sexual and reproductive health policies, educational and vocational programs, empowerment initiatives, training activities, school retention programs and behaviour change campaigns.32Lessons can also be learnt from other countries which have had some success in reducing their ABR. In the Dominican Republic, a soft skills and vocational youth training program was shown to reduce the probability of teenage pregnancy by about 20 % after implementation.33 In Mexico , the National Strategy for the Prevention of Adolescent Pregnancy (ENAPEA), a multisectoral approach is currently in the process of implementation to curb this phenomenon.34 In Northern Ireland live births from mothers aged 19 and younger dropped in 2020, largely due to progressive improvements in access to contraception and sexual education,35 and in the US the overall birth rate among 15- to 19-year-old girls dropped to half of what it had been in 2008 following various initiatives.36 Similarly, many countries in SSA have developed and implemented national policies and programmes aimed at dealing with adolescent sexual and reproductive health (ASRH), including adolescent pregnancy.37 In Ghana, the adolescent fertility rate declined steadily, and the country has also made progress in decreasing the rates of child marriage and school dropouts of girls.2 One of the key national policies for reducing adolescent pregnancy in Ghana is their Adolescent Health Service Policy and Strategy, which focuses on mainstreaming ASRH information, and gender-sensitive and responsive health services.38 These national policies coexist with programmes which are developed and implemented by both governmental and non-governmental organisations.39 In South Africa, the Department of Basic Education (DBE) has announced their implementation of comprehensive sexuality education (CSE) program in schools, which aims to empower young people with age-appropriate information about the cognitive, emotional, physical and social aspects of sexuality. 40In Uganda, the Ministry of Education published revised guidelines for the prevention and management of teenage pregnancy in school settings, providing a policy to clarify the role of schools in adolescent pregnancies. At least 30 African Union countries now have laws, policies, and strategies in place that protect the rights of pregnant students and adolescent mothers to education. 42 Support grants are seen by some as a double edge sword in preventing teenage pregnancies. Perceptions that some recipients do not utilise the grant in the best interest of their children exist, and therefore need close monitoring by authorities. An alternate approach exists in Columbia, where a conditional cash transfer (CCT) program allows adolescent girls to receive a subsidy if they attended school, complete their school year, and enrol in the following year. This initiative was also effective in reducing pregnancy among adolescents across all grades included in the program.43A paradigm shift is required in the behaviour and attitude amongst teenagers themselves, supported by collective efforts from parents, teachers, healthcare providers and policy makers. Policymakers and community organisations should work in unison to develop and promote adolescent sexual and reproductive health policies and programmes, and emphasis should also be placed on human rights issues and gender empowerment programmes. The attitude of healthcare workers should be supportive rather than judgemental, and separate facilities should be considered for adolescent reproductive health services. Policy development, implementation strategies and quality assurance programmes are necessary to reduce adolescent pregnancies and meet the objectives of the United Nations Sustainable Development Goals (SDGs).5","container-title":"Frontiers in Reproductive Health","DOI":"10.3389/frph.2022.984303","ISSN":"2673-3153","journalAbbreviation":"Front. Reprod. Health","language":"English","publisher":"Frontiers","source":"Frontiers","title":"Adolescent pregnancy in sub-Saharan Africa – a cause for concern","URL":"https://www.frontiersin.org/journals/reproductive-health/articles/10.3389/frph.2022.984303/full","volume":"4","author":[{"family":"Maharaj","given":"Niren Ray"}],"accessed":{"date-parts":[["2026",4,14]]},"issued":{"date-parts":[["2022",12,2]]}}}],"schema":"https://github.com/citation-style-language/schema/raw/master/csl-citation.json"}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(Maharaj, 2022)</w:t>
      </w:r>
      <w:r w:rsidR="002538F5" w:rsidRPr="002538F5">
        <w:rPr>
          <w:rFonts w:ascii="Times New Roman" w:hAnsi="Times New Roman" w:cs="Times New Roman"/>
        </w:rPr>
        <w:fldChar w:fldCharType="end"/>
      </w:r>
      <w:r w:rsidRPr="00383CA1">
        <w:rPr>
          <w:rFonts w:ascii="Times New Roman" w:hAnsi="Times New Roman" w:cs="Times New Roman"/>
        </w:rPr>
        <w:t>.</w:t>
      </w:r>
    </w:p>
    <w:p w14:paraId="7E9AA346" w14:textId="50F9CAB8"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In Uganda, approximately 25% of girls aged 15-19 have begun childbearing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{"citationID":"6w6PICsk","properties":{"formattedCitation":"(Ssebwami et al., 2026; UNICEF, 2022)","plainCitation":"(Ssebwami et al., 2026; UNICEF, 2022)","noteIndex":0},"citationItems":[{"id":1330,"uris":["http://zotero.org/users/17127802/items/Q86XWKTQ"],"itemData":{"id":1330,"type":"article-journal","abstract":"Background: Uganda has one of the highest rates of teenage pregnancy in the world at 25%, more than twice the global estimate of 11% of all births. A remarkable number of girls start childbearing at a very early age in Uganda and is an overwhelming growing public health issue with enormous contribution to high maternal and perinatal morbidity and mortality.\nMethods: This was a cross-sectional study conducted from June to August 2025 involving 326 women delivering at Hoima Regional Referral Hospital (HRRH), western Uganda. Interviewer administered questionnaires were used to obtain data. Descriptive statistics, binary logistic regression and chi-square analyses were utilized to elucidate the determinants of teenage pregnancy using IBM SPSS 24. Variables in final multivariate model were significant when p&amp;lt;0.05. The measure of association was reported as odds ratios with corresponding 95% confidence interval and p-value.\nResults: Of the 326 women who delivered at HRRH during the study period, 87(27%) had teenage pregnancy. High level of education (AOR=0.2, 95%CI: 0.84-0.92, p=0.037; AOR=0.3, 95%CI: 0.12-0.58, p=0.001]), and good income status (AOR=0.4, 95%CI=0.15-0.96; p=0.040) were protective of teenage pregnancy. Early marriage and lack of awareness about contraception were associated with high odds for teenage pregnancy, (AOR=3.8, 95%CI=1.39-10.15; p=0.009) and (AOR=3.8, 95%CI=1.94-7.34; p=0.000) respectively.\nConclusions: The prevalence of teenage pregnancy in Hoima is alarming, compared to regional and global figures. Girl education, improved income status, discouraging early marriages and promoting awareness on use of contraception are essential in preventing teenage pregnancy in Hoima and its catchment areas.","container-title":"International Journal of Reproduction, Contraception, Obstetrics and Gynecology","DOI":"10.18203/2320-1770.ijrcog20260536","ISSN":"2320-1789","issue":"3","language":"en","page":"833-838","source":"www.ijrcog.org","title":"Determinants and outcomes of teenage pregnancy in Uganda: a case study of Hoima","title-short":"Determinants and outcomes of teenage pregnancy in Uganda","volume":"15","author":[{"family":"Ssebwami","given":"Leonard"},{"family":"Kato","given":"Ivan Paul"},{"family":"Jjagwe","given":"David"},{"family":"Bahatungire","given":"Rony"},{"family":"Zimula","given":"John"},{"family":"Okullo","given":"Richardson"},{"family":"Opeto","given":"Moses"},{"family":"Oburu","given":"Geoffrey Ofumbi"},{"family":"Tibwita","given":"Fred"},{"family":"Bagonza","given":"Nathern"},{"family":"Oryem","given":"John"}],"issued":{"date-parts":[["2026",2,25]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(Ssebwami et al., 2026; UNICEF, 2022)</w:t>
      </w:r>
      <w:r w:rsidR="002538F5" w:rsidRPr="002538F5">
        <w:rPr>
          <w:rFonts w:ascii="Times New Roman" w:hAnsi="Times New Roman" w:cs="Times New Roman"/>
        </w:rPr>
        <w:fldChar w:fldCharType="end"/>
      </w:r>
      <w:r w:rsidRPr="00383CA1">
        <w:rPr>
          <w:rFonts w:ascii="Times New Roman" w:hAnsi="Times New Roman" w:cs="Times New Roman"/>
        </w:rPr>
        <w:t xml:space="preserve">. However, these national figures mask significant regional disparities. Yumbe District, located in the West Nile region, reports alarmingly high rates. </w:t>
      </w:r>
      <w:r w:rsidR="002538F5" w:rsidRPr="002538F5">
        <w:rPr>
          <w:rFonts w:ascii="Times New Roman" w:hAnsi="Times New Roman" w:cs="Times New Roman"/>
        </w:rPr>
        <w:t xml:space="preserve">District Health Office records indicate that thousands of adolescent pregnancies are reported annually in districts within the West Nile region, with some districts recording over 5,700 cases in a single financial year, highlighting localized hotspots of teenage pregnancy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{"citationID":"xBjM0XZP","properties":{"formattedCitation":"(Sabir Musa, 2025)","plainCitation":"(Sabir Musa, 2025)","noteIndex":0},"citationItems":[{"id":1354,"uris":["http://zotero.org/users/17127802/items/RBA22ZPT"],"itemData":{"id":1354,"type":"webpage","abstract":"Records from the district's Health Management Information System (HMIS) indicate that a total of 5,740 teenage pregnancy cases were recorded in the Financial Year 2023/2024 alone.","container-title":"Uganda Radionetwork","language":"en","title":"High Rate of Child Marriage, Teenage Pregnancy Worries Yumbe District Leaders :","title-short":"High Rate of Child Marriage, Teenage Pregnancy Worries Yumbe District Leaders","URL":"https://ugandaradionetwork.net/story/high-rate-of-child-marriage-teenage-pregnancy-worries-yumbe-district-leaders","author":[{"literal":"Sabir Musa"}],"accessed":{"date-parts":[["2026",4,14]]},"issued":{"date-parts":[["2025"]]}}}],"schema":"https://github.com/citation-style-language/schema/raw/master/csl-citation.json"}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(Sabir Musa, 2025)</w:t>
      </w:r>
      <w:r w:rsidR="002538F5" w:rsidRPr="002538F5">
        <w:rPr>
          <w:rFonts w:ascii="Times New Roman" w:hAnsi="Times New Roman" w:cs="Times New Roman"/>
        </w:rPr>
        <w:fldChar w:fldCharType="end"/>
      </w:r>
      <w:r w:rsidR="002538F5" w:rsidRPr="002538F5">
        <w:rPr>
          <w:rFonts w:ascii="Times New Roman" w:hAnsi="Times New Roman" w:cs="Times New Roman"/>
        </w:rPr>
        <w:t>. Despite the magnitude of this burden, context-specific evidence on the combined influence of social, economic, and cultural determinants within specific sub-counties remains limited, underscoring a critical gap in localized research. Previous interventions have often focused on individual-level health education, overlooking</w:t>
      </w:r>
      <w:r w:rsidRPr="00383CA1">
        <w:rPr>
          <w:rFonts w:ascii="Times New Roman" w:hAnsi="Times New Roman" w:cs="Times New Roman"/>
        </w:rPr>
        <w:t xml:space="preserve"> structural and systemic determinants</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{"citationID":"zUKlU4N2","properties":{"formattedCitation":"(WHO, 2025)","plainCitation":"(WHO, 2025)","noteIndex":0},"citationItems":[{"id":1355,"uris":["http://zotero.org/users/17127802/items/MRVUJUJ7"],"itemData":{"id":1355,"type":"webpage","title":"Sexual and Reproductive Health and Research (SRH)","URL":"https://www.who.int/teams/sexual-and-reproductive-health-and-research-%28srh%29/areas-of-work/adolescent-and-sexual-and-reproductive-health-and-rights?utm_source=chatgpt.com","author":[{"literal":"WHO"}],"accessed":{"date-parts":[["2026",4,14]]},"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(WHO, 2025)</w:t>
      </w:r>
      <w:r w:rsidR="002538F5" w:rsidRPr="002538F5">
        <w:rPr>
          <w:rFonts w:ascii="Times New Roman" w:hAnsi="Times New Roman" w:cs="Times New Roman"/>
        </w:rPr>
        <w:fldChar w:fldCharType="end"/>
      </w:r>
      <w:r w:rsidRPr="00383CA1">
        <w:rPr>
          <w:rFonts w:ascii="Times New Roman" w:hAnsi="Times New Roman" w:cs="Times New Roman"/>
        </w:rPr>
        <w:t>. This study addresses a critical gap by investigating the sociodemographic, economic, and cultural factors that predispose girls in Odravu Sub-County to early pregnancy, using a social ecological lens to inform targeted, multi-level social work interventions.</w:t>
      </w:r>
    </w:p>
    <w:p w14:paraId="0D76BB87" w14:textId="73BC4472" w:rsidR="00383CA1" w:rsidRPr="002538F5" w:rsidRDefault="00383CA1" w:rsidP="002538F5">
      <w:pPr>
        <w:pStyle w:val="Heading1"/>
        <w:spacing w:before="0" w:after="0" w:line="360" w:lineRule="auto"/>
        <w:rPr>
          <w:rFonts w:cs="Times New Roman"/>
          <w:szCs w:val="24"/>
        </w:rPr>
      </w:pPr>
      <w:r w:rsidRPr="002538F5">
        <w:rPr>
          <w:rFonts w:cs="Times New Roman"/>
          <w:szCs w:val="24"/>
        </w:rPr>
        <w:t>2.0 Methods</w:t>
      </w:r>
    </w:p>
    <w:p w14:paraId="73BC7FE7"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2.1 Study Design and Setting</w:t>
      </w:r>
    </w:p>
    <w:p w14:paraId="1F04F0B4" w14:textId="6DDBA57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A  cross-sectional </w:t>
      </w:r>
      <w:r w:rsidR="002538F5" w:rsidRPr="002538F5">
        <w:rPr>
          <w:rFonts w:ascii="Times New Roman" w:hAnsi="Times New Roman" w:cs="Times New Roman"/>
        </w:rPr>
        <w:t xml:space="preserve">study </w:t>
      </w:r>
      <w:r w:rsidRPr="00383CA1">
        <w:rPr>
          <w:rFonts w:ascii="Times New Roman" w:hAnsi="Times New Roman" w:cs="Times New Roman"/>
        </w:rPr>
        <w:t>design was employed. The study was conducted in Odravu Sub-County, Yumbe District, a predominantly rural area in northwestern Uganda. The population is largely agrarian, with limited access to secondary education and specialized health services.</w:t>
      </w:r>
    </w:p>
    <w:p w14:paraId="01A3C98E"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2.2 Participants and Sampling</w:t>
      </w:r>
    </w:p>
    <w:p w14:paraId="1B92E7E2" w14:textId="554CE2C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The target population was teenage girls aged 15-19 years residing in the sub-county. Using the Kish and Leslie (1965) formula (assuming 50% prevalence, 95% confidence interval, 5% margin of error), a sample size of 384 was calculated. Cluster randomized sampling was used, targeting villages as natural clusters. A final sample of 346 girls participated, yielding a 90.1% response rate.</w:t>
      </w:r>
    </w:p>
    <w:p w14:paraId="11519A3D"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lastRenderedPageBreak/>
        <w:t>2.3 Data Collection</w:t>
      </w:r>
    </w:p>
    <w:p w14:paraId="6DD68F4F" w14:textId="2AA4DA25"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Data were collected using a structured, pre-tested questionnaire administered through face-to-face interviews by trained research assistants. The tool captured sociodemographic details, economic indicators, cultural norms, and reproductive history.</w:t>
      </w:r>
    </w:p>
    <w:p w14:paraId="40B1D727"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2.4 Data Analysis</w:t>
      </w:r>
    </w:p>
    <w:p w14:paraId="5B44AB1B" w14:textId="0F7A837B"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 xml:space="preserve">Data were entered into STATA 14. Descriptive statistics summarized participant characteristics. </w:t>
      </w:r>
      <w:r w:rsidR="007643C1">
        <w:rPr>
          <w:rFonts w:ascii="Times New Roman" w:hAnsi="Times New Roman" w:cs="Times New Roman"/>
        </w:rPr>
        <w:t>Logistic</w:t>
      </w:r>
      <w:r w:rsidRPr="00383CA1">
        <w:rPr>
          <w:rFonts w:ascii="Times New Roman" w:hAnsi="Times New Roman" w:cs="Times New Roman"/>
        </w:rPr>
        <w:t xml:space="preserve"> regression</w:t>
      </w:r>
      <w:r w:rsidR="007643C1">
        <w:rPr>
          <w:rFonts w:ascii="Times New Roman" w:hAnsi="Times New Roman" w:cs="Times New Roman"/>
        </w:rPr>
        <w:t xml:space="preserve"> was used to</w:t>
      </w:r>
      <w:r w:rsidRPr="00383CA1">
        <w:rPr>
          <w:rFonts w:ascii="Times New Roman" w:hAnsi="Times New Roman" w:cs="Times New Roman"/>
        </w:rPr>
        <w:t xml:space="preserve"> identif</w:t>
      </w:r>
      <w:r w:rsidR="007643C1">
        <w:rPr>
          <w:rFonts w:ascii="Times New Roman" w:hAnsi="Times New Roman" w:cs="Times New Roman"/>
        </w:rPr>
        <w:t>y</w:t>
      </w:r>
      <w:r w:rsidRPr="00383CA1">
        <w:rPr>
          <w:rFonts w:ascii="Times New Roman" w:hAnsi="Times New Roman" w:cs="Times New Roman"/>
        </w:rPr>
        <w:t xml:space="preserve"> predictors of teenage pregnancy (ever been pregnant</w:t>
      </w:r>
      <w:r w:rsidR="002538F5" w:rsidRPr="002538F5">
        <w:rPr>
          <w:rFonts w:ascii="Times New Roman" w:hAnsi="Times New Roman" w:cs="Times New Roman"/>
        </w:rPr>
        <w:t>,</w:t>
      </w:r>
      <w:r w:rsidRPr="00383CA1">
        <w:rPr>
          <w:rFonts w:ascii="Times New Roman" w:hAnsi="Times New Roman" w:cs="Times New Roman"/>
        </w:rPr>
        <w:t xml:space="preserve"> yes/no). Statistical significance was set at p&lt;0.05.</w:t>
      </w:r>
    </w:p>
    <w:p w14:paraId="5C671718" w14:textId="77777777" w:rsidR="00383CA1" w:rsidRPr="002538F5" w:rsidRDefault="00383CA1" w:rsidP="002538F5">
      <w:pPr>
        <w:pStyle w:val="Heading1"/>
        <w:spacing w:before="0" w:after="0" w:line="360" w:lineRule="auto"/>
        <w:rPr>
          <w:rFonts w:cs="Times New Roman"/>
          <w:szCs w:val="24"/>
        </w:rPr>
      </w:pPr>
      <w:r w:rsidRPr="002538F5">
        <w:rPr>
          <w:rFonts w:cs="Times New Roman"/>
          <w:szCs w:val="24"/>
        </w:rPr>
        <w:t>2.5 Ethical Considerations</w:t>
      </w:r>
    </w:p>
    <w:p w14:paraId="746509BD" w14:textId="2EF06B10" w:rsidR="00383CA1" w:rsidRPr="00383CA1" w:rsidRDefault="00383CA1" w:rsidP="002538F5">
      <w:pPr>
        <w:spacing w:after="0" w:line="360" w:lineRule="auto"/>
        <w:jc w:val="both"/>
        <w:rPr>
          <w:rFonts w:ascii="Times New Roman" w:hAnsi="Times New Roman" w:cs="Times New Roman"/>
        </w:rPr>
      </w:pPr>
      <w:r w:rsidRPr="00383CA1">
        <w:rPr>
          <w:rFonts w:ascii="Times New Roman" w:hAnsi="Times New Roman" w:cs="Times New Roman"/>
        </w:rPr>
        <w:t>Ethical approval was obtained from the Faculty of Health Sciences</w:t>
      </w:r>
      <w:r w:rsidRPr="002538F5">
        <w:rPr>
          <w:rFonts w:ascii="Times New Roman" w:hAnsi="Times New Roman" w:cs="Times New Roman"/>
        </w:rPr>
        <w:t xml:space="preserve"> at the</w:t>
      </w:r>
      <w:r w:rsidRPr="00383CA1">
        <w:rPr>
          <w:rFonts w:ascii="Times New Roman" w:hAnsi="Times New Roman" w:cs="Times New Roman"/>
        </w:rPr>
        <w:t xml:space="preserve"> Islamic University in Uganda. Informed consent was obtained from participants aged ≥18 years; for minors (&lt;18 years), parental/guardian consent and participant assent were obtained. Confidentiality was strictly maintained.</w:t>
      </w:r>
    </w:p>
    <w:p w14:paraId="63339D2E" w14:textId="77777777" w:rsidR="00383CA1" w:rsidRPr="002538F5" w:rsidRDefault="00383CA1" w:rsidP="00383CA1">
      <w:pPr>
        <w:pStyle w:val="Heading1"/>
        <w:spacing w:before="0" w:after="0" w:line="360" w:lineRule="auto"/>
        <w:rPr>
          <w:rFonts w:cs="Times New Roman"/>
          <w:szCs w:val="24"/>
        </w:rPr>
      </w:pPr>
      <w:r w:rsidRPr="002538F5">
        <w:rPr>
          <w:rFonts w:cs="Times New Roman"/>
          <w:szCs w:val="24"/>
        </w:rPr>
        <w:t>3. Results</w:t>
      </w:r>
    </w:p>
    <w:p w14:paraId="77FEADE7" w14:textId="77777777" w:rsidR="00383CA1" w:rsidRPr="002538F5" w:rsidRDefault="00383CA1" w:rsidP="00383CA1">
      <w:pPr>
        <w:pStyle w:val="Heading1"/>
        <w:spacing w:before="0" w:after="0" w:line="360" w:lineRule="auto"/>
        <w:rPr>
          <w:rFonts w:cs="Times New Roman"/>
          <w:szCs w:val="24"/>
        </w:rPr>
      </w:pPr>
      <w:r w:rsidRPr="002538F5">
        <w:rPr>
          <w:rFonts w:cs="Times New Roman"/>
          <w:szCs w:val="24"/>
        </w:rPr>
        <w:t>3.1 Participant Characteristics</w:t>
      </w:r>
    </w:p>
    <w:p w14:paraId="4E21E1ED" w14:textId="74C656D9"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mean age of the 346 respondents was 17.4 years (SD</w:t>
      </w:r>
      <w:r w:rsidRPr="002538F5">
        <w:rPr>
          <w:rFonts w:ascii="Times New Roman" w:hAnsi="Times New Roman" w:cs="Times New Roman"/>
        </w:rPr>
        <w:t xml:space="preserve"> = </w:t>
      </w:r>
      <w:r w:rsidRPr="00383CA1">
        <w:rPr>
          <w:rFonts w:ascii="Times New Roman" w:hAnsi="Times New Roman" w:cs="Times New Roman"/>
        </w:rPr>
        <w:t>1.2). Table 1 presents the key characteristics.</w:t>
      </w:r>
    </w:p>
    <w:p w14:paraId="04E51060" w14:textId="14B19081" w:rsidR="00383CA1" w:rsidRPr="00383CA1" w:rsidRDefault="002538F5" w:rsidP="002538F5">
      <w:pPr>
        <w:pStyle w:val="Caption"/>
        <w:keepNext/>
        <w:jc w:val="both"/>
        <w:rPr>
          <w:rFonts w:ascii="Times New Roman" w:hAnsi="Times New Roman" w:cs="Times New Roman"/>
          <w:color w:val="000000" w:themeColor="text1"/>
          <w:sz w:val="24"/>
          <w:szCs w:val="24"/>
        </w:rPr>
      </w:pPr>
      <w:r w:rsidRPr="002538F5">
        <w:rPr>
          <w:rFonts w:ascii="Times New Roman" w:hAnsi="Times New Roman" w:cs="Times New Roman"/>
          <w:color w:val="000000" w:themeColor="text1"/>
          <w:sz w:val="24"/>
          <w:szCs w:val="24"/>
        </w:rPr>
        <w:t xml:space="preserve">Table </w:t>
      </w:r>
      <w:r w:rsidRPr="002538F5">
        <w:rPr>
          <w:rFonts w:ascii="Times New Roman" w:hAnsi="Times New Roman" w:cs="Times New Roman"/>
          <w:color w:val="000000" w:themeColor="text1"/>
          <w:sz w:val="24"/>
          <w:szCs w:val="24"/>
        </w:rPr>
        <w:fldChar w:fldCharType="begin"/>
      </w:r>
      <w:r w:rsidRPr="002538F5">
        <w:rPr>
          <w:rFonts w:ascii="Times New Roman" w:hAnsi="Times New Roman" w:cs="Times New Roman"/>
          <w:color w:val="000000" w:themeColor="text1"/>
          <w:sz w:val="24"/>
          <w:szCs w:val="24"/>
        </w:rPr>
        <w:instrText xml:space="preserve"> SEQ Table \* ARABIC </w:instrText>
      </w:r>
      <w:r w:rsidRPr="002538F5">
        <w:rPr>
          <w:rFonts w:ascii="Times New Roman" w:hAnsi="Times New Roman" w:cs="Times New Roman"/>
          <w:color w:val="000000" w:themeColor="text1"/>
          <w:sz w:val="24"/>
          <w:szCs w:val="24"/>
        </w:rPr>
        <w:fldChar w:fldCharType="separate"/>
      </w:r>
      <w:r w:rsidR="007643C1">
        <w:rPr>
          <w:rFonts w:ascii="Times New Roman" w:hAnsi="Times New Roman" w:cs="Times New Roman"/>
          <w:noProof/>
          <w:color w:val="000000" w:themeColor="text1"/>
          <w:sz w:val="24"/>
          <w:szCs w:val="24"/>
        </w:rPr>
        <w:t>1</w:t>
      </w:r>
      <w:r w:rsidRPr="002538F5">
        <w:rPr>
          <w:rFonts w:ascii="Times New Roman" w:hAnsi="Times New Roman" w:cs="Times New Roman"/>
          <w:color w:val="000000" w:themeColor="text1"/>
          <w:sz w:val="24"/>
          <w:szCs w:val="24"/>
        </w:rPr>
        <w:fldChar w:fldCharType="end"/>
      </w:r>
      <w:r w:rsidRPr="002538F5">
        <w:rPr>
          <w:rFonts w:ascii="Times New Roman" w:hAnsi="Times New Roman" w:cs="Times New Roman"/>
          <w:color w:val="000000" w:themeColor="text1"/>
          <w:sz w:val="24"/>
          <w:szCs w:val="24"/>
        </w:rPr>
        <w:t>:  Sociodemographic and Economic Characteristics (n=346)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2710"/>
        <w:gridCol w:w="1755"/>
        <w:gridCol w:w="1888"/>
      </w:tblGrid>
      <w:tr w:rsidR="00383CA1" w:rsidRPr="002538F5" w14:paraId="040B4B63" w14:textId="77777777" w:rsidTr="00383CA1">
        <w:tc>
          <w:tcPr>
            <w:tcW w:w="1481" w:type="pct"/>
            <w:tcBorders>
              <w:top w:val="single" w:sz="4" w:space="0" w:color="auto"/>
              <w:bottom w:val="single" w:sz="4" w:space="0" w:color="auto"/>
            </w:tcBorders>
            <w:hideMark/>
          </w:tcPr>
          <w:p w14:paraId="62B1ED18" w14:textId="77777777" w:rsidR="00383CA1" w:rsidRPr="00383CA1" w:rsidRDefault="00383CA1" w:rsidP="00383CA1">
            <w:pPr>
              <w:spacing w:line="360" w:lineRule="auto"/>
              <w:jc w:val="both"/>
              <w:rPr>
                <w:rFonts w:ascii="Times New Roman" w:hAnsi="Times New Roman" w:cs="Times New Roman"/>
                <w:b/>
                <w:bCs/>
              </w:rPr>
            </w:pPr>
            <w:r w:rsidRPr="00383CA1">
              <w:rPr>
                <w:rFonts w:ascii="Times New Roman" w:hAnsi="Times New Roman" w:cs="Times New Roman"/>
                <w:b/>
                <w:bCs/>
              </w:rPr>
              <w:t>Characteristic</w:t>
            </w:r>
          </w:p>
        </w:tc>
        <w:tc>
          <w:tcPr>
            <w:tcW w:w="1501" w:type="pct"/>
            <w:tcBorders>
              <w:top w:val="single" w:sz="4" w:space="0" w:color="auto"/>
              <w:bottom w:val="single" w:sz="4" w:space="0" w:color="auto"/>
            </w:tcBorders>
            <w:hideMark/>
          </w:tcPr>
          <w:p w14:paraId="5EE190BA" w14:textId="77777777" w:rsidR="00383CA1" w:rsidRPr="00383CA1" w:rsidRDefault="00383CA1" w:rsidP="00383CA1">
            <w:pPr>
              <w:spacing w:line="360" w:lineRule="auto"/>
              <w:jc w:val="both"/>
              <w:rPr>
                <w:rFonts w:ascii="Times New Roman" w:hAnsi="Times New Roman" w:cs="Times New Roman"/>
                <w:b/>
                <w:bCs/>
              </w:rPr>
            </w:pPr>
            <w:r w:rsidRPr="00383CA1">
              <w:rPr>
                <w:rFonts w:ascii="Times New Roman" w:hAnsi="Times New Roman" w:cs="Times New Roman"/>
                <w:b/>
                <w:bCs/>
              </w:rPr>
              <w:t>Category</w:t>
            </w:r>
          </w:p>
        </w:tc>
        <w:tc>
          <w:tcPr>
            <w:tcW w:w="972" w:type="pct"/>
            <w:tcBorders>
              <w:top w:val="single" w:sz="4" w:space="0" w:color="auto"/>
              <w:bottom w:val="single" w:sz="4" w:space="0" w:color="auto"/>
            </w:tcBorders>
            <w:hideMark/>
          </w:tcPr>
          <w:p w14:paraId="0E7A15B3" w14:textId="77777777" w:rsidR="00383CA1" w:rsidRPr="00383CA1" w:rsidRDefault="00383CA1" w:rsidP="00383CA1">
            <w:pPr>
              <w:spacing w:line="360" w:lineRule="auto"/>
              <w:jc w:val="center"/>
              <w:rPr>
                <w:rFonts w:ascii="Times New Roman" w:hAnsi="Times New Roman" w:cs="Times New Roman"/>
                <w:b/>
                <w:bCs/>
              </w:rPr>
            </w:pPr>
            <w:r w:rsidRPr="00383CA1">
              <w:rPr>
                <w:rFonts w:ascii="Times New Roman" w:hAnsi="Times New Roman" w:cs="Times New Roman"/>
                <w:b/>
                <w:bCs/>
              </w:rPr>
              <w:t>Frequency (n)</w:t>
            </w:r>
          </w:p>
        </w:tc>
        <w:tc>
          <w:tcPr>
            <w:tcW w:w="1046" w:type="pct"/>
            <w:tcBorders>
              <w:top w:val="single" w:sz="4" w:space="0" w:color="auto"/>
              <w:bottom w:val="single" w:sz="4" w:space="0" w:color="auto"/>
            </w:tcBorders>
            <w:hideMark/>
          </w:tcPr>
          <w:p w14:paraId="7C9F3D9B" w14:textId="77777777" w:rsidR="00383CA1" w:rsidRPr="00383CA1" w:rsidRDefault="00383CA1" w:rsidP="00383CA1">
            <w:pPr>
              <w:spacing w:line="360" w:lineRule="auto"/>
              <w:jc w:val="center"/>
              <w:rPr>
                <w:rFonts w:ascii="Times New Roman" w:hAnsi="Times New Roman" w:cs="Times New Roman"/>
                <w:b/>
                <w:bCs/>
              </w:rPr>
            </w:pPr>
            <w:r w:rsidRPr="00383CA1">
              <w:rPr>
                <w:rFonts w:ascii="Times New Roman" w:hAnsi="Times New Roman" w:cs="Times New Roman"/>
                <w:b/>
                <w:bCs/>
              </w:rPr>
              <w:t>Percentage (%)</w:t>
            </w:r>
          </w:p>
        </w:tc>
      </w:tr>
      <w:tr w:rsidR="00383CA1" w:rsidRPr="002538F5" w14:paraId="5505F8C7" w14:textId="77777777" w:rsidTr="00383CA1">
        <w:tc>
          <w:tcPr>
            <w:tcW w:w="1481" w:type="pct"/>
            <w:tcBorders>
              <w:top w:val="single" w:sz="4" w:space="0" w:color="auto"/>
            </w:tcBorders>
            <w:hideMark/>
          </w:tcPr>
          <w:p w14:paraId="4057D3FB"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Age</w:t>
            </w:r>
          </w:p>
        </w:tc>
        <w:tc>
          <w:tcPr>
            <w:tcW w:w="1501" w:type="pct"/>
            <w:tcBorders>
              <w:top w:val="single" w:sz="4" w:space="0" w:color="auto"/>
            </w:tcBorders>
            <w:hideMark/>
          </w:tcPr>
          <w:p w14:paraId="046C14CF"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15-16 years</w:t>
            </w:r>
          </w:p>
        </w:tc>
        <w:tc>
          <w:tcPr>
            <w:tcW w:w="972" w:type="pct"/>
            <w:tcBorders>
              <w:top w:val="single" w:sz="4" w:space="0" w:color="auto"/>
            </w:tcBorders>
            <w:hideMark/>
          </w:tcPr>
          <w:p w14:paraId="41670DC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112</w:t>
            </w:r>
          </w:p>
        </w:tc>
        <w:tc>
          <w:tcPr>
            <w:tcW w:w="1046" w:type="pct"/>
            <w:tcBorders>
              <w:top w:val="single" w:sz="4" w:space="0" w:color="auto"/>
            </w:tcBorders>
            <w:hideMark/>
          </w:tcPr>
          <w:p w14:paraId="2987AD09"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32.4</w:t>
            </w:r>
          </w:p>
        </w:tc>
      </w:tr>
      <w:tr w:rsidR="00383CA1" w:rsidRPr="002538F5" w14:paraId="64D25890" w14:textId="77777777" w:rsidTr="00383CA1">
        <w:tc>
          <w:tcPr>
            <w:tcW w:w="1481" w:type="pct"/>
            <w:hideMark/>
          </w:tcPr>
          <w:p w14:paraId="6125C135"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0072031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17-19 years</w:t>
            </w:r>
          </w:p>
        </w:tc>
        <w:tc>
          <w:tcPr>
            <w:tcW w:w="972" w:type="pct"/>
            <w:hideMark/>
          </w:tcPr>
          <w:p w14:paraId="30EC83D6"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234</w:t>
            </w:r>
          </w:p>
        </w:tc>
        <w:tc>
          <w:tcPr>
            <w:tcW w:w="1046" w:type="pct"/>
            <w:hideMark/>
          </w:tcPr>
          <w:p w14:paraId="7C8A685B"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67.6</w:t>
            </w:r>
          </w:p>
        </w:tc>
      </w:tr>
      <w:tr w:rsidR="00383CA1" w:rsidRPr="002538F5" w14:paraId="75AB807D" w14:textId="77777777" w:rsidTr="00383CA1">
        <w:tc>
          <w:tcPr>
            <w:tcW w:w="1481" w:type="pct"/>
            <w:hideMark/>
          </w:tcPr>
          <w:p w14:paraId="749C8B50"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Education</w:t>
            </w:r>
          </w:p>
        </w:tc>
        <w:tc>
          <w:tcPr>
            <w:tcW w:w="1501" w:type="pct"/>
            <w:hideMark/>
          </w:tcPr>
          <w:p w14:paraId="349977B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Primary or less</w:t>
            </w:r>
          </w:p>
        </w:tc>
        <w:tc>
          <w:tcPr>
            <w:tcW w:w="972" w:type="pct"/>
            <w:hideMark/>
          </w:tcPr>
          <w:p w14:paraId="7E91B669"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231</w:t>
            </w:r>
          </w:p>
        </w:tc>
        <w:tc>
          <w:tcPr>
            <w:tcW w:w="1046" w:type="pct"/>
            <w:hideMark/>
          </w:tcPr>
          <w:p w14:paraId="370FD6AD"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66.8</w:t>
            </w:r>
          </w:p>
        </w:tc>
      </w:tr>
      <w:tr w:rsidR="00383CA1" w:rsidRPr="002538F5" w14:paraId="52710996" w14:textId="77777777" w:rsidTr="00383CA1">
        <w:tc>
          <w:tcPr>
            <w:tcW w:w="1481" w:type="pct"/>
            <w:hideMark/>
          </w:tcPr>
          <w:p w14:paraId="4F6D2CDA"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2A5E8156"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Secondary incomplete</w:t>
            </w:r>
          </w:p>
        </w:tc>
        <w:tc>
          <w:tcPr>
            <w:tcW w:w="972" w:type="pct"/>
            <w:hideMark/>
          </w:tcPr>
          <w:p w14:paraId="0694876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89</w:t>
            </w:r>
          </w:p>
        </w:tc>
        <w:tc>
          <w:tcPr>
            <w:tcW w:w="1046" w:type="pct"/>
            <w:hideMark/>
          </w:tcPr>
          <w:p w14:paraId="0B1C298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25.7</w:t>
            </w:r>
          </w:p>
        </w:tc>
      </w:tr>
      <w:tr w:rsidR="00383CA1" w:rsidRPr="002538F5" w14:paraId="24EE1A47" w14:textId="77777777" w:rsidTr="00383CA1">
        <w:tc>
          <w:tcPr>
            <w:tcW w:w="1481" w:type="pct"/>
            <w:hideMark/>
          </w:tcPr>
          <w:p w14:paraId="5589A385"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1C5311F7"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Secondary complete+</w:t>
            </w:r>
          </w:p>
        </w:tc>
        <w:tc>
          <w:tcPr>
            <w:tcW w:w="972" w:type="pct"/>
            <w:hideMark/>
          </w:tcPr>
          <w:p w14:paraId="39E4F2B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26</w:t>
            </w:r>
          </w:p>
        </w:tc>
        <w:tc>
          <w:tcPr>
            <w:tcW w:w="1046" w:type="pct"/>
            <w:hideMark/>
          </w:tcPr>
          <w:p w14:paraId="1F413DD7"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7.5</w:t>
            </w:r>
          </w:p>
        </w:tc>
      </w:tr>
      <w:tr w:rsidR="00383CA1" w:rsidRPr="002538F5" w14:paraId="35844BE9" w14:textId="77777777" w:rsidTr="00383CA1">
        <w:tc>
          <w:tcPr>
            <w:tcW w:w="1481" w:type="pct"/>
            <w:hideMark/>
          </w:tcPr>
          <w:p w14:paraId="5D72DFF8"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Marital Status</w:t>
            </w:r>
          </w:p>
        </w:tc>
        <w:tc>
          <w:tcPr>
            <w:tcW w:w="1501" w:type="pct"/>
            <w:hideMark/>
          </w:tcPr>
          <w:p w14:paraId="1B07268E"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Married/Cohabiting</w:t>
            </w:r>
          </w:p>
        </w:tc>
        <w:tc>
          <w:tcPr>
            <w:tcW w:w="972" w:type="pct"/>
            <w:hideMark/>
          </w:tcPr>
          <w:p w14:paraId="7C5ED9EB"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187</w:t>
            </w:r>
          </w:p>
        </w:tc>
        <w:tc>
          <w:tcPr>
            <w:tcW w:w="1046" w:type="pct"/>
            <w:hideMark/>
          </w:tcPr>
          <w:p w14:paraId="5DDAFF62"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54.0</w:t>
            </w:r>
          </w:p>
        </w:tc>
      </w:tr>
      <w:tr w:rsidR="00383CA1" w:rsidRPr="002538F5" w14:paraId="26EFDA66" w14:textId="77777777" w:rsidTr="00383CA1">
        <w:tc>
          <w:tcPr>
            <w:tcW w:w="1481" w:type="pct"/>
            <w:hideMark/>
          </w:tcPr>
          <w:p w14:paraId="2F610668" w14:textId="77777777" w:rsidR="00383CA1" w:rsidRPr="00383CA1" w:rsidRDefault="00383CA1" w:rsidP="00383CA1">
            <w:pPr>
              <w:spacing w:line="360" w:lineRule="auto"/>
              <w:jc w:val="both"/>
              <w:rPr>
                <w:rFonts w:ascii="Times New Roman" w:hAnsi="Times New Roman" w:cs="Times New Roman"/>
              </w:rPr>
            </w:pPr>
          </w:p>
        </w:tc>
        <w:tc>
          <w:tcPr>
            <w:tcW w:w="1501" w:type="pct"/>
            <w:hideMark/>
          </w:tcPr>
          <w:p w14:paraId="383F98AD"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Single</w:t>
            </w:r>
          </w:p>
        </w:tc>
        <w:tc>
          <w:tcPr>
            <w:tcW w:w="972" w:type="pct"/>
            <w:hideMark/>
          </w:tcPr>
          <w:p w14:paraId="7AD0F6F7"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145</w:t>
            </w:r>
          </w:p>
        </w:tc>
        <w:tc>
          <w:tcPr>
            <w:tcW w:w="1046" w:type="pct"/>
            <w:hideMark/>
          </w:tcPr>
          <w:p w14:paraId="3D9F64EE"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41.9</w:t>
            </w:r>
          </w:p>
        </w:tc>
      </w:tr>
      <w:tr w:rsidR="00383CA1" w:rsidRPr="002538F5" w14:paraId="08C511AC" w14:textId="77777777" w:rsidTr="00383CA1">
        <w:tc>
          <w:tcPr>
            <w:tcW w:w="1481" w:type="pct"/>
            <w:hideMark/>
          </w:tcPr>
          <w:p w14:paraId="5A9A5006"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Guardian Occupation</w:t>
            </w:r>
          </w:p>
        </w:tc>
        <w:tc>
          <w:tcPr>
            <w:tcW w:w="1501" w:type="pct"/>
            <w:hideMark/>
          </w:tcPr>
          <w:p w14:paraId="6CFCCF44"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Subsistence farmer</w:t>
            </w:r>
          </w:p>
        </w:tc>
        <w:tc>
          <w:tcPr>
            <w:tcW w:w="972" w:type="pct"/>
            <w:hideMark/>
          </w:tcPr>
          <w:p w14:paraId="39A862C8"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211</w:t>
            </w:r>
          </w:p>
        </w:tc>
        <w:tc>
          <w:tcPr>
            <w:tcW w:w="1046" w:type="pct"/>
            <w:hideMark/>
          </w:tcPr>
          <w:p w14:paraId="0BE26EE5"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61.0</w:t>
            </w:r>
          </w:p>
        </w:tc>
      </w:tr>
      <w:tr w:rsidR="00383CA1" w:rsidRPr="002538F5" w14:paraId="41A9D5BE" w14:textId="77777777" w:rsidTr="00383CA1">
        <w:tc>
          <w:tcPr>
            <w:tcW w:w="1481" w:type="pct"/>
            <w:hideMark/>
          </w:tcPr>
          <w:p w14:paraId="0B43BC18"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Basic Needs Provision</w:t>
            </w:r>
          </w:p>
        </w:tc>
        <w:tc>
          <w:tcPr>
            <w:tcW w:w="1501" w:type="pct"/>
            <w:hideMark/>
          </w:tcPr>
          <w:p w14:paraId="40939892" w14:textId="77777777" w:rsidR="00383CA1" w:rsidRPr="00383CA1" w:rsidRDefault="00383CA1" w:rsidP="00383CA1">
            <w:pPr>
              <w:spacing w:line="360" w:lineRule="auto"/>
              <w:jc w:val="both"/>
              <w:rPr>
                <w:rFonts w:ascii="Times New Roman" w:hAnsi="Times New Roman" w:cs="Times New Roman"/>
              </w:rPr>
            </w:pPr>
            <w:r w:rsidRPr="00383CA1">
              <w:rPr>
                <w:rFonts w:ascii="Times New Roman" w:hAnsi="Times New Roman" w:cs="Times New Roman"/>
              </w:rPr>
              <w:t>Rarely/Never provided</w:t>
            </w:r>
          </w:p>
        </w:tc>
        <w:tc>
          <w:tcPr>
            <w:tcW w:w="972" w:type="pct"/>
            <w:hideMark/>
          </w:tcPr>
          <w:p w14:paraId="7950E730"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159</w:t>
            </w:r>
          </w:p>
        </w:tc>
        <w:tc>
          <w:tcPr>
            <w:tcW w:w="1046" w:type="pct"/>
            <w:hideMark/>
          </w:tcPr>
          <w:p w14:paraId="2FC20796" w14:textId="77777777" w:rsidR="00383CA1" w:rsidRPr="00383CA1" w:rsidRDefault="00383CA1" w:rsidP="00383CA1">
            <w:pPr>
              <w:spacing w:line="360" w:lineRule="auto"/>
              <w:jc w:val="center"/>
              <w:rPr>
                <w:rFonts w:ascii="Times New Roman" w:hAnsi="Times New Roman" w:cs="Times New Roman"/>
              </w:rPr>
            </w:pPr>
            <w:r w:rsidRPr="00383CA1">
              <w:rPr>
                <w:rFonts w:ascii="Times New Roman" w:hAnsi="Times New Roman" w:cs="Times New Roman"/>
              </w:rPr>
              <w:t>46.0</w:t>
            </w:r>
          </w:p>
        </w:tc>
      </w:tr>
    </w:tbl>
    <w:p w14:paraId="794840FB" w14:textId="77777777" w:rsidR="00383CA1" w:rsidRPr="002538F5" w:rsidRDefault="00383CA1" w:rsidP="00383CA1">
      <w:pPr>
        <w:spacing w:after="0" w:line="360" w:lineRule="auto"/>
        <w:jc w:val="both"/>
        <w:rPr>
          <w:rFonts w:ascii="Times New Roman" w:hAnsi="Times New Roman" w:cs="Times New Roman"/>
        </w:rPr>
      </w:pPr>
    </w:p>
    <w:p w14:paraId="5E234E90" w14:textId="3842E497" w:rsidR="00383CA1" w:rsidRPr="002538F5" w:rsidRDefault="00383CA1" w:rsidP="00383CA1">
      <w:pPr>
        <w:pStyle w:val="Heading1"/>
        <w:spacing w:before="0" w:after="0" w:line="360" w:lineRule="auto"/>
        <w:rPr>
          <w:rFonts w:cs="Times New Roman"/>
          <w:szCs w:val="24"/>
        </w:rPr>
      </w:pPr>
      <w:r w:rsidRPr="002538F5">
        <w:rPr>
          <w:rFonts w:cs="Times New Roman"/>
          <w:szCs w:val="24"/>
        </w:rPr>
        <w:t>3.2 Prevalence of Teenage Pregnancy</w:t>
      </w:r>
    </w:p>
    <w:p w14:paraId="2B79A21B" w14:textId="7A34FEE3"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Of the 346 respondents, 199 (57.5%) reported having ever been pregnant. Among those, 86.4% reported the pregnancy was unplanned, and 47.7% identified their husband as the partner at the time of pregnancy.</w:t>
      </w:r>
    </w:p>
    <w:p w14:paraId="67EAFD5F" w14:textId="77777777" w:rsidR="00383CA1" w:rsidRPr="002538F5" w:rsidRDefault="00383CA1" w:rsidP="002538F5">
      <w:pPr>
        <w:pStyle w:val="Heading1"/>
        <w:rPr>
          <w:rFonts w:cs="Times New Roman"/>
          <w:szCs w:val="24"/>
        </w:rPr>
      </w:pPr>
      <w:r w:rsidRPr="002538F5">
        <w:rPr>
          <w:rFonts w:cs="Times New Roman"/>
          <w:szCs w:val="24"/>
        </w:rPr>
        <w:lastRenderedPageBreak/>
        <w:t>3.3 Factors Associated with Teenage Pregnancy</w:t>
      </w:r>
    </w:p>
    <w:p w14:paraId="744CB59B" w14:textId="4C92A162"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 xml:space="preserve">Bivariate analysis (Table 2) revealed significant positive correlations between teenage pregnancy and: being married/cohabiting (r=0.698, p&lt;0.01), cultural support for early marriage (r=0.520, p&lt;0.01), and household poverty (r=0.350, p&lt;0.01). Education level was negatively correlated </w:t>
      </w:r>
      <w:r w:rsidRPr="002538F5">
        <w:rPr>
          <w:rFonts w:ascii="Times New Roman" w:hAnsi="Times New Roman" w:cs="Times New Roman"/>
        </w:rPr>
        <w:t xml:space="preserve">with (r = -0.385, p &lt; </w:t>
      </w:r>
      <w:r w:rsidRPr="00383CA1">
        <w:rPr>
          <w:rFonts w:ascii="Times New Roman" w:hAnsi="Times New Roman" w:cs="Times New Roman"/>
        </w:rPr>
        <w:t>0.01).</w:t>
      </w:r>
    </w:p>
    <w:p w14:paraId="5B6AC265" w14:textId="2D4F9557" w:rsidR="007643C1" w:rsidRPr="007643C1" w:rsidRDefault="007643C1" w:rsidP="007643C1">
      <w:pPr>
        <w:pStyle w:val="Caption"/>
        <w:rPr>
          <w:rFonts w:ascii="Times New Roman" w:hAnsi="Times New Roman" w:cs="Times New Roman"/>
          <w:color w:val="000000" w:themeColor="text1"/>
          <w:sz w:val="24"/>
          <w:szCs w:val="24"/>
        </w:rPr>
      </w:pPr>
      <w:r w:rsidRPr="007643C1">
        <w:rPr>
          <w:rFonts w:ascii="Times New Roman" w:hAnsi="Times New Roman" w:cs="Times New Roman"/>
          <w:color w:val="000000" w:themeColor="text1"/>
          <w:sz w:val="24"/>
          <w:szCs w:val="24"/>
        </w:rPr>
        <w:t xml:space="preserve">Table </w:t>
      </w:r>
      <w:r w:rsidRPr="007643C1">
        <w:rPr>
          <w:rFonts w:ascii="Times New Roman" w:hAnsi="Times New Roman" w:cs="Times New Roman"/>
          <w:color w:val="000000" w:themeColor="text1"/>
          <w:sz w:val="24"/>
          <w:szCs w:val="24"/>
        </w:rPr>
        <w:fldChar w:fldCharType="begin"/>
      </w:r>
      <w:r w:rsidRPr="007643C1">
        <w:rPr>
          <w:rFonts w:ascii="Times New Roman" w:hAnsi="Times New Roman" w:cs="Times New Roman"/>
          <w:color w:val="000000" w:themeColor="text1"/>
          <w:sz w:val="24"/>
          <w:szCs w:val="24"/>
        </w:rPr>
        <w:instrText xml:space="preserve"> SEQ Table \* ARABIC </w:instrText>
      </w:r>
      <w:r w:rsidRPr="007643C1">
        <w:rPr>
          <w:rFonts w:ascii="Times New Roman" w:hAnsi="Times New Roman" w:cs="Times New Roman"/>
          <w:color w:val="000000" w:themeColor="text1"/>
          <w:sz w:val="24"/>
          <w:szCs w:val="24"/>
        </w:rPr>
        <w:fldChar w:fldCharType="separate"/>
      </w:r>
      <w:r w:rsidRPr="007643C1">
        <w:rPr>
          <w:rFonts w:ascii="Times New Roman" w:hAnsi="Times New Roman" w:cs="Times New Roman"/>
          <w:noProof/>
          <w:color w:val="000000" w:themeColor="text1"/>
          <w:sz w:val="24"/>
          <w:szCs w:val="24"/>
        </w:rPr>
        <w:t>2</w:t>
      </w:r>
      <w:r w:rsidRPr="007643C1">
        <w:rPr>
          <w:rFonts w:ascii="Times New Roman" w:hAnsi="Times New Roman" w:cs="Times New Roman"/>
          <w:color w:val="000000" w:themeColor="text1"/>
          <w:sz w:val="24"/>
          <w:szCs w:val="24"/>
        </w:rPr>
        <w:fldChar w:fldCharType="end"/>
      </w:r>
      <w:r w:rsidRPr="007643C1">
        <w:rPr>
          <w:rFonts w:ascii="Times New Roman" w:hAnsi="Times New Roman" w:cs="Times New Roman"/>
          <w:color w:val="000000" w:themeColor="text1"/>
          <w:sz w:val="24"/>
          <w:szCs w:val="24"/>
        </w:rPr>
        <w:t>: Logistic Regression Predicting Teenage Pregnancy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989"/>
        <w:gridCol w:w="1865"/>
        <w:gridCol w:w="1336"/>
      </w:tblGrid>
      <w:tr w:rsidR="007643C1" w:rsidRPr="007643C1" w14:paraId="7CE75E8A" w14:textId="77777777" w:rsidTr="007643C1">
        <w:tc>
          <w:tcPr>
            <w:tcW w:w="2679" w:type="pct"/>
            <w:tcBorders>
              <w:top w:val="single" w:sz="4" w:space="0" w:color="auto"/>
              <w:bottom w:val="single" w:sz="4" w:space="0" w:color="auto"/>
            </w:tcBorders>
            <w:hideMark/>
          </w:tcPr>
          <w:p w14:paraId="29B080A6"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Predictor Variable</w:t>
            </w:r>
          </w:p>
        </w:tc>
        <w:tc>
          <w:tcPr>
            <w:tcW w:w="548" w:type="pct"/>
            <w:tcBorders>
              <w:top w:val="single" w:sz="4" w:space="0" w:color="auto"/>
              <w:bottom w:val="single" w:sz="4" w:space="0" w:color="auto"/>
            </w:tcBorders>
            <w:hideMark/>
          </w:tcPr>
          <w:p w14:paraId="73441F9E"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AOR</w:t>
            </w:r>
          </w:p>
        </w:tc>
        <w:tc>
          <w:tcPr>
            <w:tcW w:w="1033" w:type="pct"/>
            <w:tcBorders>
              <w:top w:val="single" w:sz="4" w:space="0" w:color="auto"/>
              <w:bottom w:val="single" w:sz="4" w:space="0" w:color="auto"/>
            </w:tcBorders>
            <w:hideMark/>
          </w:tcPr>
          <w:p w14:paraId="177DDCE6"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95% CI</w:t>
            </w:r>
          </w:p>
        </w:tc>
        <w:tc>
          <w:tcPr>
            <w:tcW w:w="740" w:type="pct"/>
            <w:tcBorders>
              <w:top w:val="single" w:sz="4" w:space="0" w:color="auto"/>
              <w:bottom w:val="single" w:sz="4" w:space="0" w:color="auto"/>
            </w:tcBorders>
            <w:hideMark/>
          </w:tcPr>
          <w:p w14:paraId="529017A1"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b/>
                <w:bCs/>
                <w:kern w:val="0"/>
                <w14:ligatures w14:val="none"/>
              </w:rPr>
              <w:t>p-value</w:t>
            </w:r>
          </w:p>
        </w:tc>
      </w:tr>
      <w:tr w:rsidR="007643C1" w:rsidRPr="007643C1" w14:paraId="01B61978" w14:textId="77777777" w:rsidTr="007643C1">
        <w:tc>
          <w:tcPr>
            <w:tcW w:w="2679" w:type="pct"/>
            <w:tcBorders>
              <w:top w:val="single" w:sz="4" w:space="0" w:color="auto"/>
            </w:tcBorders>
            <w:hideMark/>
          </w:tcPr>
          <w:p w14:paraId="5322D948"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Marital status (Married)</w:t>
            </w:r>
          </w:p>
        </w:tc>
        <w:tc>
          <w:tcPr>
            <w:tcW w:w="548" w:type="pct"/>
            <w:tcBorders>
              <w:top w:val="single" w:sz="4" w:space="0" w:color="auto"/>
            </w:tcBorders>
            <w:hideMark/>
          </w:tcPr>
          <w:p w14:paraId="7AF67073"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6.312</w:t>
            </w:r>
          </w:p>
        </w:tc>
        <w:tc>
          <w:tcPr>
            <w:tcW w:w="1033" w:type="pct"/>
            <w:tcBorders>
              <w:top w:val="single" w:sz="4" w:space="0" w:color="auto"/>
            </w:tcBorders>
            <w:hideMark/>
          </w:tcPr>
          <w:p w14:paraId="5B44EF0D"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(3.94, 10.12)</w:t>
            </w:r>
          </w:p>
        </w:tc>
        <w:tc>
          <w:tcPr>
            <w:tcW w:w="740" w:type="pct"/>
            <w:tcBorders>
              <w:top w:val="single" w:sz="4" w:space="0" w:color="auto"/>
            </w:tcBorders>
            <w:hideMark/>
          </w:tcPr>
          <w:p w14:paraId="7E93A88D" w14:textId="134EDF8C"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1D1F5B04" w14:textId="77777777" w:rsidTr="007643C1">
        <w:tc>
          <w:tcPr>
            <w:tcW w:w="2679" w:type="pct"/>
            <w:hideMark/>
          </w:tcPr>
          <w:p w14:paraId="41FBC7F7"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Cultural support for early marriage</w:t>
            </w:r>
          </w:p>
        </w:tc>
        <w:tc>
          <w:tcPr>
            <w:tcW w:w="548" w:type="pct"/>
            <w:hideMark/>
          </w:tcPr>
          <w:p w14:paraId="7333317C"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1.809</w:t>
            </w:r>
          </w:p>
        </w:tc>
        <w:tc>
          <w:tcPr>
            <w:tcW w:w="1033" w:type="pct"/>
            <w:hideMark/>
          </w:tcPr>
          <w:p w14:paraId="0DFE6254"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(1.33, 2.45)</w:t>
            </w:r>
          </w:p>
        </w:tc>
        <w:tc>
          <w:tcPr>
            <w:tcW w:w="740" w:type="pct"/>
            <w:hideMark/>
          </w:tcPr>
          <w:p w14:paraId="730EE2CA"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38715851" w14:textId="77777777" w:rsidTr="007643C1">
        <w:tc>
          <w:tcPr>
            <w:tcW w:w="2679" w:type="pct"/>
            <w:hideMark/>
          </w:tcPr>
          <w:p w14:paraId="56F37734"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Household poverty</w:t>
            </w:r>
          </w:p>
        </w:tc>
        <w:tc>
          <w:tcPr>
            <w:tcW w:w="548" w:type="pct"/>
            <w:hideMark/>
          </w:tcPr>
          <w:p w14:paraId="5530DC0F"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1.570</w:t>
            </w:r>
          </w:p>
        </w:tc>
        <w:tc>
          <w:tcPr>
            <w:tcW w:w="1033" w:type="pct"/>
            <w:hideMark/>
          </w:tcPr>
          <w:p w14:paraId="4E7700F1"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(1.24, 1.99)</w:t>
            </w:r>
          </w:p>
        </w:tc>
        <w:tc>
          <w:tcPr>
            <w:tcW w:w="740" w:type="pct"/>
            <w:hideMark/>
          </w:tcPr>
          <w:p w14:paraId="466C010E"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&lt;0.001</w:t>
            </w:r>
          </w:p>
        </w:tc>
      </w:tr>
      <w:tr w:rsidR="007643C1" w:rsidRPr="007643C1" w14:paraId="700EAED3" w14:textId="77777777" w:rsidTr="007643C1">
        <w:tc>
          <w:tcPr>
            <w:tcW w:w="2679" w:type="pct"/>
            <w:hideMark/>
          </w:tcPr>
          <w:p w14:paraId="6F55FA48" w14:textId="77777777" w:rsidR="007643C1" w:rsidRPr="007643C1" w:rsidRDefault="007643C1" w:rsidP="007643C1">
            <w:pPr>
              <w:spacing w:line="360" w:lineRule="auto"/>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Education level</w:t>
            </w:r>
          </w:p>
        </w:tc>
        <w:tc>
          <w:tcPr>
            <w:tcW w:w="548" w:type="pct"/>
            <w:hideMark/>
          </w:tcPr>
          <w:p w14:paraId="506F9AB6"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0.750</w:t>
            </w:r>
          </w:p>
        </w:tc>
        <w:tc>
          <w:tcPr>
            <w:tcW w:w="1033" w:type="pct"/>
            <w:hideMark/>
          </w:tcPr>
          <w:p w14:paraId="648F0A03"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(0.62, 0.90)</w:t>
            </w:r>
          </w:p>
        </w:tc>
        <w:tc>
          <w:tcPr>
            <w:tcW w:w="740" w:type="pct"/>
            <w:hideMark/>
          </w:tcPr>
          <w:p w14:paraId="5E800362" w14:textId="77777777" w:rsidR="007643C1" w:rsidRPr="007643C1" w:rsidRDefault="007643C1" w:rsidP="007643C1">
            <w:pPr>
              <w:spacing w:line="360" w:lineRule="auto"/>
              <w:jc w:val="center"/>
              <w:rPr>
                <w:rFonts w:ascii="Times New Roman" w:eastAsia="Times New Roman" w:hAnsi="Times New Roman" w:cs="Times New Roman"/>
                <w:kern w:val="0"/>
                <w14:ligatures w14:val="none"/>
              </w:rPr>
            </w:pPr>
            <w:r w:rsidRPr="007643C1">
              <w:rPr>
                <w:rFonts w:ascii="Times New Roman" w:eastAsia="Times New Roman" w:hAnsi="Times New Roman" w:cs="Times New Roman"/>
                <w:kern w:val="0"/>
                <w14:ligatures w14:val="none"/>
              </w:rPr>
              <w:t>0.002</w:t>
            </w:r>
          </w:p>
        </w:tc>
      </w:tr>
    </w:tbl>
    <w:p w14:paraId="42F8694F" w14:textId="4EECC714" w:rsidR="007643C1" w:rsidRPr="007643C1" w:rsidRDefault="007643C1" w:rsidP="007643C1">
      <w:pPr>
        <w:pStyle w:val="NormalWeb"/>
        <w:spacing w:before="0" w:beforeAutospacing="0" w:after="0" w:afterAutospacing="0"/>
        <w:rPr>
          <w:i/>
          <w:iCs/>
        </w:rPr>
      </w:pPr>
      <w:r w:rsidRPr="007643C1">
        <w:rPr>
          <w:rStyle w:val="Strong"/>
          <w:rFonts w:eastAsiaTheme="majorEastAsia"/>
          <w:b w:val="0"/>
          <w:bCs w:val="0"/>
          <w:i/>
          <w:iCs/>
          <w:vertAlign w:val="superscript"/>
        </w:rPr>
        <w:t>1</w:t>
      </w:r>
      <w:r w:rsidRPr="007643C1">
        <w:rPr>
          <w:rStyle w:val="Strong"/>
          <w:rFonts w:eastAsiaTheme="majorEastAsia"/>
          <w:b w:val="0"/>
          <w:bCs w:val="0"/>
          <w:i/>
          <w:iCs/>
        </w:rPr>
        <w:t>Model Fit:</w:t>
      </w:r>
      <w:r w:rsidRPr="007643C1">
        <w:rPr>
          <w:i/>
          <w:iCs/>
        </w:rPr>
        <w:t xml:space="preserve"> Nagelkerke R² = 0.652; χ²(4) = 168.45; p &lt; 0.001</w:t>
      </w:r>
    </w:p>
    <w:p w14:paraId="45098BDE" w14:textId="2F5E5097" w:rsidR="007643C1" w:rsidRDefault="007643C1" w:rsidP="007643C1">
      <w:pPr>
        <w:pStyle w:val="NormalWeb"/>
        <w:spacing w:before="0" w:beforeAutospacing="0" w:after="0" w:afterAutospacing="0"/>
        <w:rPr>
          <w:i/>
          <w:iCs/>
        </w:rPr>
      </w:pPr>
      <w:r w:rsidRPr="007643C1">
        <w:rPr>
          <w:i/>
          <w:iCs/>
          <w:vertAlign w:val="superscript"/>
        </w:rPr>
        <w:t>2</w:t>
      </w:r>
      <w:r w:rsidRPr="007643C1">
        <w:rPr>
          <w:i/>
          <w:iCs/>
        </w:rPr>
        <w:t>Reference category = single</w:t>
      </w:r>
    </w:p>
    <w:p w14:paraId="242E308E" w14:textId="31582184" w:rsidR="007643C1" w:rsidRDefault="007643C1" w:rsidP="007643C1">
      <w:pPr>
        <w:pStyle w:val="NormalWeb"/>
        <w:spacing w:before="0" w:beforeAutospacing="0" w:after="0" w:afterAutospacing="0"/>
        <w:rPr>
          <w:i/>
          <w:iCs/>
        </w:rPr>
      </w:pPr>
      <w:r w:rsidRPr="007643C1">
        <w:rPr>
          <w:i/>
          <w:iCs/>
          <w:vertAlign w:val="superscript"/>
        </w:rPr>
        <w:t>3</w:t>
      </w:r>
      <w:r>
        <w:rPr>
          <w:i/>
          <w:iCs/>
        </w:rPr>
        <w:t>Education Level = Lower vs Upper</w:t>
      </w:r>
    </w:p>
    <w:p w14:paraId="084F4355" w14:textId="77777777" w:rsidR="007643C1" w:rsidRPr="007643C1" w:rsidRDefault="007643C1" w:rsidP="007643C1">
      <w:pPr>
        <w:pStyle w:val="NormalWeb"/>
        <w:spacing w:before="0" w:beforeAutospacing="0" w:after="0" w:afterAutospacing="0"/>
        <w:rPr>
          <w:i/>
          <w:iCs/>
        </w:rPr>
      </w:pPr>
    </w:p>
    <w:p w14:paraId="07377132" w14:textId="1D0A80D3" w:rsid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14:ligatures w14:val="none"/>
        </w:rPr>
      </w:pPr>
      <w:r w:rsidRPr="007643C1">
        <w:rPr>
          <w:rFonts w:ascii="Times New Roman" w:eastAsia="Times New Roman" w:hAnsi="Times New Roman" w:cs="Times New Roman"/>
          <w:i/>
          <w:iCs/>
          <w:color w:val="0F1115"/>
          <w:kern w:val="0"/>
          <w14:ligatures w14:val="none"/>
        </w:rPr>
        <w:t>Note: AOR = Adjusted Odds Ratio; CI = Confidence Interval</w:t>
      </w:r>
    </w:p>
    <w:p w14:paraId="1CD6A4FF" w14:textId="77777777" w:rsidR="007643C1" w:rsidRP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14:ligatures w14:val="none"/>
        </w:rPr>
      </w:pPr>
    </w:p>
    <w:p w14:paraId="6E69F9C9" w14:textId="4D66BFFB"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logistic regression model was statistically significant (χ²</w:t>
      </w:r>
      <w:r w:rsidR="002538F5" w:rsidRPr="002538F5">
        <w:rPr>
          <w:rFonts w:ascii="Times New Roman" w:hAnsi="Times New Roman" w:cs="Times New Roman"/>
        </w:rPr>
        <w:t xml:space="preserve"> </w:t>
      </w:r>
      <w:r w:rsidRPr="00383CA1">
        <w:rPr>
          <w:rFonts w:ascii="Times New Roman" w:hAnsi="Times New Roman" w:cs="Times New Roman"/>
        </w:rPr>
        <w:t>=</w:t>
      </w:r>
      <w:r w:rsidR="002538F5" w:rsidRPr="002538F5">
        <w:rPr>
          <w:rFonts w:ascii="Times New Roman" w:hAnsi="Times New Roman" w:cs="Times New Roman"/>
        </w:rPr>
        <w:t xml:space="preserve"> 168.45, p &lt; </w:t>
      </w:r>
      <w:r w:rsidRPr="00383CA1">
        <w:rPr>
          <w:rFonts w:ascii="Times New Roman" w:hAnsi="Times New Roman" w:cs="Times New Roman"/>
        </w:rPr>
        <w:t>.001), explaining 65.2% of the variance in teenage pregnancy (Nagelkerke R²). Married/cohabiting teenagers were over six times more likely to be pregnant than their single peers (AOR=6.312, p&lt;.001). Perceived cultural support for early marriage (AOR=1.809) and household poverty (AOR=1.570) significantly increased the odds, while higher education (AOR=0.750) was protective.</w:t>
      </w:r>
    </w:p>
    <w:p w14:paraId="72A08529" w14:textId="6C7927BF" w:rsidR="00383CA1" w:rsidRPr="002538F5" w:rsidRDefault="00383CA1" w:rsidP="00383CA1">
      <w:pPr>
        <w:pStyle w:val="Heading1"/>
        <w:spacing w:before="0" w:after="0" w:line="360" w:lineRule="auto"/>
        <w:rPr>
          <w:rFonts w:cs="Times New Roman"/>
          <w:szCs w:val="24"/>
        </w:rPr>
      </w:pPr>
      <w:r w:rsidRPr="002538F5">
        <w:rPr>
          <w:rFonts w:cs="Times New Roman"/>
          <w:szCs w:val="24"/>
        </w:rPr>
        <w:t>4.0 Discussion</w:t>
      </w:r>
    </w:p>
    <w:p w14:paraId="45143AA9" w14:textId="69C247E2"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This study reveals a crisis-level prevalence of teenage pregnancy (57.5%) in Odravu Sub-County, far exceeding the national average reported in Uganda. Similar studies have shown that although the national prevalence is already high, certain rural and socioeconomically disadvantaged areas experience disproportionately elevated rates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{"citationID":"mPi3aHh5","properties":{"formattedCitation":"(Dinah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w:t>
      </w:r>
      <w:r w:rsidR="007643C1">
        <w:rPr>
          <w:rFonts w:ascii="Times New Roman" w:hAnsi="Times New Roman" w:cs="Times New Roman"/>
        </w:rPr>
        <w:t xml:space="preserve"> et al.</w:t>
      </w:r>
      <w:r w:rsidRPr="002538F5">
        <w:rPr>
          <w:rFonts w:ascii="Times New Roman" w:hAnsi="Times New Roman" w:cs="Times New Roman"/>
        </w:rPr>
        <w:t>, 2020; Wasswa et al., 2021)</w:t>
      </w:r>
      <w:r w:rsidRPr="002538F5">
        <w:rPr>
          <w:rFonts w:ascii="Times New Roman" w:hAnsi="Times New Roman" w:cs="Times New Roman"/>
        </w:rPr>
        <w:fldChar w:fldCharType="end"/>
      </w:r>
      <w:r w:rsidRPr="002538F5">
        <w:rPr>
          <w:rFonts w:ascii="Times New Roman" w:hAnsi="Times New Roman" w:cs="Times New Roman"/>
        </w:rPr>
        <w:t xml:space="preserve">. The findings further demonstrate that teenage pregnancy is not merely a result of individual risk-taking but a socially patterned outcome shaped by structural inequalities such as poverty, education, and residence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{"citationID":"xt4vnmaF","properties":{"formattedCitation":"(Dinah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 et al., 2020; Wasswa et al., 2021)</w:t>
      </w:r>
      <w:r w:rsidRPr="002538F5">
        <w:rPr>
          <w:rFonts w:ascii="Times New Roman" w:hAnsi="Times New Roman" w:cs="Times New Roman"/>
        </w:rPr>
        <w:fldChar w:fldCharType="end"/>
      </w:r>
      <w:r w:rsidRPr="002538F5">
        <w:rPr>
          <w:rFonts w:ascii="Times New Roman" w:hAnsi="Times New Roman" w:cs="Times New Roman"/>
        </w:rPr>
        <w:t>.</w:t>
      </w:r>
    </w:p>
    <w:p w14:paraId="167D99A4" w14:textId="07A51021"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The most outstanding predictor of teenage pregnancy identified in this study was marital status. The finding that married girls are six times more likely to be pregnant confirms that, in this context, marriage and pregnancy are nearly synonymous. This finding aligns with evidence </w:t>
      </w:r>
      <w:r w:rsidRPr="002538F5">
        <w:rPr>
          <w:rFonts w:ascii="Times New Roman" w:hAnsi="Times New Roman" w:cs="Times New Roman"/>
        </w:rPr>
        <w:lastRenderedPageBreak/>
        <w:t xml:space="preserve">indicating that child marriage is a major determinant of adolescent pregnancy in Uganda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{"citationID":"g1JUKnKk","properties":{"formattedCitation":"(UNICEF, 2022; Wasswa et al., 2021)","plainCitation":"(UNICEF, 2022; Wasswa et al., 2021)","noteIndex":0},"citationItems":[{"id":1348,"uris":["http://zotero.org/users/17127802/items/7LWA3XGK"],"itemData":{"id":1348,"type":"webpage","title":"The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(UNICEF, 2022; Wasswa et al., 2021)</w:t>
      </w:r>
      <w:r w:rsidRPr="002538F5">
        <w:rPr>
          <w:rFonts w:ascii="Times New Roman" w:hAnsi="Times New Roman" w:cs="Times New Roman"/>
        </w:rPr>
        <w:fldChar w:fldCharType="end"/>
      </w:r>
      <w:r w:rsidRPr="002538F5">
        <w:rPr>
          <w:rFonts w:ascii="Times New Roman" w:hAnsi="Times New Roman" w:cs="Times New Roman"/>
        </w:rPr>
        <w:t>. These challenges of marriage, conventional health promotion models that assume pregnancy is accidental, as for many girls, childbearing is perceived as an expected marital obligation within socially sanctioned unions.</w:t>
      </w:r>
    </w:p>
    <w:p w14:paraId="0BCC7EB5" w14:textId="540897F4"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t xml:space="preserve">Economic deprivation emerged as a fundamental driver of teenage pregnancy. With 61% of guardians engaged in subsistence farming and nearly half of the girls reporting unmet basic needs, poverty creates conditions where families may perceive daughters as economic assets through bride price, or where girls engage in transactional relationships for survival. This finding is consistent with broader evidence showing that teenage pregnancy is significantly concentrated among poorer households and economically vulnerable populations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{"citationID":"TBbkesNq","properties":{"formattedCitation":"(Dinah Amongin &amp; Lenka Benova, 2020; UN Women, 2025; Wasswa et al., 2021)","plainCitation":"(Dinah Amongin &amp; Lenka Benova, 2020; UN Women, 2025;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(Dinah Amongin et al., 2020; UN Women, 2025; Wasswa et al., 2021)</w:t>
      </w:r>
      <w:r w:rsidRPr="002538F5">
        <w:rPr>
          <w:rFonts w:ascii="Times New Roman" w:hAnsi="Times New Roman" w:cs="Times New Roman"/>
        </w:rPr>
        <w:fldChar w:fldCharType="end"/>
      </w:r>
      <w:r w:rsidRPr="002538F5">
        <w:rPr>
          <w:rFonts w:ascii="Times New Roman" w:hAnsi="Times New Roman" w:cs="Times New Roman"/>
        </w:rPr>
        <w:t>. The high proportion of respondents (80.3%) who identified poverty as a key cause further reinforces the view that economic empowerment should be considered a central, rather than peripheral, intervention.</w:t>
      </w:r>
    </w:p>
    <w:p w14:paraId="5F9912C2" w14:textId="1E49364D" w:rsidR="002538F5" w:rsidRPr="002538F5" w:rsidRDefault="002538F5" w:rsidP="002538F5">
      <w:pPr>
        <w:spacing w:after="0" w:line="360" w:lineRule="auto"/>
        <w:jc w:val="both"/>
        <w:rPr>
          <w:rFonts w:ascii="Times New Roman" w:hAnsi="Times New Roman" w:cs="Times New Roman"/>
          <w:b/>
        </w:rPr>
      </w:pPr>
      <w:r w:rsidRPr="002538F5">
        <w:rPr>
          <w:rFonts w:ascii="Times New Roman" w:hAnsi="Times New Roman" w:cs="Times New Roman"/>
        </w:rPr>
        <w:t xml:space="preserve">Finally, cultural and gender norms provide the enabling environment for early pregnancy. The belief that girls should prioritize marriage over education (63.9%) and the perceived community support for early marriage (71.7%) reflect deeply entrenched social norms that limit girls' autonomy. These findings are supported by literature indicating that harmful gender norms, cultural expectations, and low valuation of girls' education contribute significantly to teenage pregnancy and child marriage in Uganda </w:t>
      </w:r>
      <w:r w:rsidRPr="002538F5">
        <w:rPr>
          <w:rFonts w:ascii="Times New Roman" w:hAnsi="Times New Roman" w:cs="Times New Roman"/>
        </w:rPr>
        <w:fldChar w:fldCharType="begin"/>
      </w:r>
      <w:r w:rsidRPr="002538F5">
        <w:rPr>
          <w:rFonts w:ascii="Times New Roman" w:hAnsi="Times New Roman" w:cs="Times New Roman"/>
        </w:rPr>
        <w:instrText xml:space="preserve"> ADDIN ZOTERO_ITEM CSL_CITATION {"citationID":"DFucdPGs","properties":{"formattedCitation":"(UN Women, 2025; UNICEF, 2022)","plainCitation":"(UN Women, 2025; UNICEF, 2022)","noteIndex":0},"citationItems":[{"id":1346,"uris":["http://zotero.org/users/17127802/items/4GZQGEM7"],"itemData":{"id":1346,"type":"webpage","abstract":"Teenage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Pr="002538F5">
        <w:rPr>
          <w:rFonts w:ascii="Times New Roman" w:hAnsi="Times New Roman" w:cs="Times New Roman"/>
        </w:rPr>
        <w:fldChar w:fldCharType="separate"/>
      </w:r>
      <w:r w:rsidRPr="002538F5">
        <w:rPr>
          <w:rFonts w:ascii="Times New Roman" w:hAnsi="Times New Roman" w:cs="Times New Roman"/>
        </w:rPr>
        <w:t>(UN Women, 2025; UNICEF, 2022)</w:t>
      </w:r>
      <w:r w:rsidRPr="002538F5">
        <w:rPr>
          <w:rFonts w:ascii="Times New Roman" w:hAnsi="Times New Roman" w:cs="Times New Roman"/>
        </w:rPr>
        <w:fldChar w:fldCharType="end"/>
      </w:r>
      <w:r w:rsidRPr="002538F5">
        <w:rPr>
          <w:rFonts w:ascii="Times New Roman" w:hAnsi="Times New Roman" w:cs="Times New Roman"/>
        </w:rPr>
        <w:t>. Such norms, often reinforced by religious and societal restrictions on contraceptive use, trap girls in a cycle of early childbearing, school dropout, and persistent poverty.</w:t>
      </w:r>
    </w:p>
    <w:p w14:paraId="685F1B69" w14:textId="18763CB8" w:rsidR="00383CA1" w:rsidRPr="002538F5" w:rsidRDefault="002538F5" w:rsidP="002538F5">
      <w:pPr>
        <w:pStyle w:val="Heading1"/>
        <w:rPr>
          <w:rFonts w:cs="Times New Roman"/>
          <w:szCs w:val="24"/>
        </w:rPr>
      </w:pPr>
      <w:r>
        <w:rPr>
          <w:rFonts w:cs="Times New Roman"/>
          <w:szCs w:val="24"/>
        </w:rPr>
        <w:t xml:space="preserve">5.0 </w:t>
      </w:r>
      <w:r w:rsidR="00383CA1" w:rsidRPr="002538F5">
        <w:rPr>
          <w:rFonts w:cs="Times New Roman"/>
          <w:szCs w:val="24"/>
        </w:rPr>
        <w:t>Strengths and Limitations</w:t>
      </w:r>
      <w:r w:rsidRPr="002538F5">
        <w:rPr>
          <w:rFonts w:cs="Times New Roman"/>
          <w:szCs w:val="24"/>
        </w:rPr>
        <w:t>: Sub-County</w:t>
      </w:r>
    </w:p>
    <w:p w14:paraId="58E08C05" w14:textId="2D59C81F"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high response rate and focus on a previously understudied region are strengths. The cross-sectional design limits causal inference, and social desirability bias may have affected responses regarding sensitive topics like sexual violence.</w:t>
      </w:r>
    </w:p>
    <w:p w14:paraId="39688C19" w14:textId="37B274C7" w:rsidR="00383CA1" w:rsidRPr="002538F5" w:rsidRDefault="002538F5" w:rsidP="00383CA1">
      <w:pPr>
        <w:pStyle w:val="Heading1"/>
        <w:spacing w:before="0" w:after="0" w:line="360" w:lineRule="auto"/>
        <w:rPr>
          <w:rFonts w:cs="Times New Roman"/>
          <w:szCs w:val="24"/>
        </w:rPr>
      </w:pPr>
      <w:r>
        <w:rPr>
          <w:rFonts w:cs="Times New Roman"/>
          <w:szCs w:val="24"/>
        </w:rPr>
        <w:t>6</w:t>
      </w:r>
      <w:r w:rsidR="00383CA1" w:rsidRPr="002538F5">
        <w:rPr>
          <w:rFonts w:cs="Times New Roman"/>
          <w:szCs w:val="24"/>
        </w:rPr>
        <w:t>.0 Implications for Social Work Practice</w:t>
      </w:r>
    </w:p>
    <w:p w14:paraId="7AD36901" w14:textId="5BC90D50"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findings suggest that individual-level counseling alone will be insufficient. Social workers must adopt a structural approach</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{"citationID":"5Ro4bZl1","properties":{"formattedCitation":"(Siddiqi &amp; Innocenti, 2024)","plainCitation":"(Siddiqi &amp; Innocenti, 2024)","noteIndex":0},"citationItems":[{"id":1357,"uris":["http://zotero.org/users/17127802/items/CGK9CHY8"],"itemData":{"id":1357,"type":"article-journal","language":"en","source":"Zotero","title":"UNICEF Innocenti — Global Office of Research and Foresight","author":[{"family":"Siddiqi","given":"Manahil"},{"family":"Innocenti","given":"UNICEF"}],"issued":{"date-parts":[["2024"]]}}}],"schema":"https://github.com/citation-style-language/schema/raw/master/csl-citation.json"}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(Siddiqi et al., 2024)</w:t>
      </w:r>
      <w:r w:rsidR="002538F5" w:rsidRPr="002538F5">
        <w:rPr>
          <w:rFonts w:ascii="Times New Roman" w:hAnsi="Times New Roman" w:cs="Times New Roman"/>
        </w:rPr>
        <w:fldChar w:fldCharType="end"/>
      </w:r>
      <w:r w:rsidR="002538F5" w:rsidRPr="002538F5">
        <w:rPr>
          <w:rFonts w:ascii="Times New Roman" w:hAnsi="Times New Roman" w:cs="Times New Roman"/>
        </w:rPr>
        <w:t>.</w:t>
      </w:r>
    </w:p>
    <w:p w14:paraId="1B7047F9" w14:textId="3B7D2F52"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Policy Advocacy and Law Enforcement: Social workers should collaborate with local councils and police to actively enforce the legal age of marriage (18 years) and establish safe reporting mechanisms for girls at risk</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{"citationID":"lWwSKq40","properties":{"formattedCitation":"(UNICEF, 2025)","plainCitation":"(UNICEF, 2025)","noteIndex":0},"citationItems":[{"id":1359,"uris":["http://zotero.org/users/17127802/items/IWHIVHCB"],"itemData":{"id":1359,"type":"report","title":"ENDING CHILD MARRIAGE  IN UGANDA","author":[{"literal":"UNICEF"}],"issued":{"date-parts":[["2025"]]}}}],"schema":"https://github.com/citation-style-language/schema/raw/master/csl-citation.json"}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(UNICEF, 2025)</w:t>
      </w:r>
      <w:r w:rsidR="002538F5" w:rsidRPr="002538F5">
        <w:rPr>
          <w:rFonts w:ascii="Times New Roman" w:hAnsi="Times New Roman" w:cs="Times New Roman"/>
        </w:rPr>
        <w:fldChar w:fldCharType="end"/>
      </w:r>
      <w:r w:rsidRPr="00383CA1">
        <w:rPr>
          <w:rFonts w:ascii="Times New Roman" w:hAnsi="Times New Roman" w:cs="Times New Roman"/>
        </w:rPr>
        <w:t>.</w:t>
      </w:r>
    </w:p>
    <w:p w14:paraId="3D85D1A1" w14:textId="082F7575"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lastRenderedPageBreak/>
        <w:t>Economic Empowerment: Interventions must link girls directly to economic resources (e.g., vocational training, cash transfers conditional on school attendance) to address the poverty driver</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{"citationID":"R0QMFSUX","properties":{"formattedCitation":"(Kabiru et al., 2023)","plainCitation":"(Kabiru et al., 2023)","noteIndex":0},"citationItems":[{"id":1360,"uris":["http://zotero.org/users/17127802/items/WVSUXF68"],"itemData":{"id":1360,"type":"article-journal","abstract":"Introduction\nGirls’ and women’s health as well as social and economic wellbeing are often negatively impacted by early childbearing. In many parts of Africa, adolescent girls who get pregnant often drop out of school, resulting in widening gender inequalities in schooling and economic participation. Few interventions have focused on education and economic empowerment of adolescent mothers in the region. We aim to conduct a pilot randomized controlled trial in Blantyre (Malawi) and Ouagadougou (Burkina Faso) to examine the acceptability and feasibility of three interventions in improving educational and health outcomes among adolescent mothers and to estimate the effect and cost-effectiveness of the three interventions in facilitating (re)entry into school or vocational training. We will also test the effect of the interventions on their sexual and reproductive health (SRH) and mental health.\n\nInterventions\nThe three interventions we will assess are: a cash transfer conditioned on (re)enrolment into school or vocational training, subsidized childcare, and life skills training offered through adolescent mothers’ clubs. The life skills training will cover nurturing childcare, SRH, mental health, and financial literacy. Community health workers will facilitate the clubs. Each intervention will be implemented for 12 months.\n\nMethods\nWe will conduct a baseline survey among adolescent mothers aged 10–19 years (N = 270, per site) enrolled following a household listing in select enumeration areas in each site. Adolescent mothers will be interviewed using a structured survey adapted from a previous survey on the lived experiences of pregnant and parenting adolescents in the two sites. Following the baseline survey, adolescent mothers will be individually randomly assigned to one of three study arms: arm one (adolescent mothers’ clubs only); arm two (adolescent mothers’ clubs + subsidized childcare), and arm three (adolescent mothers’ clubs + subsidized childcare + cash transfer). At endline, we will re-administer the structured survey and assess the average treatment effect across the three groups following intent-to-treat (ITT) analysis, comparing school or vocational training attendance during the intervention period. We will also compare baseline and endline measures of SRH and mental health outcomes. Between the baseline and endline survey, we will conduct a process evaluation to examine the acceptability and feasibility of the interventions and to track the implementation of the interventions.\n\nDiscussion\nOur research will generate evidence that provides insights on interventions that can enable adolescent mothers to continue their education, as well as improve their SRH and mental health. We aim to maximize the translation of the evidence into policy and action through sustained engagement from inception with key stakeholders and decision makers and strategic communication of research findings., Trial registration number AEARCTR-0009115, May 15, 2022.","container-title":"Reproductive Health","DOI":"10.1186/s12978-023-01706-9","ISSN":"1742-4755","journalAbbreviation":"Reprod Health","page":"166","PMID":"37946289","PMCID":"PMC10634174","source":"PubMed Central","title":"Effectiveness of conditional cash transfers, subsidized child care and life skills training on adolescent mothers’ schooling, sexual and reproductive health, and mental health outcomes in Burkina Faso and Malawi: the PROMOTE Project pilot randomized controlled trial protocol","title-short":"Effectiveness of conditional cash transfers, subsidized child care and life skills training on adolescent mothers’ schooling, sexual and reproductive health, and mental health outcomes in Burkina Faso and Malawi","volume":"20","author":[{"family":"Kabiru","given":"Caroline W."},{"family":"Munthali","given":"Alister"},{"family":"Sawadogo","given":"Nathalie"},{"family":"Ajayi","given":"Anthony Idowu"},{"family":"Asego","given":"Catherine"},{"family":"Ilboudo","given":"Patrick G."},{"family":"Khisa","given":"Anne M."},{"family":"Kimemia","given":"Grace"},{"family":"Maina","given":"Beatrice"},{"family":"Mangwana","given":"Jane"},{"family":"Mbuthia","given":"Michelle"},{"family":"Ouedraogo","given":"Ramatou"},{"family":"Thakwalakwa","given":"Chrissie"},{"family":"Wanambwa","given":"David"},{"family":"Tapsoba","given":"Alexandra"},{"family":"Alfonso","given":"Witness Olex Tapani"}],"issued":{"date-parts":[["2023",11,9]]}}}],"schema":"https://github.com/citation-style-language/schema/raw/master/csl-citation.json"}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(Kabiru et al., 2023)</w:t>
      </w:r>
      <w:r w:rsidR="002538F5" w:rsidRPr="002538F5">
        <w:rPr>
          <w:rFonts w:ascii="Times New Roman" w:hAnsi="Times New Roman" w:cs="Times New Roman"/>
        </w:rPr>
        <w:fldChar w:fldCharType="end"/>
      </w:r>
      <w:r w:rsidRPr="00383CA1">
        <w:rPr>
          <w:rFonts w:ascii="Times New Roman" w:hAnsi="Times New Roman" w:cs="Times New Roman"/>
        </w:rPr>
        <w:t>.</w:t>
      </w:r>
    </w:p>
    <w:p w14:paraId="51C7F3D7"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Community Transformation: Rather than simply educating girls, social workers should facilitate community dialogues with religious and cultural leaders to challenge norms that devalue girls' education and promote early marriage.</w:t>
      </w:r>
    </w:p>
    <w:p w14:paraId="7EE25D96" w14:textId="569C115C" w:rsidR="00383CA1" w:rsidRPr="002538F5" w:rsidRDefault="002538F5" w:rsidP="00383CA1">
      <w:pPr>
        <w:pStyle w:val="Heading1"/>
        <w:spacing w:before="0" w:after="0" w:line="360" w:lineRule="auto"/>
        <w:rPr>
          <w:rFonts w:cs="Times New Roman"/>
          <w:szCs w:val="24"/>
        </w:rPr>
      </w:pPr>
      <w:r>
        <w:rPr>
          <w:rFonts w:cs="Times New Roman"/>
          <w:szCs w:val="24"/>
        </w:rPr>
        <w:t>7</w:t>
      </w:r>
      <w:r w:rsidR="00383CA1" w:rsidRPr="002538F5">
        <w:rPr>
          <w:rFonts w:cs="Times New Roman"/>
          <w:szCs w:val="24"/>
        </w:rPr>
        <w:t>.0 Conclusion</w:t>
      </w:r>
    </w:p>
    <w:p w14:paraId="4D2D4591" w14:textId="0F0690A1"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Teenage pregnancy in Odravu Sub-County is a manifestation of structural violence against girls, driven by the confluence of early marriage, severe poverty, and patriarchal cultural norms. Without urgent, multi-sectoral action that addresses these root causes</w:t>
      </w:r>
      <w:r w:rsidRPr="002538F5">
        <w:rPr>
          <w:rFonts w:ascii="Times New Roman" w:hAnsi="Times New Roman" w:cs="Times New Roman"/>
        </w:rPr>
        <w:t xml:space="preserve"> </w:t>
      </w:r>
      <w:r w:rsidRPr="00383CA1">
        <w:rPr>
          <w:rFonts w:ascii="Times New Roman" w:hAnsi="Times New Roman" w:cs="Times New Roman"/>
        </w:rPr>
        <w:t>rather than merely the health consequences</w:t>
      </w:r>
      <w:r w:rsidRPr="002538F5">
        <w:rPr>
          <w:rFonts w:ascii="Times New Roman" w:hAnsi="Times New Roman" w:cs="Times New Roman"/>
        </w:rPr>
        <w:t xml:space="preserve">, </w:t>
      </w:r>
      <w:r w:rsidRPr="00383CA1">
        <w:rPr>
          <w:rFonts w:ascii="Times New Roman" w:hAnsi="Times New Roman" w:cs="Times New Roman"/>
        </w:rPr>
        <w:t>the cycle of poverty and gender inequality will continue for generations.</w:t>
      </w:r>
    </w:p>
    <w:p w14:paraId="6051B23F" w14:textId="77777777" w:rsidR="000F5747" w:rsidRPr="002538F5" w:rsidRDefault="000F5747" w:rsidP="00383CA1">
      <w:pPr>
        <w:spacing w:after="0" w:line="360" w:lineRule="auto"/>
        <w:jc w:val="both"/>
        <w:rPr>
          <w:rFonts w:ascii="Times New Roman" w:hAnsi="Times New Roman" w:cs="Times New Roman"/>
        </w:rPr>
      </w:pPr>
    </w:p>
    <w:p w14:paraId="5239255D"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b/>
          <w:bCs/>
        </w:rPr>
        <w:t>Conflict of Interest Statement:</w:t>
      </w:r>
      <w:r w:rsidRPr="00383CA1">
        <w:rPr>
          <w:rFonts w:ascii="Times New Roman" w:hAnsi="Times New Roman" w:cs="Times New Roman"/>
        </w:rPr>
        <w:t> The author declares no conflict of interest.</w:t>
      </w:r>
    </w:p>
    <w:p w14:paraId="755B347A" w14:textId="77777777" w:rsidR="00383CA1" w:rsidRP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b/>
          <w:bCs/>
        </w:rPr>
        <w:t>Funding:</w:t>
      </w:r>
      <w:r w:rsidRPr="00383CA1">
        <w:rPr>
          <w:rFonts w:ascii="Times New Roman" w:hAnsi="Times New Roman" w:cs="Times New Roman"/>
        </w:rPr>
        <w:t> This research received no specific grant from any funding agency in the public, commercial, or not-for-profit sectors.</w:t>
      </w:r>
    </w:p>
    <w:p w14:paraId="77A3ED5F" w14:textId="77777777" w:rsidR="00383CA1" w:rsidRPr="002538F5" w:rsidRDefault="00383CA1" w:rsidP="00383CA1">
      <w:pPr>
        <w:spacing w:after="0" w:line="360" w:lineRule="auto"/>
        <w:jc w:val="both"/>
        <w:rPr>
          <w:rFonts w:ascii="Times New Roman" w:hAnsi="Times New Roman" w:cs="Times New Roman"/>
        </w:rPr>
      </w:pPr>
      <w:r w:rsidRPr="002538F5">
        <w:rPr>
          <w:rFonts w:ascii="Times New Roman" w:hAnsi="Times New Roman" w:cs="Times New Roman"/>
          <w:b/>
          <w:bCs/>
        </w:rPr>
        <w:t>Acknowledgments</w:t>
      </w:r>
      <w:r w:rsidRPr="00383CA1">
        <w:rPr>
          <w:rFonts w:ascii="Times New Roman" w:hAnsi="Times New Roman" w:cs="Times New Roman"/>
          <w:b/>
          <w:bCs/>
        </w:rPr>
        <w:t>:</w:t>
      </w:r>
      <w:r w:rsidRPr="00383CA1">
        <w:rPr>
          <w:rFonts w:ascii="Times New Roman" w:hAnsi="Times New Roman" w:cs="Times New Roman"/>
        </w:rPr>
        <w:t> </w:t>
      </w:r>
    </w:p>
    <w:p w14:paraId="46F92867" w14:textId="1ACAF84A" w:rsidR="00383CA1" w:rsidRDefault="00383CA1" w:rsidP="00383CA1">
      <w:pPr>
        <w:spacing w:after="0" w:line="360" w:lineRule="auto"/>
        <w:jc w:val="both"/>
        <w:rPr>
          <w:rFonts w:ascii="Times New Roman" w:hAnsi="Times New Roman" w:cs="Times New Roman"/>
        </w:rPr>
      </w:pPr>
      <w:r w:rsidRPr="00383CA1">
        <w:rPr>
          <w:rFonts w:ascii="Times New Roman" w:hAnsi="Times New Roman" w:cs="Times New Roman"/>
        </w:rPr>
        <w:t>The author thanks the Islamic University in Uganda for the approval to conduct this research, the Yumbe District Health Office for their support, and the teenage girls of Odravu Sub-County for their participation and honesty.</w:t>
      </w:r>
    </w:p>
    <w:p w14:paraId="4ED8D9D9" w14:textId="77777777" w:rsidR="002538F5" w:rsidRDefault="002538F5" w:rsidP="00383CA1">
      <w:pPr>
        <w:spacing w:after="0" w:line="360" w:lineRule="auto"/>
        <w:jc w:val="both"/>
        <w:rPr>
          <w:rFonts w:ascii="Times New Roman" w:hAnsi="Times New Roman" w:cs="Times New Roman"/>
        </w:rPr>
      </w:pPr>
    </w:p>
    <w:p w14:paraId="60C2EA1C" w14:textId="77777777" w:rsidR="007643C1" w:rsidRDefault="007643C1" w:rsidP="00383CA1">
      <w:pPr>
        <w:spacing w:after="0" w:line="360" w:lineRule="auto"/>
        <w:jc w:val="both"/>
        <w:rPr>
          <w:rFonts w:ascii="Times New Roman" w:hAnsi="Times New Roman" w:cs="Times New Roman"/>
        </w:rPr>
      </w:pPr>
    </w:p>
    <w:p w14:paraId="7113F541" w14:textId="77777777" w:rsidR="007643C1" w:rsidRDefault="007643C1" w:rsidP="00383CA1">
      <w:pPr>
        <w:spacing w:after="0" w:line="360" w:lineRule="auto"/>
        <w:jc w:val="both"/>
        <w:rPr>
          <w:rFonts w:ascii="Times New Roman" w:hAnsi="Times New Roman" w:cs="Times New Roman"/>
        </w:rPr>
      </w:pPr>
    </w:p>
    <w:p w14:paraId="2117B48A" w14:textId="77777777" w:rsidR="007643C1" w:rsidRDefault="007643C1" w:rsidP="00383CA1">
      <w:pPr>
        <w:spacing w:after="0" w:line="360" w:lineRule="auto"/>
        <w:jc w:val="both"/>
        <w:rPr>
          <w:rFonts w:ascii="Times New Roman" w:hAnsi="Times New Roman" w:cs="Times New Roman"/>
        </w:rPr>
      </w:pPr>
    </w:p>
    <w:p w14:paraId="3347568B" w14:textId="77777777" w:rsidR="007643C1" w:rsidRDefault="007643C1" w:rsidP="00383CA1">
      <w:pPr>
        <w:spacing w:after="0" w:line="360" w:lineRule="auto"/>
        <w:jc w:val="both"/>
        <w:rPr>
          <w:rFonts w:ascii="Times New Roman" w:hAnsi="Times New Roman" w:cs="Times New Roman"/>
        </w:rPr>
      </w:pPr>
    </w:p>
    <w:p w14:paraId="09F2FBB9" w14:textId="77777777" w:rsidR="007643C1" w:rsidRDefault="007643C1" w:rsidP="00383CA1">
      <w:pPr>
        <w:spacing w:after="0" w:line="360" w:lineRule="auto"/>
        <w:jc w:val="both"/>
        <w:rPr>
          <w:rFonts w:ascii="Times New Roman" w:hAnsi="Times New Roman" w:cs="Times New Roman"/>
        </w:rPr>
      </w:pPr>
    </w:p>
    <w:p w14:paraId="74165629" w14:textId="77777777" w:rsidR="007643C1" w:rsidRDefault="007643C1" w:rsidP="00383CA1">
      <w:pPr>
        <w:spacing w:after="0" w:line="360" w:lineRule="auto"/>
        <w:jc w:val="both"/>
        <w:rPr>
          <w:rFonts w:ascii="Times New Roman" w:hAnsi="Times New Roman" w:cs="Times New Roman"/>
        </w:rPr>
      </w:pPr>
    </w:p>
    <w:p w14:paraId="15A46698" w14:textId="77777777" w:rsidR="007643C1" w:rsidRDefault="007643C1" w:rsidP="00383CA1">
      <w:pPr>
        <w:spacing w:after="0" w:line="360" w:lineRule="auto"/>
        <w:jc w:val="both"/>
        <w:rPr>
          <w:rFonts w:ascii="Times New Roman" w:hAnsi="Times New Roman" w:cs="Times New Roman"/>
        </w:rPr>
      </w:pPr>
    </w:p>
    <w:p w14:paraId="32A884EA" w14:textId="77777777" w:rsidR="007643C1" w:rsidRDefault="007643C1" w:rsidP="00383CA1">
      <w:pPr>
        <w:spacing w:after="0" w:line="360" w:lineRule="auto"/>
        <w:jc w:val="both"/>
        <w:rPr>
          <w:rFonts w:ascii="Times New Roman" w:hAnsi="Times New Roman" w:cs="Times New Roman"/>
        </w:rPr>
      </w:pPr>
    </w:p>
    <w:p w14:paraId="20D31F37" w14:textId="77777777" w:rsidR="002538F5" w:rsidRDefault="002538F5" w:rsidP="00383CA1">
      <w:pPr>
        <w:spacing w:after="0" w:line="360" w:lineRule="auto"/>
        <w:jc w:val="both"/>
        <w:rPr>
          <w:rFonts w:ascii="Times New Roman" w:hAnsi="Times New Roman" w:cs="Times New Roman"/>
        </w:rPr>
      </w:pPr>
    </w:p>
    <w:p w14:paraId="54C6DFEA" w14:textId="5724F56C" w:rsidR="002538F5" w:rsidRDefault="002538F5" w:rsidP="002538F5">
      <w:pPr>
        <w:pStyle w:val="Heading1"/>
      </w:pPr>
      <w:r>
        <w:t>References</w:t>
      </w:r>
    </w:p>
    <w:p w14:paraId="18C258F9" w14:textId="3E56C57D"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fldChar w:fldCharType="begin"/>
      </w:r>
      <w:r w:rsidRPr="002538F5">
        <w:rPr>
          <w:rFonts w:ascii="Times New Roman" w:hAnsi="Times New Roman" w:cs="Times New Roman"/>
        </w:rPr>
        <w:instrText xml:space="preserve"> ADDIN ZOTERO_BIBL {"uncited":[],"omitted":[],"custom":[]} CSL_BIBLIOGRAPHY </w:instrText>
      </w:r>
      <w:r w:rsidRPr="002538F5">
        <w:rPr>
          <w:rFonts w:ascii="Times New Roman" w:hAnsi="Times New Roman" w:cs="Times New Roman"/>
        </w:rPr>
        <w:fldChar w:fldCharType="separate"/>
      </w:r>
      <w:r w:rsidRPr="002538F5">
        <w:rPr>
          <w:rFonts w:ascii="Times New Roman" w:hAnsi="Times New Roman" w:cs="Times New Roman"/>
        </w:rPr>
        <w:t xml:space="preserve">Dinah Amongin &amp; Lenka Benova. (2020). Trends and determinants of adolescent childbirth in Uganda: analysis of rural and urban women using six Demographic and Health Surveys, 1988–2016 | Reproductive Health | Springer Nature Link. </w:t>
      </w:r>
      <w:r w:rsidRPr="002538F5">
        <w:rPr>
          <w:rFonts w:ascii="Times New Roman" w:hAnsi="Times New Roman" w:cs="Times New Roman"/>
        </w:rPr>
        <w:lastRenderedPageBreak/>
        <w:t>https://link.springer.com/article/10.1186/s12978-020-00925-8?utm_source=chatgpt.com</w:t>
      </w:r>
    </w:p>
    <w:p w14:paraId="72DC1089" w14:textId="42BEC15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Kabiru, C. W., Munthali, A., Sawadogo, N., Ajayi, A. I., Asego, C., Ilboudo, P. G., Khisa, A. M., Kimemia, G., Maina, B., Mangwana, J., Mbuthia, M., Ouedraogo, R., Thakwalakwa, C., Wanambwa, D., Tapsoba, A., &amp; Alfonso, W. O. T. (2023). Effectiveness of conditional cash transfers, subsidized child care, and life skills training on adolescent mothers' schooling, sexual and reproductive health, and mental health outcomes in Burkina Faso and Malawi: The PROMOTE Project pilot randomized controlled trial protocol. Reproductive Health, 20, 166. https://doi.org/10.1186/s12978-023-01706-9</w:t>
      </w:r>
    </w:p>
    <w:p w14:paraId="7F734DEE"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Maharaj, N. R. (2022). Adolescent pregnancy in sub-Saharan Africa – a cause for concern. Frontiers in Reproductive Health, 4. https://doi.org/10.3389/frph.2022.984303</w:t>
      </w:r>
    </w:p>
    <w:p w14:paraId="05818E8A" w14:textId="7676DF80"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Sabir Musa. (2025). High Rate of Child Marriage, Teenage Pregnancy Worries Yumbe District Leaders : Uganda Radio Network. https://ugandaradionetwork.net/story/high-rate-of-child-marriage-teenage-pregnancy-worries-yumbe-district-leaders</w:t>
      </w:r>
    </w:p>
    <w:p w14:paraId="5645E6F9"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Siddiqi, M., &amp; Innocenti, U. (2024). UNICEF Innocenti—Global Office of Research and Foresight.</w:t>
      </w:r>
    </w:p>
    <w:p w14:paraId="52BACA0E" w14:textId="4969384C"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Ssebwami, L., Kato, I. P., Jagwe, D., Bahatungire, R., Zimula, J., Okullo, R., Opeto, M., Oburu, G. O., Tibwita, F., Bagonza, N., &amp; Oryem, J. (2026). Determinants and outcomes of teenage pregnancy in Uganda: A case study of Hoima. International Journal of Reproduction, Contraception, Obstetrics and Gynecology, 15(3), 833–838. https://doi.org/10.18203/2320-1770.ijrcog20260536</w:t>
      </w:r>
    </w:p>
    <w:p w14:paraId="62E64EA1" w14:textId="24A1BD7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 Women. (2025). Breaking the Cycle: Combating Teenage Pregnancies and Child Marriages in Uganda. UN Women – Africa. https://africa.unwomen.org/en/digital-library/publications/2025/11/breaking-the-cycle-combating-teenage-pregnancies-and-child-marriages-in-uganda</w:t>
      </w:r>
    </w:p>
    <w:p w14:paraId="386364A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UNICEF. (2022). The National Strategy to End Child Marriage and Teenage Pregnancy 2022/2023 – 2026/2027 | UNICEF Uganda. https://www.unicef.org/uganda/reports/national-strategy-end-child-marriage-and-teenage-pregnancy-20222023-20262027?utm_source=chatgpt.com</w:t>
      </w:r>
    </w:p>
    <w:p w14:paraId="58187524"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UNICEF. (2025). ENDING CHILD MARRIAGE  IN UGANDA.</w:t>
      </w:r>
    </w:p>
    <w:p w14:paraId="3D52BB3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 xml:space="preserve">Wasswa, R., Kabagenyi, A., Kananura, R. M., Jehopio, J., &amp; Rutaremwa, G. (2021). Determinants of change in the inequality and associated predictors of teenage pregnancy in Uganda for the period 2006-2016: Analysis of the Uganda Demographic </w:t>
      </w:r>
      <w:r w:rsidRPr="002538F5">
        <w:rPr>
          <w:rFonts w:ascii="Times New Roman" w:hAnsi="Times New Roman" w:cs="Times New Roman"/>
        </w:rPr>
        <w:lastRenderedPageBreak/>
        <w:t>and Health Surveys. BMJ Open, 11(11), e053264. https://doi.org/10.1136/bmjopen-2021-053264</w:t>
      </w:r>
    </w:p>
    <w:p w14:paraId="29E45431"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(2024). Adolescent pregnancy. https://www.who.int/news-room/fact-sheets/detail/adolescent-pregnancy</w:t>
      </w:r>
    </w:p>
    <w:p w14:paraId="377EAC46"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(2025). Sexual and Reproductive Health and Research (SRH). https://www.who.int/teams/sexual-and-reproductive-health-and-research-%28srh%29/areas-of-work/adolescent-and-sexual-and-reproductive-health-and-rights?utm_source=chatgpt.com</w:t>
      </w:r>
    </w:p>
    <w:p w14:paraId="60CE92F7" w14:textId="3377BE75" w:rsidR="002538F5" w:rsidRPr="002538F5" w:rsidRDefault="002538F5" w:rsidP="002538F5">
      <w:pPr>
        <w:spacing w:after="0" w:line="360" w:lineRule="auto"/>
        <w:jc w:val="both"/>
        <w:rPr>
          <w:rFonts w:ascii="Times New Roman" w:hAnsi="Times New Roman" w:cs="Times New Roman"/>
        </w:rPr>
      </w:pPr>
      <w:r w:rsidRPr="002538F5">
        <w:rPr>
          <w:rFonts w:ascii="Times New Roman" w:hAnsi="Times New Roman" w:cs="Times New Roman"/>
        </w:rPr>
        <w:fldChar w:fldCharType="end"/>
      </w:r>
    </w:p>
    <w:p w14:paraId="12C95E73" w14:textId="77777777" w:rsidR="00383CA1" w:rsidRPr="00383CA1" w:rsidRDefault="00383CA1" w:rsidP="00383CA1">
      <w:pPr>
        <w:jc w:val="both"/>
        <w:rPr>
          <w:rFonts w:ascii="Times New Roman" w:hAnsi="Times New Roman" w:cs="Times New Roman"/>
        </w:rPr>
      </w:pPr>
    </w:p>
    <w:sectPr w:rsidR="00383CA1" w:rsidRPr="00383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9D"/>
    <w:multiLevelType w:val="hybridMultilevel"/>
    <w:tmpl w:val="C406C048"/>
    <w:lvl w:ilvl="0" w:tplc="6CDCAD02">
      <w:start w:val="1"/>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8B7109"/>
    <w:multiLevelType w:val="multilevel"/>
    <w:tmpl w:val="82404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A21AD"/>
    <w:multiLevelType w:val="hybridMultilevel"/>
    <w:tmpl w:val="CBD664A8"/>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70D152F1"/>
    <w:multiLevelType w:val="multilevel"/>
    <w:tmpl w:val="6E6E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21582"/>
    <w:multiLevelType w:val="multilevel"/>
    <w:tmpl w:val="86F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517842">
    <w:abstractNumId w:val="3"/>
  </w:num>
  <w:num w:numId="2" w16cid:durableId="605774199">
    <w:abstractNumId w:val="2"/>
  </w:num>
  <w:num w:numId="3" w16cid:durableId="2082679688">
    <w:abstractNumId w:val="0"/>
  </w:num>
  <w:num w:numId="4" w16cid:durableId="489565946">
    <w:abstractNumId w:val="4"/>
  </w:num>
  <w:num w:numId="5" w16cid:durableId="155407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TGwNLS0NDA2NDFX0lEKTi0uzszPAykwrAUAOFtBBywAAAA="/>
  </w:docVars>
  <w:rsids>
    <w:rsidRoot w:val="00383CA1"/>
    <w:rsid w:val="000F5747"/>
    <w:rsid w:val="002538F5"/>
    <w:rsid w:val="003649B7"/>
    <w:rsid w:val="00383CA1"/>
    <w:rsid w:val="005E5315"/>
    <w:rsid w:val="007643C1"/>
    <w:rsid w:val="008710C1"/>
    <w:rsid w:val="00A20064"/>
    <w:rsid w:val="00CD3BB6"/>
    <w:rsid w:val="00DA6CD9"/>
    <w:rsid w:val="00E329BD"/>
    <w:rsid w:val="00F0792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204E"/>
  <w15:chartTrackingRefBased/>
  <w15:docId w15:val="{905CE192-06C5-42D5-B867-9C61A497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A1"/>
    <w:pPr>
      <w:keepNext/>
      <w:keepLines/>
      <w:spacing w:before="360" w:after="80"/>
      <w:outlineLvl w:val="0"/>
    </w:pPr>
    <w:rPr>
      <w:rFonts w:ascii="Times New Roman" w:eastAsiaTheme="majorEastAsia" w:hAnsi="Times New Roman" w:cstheme="majorBidi"/>
      <w:b/>
      <w:color w:val="2F5496" w:themeColor="accent1" w:themeShade="BF"/>
      <w:szCs w:val="40"/>
    </w:rPr>
  </w:style>
  <w:style w:type="paragraph" w:styleId="Heading2">
    <w:name w:val="heading 2"/>
    <w:basedOn w:val="Normal"/>
    <w:next w:val="Normal"/>
    <w:link w:val="Heading2Char"/>
    <w:uiPriority w:val="9"/>
    <w:unhideWhenUsed/>
    <w:qFormat/>
    <w:rsid w:val="00383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3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A1"/>
    <w:rPr>
      <w:rFonts w:ascii="Times New Roman" w:eastAsiaTheme="majorEastAsia" w:hAnsi="Times New Roman" w:cstheme="majorBidi"/>
      <w:b/>
      <w:color w:val="2F5496" w:themeColor="accent1" w:themeShade="BF"/>
      <w:szCs w:val="40"/>
    </w:rPr>
  </w:style>
  <w:style w:type="character" w:customStyle="1" w:styleId="Heading2Char">
    <w:name w:val="Heading 2 Char"/>
    <w:basedOn w:val="DefaultParagraphFont"/>
    <w:link w:val="Heading2"/>
    <w:uiPriority w:val="9"/>
    <w:rsid w:val="00383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3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A1"/>
    <w:rPr>
      <w:rFonts w:eastAsiaTheme="majorEastAsia" w:cstheme="majorBidi"/>
      <w:color w:val="272727" w:themeColor="text1" w:themeTint="D8"/>
    </w:rPr>
  </w:style>
  <w:style w:type="paragraph" w:styleId="Title">
    <w:name w:val="Title"/>
    <w:basedOn w:val="Normal"/>
    <w:next w:val="Normal"/>
    <w:link w:val="TitleChar"/>
    <w:uiPriority w:val="10"/>
    <w:qFormat/>
    <w:rsid w:val="00383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A1"/>
    <w:pPr>
      <w:spacing w:before="160"/>
      <w:jc w:val="center"/>
    </w:pPr>
    <w:rPr>
      <w:i/>
      <w:iCs/>
      <w:color w:val="404040" w:themeColor="text1" w:themeTint="BF"/>
    </w:rPr>
  </w:style>
  <w:style w:type="character" w:customStyle="1" w:styleId="QuoteChar">
    <w:name w:val="Quote Char"/>
    <w:basedOn w:val="DefaultParagraphFont"/>
    <w:link w:val="Quote"/>
    <w:uiPriority w:val="29"/>
    <w:rsid w:val="00383CA1"/>
    <w:rPr>
      <w:i/>
      <w:iCs/>
      <w:color w:val="404040" w:themeColor="text1" w:themeTint="BF"/>
    </w:rPr>
  </w:style>
  <w:style w:type="paragraph" w:styleId="ListParagraph">
    <w:name w:val="List Paragraph"/>
    <w:basedOn w:val="Normal"/>
    <w:uiPriority w:val="34"/>
    <w:qFormat/>
    <w:rsid w:val="00383CA1"/>
    <w:pPr>
      <w:ind w:left="720"/>
      <w:contextualSpacing/>
    </w:pPr>
  </w:style>
  <w:style w:type="character" w:styleId="IntenseEmphasis">
    <w:name w:val="Intense Emphasis"/>
    <w:basedOn w:val="DefaultParagraphFont"/>
    <w:uiPriority w:val="21"/>
    <w:qFormat/>
    <w:rsid w:val="00383CA1"/>
    <w:rPr>
      <w:i/>
      <w:iCs/>
      <w:color w:val="2F5496" w:themeColor="accent1" w:themeShade="BF"/>
    </w:rPr>
  </w:style>
  <w:style w:type="paragraph" w:styleId="IntenseQuote">
    <w:name w:val="Intense Quote"/>
    <w:basedOn w:val="Normal"/>
    <w:next w:val="Normal"/>
    <w:link w:val="IntenseQuoteChar"/>
    <w:uiPriority w:val="30"/>
    <w:qFormat/>
    <w:rsid w:val="00383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A1"/>
    <w:rPr>
      <w:i/>
      <w:iCs/>
      <w:color w:val="2F5496" w:themeColor="accent1" w:themeShade="BF"/>
    </w:rPr>
  </w:style>
  <w:style w:type="character" w:styleId="IntenseReference">
    <w:name w:val="Intense Reference"/>
    <w:basedOn w:val="DefaultParagraphFont"/>
    <w:uiPriority w:val="32"/>
    <w:qFormat/>
    <w:rsid w:val="00383CA1"/>
    <w:rPr>
      <w:b/>
      <w:bCs/>
      <w:smallCaps/>
      <w:color w:val="2F5496" w:themeColor="accent1" w:themeShade="BF"/>
      <w:spacing w:val="5"/>
    </w:rPr>
  </w:style>
  <w:style w:type="paragraph" w:customStyle="1" w:styleId="ds-markdown-paragraph">
    <w:name w:val="ds-markdown-paragraph"/>
    <w:basedOn w:val="Normal"/>
    <w:rsid w:val="00383C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3CA1"/>
    <w:rPr>
      <w:b/>
      <w:bCs/>
    </w:rPr>
  </w:style>
  <w:style w:type="character" w:styleId="Emphasis">
    <w:name w:val="Emphasis"/>
    <w:basedOn w:val="DefaultParagraphFont"/>
    <w:uiPriority w:val="20"/>
    <w:qFormat/>
    <w:rsid w:val="00383CA1"/>
    <w:rPr>
      <w:i/>
      <w:iCs/>
    </w:rPr>
  </w:style>
  <w:style w:type="table" w:styleId="TableGrid">
    <w:name w:val="Table Grid"/>
    <w:basedOn w:val="TableNormal"/>
    <w:uiPriority w:val="39"/>
    <w:rsid w:val="0038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38F5"/>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2538F5"/>
    <w:pPr>
      <w:spacing w:after="0" w:line="480" w:lineRule="auto"/>
      <w:ind w:left="720" w:hanging="720"/>
    </w:pPr>
  </w:style>
  <w:style w:type="character" w:customStyle="1" w:styleId="dq">
    <w:name w:val="dq"/>
    <w:basedOn w:val="DefaultParagraphFont"/>
    <w:rsid w:val="005E5315"/>
  </w:style>
  <w:style w:type="character" w:styleId="Hyperlink">
    <w:name w:val="Hyperlink"/>
    <w:basedOn w:val="DefaultParagraphFont"/>
    <w:uiPriority w:val="99"/>
    <w:unhideWhenUsed/>
    <w:rsid w:val="007643C1"/>
    <w:rPr>
      <w:color w:val="0563C1" w:themeColor="hyperlink"/>
      <w:u w:val="single"/>
    </w:rPr>
  </w:style>
  <w:style w:type="character" w:styleId="UnresolvedMention">
    <w:name w:val="Unresolved Mention"/>
    <w:basedOn w:val="DefaultParagraphFont"/>
    <w:uiPriority w:val="99"/>
    <w:semiHidden/>
    <w:unhideWhenUsed/>
    <w:rsid w:val="007643C1"/>
    <w:rPr>
      <w:color w:val="605E5C"/>
      <w:shd w:val="clear" w:color="auto" w:fill="E1DFDD"/>
    </w:rPr>
  </w:style>
  <w:style w:type="paragraph" w:styleId="NormalWeb">
    <w:name w:val="Normal (Web)"/>
    <w:basedOn w:val="Normal"/>
    <w:uiPriority w:val="99"/>
    <w:unhideWhenUsed/>
    <w:rsid w:val="007643C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643C1"/>
    <w:rPr>
      <w:rFonts w:ascii="Courier New" w:eastAsia="Times New Roman" w:hAnsi="Courier New" w:cs="Courier New"/>
      <w:kern w:val="0"/>
      <w:sz w:val="20"/>
      <w:szCs w:val="2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75B-2985-452E-A893-ADB4A11B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8940</Words>
  <Characters>50960</Characters>
  <Application>Microsoft Office Word</Application>
  <DocSecurity>0</DocSecurity>
  <Lines>424</Lines>
  <Paragraphs>119</Paragraphs>
  <ScaleCrop>false</ScaleCrop>
  <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Taban Dalili</dc:creator>
  <cp:keywords/>
  <dc:description/>
  <cp:lastModifiedBy>theaisha1707@gmail.com</cp:lastModifiedBy>
  <cp:revision>5</cp:revision>
  <dcterms:created xsi:type="dcterms:W3CDTF">2026-04-14T12:41:00Z</dcterms:created>
  <dcterms:modified xsi:type="dcterms:W3CDTF">2026-04-20T06:05:00Z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2432df4e-2b66-407f-b2c1-b9cda839856f</vt:lpwstr>
  </property>
  <property fmtid="{D5CDD505-2E9C-101B-9397-08002B2CF9AE}" pid="3" name="ZOTERO_PREF_1">
    <vt:lpwstr>&lt;data data-version="3" zotero-version="7.0.32"&gt;&lt;session id="PU87igDh"/&gt;&lt;style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