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539F7" w14:textId="59DDA5AD" w:rsidR="00383CA1" w:rsidRPr="00383CA1" w:rsidRDefault="00383CA1" w:rsidP="00383CA1">
      <w:pPr>
        <w:spacing w:after="0" w:line="360" w:lineRule="auto"/>
        <w:jc w:val="center"/>
        <w:rPr>
          <w:rFonts w:ascii="Times New Roman" w:hAnsi="Times New Roman" w:cs="Times New Roman"/>
          <w:b/>
          <w:bCs/>
        </w:rPr>
      </w:pPr>
      <w:r w:rsidRPr="00383CA1">
        <w:rPr>
          <w:rFonts w:ascii="Times New Roman" w:hAnsi="Times New Roman" w:cs="Times New Roman"/>
          <w:b/>
          <w:bCs/>
        </w:rPr>
        <w:t>Factors Influencing Teenage Pregnancy in Odravu Sub-County, Yumbe District,</w:t>
      </w:r>
    </w:p>
    <w:p w14:paraId="50B395DA" w14:textId="307639A4" w:rsidR="00383CA1" w:rsidRDefault="00383CA1" w:rsidP="00383CA1">
      <w:pPr>
        <w:spacing w:after="0" w:line="360" w:lineRule="auto"/>
        <w:jc w:val="center"/>
        <w:rPr>
          <w:rFonts w:ascii="Times New Roman" w:hAnsi="Times New Roman" w:cs="Times New Roman"/>
          <w:b/>
          <w:bCs/>
        </w:rPr>
      </w:pPr>
      <w:r w:rsidRPr="00383CA1">
        <w:rPr>
          <w:rFonts w:ascii="Times New Roman" w:hAnsi="Times New Roman" w:cs="Times New Roman"/>
          <w:b/>
          <w:bCs/>
        </w:rPr>
        <w:t>Northern Uganda.</w:t>
      </w:r>
    </w:p>
    <w:p w14:paraId="0713E5A1" w14:textId="77777777" w:rsidR="00383CA1" w:rsidRPr="00383CA1" w:rsidRDefault="00383CA1" w:rsidP="00383CA1">
      <w:pPr>
        <w:spacing w:after="0" w:line="360" w:lineRule="auto"/>
        <w:jc w:val="center"/>
        <w:rPr>
          <w:rFonts w:ascii="Times New Roman" w:hAnsi="Times New Roman" w:cs="Times New Roman"/>
          <w:b/>
          <w:bCs/>
        </w:rPr>
      </w:pPr>
    </w:p>
    <w:p w14:paraId="505A30D1" w14:textId="77777777" w:rsidR="00383CA1" w:rsidRDefault="00383CA1" w:rsidP="00383CA1">
      <w:pPr>
        <w:spacing w:after="0" w:line="360" w:lineRule="auto"/>
        <w:jc w:val="both"/>
        <w:rPr>
          <w:rFonts w:ascii="Times New Roman" w:hAnsi="Times New Roman" w:cs="Times New Roman"/>
          <w:i/>
          <w:iCs/>
        </w:rPr>
      </w:pPr>
    </w:p>
    <w:p w14:paraId="714A6F40" w14:textId="4A2B2F8B" w:rsidR="00383CA1" w:rsidRPr="00383CA1" w:rsidRDefault="00383CA1" w:rsidP="00383CA1">
      <w:pPr>
        <w:spacing w:after="0" w:line="360" w:lineRule="auto"/>
        <w:jc w:val="both"/>
        <w:rPr>
          <w:rFonts w:ascii="Times New Roman" w:hAnsi="Times New Roman" w:cs="Times New Roman"/>
        </w:rPr>
      </w:pPr>
    </w:p>
    <w:p w14:paraId="764E497F" w14:textId="5F8FC976" w:rsidR="00383CA1" w:rsidRPr="00383CA1" w:rsidRDefault="00383CA1" w:rsidP="00383CA1">
      <w:pPr>
        <w:spacing w:after="0" w:line="360" w:lineRule="auto"/>
        <w:jc w:val="both"/>
        <w:rPr>
          <w:rFonts w:ascii="Times New Roman" w:hAnsi="Times New Roman" w:cs="Times New Roman"/>
        </w:rPr>
      </w:pPr>
    </w:p>
    <w:p w14:paraId="346690C9" w14:textId="77777777" w:rsidR="00383CA1" w:rsidRPr="002538F5" w:rsidRDefault="00383CA1" w:rsidP="002538F5">
      <w:pPr>
        <w:pStyle w:val="Heading1"/>
        <w:spacing w:before="0" w:after="0" w:line="360" w:lineRule="auto"/>
        <w:rPr>
          <w:rFonts w:cs="Times New Roman"/>
          <w:szCs w:val="24"/>
        </w:rPr>
      </w:pPr>
      <w:r w:rsidRPr="002538F5">
        <w:rPr>
          <w:rFonts w:cs="Times New Roman"/>
          <w:szCs w:val="24"/>
        </w:rPr>
        <w:t>Abstract</w:t>
      </w:r>
    </w:p>
    <w:p w14:paraId="5DCD4E67" w14:textId="63A3326C" w:rsidR="00383CA1" w:rsidRPr="00383CA1" w:rsidRDefault="00383CA1" w:rsidP="002538F5">
      <w:pPr>
        <w:spacing w:after="0" w:line="360" w:lineRule="auto"/>
        <w:jc w:val="both"/>
        <w:rPr>
          <w:rFonts w:ascii="Times New Roman" w:hAnsi="Times New Roman" w:cs="Times New Roman"/>
        </w:rPr>
      </w:pPr>
      <w:r w:rsidRPr="002538F5">
        <w:rPr>
          <w:rFonts w:ascii="Times New Roman" w:hAnsi="Times New Roman" w:cs="Times New Roman"/>
          <w:b/>
          <w:bCs/>
        </w:rPr>
        <w:t>Introduction</w:t>
      </w:r>
      <w:r w:rsidRPr="00383CA1">
        <w:rPr>
          <w:rFonts w:ascii="Times New Roman" w:hAnsi="Times New Roman" w:cs="Times New Roman"/>
          <w:b/>
          <w:bCs/>
        </w:rPr>
        <w:t>: </w:t>
      </w:r>
      <w:r w:rsidRPr="00383CA1">
        <w:rPr>
          <w:rFonts w:ascii="Times New Roman" w:hAnsi="Times New Roman" w:cs="Times New Roman"/>
        </w:rPr>
        <w:t>Teenage pregnancy is a critical public health and social welfare challenge in Uganda, perpetuating cycles of poverty and gender inequality. Odravu Sub-County in Yumbe District reports high rates, yet context-specific evidence for social work intervention is limited. This study investigated the sociodemographic, economic, and cultural factors influencing teenage pregnancy in this region.</w:t>
      </w:r>
    </w:p>
    <w:p w14:paraId="2845A806" w14:textId="5B697F3A" w:rsidR="00383CA1" w:rsidRPr="00383CA1" w:rsidRDefault="00383CA1" w:rsidP="002538F5">
      <w:pPr>
        <w:spacing w:after="0" w:line="360" w:lineRule="auto"/>
        <w:jc w:val="both"/>
        <w:rPr>
          <w:rFonts w:ascii="Times New Roman" w:hAnsi="Times New Roman" w:cs="Times New Roman"/>
        </w:rPr>
      </w:pPr>
      <w:r w:rsidRPr="00383CA1">
        <w:rPr>
          <w:rFonts w:ascii="Times New Roman" w:hAnsi="Times New Roman" w:cs="Times New Roman"/>
          <w:b/>
          <w:bCs/>
        </w:rPr>
        <w:t>Methods: </w:t>
      </w:r>
      <w:r w:rsidRPr="00383CA1">
        <w:rPr>
          <w:rFonts w:ascii="Times New Roman" w:hAnsi="Times New Roman" w:cs="Times New Roman"/>
        </w:rPr>
        <w:t>A community-based cross-sectional study was conducted among 346 teenage girls aged 15-19 in Odravu Sub-County. A structured questionnaire was administered through face-to-face interviews. Data analysis included descriptive statistics, Pearson</w:t>
      </w:r>
      <w:r w:rsidRPr="002538F5">
        <w:rPr>
          <w:rFonts w:ascii="Times New Roman" w:hAnsi="Times New Roman" w:cs="Times New Roman"/>
        </w:rPr>
        <w:t>'</w:t>
      </w:r>
      <w:r w:rsidRPr="00383CA1">
        <w:rPr>
          <w:rFonts w:ascii="Times New Roman" w:hAnsi="Times New Roman" w:cs="Times New Roman"/>
        </w:rPr>
        <w:t>s correlation, and multiple logistic regression.</w:t>
      </w:r>
    </w:p>
    <w:p w14:paraId="134BC985" w14:textId="175CC8A2" w:rsidR="00383CA1" w:rsidRPr="00383CA1" w:rsidRDefault="00383CA1" w:rsidP="002538F5">
      <w:pPr>
        <w:spacing w:after="0" w:line="360" w:lineRule="auto"/>
        <w:jc w:val="both"/>
        <w:rPr>
          <w:rFonts w:ascii="Times New Roman" w:hAnsi="Times New Roman" w:cs="Times New Roman"/>
        </w:rPr>
      </w:pPr>
      <w:r w:rsidRPr="00383CA1">
        <w:rPr>
          <w:rFonts w:ascii="Times New Roman" w:hAnsi="Times New Roman" w:cs="Times New Roman"/>
          <w:b/>
          <w:bCs/>
        </w:rPr>
        <w:t>Findings:</w:t>
      </w:r>
      <w:r w:rsidRPr="00383CA1">
        <w:rPr>
          <w:rFonts w:ascii="Times New Roman" w:hAnsi="Times New Roman" w:cs="Times New Roman"/>
        </w:rPr>
        <w:t> The prevalence of teenage pregnancy was 57.5%. Logistic regression identified marital status as the strongest predictor (AOR=6.312, p&lt;0.001), followed by cultural support for early marriage (AOR=1.809, p&lt;0.001) and household poverty (AOR=1.570, p&lt;0.001). Higher education was protective (</w:t>
      </w:r>
      <w:r w:rsidR="007643C1">
        <w:rPr>
          <w:rFonts w:ascii="Times New Roman" w:hAnsi="Times New Roman" w:cs="Times New Roman"/>
        </w:rPr>
        <w:t>AOR = 0.750, p = 0.002</w:t>
      </w:r>
      <w:r w:rsidRPr="00383CA1">
        <w:rPr>
          <w:rFonts w:ascii="Times New Roman" w:hAnsi="Times New Roman" w:cs="Times New Roman"/>
        </w:rPr>
        <w:t>). Over 80% of respondents cited poverty and early marriage as the primary reasons for pregnancy.</w:t>
      </w:r>
    </w:p>
    <w:p w14:paraId="5D7EB6E6" w14:textId="0454746B" w:rsidR="00383CA1" w:rsidRPr="00383CA1" w:rsidRDefault="00383CA1" w:rsidP="002538F5">
      <w:pPr>
        <w:spacing w:after="0" w:line="360" w:lineRule="auto"/>
        <w:jc w:val="both"/>
        <w:rPr>
          <w:rFonts w:ascii="Times New Roman" w:hAnsi="Times New Roman" w:cs="Times New Roman"/>
        </w:rPr>
      </w:pPr>
      <w:r w:rsidRPr="00383CA1">
        <w:rPr>
          <w:rFonts w:ascii="Times New Roman" w:hAnsi="Times New Roman" w:cs="Times New Roman"/>
          <w:b/>
          <w:bCs/>
        </w:rPr>
        <w:t>Conclusion:</w:t>
      </w:r>
      <w:r w:rsidRPr="00383CA1">
        <w:rPr>
          <w:rFonts w:ascii="Times New Roman" w:hAnsi="Times New Roman" w:cs="Times New Roman"/>
        </w:rPr>
        <w:t> Teenage pregnancy in this context is driven by a vicious cycle of early marriage, economic deprivation, and low female education. Social work interventions must move beyond individual health education to address systemic factors, including enforc</w:t>
      </w:r>
      <w:r w:rsidRPr="002538F5">
        <w:rPr>
          <w:rFonts w:ascii="Times New Roman" w:hAnsi="Times New Roman" w:cs="Times New Roman"/>
        </w:rPr>
        <w:t>ing marriage laws, empowering girls economically, and transforming gender norms within communitie</w:t>
      </w:r>
      <w:r w:rsidRPr="00383CA1">
        <w:rPr>
          <w:rFonts w:ascii="Times New Roman" w:hAnsi="Times New Roman" w:cs="Times New Roman"/>
        </w:rPr>
        <w:t>s.</w:t>
      </w:r>
    </w:p>
    <w:p w14:paraId="613B8F9C" w14:textId="77777777" w:rsidR="00383CA1" w:rsidRPr="00383CA1" w:rsidRDefault="00383CA1" w:rsidP="002538F5">
      <w:pPr>
        <w:spacing w:after="0" w:line="360" w:lineRule="auto"/>
        <w:jc w:val="both"/>
        <w:rPr>
          <w:rFonts w:ascii="Times New Roman" w:hAnsi="Times New Roman" w:cs="Times New Roman"/>
        </w:rPr>
      </w:pPr>
      <w:r w:rsidRPr="00383CA1">
        <w:rPr>
          <w:rFonts w:ascii="Times New Roman" w:hAnsi="Times New Roman" w:cs="Times New Roman"/>
        </w:rPr>
        <w:t>Keywords: </w:t>
      </w:r>
      <w:r w:rsidRPr="00383CA1">
        <w:rPr>
          <w:rFonts w:ascii="Times New Roman" w:hAnsi="Times New Roman" w:cs="Times New Roman"/>
          <w:b/>
          <w:bCs/>
        </w:rPr>
        <w:t>Teenage Pregnancy, Child Marriage, Social Work, Uganda, Poverty, Gender Norms</w:t>
      </w:r>
      <w:r w:rsidRPr="00383CA1">
        <w:rPr>
          <w:rFonts w:ascii="Times New Roman" w:hAnsi="Times New Roman" w:cs="Times New Roman"/>
        </w:rPr>
        <w:t>.</w:t>
      </w:r>
    </w:p>
    <w:p w14:paraId="45014FC1" w14:textId="03D6D031" w:rsidR="00383CA1" w:rsidRPr="002538F5" w:rsidRDefault="00383CA1" w:rsidP="002538F5">
      <w:pPr>
        <w:spacing w:after="0" w:line="360" w:lineRule="auto"/>
        <w:jc w:val="both"/>
        <w:rPr>
          <w:rFonts w:ascii="Times New Roman" w:hAnsi="Times New Roman" w:cs="Times New Roman"/>
        </w:rPr>
      </w:pPr>
    </w:p>
    <w:p w14:paraId="045A1F85" w14:textId="77777777" w:rsidR="00383CA1" w:rsidRPr="002538F5" w:rsidRDefault="00383CA1" w:rsidP="002538F5">
      <w:pPr>
        <w:spacing w:after="0" w:line="360" w:lineRule="auto"/>
        <w:jc w:val="both"/>
        <w:rPr>
          <w:rFonts w:ascii="Times New Roman" w:hAnsi="Times New Roman" w:cs="Times New Roman"/>
        </w:rPr>
      </w:pPr>
    </w:p>
    <w:p w14:paraId="5E5D7129" w14:textId="215D0C29" w:rsidR="00383CA1" w:rsidRPr="002538F5" w:rsidRDefault="00383CA1" w:rsidP="002538F5">
      <w:pPr>
        <w:pStyle w:val="Heading1"/>
        <w:spacing w:before="0" w:after="0" w:line="360" w:lineRule="auto"/>
        <w:rPr>
          <w:rFonts w:cs="Times New Roman"/>
          <w:szCs w:val="24"/>
        </w:rPr>
      </w:pPr>
      <w:r w:rsidRPr="002538F5">
        <w:rPr>
          <w:rFonts w:cs="Times New Roman"/>
          <w:szCs w:val="24"/>
        </w:rPr>
        <w:t>1.0 Introduction</w:t>
      </w:r>
    </w:p>
    <w:p w14:paraId="41CB07C3" w14:textId="374CE2E0" w:rsidR="00383CA1" w:rsidRPr="00383CA1" w:rsidRDefault="00383CA1" w:rsidP="002538F5">
      <w:pPr>
        <w:spacing w:after="0" w:line="360" w:lineRule="auto"/>
        <w:jc w:val="both"/>
        <w:rPr>
          <w:rFonts w:ascii="Times New Roman" w:hAnsi="Times New Roman" w:cs="Times New Roman"/>
        </w:rPr>
      </w:pPr>
      <w:r w:rsidRPr="00383CA1">
        <w:rPr>
          <w:rFonts w:ascii="Times New Roman" w:hAnsi="Times New Roman" w:cs="Times New Roman"/>
        </w:rPr>
        <w:t xml:space="preserve">Teenage pregnancy is a significant social justice issue, disproportionately affecting girls in low-resource settings. Defined by the World Health Organization as pregnancy in girls aged 15-19, it is associated with higher risks of maternal mortality, school dropout, and intergenerational poverty </w:t>
      </w:r>
      <w:r w:rsidR="002538F5" w:rsidRPr="002538F5">
        <w:rPr>
          <w:rFonts w:ascii="Times New Roman" w:hAnsi="Times New Roman" w:cs="Times New Roman"/>
        </w:rPr>
        <w:fldChar w:fldCharType="begin"/>
      </w:r>
      <w:r w:rsidR="002538F5" w:rsidRPr="002538F5">
        <w:rPr>
          <w:rFonts w:ascii="Times New Roman" w:hAnsi="Times New Roman" w:cs="Times New Roman"/>
        </w:rPr>
        <w:instrText xml:space="preserve"> ADDIN ZOTERO_ITEM CSL_CITATION {"citationID":"CVPXt6rv","properties":{"formattedCitation":"(WHO, 2024)","plainCitation":"(WHO, 2024)","noteIndex":0},"citationItems":[{"id":1350,"uris":["http://zotero.org/users/17127802/items/RCZ89EW6"],"itemData":{"id":1350,"type":"webpage","abstract":"WHO fact sheet on adolescent pregnancy providing key facts and information on causes, consequences and WHO response.","language":"en","title":"Adolescent pregnancy","URL":"https://www.who.int/news-room/fact-sheets/detail/adolescent-pregnancy","author":[{"literal":"WHO"}],"accessed":{"date-parts":[["2026",4,14]]},"issued":{"date-parts":[["2024"]]}}}],"schema":"https://github.com/citation-style-language/schema/raw/master/csl-citation.json"} </w:instrText>
      </w:r>
      <w:r w:rsidR="002538F5" w:rsidRPr="002538F5">
        <w:rPr>
          <w:rFonts w:ascii="Times New Roman" w:hAnsi="Times New Roman" w:cs="Times New Roman"/>
        </w:rPr>
        <w:fldChar w:fldCharType="separate"/>
      </w:r>
      <w:r w:rsidR="002538F5" w:rsidRPr="002538F5">
        <w:rPr>
          <w:rFonts w:ascii="Times New Roman" w:hAnsi="Times New Roman" w:cs="Times New Roman"/>
        </w:rPr>
        <w:t>(WHO, 2024)</w:t>
      </w:r>
      <w:r w:rsidR="002538F5" w:rsidRPr="002538F5">
        <w:rPr>
          <w:rFonts w:ascii="Times New Roman" w:hAnsi="Times New Roman" w:cs="Times New Roman"/>
        </w:rPr>
        <w:fldChar w:fldCharType="end"/>
      </w:r>
      <w:r w:rsidRPr="00383CA1">
        <w:rPr>
          <w:rFonts w:ascii="Times New Roman" w:hAnsi="Times New Roman" w:cs="Times New Roman"/>
        </w:rPr>
        <w:t xml:space="preserve">. In sub-Saharan Africa, adolescent birth rates remain the highest in the </w:t>
      </w:r>
      <w:r w:rsidRPr="00383CA1">
        <w:rPr>
          <w:rFonts w:ascii="Times New Roman" w:hAnsi="Times New Roman" w:cs="Times New Roman"/>
        </w:rPr>
        <w:lastRenderedPageBreak/>
        <w:t xml:space="preserve">world, driven by a complex interplay of poverty, lack of education, and harmful cultural practices </w:t>
      </w:r>
      <w:r w:rsidR="002538F5" w:rsidRPr="002538F5">
        <w:rPr>
          <w:rFonts w:ascii="Times New Roman" w:hAnsi="Times New Roman" w:cs="Times New Roman"/>
        </w:rPr>
        <w:fldChar w:fldCharType="begin"/>
      </w:r>
      <w:r w:rsidR="002538F5" w:rsidRPr="002538F5">
        <w:rPr>
          <w:rFonts w:ascii="Times New Roman" w:hAnsi="Times New Roman" w:cs="Times New Roman"/>
        </w:rPr>
        <w:instrText xml:space="preserve"> ADDIN ZOTERO_ITEM CSL_CITATION {"citationID":"YUlUT8tx","properties":{"formattedCitation":"(Maharaj, 2022)","plainCitation":"(Maharaj, 2022)","noteIndex":0},"citationItems":[{"id":1352,"uris":["http://zotero.org/users/17127802/items/7JNJ94NG"],"itemData":{"id":1352,"type":"article-journal","abstract":"Adolescent pregnancy in sub-Saharan Africa – a cause for concernIt is estimated that adolescent girls in low- and middle-income countries (LMICs) have approximately 21 million pregnancies each year.1 Adolescent pregnancy, which occurs amongst adolescent girls aged between 10-19 years, is associated with various public health concerns and increased risks of maternal mortality, low birthweight, and other severe neonatal complications.2 They also have an unfavourable impact on the mental, physical, and social wellbeing of adolescents, and remain a leading cause of death among adolescent girls globally.2 Although a decline in adolescent birth rates (ABR) has been observed globally, sub-Saharan Africa (SSA) continues to have twice the global average, with over 100 births per 1000 women, in 2021.3 The estimated actual number of births among 15–19-year-olds was 6 114 000 and 332 000 among younger adolescents aged 10–14 years in SSA in 2021.3 Africa has a higher proportion of youth compared to any other continent; and adolescent pregnancy rates are therefore likely to increase further in countries in SSA.4 Adolescent pregnancies are therefore a significant health concern and have been recognised as a key objective in the United Nations Sustainable Development Goals (SDGs).5 The contributing factors for high ABR in SSA are heterogenous and differ amongst countries in SSA. Existing data on the contributing factors for adolescent pregnancies in SSA emanate from country specific studies and collective data is limited. However, a few studies that combined data from single country studies on the determinants of adolescent pregnancy have been conducted.6-8 Collectively, these studies suggest that inter alia, socio economic status, lack of parental communication and support, early marriage, religion, and low educational status of adolescents are contributing factors.Economic, sociocultural, and environmental factors: Poverty is generally considered as an indicator of the economic status of a country. Studies from Ghana9, South Africa10 and Tanzania11 demonstrate the relationship between poverty and coerced sexual relations with older men, as a means for adolescents to meet their basic financial needs. Adolescent girls may also become pregnant intentionally to receive government support grants intended for teenage mothers, without considering the consequences of their actions.12 Nigeria, the country with the largest economy in Africa had an adolescent pregnancy rate of 106 adolescent births per 1000 population in 2021 and shows an increasing trend.13 In South Africa (SA), which has the second largest economy in Africa, the ABR is also high.14 In SA, the lack of adequate reproductive health services and appropriate sexuality education are part of the composite etiology that contributes to increasing ABR’s.15 Between 2017 and 2021, births among girls aged 10 - 14 years and 15-19 years increased in SA by 48.7% and 17.9 % respectively, and are likely to increase.16 In contrast, in Burundi, which has the lowest gross domestic product per capita in Africa,17 the adolescent fertility rate (births per 1,000 women ages 15-19) was 58/1000 compared with the total fertility rate of 5.5/1000 women in that country.18 These comparisons suggest that the economic status of countries in Africa remains part of a composite etiology, which may also include power imbalances, gender-based violence, substance abuse, lack of access to termination of pregnancy services, negative attitudes of caregivers and inadequate reproductive health education. It has also been suggested that lower levels of education may be associated with adolescent pregnancies. In Niger, Mali, and Chad, where the adolescent fertility rates are amongst the highest in the world, the expected years of schooling attained by girls between the ages of 4 and 17 is fewer than seven years.2 On the contrary, other studies suggest that higher levels of education are likely to be associated with a lower likelihood of having a first adolescent pregnancy, particularly in SSA. 4,19 Adolescents with higher levels of education are more likely to delay the onset of sexual relations and marriage; and are more informed about their rights, reproductive health, timing of marriage and pregnancy.20 Child marriages are also implicated as a contributing cause for high ABR’s in SSA, particularly in the Congo and Central Africa.21 The Congo has one of highest rates of child marriage globally, with one in three girls married before age 18 , and 7% married before the age of 15.21 Similarly, other studies have also shown an association between child marriage and adolescent pregnancy in African countries.22,23 Most girls who experience child marriage have low levels of education, live in poor households and often in rural areas, increasing their odds of engaging in behaviours that put them at risk of pregnancy.24 Data also suggests the association of child marriages with first pregnancy among adolescent girls in SSA.25 Pregnancies in these marriages may occur because of pressure from partners or family members to start families earlier or to prove reproductive potential. In most sub-Saharan African countries, adolescent girls may face social pressure to marry and, once married, to have children.4 In parts of South Africa, cultural practices like ‘ukuthwala’ also lead to adolescent pregnancies. This practice involves the arranged marriage of girls below the age 18 mostly to older men, without the bride&amp;#39;s consent.26 This type of marriage is in violation of the country’s national law, as well as regional and international instruments to which this country is a party.26Individual factors: Individual perceptions about abstinence from sexual intercourse, early sexual debut, and negative perceptions about contraceptive usage among adolescents may contribute to adolescent pregnancies. Sexual coercion, low or incorrect use of contraceptives, and low self-esteem have also been suggested as contributing factors. 6-8 Other personal factors may include stigma, fear of negative attitudes from parents and elders in the community and discrimination by healthcare providers. It has been suggested that healthcare providers may not appreciate the fears of adolescents regarding contraception or reproductive health issues, and adolescents themselves may not appreciate comprehensive sexuality education.27 Adolescents may also perceive contraceptive usage as a reserve for married couples, thereby contributing to low contraceptive uptake and resultant pregnancies.27 Additionally, a lack of awareness, misconceptions and poor knowledge about the range and use of contraceptive methods exists amongst some adolescents.28 Alternatively, some adolescents may desire pregnancy despite a suitable knowledge and available access to contraception. Career plans may also be affected, and poorly educated, unemployed and grant dependent youngsters pose an economic burden on the fiscus in the long term.Health related factors: Teenagers may also face challenges in accessing reproductive health care in their communities. In some rural areas, the sparsity of clinics, long distances, and lack of transport may present barriers to access to reproductive health services. Judgemental attitudes of staff, particularly to teenagers seeking contraception or termination of pregnancy services should be avoided. Poor staff attitudes at termination of pregnancy clinics, may drive teenagers to seek ‘back street’ terminations, with potential morbidity and even mortality. The Covid epidemic may have exacerbated the problem further, with resultant school closures and access to contraception and healthcare services being unavailable or restricted during this period. A lock down of recreational, sporting, and other youth activities that keep youngsters occupied may also be a contributing factor. During the Covid period, secondary school girls in rural western Kenya were more likely to be sexually active, less likely to report their first sexual encounter, and reported increased hours of non-school-related work.29 Higher rates of teenage pregnancies were also seen in SA in the past 2 years, possibly in relation to the Covid 19 pandemic.30 Unprotected sex, either consensual or resulting from sexual co-ercion and exploitation, predisposes young girls to contracting sexually transmitted infections and HIV. Evidence shows that adolescent girls and young women have the highest rate of acquisition of HIV currently.31 Most teenage pregnancies are unplanned and often concealed, and not only have a disruptive effect on the schooling trajectory of children, but are also associated with complicated pregnancies, difficult labour, challenges with breastfeeding and issues with the ongoing healthcare of the baby.Mapping the way forward: Bold steps need to be taken and concerted efforts must be made to turn the tide of this trend. There should be a consolidation of efforts from various state and non-state actors to achieve a reduction in ABR’s in SSA and globally. Data from South Asia, Middle East and North Africa indicates that ABR’s dropped by between 75- 80 % by 2019 and continues to show a consistent decline.2 Activities that have proven to be effective in reducing adolescent pregnancy include the implementation of sexual and reproductive health policies, educational and vocational programs, empowerment initiatives, training activities, school retention programs and behaviour change campaigns.32Lessons can also be learnt from other countries which have had some success in reducing their ABR. In the Dominican Republic, a soft skills and vocational youth training program was shown to reduce the probability of teenage pregnancy by about 20 % after implementation.33 In Mexico , the National Strategy for the Prevention of Adolescent Pregnancy (ENAPEA), a multisectoral approach is currently in the process of implementation to curb this phenomenon.34 In Northern Ireland live births from mothers aged 19 and younger dropped in 2020, largely due to progressive improvements in access to contraception and sexual education,35 and in the US the overall birth rate among 15- to 19-year-old girls dropped to half of what it had been in 2008 following various initiatives.36 Similarly, many countries in SSA have developed and implemented national policies and programmes aimed at dealing with adolescent sexual and reproductive health (ASRH), including adolescent pregnancy.37 In Ghana, the adolescent fertility rate declined steadily, and the country has also made progress in decreasing the rates of child marriage and school dropouts of girls.2 One of the key national policies for reducing adolescent pregnancy in Ghana is their Adolescent Health Service Policy and Strategy, which focuses on mainstreaming ASRH information, and gender-sensitive and responsive health services.38 These national policies coexist with programmes which are developed and implemented by both governmental and non-governmental organisations.39 In South Africa, the Department of Basic Education (DBE) has announced their implementation of comprehensive sexuality education (CSE) program in schools, which aims to empower young people with age-appropriate information about the cognitive, emotional, physical and social aspects of sexuality. 40In Uganda, the Ministry of Education published revised guidelines for the prevention and management of teenage pregnancy in school settings, providing a policy to clarify the role of schools in adolescent pregnancies. At least 30 African Union countries now have laws, policies, and strategies in place that protect the rights of pregnant students and adolescent mothers to education. 42 Support grants are seen by some as a double edge sword in preventing teenage pregnancies. Perceptions that some recipients do not utilise the grant in the best interest of their children exist, and therefore need close monitoring by authorities. An alternate approach exists in Columbia, where a conditional cash transfer (CCT) program allows adolescent girls to receive a subsidy if they attended school, complete their school year, and enrol in the following year. This initiative was also effective in reducing pregnancy among adolescents across all grades included in the program.43A paradigm shift is required in the behaviour and attitude amongst teenagers themselves, supported by collective efforts from parents, teachers, healthcare providers and policy makers. Policymakers and community organisations should work in unison to develop and promote adolescent sexual and reproductive health policies and programmes, and emphasis should also be placed on human rights issues and gender empowerment programmes. The attitude of healthcare workers should be supportive rather than judgemental, and separate facilities should be considered for adolescent reproductive health services. Policy development, implementation strategies and quality assurance programmes are necessary to reduce adolescent pregnancies and meet the objectives of the United Nations Sustainable Development Goals (SDGs).5","container-title":"Frontiers in Reproductive Health","DOI":"10.3389/frph.2022.984303","ISSN":"2673-3153","journalAbbreviation":"Front. Reprod. Health","language":"English","publisher":"Frontiers","source":"Frontiers","title":"Adolescent pregnancy in sub-Saharan Africa – a cause for concern","URL":"https://www.frontiersin.org/journals/reproductive-health/articles/10.3389/frph.2022.984303/full","volume":"4","author":[{"family":"Maharaj","given":"Niren Ray"}],"accessed":{"date-parts":[["2026",4,14]]},"issued":{"date-parts":[["2022",12,2]]}}}],"schema":"https://github.com/citation-style-language/schema/raw/master/csl-citation.json"} </w:instrText>
      </w:r>
      <w:r w:rsidR="002538F5" w:rsidRPr="002538F5">
        <w:rPr>
          <w:rFonts w:ascii="Times New Roman" w:hAnsi="Times New Roman" w:cs="Times New Roman"/>
        </w:rPr>
        <w:fldChar w:fldCharType="separate"/>
      </w:r>
      <w:r w:rsidR="002538F5" w:rsidRPr="002538F5">
        <w:rPr>
          <w:rFonts w:ascii="Times New Roman" w:hAnsi="Times New Roman" w:cs="Times New Roman"/>
        </w:rPr>
        <w:t>(Maharaj, 2022)</w:t>
      </w:r>
      <w:r w:rsidR="002538F5" w:rsidRPr="002538F5">
        <w:rPr>
          <w:rFonts w:ascii="Times New Roman" w:hAnsi="Times New Roman" w:cs="Times New Roman"/>
        </w:rPr>
        <w:fldChar w:fldCharType="end"/>
      </w:r>
      <w:r w:rsidRPr="00383CA1">
        <w:rPr>
          <w:rFonts w:ascii="Times New Roman" w:hAnsi="Times New Roman" w:cs="Times New Roman"/>
        </w:rPr>
        <w:t>.</w:t>
      </w:r>
    </w:p>
    <w:p w14:paraId="7E9AA346" w14:textId="50F9CAB8" w:rsidR="00383CA1" w:rsidRPr="00383CA1" w:rsidRDefault="00383CA1" w:rsidP="002538F5">
      <w:pPr>
        <w:spacing w:after="0" w:line="360" w:lineRule="auto"/>
        <w:jc w:val="both"/>
        <w:rPr>
          <w:rFonts w:ascii="Times New Roman" w:hAnsi="Times New Roman" w:cs="Times New Roman"/>
        </w:rPr>
      </w:pPr>
      <w:r w:rsidRPr="00383CA1">
        <w:rPr>
          <w:rFonts w:ascii="Times New Roman" w:hAnsi="Times New Roman" w:cs="Times New Roman"/>
        </w:rPr>
        <w:t xml:space="preserve">In Uganda, approximately 25% of girls aged 15-19 have begun childbearing </w:t>
      </w:r>
      <w:r w:rsidR="002538F5" w:rsidRPr="002538F5">
        <w:rPr>
          <w:rFonts w:ascii="Times New Roman" w:hAnsi="Times New Roman" w:cs="Times New Roman"/>
        </w:rPr>
        <w:fldChar w:fldCharType="begin"/>
      </w:r>
      <w:r w:rsidR="002538F5" w:rsidRPr="002538F5">
        <w:rPr>
          <w:rFonts w:ascii="Times New Roman" w:hAnsi="Times New Roman" w:cs="Times New Roman"/>
        </w:rPr>
        <w:instrText xml:space="preserve"> ADDIN ZOTERO_ITEM CSL_CITATION {"citationID":"6w6PICsk","properties":{"formattedCitation":"(Ssebwami et al., 2026; UNICEF, 2022)","plainCitation":"(Ssebwami et al., 2026; UNICEF, 2022)","noteIndex":0},"citationItems":[{"id":1330,"uris":["http://zotero.org/users/17127802/items/Q86XWKTQ"],"itemData":{"id":1330,"type":"article-journal","abstract":"Background: Uganda has one of the highest rates of teenage pregnancy in the world at 25%, more than twice the global estimate of 11% of all births. A remarkable number of girls start childbearing at a very early age in Uganda and is an overwhelming growing public health issue with enormous contribution to high maternal and perinatal morbidity and mortality.\nMethods: This was a cross-sectional study conducted from June to August 2025 involving 326 women delivering at Hoima Regional Referral Hospital (HRRH), western Uganda. Interviewer administered questionnaires were used to obtain data. Descriptive statistics, binary logistic regression and chi-square analyses were utilized to elucidate the determinants of teenage pregnancy using IBM SPSS 24. Variables in final multivariate model were significant when p&amp;lt;0.05. The measure of association was reported as odds ratios with corresponding 95% confidence interval and p-value.\nResults: Of the 326 women who delivered at HRRH during the study period, 87(27%) had teenage pregnancy. High level of education (AOR=0.2, 95%CI: 0.84-0.92, p=0.037; AOR=0.3, 95%CI: 0.12-0.58, p=0.001]), and good income status (AOR=0.4, 95%CI=0.15-0.96; p=0.040) were protective of teenage pregnancy. Early marriage and lack of awareness about contraception were associated with high odds for teenage pregnancy, (AOR=3.8, 95%CI=1.39-10.15; p=0.009) and (AOR=3.8, 95%CI=1.94-7.34; p=0.000) respectively.\nConclusions: The prevalence of teenage pregnancy in Hoima is alarming, compared to regional and global figures. Girl education, improved income status, discouraging early marriages and promoting awareness on use of contraception are essential in preventing teenage pregnancy in Hoima and its catchment areas.","container-title":"International Journal of Reproduction, Contraception, Obstetrics and Gynecology","DOI":"10.18203/2320-1770.ijrcog20260536","ISSN":"2320-1789","issue":"3","language":"en","page":"833-838","source":"www.ijrcog.org","title":"Determinants and outcomes of teenage pregnancy in Uganda: a case study of Hoima","title-short":"Determinants and outcomes of teenage pregnancy in Uganda","volume":"15","author":[{"family":"Ssebwami","given":"Leonard"},{"family":"Kato","given":"Ivan Paul"},{"family":"Jjagwe","given":"David"},{"family":"Bahatungire","given":"Rony"},{"family":"Zimula","given":"John"},{"family":"Okullo","given":"Richardson"},{"family":"Opeto","given":"Moses"},{"family":"Oburu","given":"Geoffrey Ofumbi"},{"family":"Tibwita","given":"Fred"},{"family":"Bagonza","given":"Nathern"},{"family":"Oryem","given":"John"}],"issued":{"date-parts":[["2026",2,25]]}}},{"id":1348,"uris":["http://zotero.org/users/17127802/items/7LWA3XGK"],"itemData":{"id":1348,"type":"webpage","title":"The National Strategy to End Child Marriage and Teenage Pregnancy 2022/2023 – 2026/2027 | UNICEF Uganda","URL":"https://www.unicef.org/uganda/reports/national-strategy-end-child-marriage-and-teenage-pregnancy-20222023-20262027?utm_source=chatgpt.com","author":[{"literal":"UNICEF"}],"accessed":{"date-parts":[["2026",4,14]]},"issued":{"date-parts":[["2022"]]}}}],"schema":"https://github.com/citation-style-language/schema/raw/master/csl-citation.json"} </w:instrText>
      </w:r>
      <w:r w:rsidR="002538F5" w:rsidRPr="002538F5">
        <w:rPr>
          <w:rFonts w:ascii="Times New Roman" w:hAnsi="Times New Roman" w:cs="Times New Roman"/>
        </w:rPr>
        <w:fldChar w:fldCharType="separate"/>
      </w:r>
      <w:r w:rsidR="002538F5" w:rsidRPr="002538F5">
        <w:rPr>
          <w:rFonts w:ascii="Times New Roman" w:hAnsi="Times New Roman" w:cs="Times New Roman"/>
        </w:rPr>
        <w:t>(Ssebwami et al., 2026; UNICEF, 2022)</w:t>
      </w:r>
      <w:r w:rsidR="002538F5" w:rsidRPr="002538F5">
        <w:rPr>
          <w:rFonts w:ascii="Times New Roman" w:hAnsi="Times New Roman" w:cs="Times New Roman"/>
        </w:rPr>
        <w:fldChar w:fldCharType="end"/>
      </w:r>
      <w:r w:rsidRPr="00383CA1">
        <w:rPr>
          <w:rFonts w:ascii="Times New Roman" w:hAnsi="Times New Roman" w:cs="Times New Roman"/>
        </w:rPr>
        <w:t xml:space="preserve">. However, these national figures mask significant regional disparities. Yumbe District, located in the West Nile region, reports alarmingly high rates. </w:t>
      </w:r>
      <w:r w:rsidR="002538F5" w:rsidRPr="002538F5">
        <w:rPr>
          <w:rFonts w:ascii="Times New Roman" w:hAnsi="Times New Roman" w:cs="Times New Roman"/>
        </w:rPr>
        <w:t xml:space="preserve">District Health Office records indicate that thousands of adolescent pregnancies are reported annually in districts within the West Nile region, with some districts recording over 5,700 cases in a single financial year, highlighting localized hotspots of teenage pregnancy </w:t>
      </w:r>
      <w:r w:rsidR="002538F5" w:rsidRPr="002538F5">
        <w:rPr>
          <w:rFonts w:ascii="Times New Roman" w:hAnsi="Times New Roman" w:cs="Times New Roman"/>
        </w:rPr>
        <w:fldChar w:fldCharType="begin"/>
      </w:r>
      <w:r w:rsidR="002538F5" w:rsidRPr="002538F5">
        <w:rPr>
          <w:rFonts w:ascii="Times New Roman" w:hAnsi="Times New Roman" w:cs="Times New Roman"/>
        </w:rPr>
        <w:instrText xml:space="preserve"> ADDIN ZOTERO_ITEM CSL_CITATION {"citationID":"xBjM0XZP","properties":{"formattedCitation":"(Sabir Musa, 2025)","plainCitation":"(Sabir Musa, 2025)","noteIndex":0},"citationItems":[{"id":1354,"uris":["http://zotero.org/users/17127802/items/RBA22ZPT"],"itemData":{"id":1354,"type":"webpage","abstract":"Records from the district's Health Management Information System (HMIS) indicate that a total of 5,740 teenage pregnancy cases were recorded in the Financial Year 2023/2024 alone.","container-title":"Uganda Radionetwork","language":"en","title":"High Rate of Child Marriage, Teenage Pregnancy Worries Yumbe District Leaders :","title-short":"High Rate of Child Marriage, Teenage Pregnancy Worries Yumbe District Leaders","URL":"https://ugandaradionetwork.net/story/high-rate-of-child-marriage-teenage-pregnancy-worries-yumbe-district-leaders","author":[{"literal":"Sabir Musa"}],"accessed":{"date-parts":[["2026",4,14]]},"issued":{"date-parts":[["2025"]]}}}],"schema":"https://github.com/citation-style-language/schema/raw/master/csl-citation.json"} </w:instrText>
      </w:r>
      <w:r w:rsidR="002538F5" w:rsidRPr="002538F5">
        <w:rPr>
          <w:rFonts w:ascii="Times New Roman" w:hAnsi="Times New Roman" w:cs="Times New Roman"/>
        </w:rPr>
        <w:fldChar w:fldCharType="separate"/>
      </w:r>
      <w:r w:rsidR="002538F5" w:rsidRPr="002538F5">
        <w:rPr>
          <w:rFonts w:ascii="Times New Roman" w:hAnsi="Times New Roman" w:cs="Times New Roman"/>
        </w:rPr>
        <w:t>(Sabir Musa, 2025)</w:t>
      </w:r>
      <w:r w:rsidR="002538F5" w:rsidRPr="002538F5">
        <w:rPr>
          <w:rFonts w:ascii="Times New Roman" w:hAnsi="Times New Roman" w:cs="Times New Roman"/>
        </w:rPr>
        <w:fldChar w:fldCharType="end"/>
      </w:r>
      <w:r w:rsidR="002538F5" w:rsidRPr="002538F5">
        <w:rPr>
          <w:rFonts w:ascii="Times New Roman" w:hAnsi="Times New Roman" w:cs="Times New Roman"/>
        </w:rPr>
        <w:t>. Despite the magnitude of this burden, context-specific evidence on the combined influence of social, economic, and cultural determinants within specific sub-counties remains limited, underscoring a critical gap in localized research. Previous interventions have often focused on individual-level health education, overlooking</w:t>
      </w:r>
      <w:r w:rsidRPr="00383CA1">
        <w:rPr>
          <w:rFonts w:ascii="Times New Roman" w:hAnsi="Times New Roman" w:cs="Times New Roman"/>
        </w:rPr>
        <w:t xml:space="preserve"> structural and systemic determinants</w:t>
      </w:r>
      <w:r w:rsidR="002538F5" w:rsidRPr="002538F5">
        <w:rPr>
          <w:rFonts w:ascii="Times New Roman" w:hAnsi="Times New Roman" w:cs="Times New Roman"/>
        </w:rPr>
        <w:t xml:space="preserve"> </w:t>
      </w:r>
      <w:r w:rsidR="002538F5" w:rsidRPr="002538F5">
        <w:rPr>
          <w:rFonts w:ascii="Times New Roman" w:hAnsi="Times New Roman" w:cs="Times New Roman"/>
        </w:rPr>
        <w:fldChar w:fldCharType="begin"/>
      </w:r>
      <w:r w:rsidR="002538F5" w:rsidRPr="002538F5">
        <w:rPr>
          <w:rFonts w:ascii="Times New Roman" w:hAnsi="Times New Roman" w:cs="Times New Roman"/>
        </w:rPr>
        <w:instrText xml:space="preserve"> ADDIN ZOTERO_ITEM CSL_CITATION {"citationID":"zUKlU4N2","properties":{"formattedCitation":"(WHO, 2025)","plainCitation":"(WHO, 2025)","noteIndex":0},"citationItems":[{"id":1355,"uris":["http://zotero.org/users/17127802/items/MRVUJUJ7"],"itemData":{"id":1355,"type":"webpage","title":"Sexual and Reproductive Health and Research (SRH)","URL":"https://www.who.int/teams/sexual-and-reproductive-health-and-research-%28srh%29/areas-of-work/adolescent-and-sexual-and-reproductive-health-and-rights?utm_source=chatgpt.com","author":[{"literal":"WHO"}],"accessed":{"date-parts":[["2026",4,14]]},"issued":{"date-parts":[["2025"]]}}}],"schema":"https://github.com/citation-style-language/schema/raw/master/csl-citation.json"} </w:instrText>
      </w:r>
      <w:r w:rsidR="002538F5" w:rsidRPr="002538F5">
        <w:rPr>
          <w:rFonts w:ascii="Times New Roman" w:hAnsi="Times New Roman" w:cs="Times New Roman"/>
        </w:rPr>
        <w:fldChar w:fldCharType="separate"/>
      </w:r>
      <w:r w:rsidR="002538F5" w:rsidRPr="002538F5">
        <w:rPr>
          <w:rFonts w:ascii="Times New Roman" w:hAnsi="Times New Roman" w:cs="Times New Roman"/>
        </w:rPr>
        <w:t>(WHO, 2025)</w:t>
      </w:r>
      <w:r w:rsidR="002538F5" w:rsidRPr="002538F5">
        <w:rPr>
          <w:rFonts w:ascii="Times New Roman" w:hAnsi="Times New Roman" w:cs="Times New Roman"/>
        </w:rPr>
        <w:fldChar w:fldCharType="end"/>
      </w:r>
      <w:r w:rsidRPr="00383CA1">
        <w:rPr>
          <w:rFonts w:ascii="Times New Roman" w:hAnsi="Times New Roman" w:cs="Times New Roman"/>
        </w:rPr>
        <w:t>. This study addresses a critical gap by investigating the sociodemographic, economic, and cultural factors that predispose girls in Odravu Sub-County to early pregnancy, using a social ecological lens to inform targeted, multi-level social work interventions.</w:t>
      </w:r>
    </w:p>
    <w:p w14:paraId="0D76BB87" w14:textId="73BC4472" w:rsidR="00383CA1" w:rsidRPr="002538F5" w:rsidRDefault="00383CA1" w:rsidP="002538F5">
      <w:pPr>
        <w:pStyle w:val="Heading1"/>
        <w:spacing w:before="0" w:after="0" w:line="360" w:lineRule="auto"/>
        <w:rPr>
          <w:rFonts w:cs="Times New Roman"/>
          <w:szCs w:val="24"/>
        </w:rPr>
      </w:pPr>
      <w:r w:rsidRPr="002538F5">
        <w:rPr>
          <w:rFonts w:cs="Times New Roman"/>
          <w:szCs w:val="24"/>
        </w:rPr>
        <w:t>2.0 Methods</w:t>
      </w:r>
    </w:p>
    <w:p w14:paraId="73BC7FE7" w14:textId="77777777" w:rsidR="00383CA1" w:rsidRPr="002538F5" w:rsidRDefault="00383CA1" w:rsidP="002538F5">
      <w:pPr>
        <w:pStyle w:val="Heading1"/>
        <w:spacing w:before="0" w:after="0" w:line="360" w:lineRule="auto"/>
        <w:rPr>
          <w:rFonts w:cs="Times New Roman"/>
          <w:szCs w:val="24"/>
        </w:rPr>
      </w:pPr>
      <w:r w:rsidRPr="002538F5">
        <w:rPr>
          <w:rFonts w:cs="Times New Roman"/>
          <w:szCs w:val="24"/>
        </w:rPr>
        <w:t>2.1 Study Design and Setting</w:t>
      </w:r>
    </w:p>
    <w:p w14:paraId="1F04F0B4" w14:textId="6DDBA570" w:rsidR="00383CA1" w:rsidRPr="00383CA1" w:rsidRDefault="00383CA1" w:rsidP="002538F5">
      <w:pPr>
        <w:spacing w:after="0" w:line="360" w:lineRule="auto"/>
        <w:jc w:val="both"/>
        <w:rPr>
          <w:rFonts w:ascii="Times New Roman" w:hAnsi="Times New Roman" w:cs="Times New Roman"/>
        </w:rPr>
      </w:pPr>
      <w:r w:rsidRPr="00383CA1">
        <w:rPr>
          <w:rFonts w:ascii="Times New Roman" w:hAnsi="Times New Roman" w:cs="Times New Roman"/>
        </w:rPr>
        <w:t xml:space="preserve">A  cross-sectional </w:t>
      </w:r>
      <w:r w:rsidR="002538F5" w:rsidRPr="002538F5">
        <w:rPr>
          <w:rFonts w:ascii="Times New Roman" w:hAnsi="Times New Roman" w:cs="Times New Roman"/>
        </w:rPr>
        <w:t xml:space="preserve">study </w:t>
      </w:r>
      <w:r w:rsidRPr="00383CA1">
        <w:rPr>
          <w:rFonts w:ascii="Times New Roman" w:hAnsi="Times New Roman" w:cs="Times New Roman"/>
        </w:rPr>
        <w:t>design was employed. The study was conducted in Odravu Sub-County, Yumbe District, a predominantly rural area in northwestern Uganda. The population is largely agrarian, with limited access to secondary education and specialized health services.</w:t>
      </w:r>
    </w:p>
    <w:p w14:paraId="01A3C98E" w14:textId="77777777" w:rsidR="00383CA1" w:rsidRPr="002538F5" w:rsidRDefault="00383CA1" w:rsidP="002538F5">
      <w:pPr>
        <w:pStyle w:val="Heading1"/>
        <w:spacing w:before="0" w:after="0" w:line="360" w:lineRule="auto"/>
        <w:rPr>
          <w:rFonts w:cs="Times New Roman"/>
          <w:szCs w:val="24"/>
        </w:rPr>
      </w:pPr>
      <w:r w:rsidRPr="002538F5">
        <w:rPr>
          <w:rFonts w:cs="Times New Roman"/>
          <w:szCs w:val="24"/>
        </w:rPr>
        <w:t>2.2 Participants and Sampling</w:t>
      </w:r>
    </w:p>
    <w:p w14:paraId="1B92E7E2" w14:textId="554CE2C0" w:rsidR="00383CA1" w:rsidRPr="00383CA1" w:rsidRDefault="00383CA1" w:rsidP="002538F5">
      <w:pPr>
        <w:spacing w:after="0" w:line="360" w:lineRule="auto"/>
        <w:jc w:val="both"/>
        <w:rPr>
          <w:rFonts w:ascii="Times New Roman" w:hAnsi="Times New Roman" w:cs="Times New Roman"/>
        </w:rPr>
      </w:pPr>
      <w:r w:rsidRPr="00383CA1">
        <w:rPr>
          <w:rFonts w:ascii="Times New Roman" w:hAnsi="Times New Roman" w:cs="Times New Roman"/>
        </w:rPr>
        <w:t>The target population was teenage girls aged 15-19 years residing in the sub-county. Using the Kish and Leslie (1965) formula (assuming 50% prevalence, 95% confidence interval, 5% margin of error), a sample size of 384 was calculated. Cluster randomized sampling was used, targeting villages as natural clusters. A final sample of 346 girls participated, yielding a 90.1% response rate.</w:t>
      </w:r>
    </w:p>
    <w:p w14:paraId="11519A3D" w14:textId="77777777" w:rsidR="00383CA1" w:rsidRPr="002538F5" w:rsidRDefault="00383CA1" w:rsidP="002538F5">
      <w:pPr>
        <w:pStyle w:val="Heading1"/>
        <w:spacing w:before="0" w:after="0" w:line="360" w:lineRule="auto"/>
        <w:rPr>
          <w:rFonts w:cs="Times New Roman"/>
          <w:szCs w:val="24"/>
        </w:rPr>
      </w:pPr>
      <w:r w:rsidRPr="002538F5">
        <w:rPr>
          <w:rFonts w:cs="Times New Roman"/>
          <w:szCs w:val="24"/>
        </w:rPr>
        <w:t>2.3 Data Collection</w:t>
      </w:r>
    </w:p>
    <w:p w14:paraId="6DD68F4F" w14:textId="2AA4DA25" w:rsidR="00383CA1" w:rsidRPr="00383CA1" w:rsidRDefault="00383CA1" w:rsidP="002538F5">
      <w:pPr>
        <w:spacing w:after="0" w:line="360" w:lineRule="auto"/>
        <w:jc w:val="both"/>
        <w:rPr>
          <w:rFonts w:ascii="Times New Roman" w:hAnsi="Times New Roman" w:cs="Times New Roman"/>
        </w:rPr>
      </w:pPr>
      <w:r w:rsidRPr="00383CA1">
        <w:rPr>
          <w:rFonts w:ascii="Times New Roman" w:hAnsi="Times New Roman" w:cs="Times New Roman"/>
        </w:rPr>
        <w:t>Data were collected using a structured, pre-tested questionnaire administered through face-to-face interviews by trained research assistants. The tool captured sociodemographic details, economic indicators, cultural norms, and reproductive history.</w:t>
      </w:r>
    </w:p>
    <w:p w14:paraId="40B1D727" w14:textId="77777777" w:rsidR="00383CA1" w:rsidRPr="002538F5" w:rsidRDefault="00383CA1" w:rsidP="002538F5">
      <w:pPr>
        <w:pStyle w:val="Heading1"/>
        <w:spacing w:before="0" w:after="0" w:line="360" w:lineRule="auto"/>
        <w:rPr>
          <w:rFonts w:cs="Times New Roman"/>
          <w:szCs w:val="24"/>
        </w:rPr>
      </w:pPr>
      <w:r w:rsidRPr="002538F5">
        <w:rPr>
          <w:rFonts w:cs="Times New Roman"/>
          <w:szCs w:val="24"/>
        </w:rPr>
        <w:t>2.4 Data Analysis</w:t>
      </w:r>
    </w:p>
    <w:p w14:paraId="5B44AB1B" w14:textId="0F7A837B" w:rsidR="00383CA1" w:rsidRPr="00383CA1" w:rsidRDefault="00383CA1" w:rsidP="002538F5">
      <w:pPr>
        <w:spacing w:after="0" w:line="360" w:lineRule="auto"/>
        <w:jc w:val="both"/>
        <w:rPr>
          <w:rFonts w:ascii="Times New Roman" w:hAnsi="Times New Roman" w:cs="Times New Roman"/>
        </w:rPr>
      </w:pPr>
      <w:r w:rsidRPr="00383CA1">
        <w:rPr>
          <w:rFonts w:ascii="Times New Roman" w:hAnsi="Times New Roman" w:cs="Times New Roman"/>
        </w:rPr>
        <w:t xml:space="preserve">Data were entered into STATA 14. Descriptive statistics summarized participant characteristics. </w:t>
      </w:r>
      <w:r w:rsidR="007643C1">
        <w:rPr>
          <w:rFonts w:ascii="Times New Roman" w:hAnsi="Times New Roman" w:cs="Times New Roman"/>
        </w:rPr>
        <w:t>Logistic</w:t>
      </w:r>
      <w:r w:rsidRPr="00383CA1">
        <w:rPr>
          <w:rFonts w:ascii="Times New Roman" w:hAnsi="Times New Roman" w:cs="Times New Roman"/>
        </w:rPr>
        <w:t xml:space="preserve"> regression</w:t>
      </w:r>
      <w:r w:rsidR="007643C1">
        <w:rPr>
          <w:rFonts w:ascii="Times New Roman" w:hAnsi="Times New Roman" w:cs="Times New Roman"/>
        </w:rPr>
        <w:t xml:space="preserve"> was used to</w:t>
      </w:r>
      <w:r w:rsidRPr="00383CA1">
        <w:rPr>
          <w:rFonts w:ascii="Times New Roman" w:hAnsi="Times New Roman" w:cs="Times New Roman"/>
        </w:rPr>
        <w:t xml:space="preserve"> identif</w:t>
      </w:r>
      <w:r w:rsidR="007643C1">
        <w:rPr>
          <w:rFonts w:ascii="Times New Roman" w:hAnsi="Times New Roman" w:cs="Times New Roman"/>
        </w:rPr>
        <w:t>y</w:t>
      </w:r>
      <w:r w:rsidRPr="00383CA1">
        <w:rPr>
          <w:rFonts w:ascii="Times New Roman" w:hAnsi="Times New Roman" w:cs="Times New Roman"/>
        </w:rPr>
        <w:t xml:space="preserve"> predictors of teenage pregnancy (ever been pregnant</w:t>
      </w:r>
      <w:r w:rsidR="002538F5" w:rsidRPr="002538F5">
        <w:rPr>
          <w:rFonts w:ascii="Times New Roman" w:hAnsi="Times New Roman" w:cs="Times New Roman"/>
        </w:rPr>
        <w:t>,</w:t>
      </w:r>
      <w:r w:rsidRPr="00383CA1">
        <w:rPr>
          <w:rFonts w:ascii="Times New Roman" w:hAnsi="Times New Roman" w:cs="Times New Roman"/>
        </w:rPr>
        <w:t xml:space="preserve"> yes/no). Statistical significance was set at p&lt;0.05.</w:t>
      </w:r>
    </w:p>
    <w:p w14:paraId="5C671718" w14:textId="77777777" w:rsidR="00383CA1" w:rsidRPr="002538F5" w:rsidRDefault="00383CA1" w:rsidP="002538F5">
      <w:pPr>
        <w:pStyle w:val="Heading1"/>
        <w:spacing w:before="0" w:after="0" w:line="360" w:lineRule="auto"/>
        <w:rPr>
          <w:rFonts w:cs="Times New Roman"/>
          <w:szCs w:val="24"/>
        </w:rPr>
      </w:pPr>
      <w:r w:rsidRPr="002538F5">
        <w:rPr>
          <w:rFonts w:cs="Times New Roman"/>
          <w:szCs w:val="24"/>
        </w:rPr>
        <w:lastRenderedPageBreak/>
        <w:t>2.5 Ethical Considerations</w:t>
      </w:r>
    </w:p>
    <w:p w14:paraId="746509BD" w14:textId="2EF06B10" w:rsidR="00383CA1" w:rsidRPr="00383CA1" w:rsidRDefault="00383CA1" w:rsidP="002538F5">
      <w:pPr>
        <w:spacing w:after="0" w:line="360" w:lineRule="auto"/>
        <w:jc w:val="both"/>
        <w:rPr>
          <w:rFonts w:ascii="Times New Roman" w:hAnsi="Times New Roman" w:cs="Times New Roman"/>
        </w:rPr>
      </w:pPr>
      <w:r w:rsidRPr="00383CA1">
        <w:rPr>
          <w:rFonts w:ascii="Times New Roman" w:hAnsi="Times New Roman" w:cs="Times New Roman"/>
        </w:rPr>
        <w:t>Ethical approval was obtained from the Faculty of Health Sciences</w:t>
      </w:r>
      <w:r w:rsidRPr="002538F5">
        <w:rPr>
          <w:rFonts w:ascii="Times New Roman" w:hAnsi="Times New Roman" w:cs="Times New Roman"/>
        </w:rPr>
        <w:t xml:space="preserve"> at the</w:t>
      </w:r>
      <w:r w:rsidRPr="00383CA1">
        <w:rPr>
          <w:rFonts w:ascii="Times New Roman" w:hAnsi="Times New Roman" w:cs="Times New Roman"/>
        </w:rPr>
        <w:t xml:space="preserve"> Islamic University in Uganda. Informed consent was obtained from participants aged ≥18 years; for minors (&lt;18 years), parental/guardian consent and participant assent were obtained. Confidentiality was strictly maintained.</w:t>
      </w:r>
    </w:p>
    <w:p w14:paraId="63339D2E" w14:textId="77777777" w:rsidR="00383CA1" w:rsidRPr="002538F5" w:rsidRDefault="00383CA1" w:rsidP="00383CA1">
      <w:pPr>
        <w:pStyle w:val="Heading1"/>
        <w:spacing w:before="0" w:after="0" w:line="360" w:lineRule="auto"/>
        <w:rPr>
          <w:rFonts w:cs="Times New Roman"/>
          <w:szCs w:val="24"/>
        </w:rPr>
      </w:pPr>
      <w:r w:rsidRPr="002538F5">
        <w:rPr>
          <w:rFonts w:cs="Times New Roman"/>
          <w:szCs w:val="24"/>
        </w:rPr>
        <w:t>3. Results</w:t>
      </w:r>
    </w:p>
    <w:p w14:paraId="77FEADE7" w14:textId="77777777" w:rsidR="00383CA1" w:rsidRPr="002538F5" w:rsidRDefault="00383CA1" w:rsidP="00383CA1">
      <w:pPr>
        <w:pStyle w:val="Heading1"/>
        <w:spacing w:before="0" w:after="0" w:line="360" w:lineRule="auto"/>
        <w:rPr>
          <w:rFonts w:cs="Times New Roman"/>
          <w:szCs w:val="24"/>
        </w:rPr>
      </w:pPr>
      <w:r w:rsidRPr="002538F5">
        <w:rPr>
          <w:rFonts w:cs="Times New Roman"/>
          <w:szCs w:val="24"/>
        </w:rPr>
        <w:t>3.1 Participant Characteristics</w:t>
      </w:r>
    </w:p>
    <w:p w14:paraId="4E21E1ED" w14:textId="74C656D9" w:rsidR="00383CA1" w:rsidRPr="00383CA1" w:rsidRDefault="00383CA1" w:rsidP="00383CA1">
      <w:pPr>
        <w:spacing w:after="0" w:line="360" w:lineRule="auto"/>
        <w:jc w:val="both"/>
        <w:rPr>
          <w:rFonts w:ascii="Times New Roman" w:hAnsi="Times New Roman" w:cs="Times New Roman"/>
        </w:rPr>
      </w:pPr>
      <w:r w:rsidRPr="00383CA1">
        <w:rPr>
          <w:rFonts w:ascii="Times New Roman" w:hAnsi="Times New Roman" w:cs="Times New Roman"/>
        </w:rPr>
        <w:t>The mean age of the 346 respondents was 17.4 years (SD</w:t>
      </w:r>
      <w:r w:rsidRPr="002538F5">
        <w:rPr>
          <w:rFonts w:ascii="Times New Roman" w:hAnsi="Times New Roman" w:cs="Times New Roman"/>
        </w:rPr>
        <w:t xml:space="preserve"> = </w:t>
      </w:r>
      <w:r w:rsidRPr="00383CA1">
        <w:rPr>
          <w:rFonts w:ascii="Times New Roman" w:hAnsi="Times New Roman" w:cs="Times New Roman"/>
        </w:rPr>
        <w:t>1.2). Table 1 presents the key characteristics.</w:t>
      </w:r>
    </w:p>
    <w:p w14:paraId="04E51060" w14:textId="14B19081" w:rsidR="00383CA1" w:rsidRPr="00383CA1" w:rsidRDefault="002538F5" w:rsidP="002538F5">
      <w:pPr>
        <w:pStyle w:val="Caption"/>
        <w:keepNext/>
        <w:jc w:val="both"/>
        <w:rPr>
          <w:rFonts w:ascii="Times New Roman" w:hAnsi="Times New Roman" w:cs="Times New Roman"/>
          <w:color w:val="000000" w:themeColor="text1"/>
          <w:sz w:val="24"/>
          <w:szCs w:val="24"/>
        </w:rPr>
      </w:pPr>
      <w:r w:rsidRPr="002538F5">
        <w:rPr>
          <w:rFonts w:ascii="Times New Roman" w:hAnsi="Times New Roman" w:cs="Times New Roman"/>
          <w:color w:val="000000" w:themeColor="text1"/>
          <w:sz w:val="24"/>
          <w:szCs w:val="24"/>
        </w:rPr>
        <w:t xml:space="preserve">Table </w:t>
      </w:r>
      <w:r w:rsidRPr="002538F5">
        <w:rPr>
          <w:rFonts w:ascii="Times New Roman" w:hAnsi="Times New Roman" w:cs="Times New Roman"/>
          <w:color w:val="000000" w:themeColor="text1"/>
          <w:sz w:val="24"/>
          <w:szCs w:val="24"/>
        </w:rPr>
        <w:fldChar w:fldCharType="begin"/>
      </w:r>
      <w:r w:rsidRPr="002538F5">
        <w:rPr>
          <w:rFonts w:ascii="Times New Roman" w:hAnsi="Times New Roman" w:cs="Times New Roman"/>
          <w:color w:val="000000" w:themeColor="text1"/>
          <w:sz w:val="24"/>
          <w:szCs w:val="24"/>
        </w:rPr>
        <w:instrText xml:space="preserve"> SEQ Table \* ARABIC </w:instrText>
      </w:r>
      <w:r w:rsidRPr="002538F5">
        <w:rPr>
          <w:rFonts w:ascii="Times New Roman" w:hAnsi="Times New Roman" w:cs="Times New Roman"/>
          <w:color w:val="000000" w:themeColor="text1"/>
          <w:sz w:val="24"/>
          <w:szCs w:val="24"/>
        </w:rPr>
        <w:fldChar w:fldCharType="separate"/>
      </w:r>
      <w:r w:rsidR="007643C1">
        <w:rPr>
          <w:rFonts w:ascii="Times New Roman" w:hAnsi="Times New Roman" w:cs="Times New Roman"/>
          <w:noProof/>
          <w:color w:val="000000" w:themeColor="text1"/>
          <w:sz w:val="24"/>
          <w:szCs w:val="24"/>
        </w:rPr>
        <w:t>1</w:t>
      </w:r>
      <w:r w:rsidRPr="002538F5">
        <w:rPr>
          <w:rFonts w:ascii="Times New Roman" w:hAnsi="Times New Roman" w:cs="Times New Roman"/>
          <w:color w:val="000000" w:themeColor="text1"/>
          <w:sz w:val="24"/>
          <w:szCs w:val="24"/>
        </w:rPr>
        <w:fldChar w:fldCharType="end"/>
      </w:r>
      <w:r w:rsidRPr="002538F5">
        <w:rPr>
          <w:rFonts w:ascii="Times New Roman" w:hAnsi="Times New Roman" w:cs="Times New Roman"/>
          <w:color w:val="000000" w:themeColor="text1"/>
          <w:sz w:val="24"/>
          <w:szCs w:val="24"/>
        </w:rPr>
        <w:t>:  Sociodemographic and Economic Characteristics (n=346)</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3"/>
        <w:gridCol w:w="2710"/>
        <w:gridCol w:w="1755"/>
        <w:gridCol w:w="1888"/>
      </w:tblGrid>
      <w:tr w:rsidR="00383CA1" w:rsidRPr="002538F5" w14:paraId="040B4B63" w14:textId="77777777" w:rsidTr="00383CA1">
        <w:tc>
          <w:tcPr>
            <w:tcW w:w="1481" w:type="pct"/>
            <w:tcBorders>
              <w:top w:val="single" w:sz="4" w:space="0" w:color="auto"/>
              <w:bottom w:val="single" w:sz="4" w:space="0" w:color="auto"/>
            </w:tcBorders>
            <w:hideMark/>
          </w:tcPr>
          <w:p w14:paraId="62B1ED18" w14:textId="77777777" w:rsidR="00383CA1" w:rsidRPr="00383CA1" w:rsidRDefault="00383CA1" w:rsidP="00383CA1">
            <w:pPr>
              <w:spacing w:line="360" w:lineRule="auto"/>
              <w:jc w:val="both"/>
              <w:rPr>
                <w:rFonts w:ascii="Times New Roman" w:hAnsi="Times New Roman" w:cs="Times New Roman"/>
                <w:b/>
                <w:bCs/>
              </w:rPr>
            </w:pPr>
            <w:r w:rsidRPr="00383CA1">
              <w:rPr>
                <w:rFonts w:ascii="Times New Roman" w:hAnsi="Times New Roman" w:cs="Times New Roman"/>
                <w:b/>
                <w:bCs/>
              </w:rPr>
              <w:t>Characteristic</w:t>
            </w:r>
          </w:p>
        </w:tc>
        <w:tc>
          <w:tcPr>
            <w:tcW w:w="1501" w:type="pct"/>
            <w:tcBorders>
              <w:top w:val="single" w:sz="4" w:space="0" w:color="auto"/>
              <w:bottom w:val="single" w:sz="4" w:space="0" w:color="auto"/>
            </w:tcBorders>
            <w:hideMark/>
          </w:tcPr>
          <w:p w14:paraId="5EE190BA" w14:textId="77777777" w:rsidR="00383CA1" w:rsidRPr="00383CA1" w:rsidRDefault="00383CA1" w:rsidP="00383CA1">
            <w:pPr>
              <w:spacing w:line="360" w:lineRule="auto"/>
              <w:jc w:val="both"/>
              <w:rPr>
                <w:rFonts w:ascii="Times New Roman" w:hAnsi="Times New Roman" w:cs="Times New Roman"/>
                <w:b/>
                <w:bCs/>
              </w:rPr>
            </w:pPr>
            <w:r w:rsidRPr="00383CA1">
              <w:rPr>
                <w:rFonts w:ascii="Times New Roman" w:hAnsi="Times New Roman" w:cs="Times New Roman"/>
                <w:b/>
                <w:bCs/>
              </w:rPr>
              <w:t>Category</w:t>
            </w:r>
          </w:p>
        </w:tc>
        <w:tc>
          <w:tcPr>
            <w:tcW w:w="972" w:type="pct"/>
            <w:tcBorders>
              <w:top w:val="single" w:sz="4" w:space="0" w:color="auto"/>
              <w:bottom w:val="single" w:sz="4" w:space="0" w:color="auto"/>
            </w:tcBorders>
            <w:hideMark/>
          </w:tcPr>
          <w:p w14:paraId="0E7A15B3" w14:textId="77777777" w:rsidR="00383CA1" w:rsidRPr="00383CA1" w:rsidRDefault="00383CA1" w:rsidP="00383CA1">
            <w:pPr>
              <w:spacing w:line="360" w:lineRule="auto"/>
              <w:jc w:val="center"/>
              <w:rPr>
                <w:rFonts w:ascii="Times New Roman" w:hAnsi="Times New Roman" w:cs="Times New Roman"/>
                <w:b/>
                <w:bCs/>
              </w:rPr>
            </w:pPr>
            <w:r w:rsidRPr="00383CA1">
              <w:rPr>
                <w:rFonts w:ascii="Times New Roman" w:hAnsi="Times New Roman" w:cs="Times New Roman"/>
                <w:b/>
                <w:bCs/>
              </w:rPr>
              <w:t>Frequency (n)</w:t>
            </w:r>
          </w:p>
        </w:tc>
        <w:tc>
          <w:tcPr>
            <w:tcW w:w="1046" w:type="pct"/>
            <w:tcBorders>
              <w:top w:val="single" w:sz="4" w:space="0" w:color="auto"/>
              <w:bottom w:val="single" w:sz="4" w:space="0" w:color="auto"/>
            </w:tcBorders>
            <w:hideMark/>
          </w:tcPr>
          <w:p w14:paraId="7C9F3D9B" w14:textId="77777777" w:rsidR="00383CA1" w:rsidRPr="00383CA1" w:rsidRDefault="00383CA1" w:rsidP="00383CA1">
            <w:pPr>
              <w:spacing w:line="360" w:lineRule="auto"/>
              <w:jc w:val="center"/>
              <w:rPr>
                <w:rFonts w:ascii="Times New Roman" w:hAnsi="Times New Roman" w:cs="Times New Roman"/>
                <w:b/>
                <w:bCs/>
              </w:rPr>
            </w:pPr>
            <w:r w:rsidRPr="00383CA1">
              <w:rPr>
                <w:rFonts w:ascii="Times New Roman" w:hAnsi="Times New Roman" w:cs="Times New Roman"/>
                <w:b/>
                <w:bCs/>
              </w:rPr>
              <w:t>Percentage (%)</w:t>
            </w:r>
          </w:p>
        </w:tc>
      </w:tr>
      <w:tr w:rsidR="00383CA1" w:rsidRPr="002538F5" w14:paraId="5505F8C7" w14:textId="77777777" w:rsidTr="00383CA1">
        <w:tc>
          <w:tcPr>
            <w:tcW w:w="1481" w:type="pct"/>
            <w:tcBorders>
              <w:top w:val="single" w:sz="4" w:space="0" w:color="auto"/>
            </w:tcBorders>
            <w:hideMark/>
          </w:tcPr>
          <w:p w14:paraId="4057D3FB"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Age</w:t>
            </w:r>
          </w:p>
        </w:tc>
        <w:tc>
          <w:tcPr>
            <w:tcW w:w="1501" w:type="pct"/>
            <w:tcBorders>
              <w:top w:val="single" w:sz="4" w:space="0" w:color="auto"/>
            </w:tcBorders>
            <w:hideMark/>
          </w:tcPr>
          <w:p w14:paraId="046C14CF"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15-16 years</w:t>
            </w:r>
          </w:p>
        </w:tc>
        <w:tc>
          <w:tcPr>
            <w:tcW w:w="972" w:type="pct"/>
            <w:tcBorders>
              <w:top w:val="single" w:sz="4" w:space="0" w:color="auto"/>
            </w:tcBorders>
            <w:hideMark/>
          </w:tcPr>
          <w:p w14:paraId="41670DC2"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112</w:t>
            </w:r>
          </w:p>
        </w:tc>
        <w:tc>
          <w:tcPr>
            <w:tcW w:w="1046" w:type="pct"/>
            <w:tcBorders>
              <w:top w:val="single" w:sz="4" w:space="0" w:color="auto"/>
            </w:tcBorders>
            <w:hideMark/>
          </w:tcPr>
          <w:p w14:paraId="2987AD09"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32.4</w:t>
            </w:r>
          </w:p>
        </w:tc>
      </w:tr>
      <w:tr w:rsidR="00383CA1" w:rsidRPr="002538F5" w14:paraId="64D25890" w14:textId="77777777" w:rsidTr="00383CA1">
        <w:tc>
          <w:tcPr>
            <w:tcW w:w="1481" w:type="pct"/>
            <w:hideMark/>
          </w:tcPr>
          <w:p w14:paraId="6125C135" w14:textId="77777777" w:rsidR="00383CA1" w:rsidRPr="00383CA1" w:rsidRDefault="00383CA1" w:rsidP="00383CA1">
            <w:pPr>
              <w:spacing w:line="360" w:lineRule="auto"/>
              <w:jc w:val="both"/>
              <w:rPr>
                <w:rFonts w:ascii="Times New Roman" w:hAnsi="Times New Roman" w:cs="Times New Roman"/>
              </w:rPr>
            </w:pPr>
          </w:p>
        </w:tc>
        <w:tc>
          <w:tcPr>
            <w:tcW w:w="1501" w:type="pct"/>
            <w:hideMark/>
          </w:tcPr>
          <w:p w14:paraId="00720312"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17-19 years</w:t>
            </w:r>
          </w:p>
        </w:tc>
        <w:tc>
          <w:tcPr>
            <w:tcW w:w="972" w:type="pct"/>
            <w:hideMark/>
          </w:tcPr>
          <w:p w14:paraId="30EC83D6"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234</w:t>
            </w:r>
          </w:p>
        </w:tc>
        <w:tc>
          <w:tcPr>
            <w:tcW w:w="1046" w:type="pct"/>
            <w:hideMark/>
          </w:tcPr>
          <w:p w14:paraId="7C8A685B"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67.6</w:t>
            </w:r>
          </w:p>
        </w:tc>
      </w:tr>
      <w:tr w:rsidR="00383CA1" w:rsidRPr="002538F5" w14:paraId="75AB807D" w14:textId="77777777" w:rsidTr="00383CA1">
        <w:tc>
          <w:tcPr>
            <w:tcW w:w="1481" w:type="pct"/>
            <w:hideMark/>
          </w:tcPr>
          <w:p w14:paraId="749C8B50"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Education</w:t>
            </w:r>
          </w:p>
        </w:tc>
        <w:tc>
          <w:tcPr>
            <w:tcW w:w="1501" w:type="pct"/>
            <w:hideMark/>
          </w:tcPr>
          <w:p w14:paraId="349977B2"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Primary or less</w:t>
            </w:r>
          </w:p>
        </w:tc>
        <w:tc>
          <w:tcPr>
            <w:tcW w:w="972" w:type="pct"/>
            <w:hideMark/>
          </w:tcPr>
          <w:p w14:paraId="7E91B669"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231</w:t>
            </w:r>
          </w:p>
        </w:tc>
        <w:tc>
          <w:tcPr>
            <w:tcW w:w="1046" w:type="pct"/>
            <w:hideMark/>
          </w:tcPr>
          <w:p w14:paraId="370FD6AD"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66.8</w:t>
            </w:r>
          </w:p>
        </w:tc>
      </w:tr>
      <w:tr w:rsidR="00383CA1" w:rsidRPr="002538F5" w14:paraId="52710996" w14:textId="77777777" w:rsidTr="00383CA1">
        <w:tc>
          <w:tcPr>
            <w:tcW w:w="1481" w:type="pct"/>
            <w:hideMark/>
          </w:tcPr>
          <w:p w14:paraId="4F6D2CDA" w14:textId="77777777" w:rsidR="00383CA1" w:rsidRPr="00383CA1" w:rsidRDefault="00383CA1" w:rsidP="00383CA1">
            <w:pPr>
              <w:spacing w:line="360" w:lineRule="auto"/>
              <w:jc w:val="both"/>
              <w:rPr>
                <w:rFonts w:ascii="Times New Roman" w:hAnsi="Times New Roman" w:cs="Times New Roman"/>
              </w:rPr>
            </w:pPr>
          </w:p>
        </w:tc>
        <w:tc>
          <w:tcPr>
            <w:tcW w:w="1501" w:type="pct"/>
            <w:hideMark/>
          </w:tcPr>
          <w:p w14:paraId="2A5E8156"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Secondary incomplete</w:t>
            </w:r>
          </w:p>
        </w:tc>
        <w:tc>
          <w:tcPr>
            <w:tcW w:w="972" w:type="pct"/>
            <w:hideMark/>
          </w:tcPr>
          <w:p w14:paraId="0694876E"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89</w:t>
            </w:r>
          </w:p>
        </w:tc>
        <w:tc>
          <w:tcPr>
            <w:tcW w:w="1046" w:type="pct"/>
            <w:hideMark/>
          </w:tcPr>
          <w:p w14:paraId="0B1C2982"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25.7</w:t>
            </w:r>
          </w:p>
        </w:tc>
      </w:tr>
      <w:tr w:rsidR="00383CA1" w:rsidRPr="002538F5" w14:paraId="24EE1A47" w14:textId="77777777" w:rsidTr="00383CA1">
        <w:tc>
          <w:tcPr>
            <w:tcW w:w="1481" w:type="pct"/>
            <w:hideMark/>
          </w:tcPr>
          <w:p w14:paraId="5589A385" w14:textId="77777777" w:rsidR="00383CA1" w:rsidRPr="00383CA1" w:rsidRDefault="00383CA1" w:rsidP="00383CA1">
            <w:pPr>
              <w:spacing w:line="360" w:lineRule="auto"/>
              <w:jc w:val="both"/>
              <w:rPr>
                <w:rFonts w:ascii="Times New Roman" w:hAnsi="Times New Roman" w:cs="Times New Roman"/>
              </w:rPr>
            </w:pPr>
          </w:p>
        </w:tc>
        <w:tc>
          <w:tcPr>
            <w:tcW w:w="1501" w:type="pct"/>
            <w:hideMark/>
          </w:tcPr>
          <w:p w14:paraId="1C5311F7"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Secondary complete+</w:t>
            </w:r>
          </w:p>
        </w:tc>
        <w:tc>
          <w:tcPr>
            <w:tcW w:w="972" w:type="pct"/>
            <w:hideMark/>
          </w:tcPr>
          <w:p w14:paraId="39E4F2BE"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26</w:t>
            </w:r>
          </w:p>
        </w:tc>
        <w:tc>
          <w:tcPr>
            <w:tcW w:w="1046" w:type="pct"/>
            <w:hideMark/>
          </w:tcPr>
          <w:p w14:paraId="1F413DD7"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7.5</w:t>
            </w:r>
          </w:p>
        </w:tc>
      </w:tr>
      <w:tr w:rsidR="00383CA1" w:rsidRPr="002538F5" w14:paraId="35844BE9" w14:textId="77777777" w:rsidTr="00383CA1">
        <w:tc>
          <w:tcPr>
            <w:tcW w:w="1481" w:type="pct"/>
            <w:hideMark/>
          </w:tcPr>
          <w:p w14:paraId="5D72DFF8"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Marital Status</w:t>
            </w:r>
          </w:p>
        </w:tc>
        <w:tc>
          <w:tcPr>
            <w:tcW w:w="1501" w:type="pct"/>
            <w:hideMark/>
          </w:tcPr>
          <w:p w14:paraId="1B07268E"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Married/Cohabiting</w:t>
            </w:r>
          </w:p>
        </w:tc>
        <w:tc>
          <w:tcPr>
            <w:tcW w:w="972" w:type="pct"/>
            <w:hideMark/>
          </w:tcPr>
          <w:p w14:paraId="7C5ED9EB"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187</w:t>
            </w:r>
          </w:p>
        </w:tc>
        <w:tc>
          <w:tcPr>
            <w:tcW w:w="1046" w:type="pct"/>
            <w:hideMark/>
          </w:tcPr>
          <w:p w14:paraId="5DDAFF62"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54.0</w:t>
            </w:r>
          </w:p>
        </w:tc>
      </w:tr>
      <w:tr w:rsidR="00383CA1" w:rsidRPr="002538F5" w14:paraId="26EFDA66" w14:textId="77777777" w:rsidTr="00383CA1">
        <w:tc>
          <w:tcPr>
            <w:tcW w:w="1481" w:type="pct"/>
            <w:hideMark/>
          </w:tcPr>
          <w:p w14:paraId="2F610668" w14:textId="77777777" w:rsidR="00383CA1" w:rsidRPr="00383CA1" w:rsidRDefault="00383CA1" w:rsidP="00383CA1">
            <w:pPr>
              <w:spacing w:line="360" w:lineRule="auto"/>
              <w:jc w:val="both"/>
              <w:rPr>
                <w:rFonts w:ascii="Times New Roman" w:hAnsi="Times New Roman" w:cs="Times New Roman"/>
              </w:rPr>
            </w:pPr>
          </w:p>
        </w:tc>
        <w:tc>
          <w:tcPr>
            <w:tcW w:w="1501" w:type="pct"/>
            <w:hideMark/>
          </w:tcPr>
          <w:p w14:paraId="383F98AD"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Single</w:t>
            </w:r>
          </w:p>
        </w:tc>
        <w:tc>
          <w:tcPr>
            <w:tcW w:w="972" w:type="pct"/>
            <w:hideMark/>
          </w:tcPr>
          <w:p w14:paraId="7AD0F6F7"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145</w:t>
            </w:r>
          </w:p>
        </w:tc>
        <w:tc>
          <w:tcPr>
            <w:tcW w:w="1046" w:type="pct"/>
            <w:hideMark/>
          </w:tcPr>
          <w:p w14:paraId="3D9F64EE"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41.9</w:t>
            </w:r>
          </w:p>
        </w:tc>
      </w:tr>
      <w:tr w:rsidR="00383CA1" w:rsidRPr="002538F5" w14:paraId="08C511AC" w14:textId="77777777" w:rsidTr="00383CA1">
        <w:tc>
          <w:tcPr>
            <w:tcW w:w="1481" w:type="pct"/>
            <w:hideMark/>
          </w:tcPr>
          <w:p w14:paraId="5A9A5006"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Guardian Occupation</w:t>
            </w:r>
          </w:p>
        </w:tc>
        <w:tc>
          <w:tcPr>
            <w:tcW w:w="1501" w:type="pct"/>
            <w:hideMark/>
          </w:tcPr>
          <w:p w14:paraId="6CFCCF44"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Subsistence farmer</w:t>
            </w:r>
          </w:p>
        </w:tc>
        <w:tc>
          <w:tcPr>
            <w:tcW w:w="972" w:type="pct"/>
            <w:hideMark/>
          </w:tcPr>
          <w:p w14:paraId="39A862C8"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211</w:t>
            </w:r>
          </w:p>
        </w:tc>
        <w:tc>
          <w:tcPr>
            <w:tcW w:w="1046" w:type="pct"/>
            <w:hideMark/>
          </w:tcPr>
          <w:p w14:paraId="0BE26EE5"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61.0</w:t>
            </w:r>
          </w:p>
        </w:tc>
      </w:tr>
      <w:tr w:rsidR="00383CA1" w:rsidRPr="002538F5" w14:paraId="41A9D5BE" w14:textId="77777777" w:rsidTr="00383CA1">
        <w:tc>
          <w:tcPr>
            <w:tcW w:w="1481" w:type="pct"/>
            <w:hideMark/>
          </w:tcPr>
          <w:p w14:paraId="0B43BC18"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Basic Needs Provision</w:t>
            </w:r>
          </w:p>
        </w:tc>
        <w:tc>
          <w:tcPr>
            <w:tcW w:w="1501" w:type="pct"/>
            <w:hideMark/>
          </w:tcPr>
          <w:p w14:paraId="40939892"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Rarely/Never provided</w:t>
            </w:r>
          </w:p>
        </w:tc>
        <w:tc>
          <w:tcPr>
            <w:tcW w:w="972" w:type="pct"/>
            <w:hideMark/>
          </w:tcPr>
          <w:p w14:paraId="7950E730"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159</w:t>
            </w:r>
          </w:p>
        </w:tc>
        <w:tc>
          <w:tcPr>
            <w:tcW w:w="1046" w:type="pct"/>
            <w:hideMark/>
          </w:tcPr>
          <w:p w14:paraId="2FC20796"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46.0</w:t>
            </w:r>
          </w:p>
        </w:tc>
      </w:tr>
    </w:tbl>
    <w:p w14:paraId="794840FB" w14:textId="77777777" w:rsidR="00383CA1" w:rsidRPr="002538F5" w:rsidRDefault="00383CA1" w:rsidP="00383CA1">
      <w:pPr>
        <w:spacing w:after="0" w:line="360" w:lineRule="auto"/>
        <w:jc w:val="both"/>
        <w:rPr>
          <w:rFonts w:ascii="Times New Roman" w:hAnsi="Times New Roman" w:cs="Times New Roman"/>
        </w:rPr>
      </w:pPr>
    </w:p>
    <w:p w14:paraId="5E234E90" w14:textId="3842E497" w:rsidR="00383CA1" w:rsidRPr="002538F5" w:rsidRDefault="00383CA1" w:rsidP="00383CA1">
      <w:pPr>
        <w:pStyle w:val="Heading1"/>
        <w:spacing w:before="0" w:after="0" w:line="360" w:lineRule="auto"/>
        <w:rPr>
          <w:rFonts w:cs="Times New Roman"/>
          <w:szCs w:val="24"/>
        </w:rPr>
      </w:pPr>
      <w:r w:rsidRPr="002538F5">
        <w:rPr>
          <w:rFonts w:cs="Times New Roman"/>
          <w:szCs w:val="24"/>
        </w:rPr>
        <w:t>3.2 Prevalence of Teenage Pregnancy</w:t>
      </w:r>
    </w:p>
    <w:p w14:paraId="2B79A21B" w14:textId="7A34FEE3" w:rsidR="00383CA1" w:rsidRPr="00383CA1" w:rsidRDefault="00383CA1" w:rsidP="00383CA1">
      <w:pPr>
        <w:spacing w:after="0" w:line="360" w:lineRule="auto"/>
        <w:jc w:val="both"/>
        <w:rPr>
          <w:rFonts w:ascii="Times New Roman" w:hAnsi="Times New Roman" w:cs="Times New Roman"/>
        </w:rPr>
      </w:pPr>
      <w:r w:rsidRPr="00383CA1">
        <w:rPr>
          <w:rFonts w:ascii="Times New Roman" w:hAnsi="Times New Roman" w:cs="Times New Roman"/>
        </w:rPr>
        <w:t>Of the 346 respondents, 199 (57.5%) reported having ever been pregnant. Among those, 86.4% reported the pregnancy was unplanned, and 47.7% identified their husband as the partner at the time of pregnancy.</w:t>
      </w:r>
    </w:p>
    <w:p w14:paraId="67EAFD5F" w14:textId="77777777" w:rsidR="00383CA1" w:rsidRPr="002538F5" w:rsidRDefault="00383CA1" w:rsidP="002538F5">
      <w:pPr>
        <w:pStyle w:val="Heading1"/>
        <w:rPr>
          <w:rFonts w:cs="Times New Roman"/>
          <w:szCs w:val="24"/>
        </w:rPr>
      </w:pPr>
      <w:r w:rsidRPr="002538F5">
        <w:rPr>
          <w:rFonts w:cs="Times New Roman"/>
          <w:szCs w:val="24"/>
        </w:rPr>
        <w:t>3.3 Factors Associated with Teenage Pregnancy</w:t>
      </w:r>
    </w:p>
    <w:p w14:paraId="744CB59B" w14:textId="4C92A162" w:rsidR="00383CA1" w:rsidRPr="00383CA1" w:rsidRDefault="00383CA1" w:rsidP="00383CA1">
      <w:pPr>
        <w:spacing w:after="0" w:line="360" w:lineRule="auto"/>
        <w:jc w:val="both"/>
        <w:rPr>
          <w:rFonts w:ascii="Times New Roman" w:hAnsi="Times New Roman" w:cs="Times New Roman"/>
        </w:rPr>
      </w:pPr>
      <w:r w:rsidRPr="00383CA1">
        <w:rPr>
          <w:rFonts w:ascii="Times New Roman" w:hAnsi="Times New Roman" w:cs="Times New Roman"/>
        </w:rPr>
        <w:t xml:space="preserve">Bivariate analysis (Table 2) revealed significant positive correlations between teenage pregnancy and: being married/cohabiting (r=0.698, p&lt;0.01), cultural support for early marriage (r=0.520, p&lt;0.01), and household poverty (r=0.350, p&lt;0.01). Education level was negatively correlated </w:t>
      </w:r>
      <w:r w:rsidRPr="002538F5">
        <w:rPr>
          <w:rFonts w:ascii="Times New Roman" w:hAnsi="Times New Roman" w:cs="Times New Roman"/>
        </w:rPr>
        <w:t xml:space="preserve">with (r = -0.385, p &lt; </w:t>
      </w:r>
      <w:r w:rsidRPr="00383CA1">
        <w:rPr>
          <w:rFonts w:ascii="Times New Roman" w:hAnsi="Times New Roman" w:cs="Times New Roman"/>
        </w:rPr>
        <w:t>0.01).</w:t>
      </w:r>
    </w:p>
    <w:p w14:paraId="5B6AC265" w14:textId="2D4F9557" w:rsidR="007643C1" w:rsidRPr="007643C1" w:rsidRDefault="007643C1" w:rsidP="007643C1">
      <w:pPr>
        <w:pStyle w:val="Caption"/>
        <w:rPr>
          <w:rFonts w:ascii="Times New Roman" w:hAnsi="Times New Roman" w:cs="Times New Roman"/>
          <w:color w:val="000000" w:themeColor="text1"/>
          <w:sz w:val="24"/>
          <w:szCs w:val="24"/>
        </w:rPr>
      </w:pPr>
      <w:r w:rsidRPr="007643C1">
        <w:rPr>
          <w:rFonts w:ascii="Times New Roman" w:hAnsi="Times New Roman" w:cs="Times New Roman"/>
          <w:color w:val="000000" w:themeColor="text1"/>
          <w:sz w:val="24"/>
          <w:szCs w:val="24"/>
        </w:rPr>
        <w:t xml:space="preserve">Table </w:t>
      </w:r>
      <w:r w:rsidRPr="007643C1">
        <w:rPr>
          <w:rFonts w:ascii="Times New Roman" w:hAnsi="Times New Roman" w:cs="Times New Roman"/>
          <w:color w:val="000000" w:themeColor="text1"/>
          <w:sz w:val="24"/>
          <w:szCs w:val="24"/>
        </w:rPr>
        <w:fldChar w:fldCharType="begin"/>
      </w:r>
      <w:r w:rsidRPr="007643C1">
        <w:rPr>
          <w:rFonts w:ascii="Times New Roman" w:hAnsi="Times New Roman" w:cs="Times New Roman"/>
          <w:color w:val="000000" w:themeColor="text1"/>
          <w:sz w:val="24"/>
          <w:szCs w:val="24"/>
        </w:rPr>
        <w:instrText xml:space="preserve"> SEQ Table \* ARABIC </w:instrText>
      </w:r>
      <w:r w:rsidRPr="007643C1">
        <w:rPr>
          <w:rFonts w:ascii="Times New Roman" w:hAnsi="Times New Roman" w:cs="Times New Roman"/>
          <w:color w:val="000000" w:themeColor="text1"/>
          <w:sz w:val="24"/>
          <w:szCs w:val="24"/>
        </w:rPr>
        <w:fldChar w:fldCharType="separate"/>
      </w:r>
      <w:r w:rsidRPr="007643C1">
        <w:rPr>
          <w:rFonts w:ascii="Times New Roman" w:hAnsi="Times New Roman" w:cs="Times New Roman"/>
          <w:noProof/>
          <w:color w:val="000000" w:themeColor="text1"/>
          <w:sz w:val="24"/>
          <w:szCs w:val="24"/>
        </w:rPr>
        <w:t>2</w:t>
      </w:r>
      <w:r w:rsidRPr="007643C1">
        <w:rPr>
          <w:rFonts w:ascii="Times New Roman" w:hAnsi="Times New Roman" w:cs="Times New Roman"/>
          <w:color w:val="000000" w:themeColor="text1"/>
          <w:sz w:val="24"/>
          <w:szCs w:val="24"/>
        </w:rPr>
        <w:fldChar w:fldCharType="end"/>
      </w:r>
      <w:r w:rsidRPr="007643C1">
        <w:rPr>
          <w:rFonts w:ascii="Times New Roman" w:hAnsi="Times New Roman" w:cs="Times New Roman"/>
          <w:color w:val="000000" w:themeColor="text1"/>
          <w:sz w:val="24"/>
          <w:szCs w:val="24"/>
        </w:rPr>
        <w:t>: Logistic Regression Predicting Teenage Pregnancy</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989"/>
        <w:gridCol w:w="1865"/>
        <w:gridCol w:w="1336"/>
      </w:tblGrid>
      <w:tr w:rsidR="007643C1" w:rsidRPr="007643C1" w14:paraId="7CE75E8A" w14:textId="77777777" w:rsidTr="007643C1">
        <w:tc>
          <w:tcPr>
            <w:tcW w:w="2679" w:type="pct"/>
            <w:tcBorders>
              <w:top w:val="single" w:sz="4" w:space="0" w:color="auto"/>
              <w:bottom w:val="single" w:sz="4" w:space="0" w:color="auto"/>
            </w:tcBorders>
            <w:hideMark/>
          </w:tcPr>
          <w:p w14:paraId="29B080A6" w14:textId="77777777" w:rsidR="007643C1" w:rsidRPr="007643C1" w:rsidRDefault="007643C1" w:rsidP="007643C1">
            <w:pPr>
              <w:spacing w:line="360" w:lineRule="auto"/>
              <w:rPr>
                <w:rFonts w:ascii="Times New Roman" w:eastAsia="Times New Roman" w:hAnsi="Times New Roman" w:cs="Times New Roman"/>
                <w:kern w:val="0"/>
                <w14:ligatures w14:val="none"/>
              </w:rPr>
            </w:pPr>
            <w:r w:rsidRPr="007643C1">
              <w:rPr>
                <w:rFonts w:ascii="Times New Roman" w:eastAsia="Times New Roman" w:hAnsi="Times New Roman" w:cs="Times New Roman"/>
                <w:b/>
                <w:bCs/>
                <w:kern w:val="0"/>
                <w14:ligatures w14:val="none"/>
              </w:rPr>
              <w:t>Predictor Variable</w:t>
            </w:r>
          </w:p>
        </w:tc>
        <w:tc>
          <w:tcPr>
            <w:tcW w:w="548" w:type="pct"/>
            <w:tcBorders>
              <w:top w:val="single" w:sz="4" w:space="0" w:color="auto"/>
              <w:bottom w:val="single" w:sz="4" w:space="0" w:color="auto"/>
            </w:tcBorders>
            <w:hideMark/>
          </w:tcPr>
          <w:p w14:paraId="73441F9E"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b/>
                <w:bCs/>
                <w:kern w:val="0"/>
                <w14:ligatures w14:val="none"/>
              </w:rPr>
              <w:t>AOR</w:t>
            </w:r>
          </w:p>
        </w:tc>
        <w:tc>
          <w:tcPr>
            <w:tcW w:w="1033" w:type="pct"/>
            <w:tcBorders>
              <w:top w:val="single" w:sz="4" w:space="0" w:color="auto"/>
              <w:bottom w:val="single" w:sz="4" w:space="0" w:color="auto"/>
            </w:tcBorders>
            <w:hideMark/>
          </w:tcPr>
          <w:p w14:paraId="177DDCE6"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b/>
                <w:bCs/>
                <w:kern w:val="0"/>
                <w14:ligatures w14:val="none"/>
              </w:rPr>
              <w:t>95% CI</w:t>
            </w:r>
          </w:p>
        </w:tc>
        <w:tc>
          <w:tcPr>
            <w:tcW w:w="740" w:type="pct"/>
            <w:tcBorders>
              <w:top w:val="single" w:sz="4" w:space="0" w:color="auto"/>
              <w:bottom w:val="single" w:sz="4" w:space="0" w:color="auto"/>
            </w:tcBorders>
            <w:hideMark/>
          </w:tcPr>
          <w:p w14:paraId="529017A1"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b/>
                <w:bCs/>
                <w:kern w:val="0"/>
                <w14:ligatures w14:val="none"/>
              </w:rPr>
              <w:t>p-value</w:t>
            </w:r>
          </w:p>
        </w:tc>
      </w:tr>
      <w:tr w:rsidR="007643C1" w:rsidRPr="007643C1" w14:paraId="01B61978" w14:textId="77777777" w:rsidTr="007643C1">
        <w:tc>
          <w:tcPr>
            <w:tcW w:w="2679" w:type="pct"/>
            <w:tcBorders>
              <w:top w:val="single" w:sz="4" w:space="0" w:color="auto"/>
            </w:tcBorders>
            <w:hideMark/>
          </w:tcPr>
          <w:p w14:paraId="5322D948" w14:textId="77777777" w:rsidR="007643C1" w:rsidRPr="007643C1" w:rsidRDefault="007643C1" w:rsidP="007643C1">
            <w:pPr>
              <w:spacing w:line="360" w:lineRule="auto"/>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lastRenderedPageBreak/>
              <w:t>Marital status (Married)</w:t>
            </w:r>
          </w:p>
        </w:tc>
        <w:tc>
          <w:tcPr>
            <w:tcW w:w="548" w:type="pct"/>
            <w:tcBorders>
              <w:top w:val="single" w:sz="4" w:space="0" w:color="auto"/>
            </w:tcBorders>
            <w:hideMark/>
          </w:tcPr>
          <w:p w14:paraId="7AF67073"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6.312</w:t>
            </w:r>
          </w:p>
        </w:tc>
        <w:tc>
          <w:tcPr>
            <w:tcW w:w="1033" w:type="pct"/>
            <w:tcBorders>
              <w:top w:val="single" w:sz="4" w:space="0" w:color="auto"/>
            </w:tcBorders>
            <w:hideMark/>
          </w:tcPr>
          <w:p w14:paraId="5B44EF0D"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(3.94, 10.12)</w:t>
            </w:r>
          </w:p>
        </w:tc>
        <w:tc>
          <w:tcPr>
            <w:tcW w:w="740" w:type="pct"/>
            <w:tcBorders>
              <w:top w:val="single" w:sz="4" w:space="0" w:color="auto"/>
            </w:tcBorders>
            <w:hideMark/>
          </w:tcPr>
          <w:p w14:paraId="7E93A88D" w14:textId="134EDF8C"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&lt;0.001</w:t>
            </w:r>
          </w:p>
        </w:tc>
      </w:tr>
      <w:tr w:rsidR="007643C1" w:rsidRPr="007643C1" w14:paraId="1D1F5B04" w14:textId="77777777" w:rsidTr="007643C1">
        <w:tc>
          <w:tcPr>
            <w:tcW w:w="2679" w:type="pct"/>
            <w:hideMark/>
          </w:tcPr>
          <w:p w14:paraId="41FBC7F7" w14:textId="77777777" w:rsidR="007643C1" w:rsidRPr="007643C1" w:rsidRDefault="007643C1" w:rsidP="007643C1">
            <w:pPr>
              <w:spacing w:line="360" w:lineRule="auto"/>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Cultural support for early marriage</w:t>
            </w:r>
          </w:p>
        </w:tc>
        <w:tc>
          <w:tcPr>
            <w:tcW w:w="548" w:type="pct"/>
            <w:hideMark/>
          </w:tcPr>
          <w:p w14:paraId="7333317C"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1.809</w:t>
            </w:r>
          </w:p>
        </w:tc>
        <w:tc>
          <w:tcPr>
            <w:tcW w:w="1033" w:type="pct"/>
            <w:hideMark/>
          </w:tcPr>
          <w:p w14:paraId="0DFE6254"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(1.33, 2.45)</w:t>
            </w:r>
          </w:p>
        </w:tc>
        <w:tc>
          <w:tcPr>
            <w:tcW w:w="740" w:type="pct"/>
            <w:hideMark/>
          </w:tcPr>
          <w:p w14:paraId="730EE2CA"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&lt;0.001</w:t>
            </w:r>
          </w:p>
        </w:tc>
      </w:tr>
      <w:tr w:rsidR="007643C1" w:rsidRPr="007643C1" w14:paraId="38715851" w14:textId="77777777" w:rsidTr="007643C1">
        <w:tc>
          <w:tcPr>
            <w:tcW w:w="2679" w:type="pct"/>
            <w:hideMark/>
          </w:tcPr>
          <w:p w14:paraId="56F37734" w14:textId="77777777" w:rsidR="007643C1" w:rsidRPr="007643C1" w:rsidRDefault="007643C1" w:rsidP="007643C1">
            <w:pPr>
              <w:spacing w:line="360" w:lineRule="auto"/>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Household poverty</w:t>
            </w:r>
          </w:p>
        </w:tc>
        <w:tc>
          <w:tcPr>
            <w:tcW w:w="548" w:type="pct"/>
            <w:hideMark/>
          </w:tcPr>
          <w:p w14:paraId="5530DC0F"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1.570</w:t>
            </w:r>
          </w:p>
        </w:tc>
        <w:tc>
          <w:tcPr>
            <w:tcW w:w="1033" w:type="pct"/>
            <w:hideMark/>
          </w:tcPr>
          <w:p w14:paraId="4E7700F1"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(1.24, 1.99)</w:t>
            </w:r>
          </w:p>
        </w:tc>
        <w:tc>
          <w:tcPr>
            <w:tcW w:w="740" w:type="pct"/>
            <w:hideMark/>
          </w:tcPr>
          <w:p w14:paraId="466C010E"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&lt;0.001</w:t>
            </w:r>
          </w:p>
        </w:tc>
      </w:tr>
      <w:tr w:rsidR="007643C1" w:rsidRPr="007643C1" w14:paraId="700EAED3" w14:textId="77777777" w:rsidTr="007643C1">
        <w:tc>
          <w:tcPr>
            <w:tcW w:w="2679" w:type="pct"/>
            <w:hideMark/>
          </w:tcPr>
          <w:p w14:paraId="6F55FA48" w14:textId="77777777" w:rsidR="007643C1" w:rsidRPr="007643C1" w:rsidRDefault="007643C1" w:rsidP="007643C1">
            <w:pPr>
              <w:spacing w:line="360" w:lineRule="auto"/>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Education level</w:t>
            </w:r>
          </w:p>
        </w:tc>
        <w:tc>
          <w:tcPr>
            <w:tcW w:w="548" w:type="pct"/>
            <w:hideMark/>
          </w:tcPr>
          <w:p w14:paraId="506F9AB6"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0.750</w:t>
            </w:r>
          </w:p>
        </w:tc>
        <w:tc>
          <w:tcPr>
            <w:tcW w:w="1033" w:type="pct"/>
            <w:hideMark/>
          </w:tcPr>
          <w:p w14:paraId="648F0A03"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(0.62, 0.90)</w:t>
            </w:r>
          </w:p>
        </w:tc>
        <w:tc>
          <w:tcPr>
            <w:tcW w:w="740" w:type="pct"/>
            <w:hideMark/>
          </w:tcPr>
          <w:p w14:paraId="5E800362"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0.002</w:t>
            </w:r>
          </w:p>
        </w:tc>
      </w:tr>
    </w:tbl>
    <w:p w14:paraId="42F8694F" w14:textId="4EECC714" w:rsidR="007643C1" w:rsidRPr="007643C1" w:rsidRDefault="007643C1" w:rsidP="007643C1">
      <w:pPr>
        <w:pStyle w:val="NormalWeb"/>
        <w:spacing w:before="0" w:beforeAutospacing="0" w:after="0" w:afterAutospacing="0"/>
        <w:rPr>
          <w:i/>
          <w:iCs/>
        </w:rPr>
      </w:pPr>
      <w:r w:rsidRPr="007643C1">
        <w:rPr>
          <w:rStyle w:val="Strong"/>
          <w:rFonts w:eastAsiaTheme="majorEastAsia"/>
          <w:b w:val="0"/>
          <w:bCs w:val="0"/>
          <w:i/>
          <w:iCs/>
          <w:vertAlign w:val="superscript"/>
        </w:rPr>
        <w:t>1</w:t>
      </w:r>
      <w:r w:rsidRPr="007643C1">
        <w:rPr>
          <w:rStyle w:val="Strong"/>
          <w:rFonts w:eastAsiaTheme="majorEastAsia"/>
          <w:b w:val="0"/>
          <w:bCs w:val="0"/>
          <w:i/>
          <w:iCs/>
        </w:rPr>
        <w:t>Model Fit:</w:t>
      </w:r>
      <w:r w:rsidRPr="007643C1">
        <w:rPr>
          <w:i/>
          <w:iCs/>
        </w:rPr>
        <w:t xml:space="preserve"> Nagelkerke R² = 0.652; χ²(4) = 168.45; p &lt; 0.001</w:t>
      </w:r>
    </w:p>
    <w:p w14:paraId="45098BDE" w14:textId="2F5E5097" w:rsidR="007643C1" w:rsidRDefault="007643C1" w:rsidP="007643C1">
      <w:pPr>
        <w:pStyle w:val="NormalWeb"/>
        <w:spacing w:before="0" w:beforeAutospacing="0" w:after="0" w:afterAutospacing="0"/>
        <w:rPr>
          <w:i/>
          <w:iCs/>
        </w:rPr>
      </w:pPr>
      <w:r w:rsidRPr="007643C1">
        <w:rPr>
          <w:i/>
          <w:iCs/>
          <w:vertAlign w:val="superscript"/>
        </w:rPr>
        <w:t>2</w:t>
      </w:r>
      <w:r w:rsidRPr="007643C1">
        <w:rPr>
          <w:i/>
          <w:iCs/>
        </w:rPr>
        <w:t>Reference category = single</w:t>
      </w:r>
    </w:p>
    <w:p w14:paraId="242E308E" w14:textId="31582184" w:rsidR="007643C1" w:rsidRDefault="007643C1" w:rsidP="007643C1">
      <w:pPr>
        <w:pStyle w:val="NormalWeb"/>
        <w:spacing w:before="0" w:beforeAutospacing="0" w:after="0" w:afterAutospacing="0"/>
        <w:rPr>
          <w:i/>
          <w:iCs/>
        </w:rPr>
      </w:pPr>
      <w:r w:rsidRPr="007643C1">
        <w:rPr>
          <w:i/>
          <w:iCs/>
          <w:vertAlign w:val="superscript"/>
        </w:rPr>
        <w:t>3</w:t>
      </w:r>
      <w:r>
        <w:rPr>
          <w:i/>
          <w:iCs/>
        </w:rPr>
        <w:t>Education Level = Lower vs Upper</w:t>
      </w:r>
    </w:p>
    <w:p w14:paraId="084F4355" w14:textId="77777777" w:rsidR="007643C1" w:rsidRPr="007643C1" w:rsidRDefault="007643C1" w:rsidP="007643C1">
      <w:pPr>
        <w:pStyle w:val="NormalWeb"/>
        <w:spacing w:before="0" w:beforeAutospacing="0" w:after="0" w:afterAutospacing="0"/>
        <w:rPr>
          <w:i/>
          <w:iCs/>
        </w:rPr>
      </w:pPr>
    </w:p>
    <w:p w14:paraId="07377132" w14:textId="1D0A80D3" w:rsidR="007643C1" w:rsidRDefault="007643C1" w:rsidP="00764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Times New Roman" w:eastAsia="Times New Roman" w:hAnsi="Times New Roman" w:cs="Times New Roman"/>
          <w:i/>
          <w:iCs/>
          <w:color w:val="0F1115"/>
          <w:kern w:val="0"/>
          <w14:ligatures w14:val="none"/>
        </w:rPr>
      </w:pPr>
      <w:r w:rsidRPr="007643C1">
        <w:rPr>
          <w:rFonts w:ascii="Times New Roman" w:eastAsia="Times New Roman" w:hAnsi="Times New Roman" w:cs="Times New Roman"/>
          <w:i/>
          <w:iCs/>
          <w:color w:val="0F1115"/>
          <w:kern w:val="0"/>
          <w14:ligatures w14:val="none"/>
        </w:rPr>
        <w:t>Note: AOR = Adjusted Odds Ratio; CI = Confidence Interval</w:t>
      </w:r>
    </w:p>
    <w:p w14:paraId="1CD6A4FF" w14:textId="77777777" w:rsidR="007643C1" w:rsidRPr="007643C1" w:rsidRDefault="007643C1" w:rsidP="00764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Times New Roman" w:eastAsia="Times New Roman" w:hAnsi="Times New Roman" w:cs="Times New Roman"/>
          <w:i/>
          <w:iCs/>
          <w:color w:val="0F1115"/>
          <w:kern w:val="0"/>
          <w14:ligatures w14:val="none"/>
        </w:rPr>
      </w:pPr>
    </w:p>
    <w:p w14:paraId="6E69F9C9" w14:textId="4D66BFFB" w:rsidR="00383CA1" w:rsidRPr="00383CA1" w:rsidRDefault="00383CA1" w:rsidP="00383CA1">
      <w:pPr>
        <w:spacing w:after="0" w:line="360" w:lineRule="auto"/>
        <w:jc w:val="both"/>
        <w:rPr>
          <w:rFonts w:ascii="Times New Roman" w:hAnsi="Times New Roman" w:cs="Times New Roman"/>
        </w:rPr>
      </w:pPr>
      <w:r w:rsidRPr="00383CA1">
        <w:rPr>
          <w:rFonts w:ascii="Times New Roman" w:hAnsi="Times New Roman" w:cs="Times New Roman"/>
        </w:rPr>
        <w:t>The logistic regression model was statistically significant (χ²</w:t>
      </w:r>
      <w:r w:rsidR="002538F5" w:rsidRPr="002538F5">
        <w:rPr>
          <w:rFonts w:ascii="Times New Roman" w:hAnsi="Times New Roman" w:cs="Times New Roman"/>
        </w:rPr>
        <w:t xml:space="preserve"> </w:t>
      </w:r>
      <w:r w:rsidRPr="00383CA1">
        <w:rPr>
          <w:rFonts w:ascii="Times New Roman" w:hAnsi="Times New Roman" w:cs="Times New Roman"/>
        </w:rPr>
        <w:t>=</w:t>
      </w:r>
      <w:r w:rsidR="002538F5" w:rsidRPr="002538F5">
        <w:rPr>
          <w:rFonts w:ascii="Times New Roman" w:hAnsi="Times New Roman" w:cs="Times New Roman"/>
        </w:rPr>
        <w:t xml:space="preserve"> 168.45, p &lt; </w:t>
      </w:r>
      <w:r w:rsidRPr="00383CA1">
        <w:rPr>
          <w:rFonts w:ascii="Times New Roman" w:hAnsi="Times New Roman" w:cs="Times New Roman"/>
        </w:rPr>
        <w:t>.001), explaining 65.2% of the variance in teenage pregnancy (Nagelkerke R²). Married/cohabiting teenagers were over six times more likely to be pregnant than their single peers (AOR=6.312, p&lt;.001). Perceived cultural support for early marriage (AOR=1.809) and household poverty (AOR=1.570) significantly increased the odds, while higher education (AOR=0.750) was protective.</w:t>
      </w:r>
    </w:p>
    <w:p w14:paraId="72A08529" w14:textId="6C7927BF" w:rsidR="00383CA1" w:rsidRPr="002538F5" w:rsidRDefault="00383CA1" w:rsidP="00383CA1">
      <w:pPr>
        <w:pStyle w:val="Heading1"/>
        <w:spacing w:before="0" w:after="0" w:line="360" w:lineRule="auto"/>
        <w:rPr>
          <w:rFonts w:cs="Times New Roman"/>
          <w:szCs w:val="24"/>
        </w:rPr>
      </w:pPr>
      <w:r w:rsidRPr="002538F5">
        <w:rPr>
          <w:rFonts w:cs="Times New Roman"/>
          <w:szCs w:val="24"/>
        </w:rPr>
        <w:t>4.0 Discussion</w:t>
      </w:r>
    </w:p>
    <w:p w14:paraId="45143AA9" w14:textId="69C247E2" w:rsidR="002538F5" w:rsidRPr="002538F5" w:rsidRDefault="002538F5" w:rsidP="002538F5">
      <w:pPr>
        <w:spacing w:after="0" w:line="360" w:lineRule="auto"/>
        <w:jc w:val="both"/>
        <w:rPr>
          <w:rFonts w:ascii="Times New Roman" w:hAnsi="Times New Roman" w:cs="Times New Roman"/>
        </w:rPr>
      </w:pPr>
      <w:r w:rsidRPr="002538F5">
        <w:rPr>
          <w:rFonts w:ascii="Times New Roman" w:hAnsi="Times New Roman" w:cs="Times New Roman"/>
        </w:rPr>
        <w:t xml:space="preserve">This study reveals a crisis-level prevalence of teenage pregnancy (57.5%) in Odravu Sub-County, far exceeding the national average reported in Uganda. Similar studies have shown that although the national prevalence is already high, certain rural and socioeconomically disadvantaged areas experience disproportionately elevated rates </w:t>
      </w:r>
      <w:r w:rsidRPr="002538F5">
        <w:rPr>
          <w:rFonts w:ascii="Times New Roman" w:hAnsi="Times New Roman" w:cs="Times New Roman"/>
        </w:rPr>
        <w:fldChar w:fldCharType="begin"/>
      </w:r>
      <w:r w:rsidRPr="002538F5">
        <w:rPr>
          <w:rFonts w:ascii="Times New Roman" w:hAnsi="Times New Roman" w:cs="Times New Roman"/>
        </w:rPr>
        <w:instrText xml:space="preserve"> ADDIN ZOTERO_ITEM CSL_CITATION {"citationID":"mPi3aHh5","properties":{"formattedCitation":"(Dinah Amongin &amp; Lenka Benova, 2020; Wasswa et al., 2021)","plainCitation":"(Dinah Amongin &amp; Lenka Benova, 2020; Wasswa et al., 2021)","noteIndex":0},"citationItems":[{"id":1335,"uris":["http://zotero.org/users/17127802/items/C8ZDPUYS"],"itemData":{"id":1335,"type":"webpage","title":"Trends and determinants of adolescent childbirth in Uganda- analysis of rural and urban women using six demographic and health surveys, 1988–2016 | Reproductive Health | Springer Nature Link","URL":"https://link.springer.com/article/10.1186/s12978-020-00925-8?utm_source=chatgpt.com","author":[{"literal":"Dinah Amongin"},{"literal":"Lenka Benova"}],"accessed":{"date-parts":[["2026",4,14]]},"issued":{"date-parts":[["2020"]]}}},{"id":1332,"uris":["http://zotero.org/users/17127802/items/5W9KYHPG"],"itemData":{"id":1332,"type":"article-journal","abstract":"OBJECTIVE: Teenage pregnancy has become a public health concern in Uganda because of its negative consequences to both the mother and child. The objective of this study was to examine the determinants of change in the inequality and associated predictors of teenage pregnancy in Uganda for the period 2006-2016.\nSTUDY DESIGN: A retrospective national cross-sectional study. SETTING: Uganda.\nPARTICIPANTS: Uganda Demographic and Health Survey secondary data of only female teenagers aged 15-19 years. The samples selected for analyses were 1936 in 2006; 2048 in 2011 and 4264 in 2016.\nOUTCOME MEASURE: The primary outcome was teenage pregnancy. Analysis was performed using the logistic regression, equiplots, concentration curve, normalised concentration index, decomposition of the concentration index and Oaxaca-type decomposition.\nRESULTS: The prevalence of teenage pregnancy has seemingly remained high and almost constant from 2006 to 2016 with the risk worsening to the disadvantage of the poor. Household wealth-index, teenagers' years of education, early sexual debut and child marriage were the main key predictors and contributors of the large inequality in teenage pregnancy from 2006 to 2016.\nCONCLUSION: Teenage pregnancy is disproportionately prevalent among different subpopulations of adolescent girls in Uganda. We therefore recommend policy actions to sensitise communities and enforcement of child rights and child protection laws to stop child marriages. There is also need to promote girl child education, improving household incomes, and intensifying mass media awareness on the risks of early pregnancies. Further, ensuring that villages have operational adolescent and youth friendly services as well as incorporating sex education and other different adolescent reproductive health programmes in school curriculum will be key measures in reducing the large inequality in teenage pregnancy.","container-title":"BMJ open","DOI":"10.1136/bmjopen-2021-053264","ISSN":"2044-6055","issue":"11","journalAbbreviation":"BMJ Open","language":"eng","page":"e053264","PMID":"34753766","PMCID":"PMC8578988","source":"PubMed","title":"Determinants of change in the inequality and associated predictors of teenage pregnancy in Uganda for the period 2006-2016: analysis of the Uganda Demographic and Health Surveys","title-short":"Determinants of change in the inequality and associated predictors of teenage pregnancy in Uganda for the period 2006-2016","volume":"11","author":[{"family":"Wasswa","given":"Ronald"},{"family":"Kabagenyi","given":"Allen"},{"family":"Kananura","given":"Rornald Muhumuza"},{"family":"Jehopio","given":"Joseph"},{"family":"Rutaremwa","given":"Gideon"}],"issued":{"date-parts":[["2021",11,9]]}}}],"schema":"https://github.com/citation-style-language/schema/raw/master/csl-citation.json"} </w:instrText>
      </w:r>
      <w:r w:rsidRPr="002538F5">
        <w:rPr>
          <w:rFonts w:ascii="Times New Roman" w:hAnsi="Times New Roman" w:cs="Times New Roman"/>
        </w:rPr>
        <w:fldChar w:fldCharType="separate"/>
      </w:r>
      <w:r w:rsidRPr="002538F5">
        <w:rPr>
          <w:rFonts w:ascii="Times New Roman" w:hAnsi="Times New Roman" w:cs="Times New Roman"/>
        </w:rPr>
        <w:t>(Dinah Amongin</w:t>
      </w:r>
      <w:r w:rsidR="007643C1">
        <w:rPr>
          <w:rFonts w:ascii="Times New Roman" w:hAnsi="Times New Roman" w:cs="Times New Roman"/>
        </w:rPr>
        <w:t xml:space="preserve"> et al.</w:t>
      </w:r>
      <w:r w:rsidRPr="002538F5">
        <w:rPr>
          <w:rFonts w:ascii="Times New Roman" w:hAnsi="Times New Roman" w:cs="Times New Roman"/>
        </w:rPr>
        <w:t>, 2020; Wasswa et al., 2021)</w:t>
      </w:r>
      <w:r w:rsidRPr="002538F5">
        <w:rPr>
          <w:rFonts w:ascii="Times New Roman" w:hAnsi="Times New Roman" w:cs="Times New Roman"/>
        </w:rPr>
        <w:fldChar w:fldCharType="end"/>
      </w:r>
      <w:r w:rsidRPr="002538F5">
        <w:rPr>
          <w:rFonts w:ascii="Times New Roman" w:hAnsi="Times New Roman" w:cs="Times New Roman"/>
        </w:rPr>
        <w:t xml:space="preserve">. The findings further demonstrate that teenage pregnancy is not merely a result of individual risk-taking but a socially patterned outcome shaped by structural inequalities such as poverty, education, and residence </w:t>
      </w:r>
      <w:r w:rsidRPr="002538F5">
        <w:rPr>
          <w:rFonts w:ascii="Times New Roman" w:hAnsi="Times New Roman" w:cs="Times New Roman"/>
        </w:rPr>
        <w:fldChar w:fldCharType="begin"/>
      </w:r>
      <w:r w:rsidRPr="002538F5">
        <w:rPr>
          <w:rFonts w:ascii="Times New Roman" w:hAnsi="Times New Roman" w:cs="Times New Roman"/>
        </w:rPr>
        <w:instrText xml:space="preserve"> ADDIN ZOTERO_ITEM CSL_CITATION {"citationID":"xt4vnmaF","properties":{"formattedCitation":"(Dinah Amongin &amp; Lenka Benova, 2020; Wasswa et al., 2021)","plainCitation":"(Dinah Amongin &amp; Lenka Benova, 2020; Wasswa et al., 2021)","noteIndex":0},"citationItems":[{"id":1335,"uris":["http://zotero.org/users/17127802/items/C8ZDPUYS"],"itemData":{"id":1335,"type":"webpage","title":"Trends and determinants of adolescent childbirth in Uganda- analysis of rural and urban women using six demographic and health surveys, 1988–2016 | Reproductive Health | Springer Nature Link","URL":"https://link.springer.com/article/10.1186/s12978-020-00925-8?utm_source=chatgpt.com","author":[{"literal":"Dinah Amongin"},{"literal":"Lenka Benova"}],"accessed":{"date-parts":[["2026",4,14]]},"issued":{"date-parts":[["2020"]]}}},{"id":1332,"uris":["http://zotero.org/users/17127802/items/5W9KYHPG"],"itemData":{"id":1332,"type":"article-journal","abstract":"OBJECTIVE: Teenage pregnancy has become a public health concern in Uganda because of its negative consequences to both the mother and child. The objective of this study was to examine the determinants of change in the inequality and associated predictors of teenage pregnancy in Uganda for the period 2006-2016.\nSTUDY DESIGN: A retrospective national cross-sectional study. SETTING: Uganda.\nPARTICIPANTS: Uganda Demographic and Health Survey secondary data of only female teenagers aged 15-19 years. The samples selected for analyses were 1936 in 2006; 2048 in 2011 and 4264 in 2016.\nOUTCOME MEASURE: The primary outcome was teenage pregnancy. Analysis was performed using the logistic regression, equiplots, concentration curve, normalised concentration index, decomposition of the concentration index and Oaxaca-type decomposition.\nRESULTS: The prevalence of teenage pregnancy has seemingly remained high and almost constant from 2006 to 2016 with the risk worsening to the disadvantage of the poor. Household wealth-index, teenagers' years of education, early sexual debut and child marriage were the main key predictors and contributors of the large inequality in teenage pregnancy from 2006 to 2016.\nCONCLUSION: Teenage pregnancy is disproportionately prevalent among different subpopulations of adolescent girls in Uganda. We therefore recommend policy actions to sensitise communities and enforcement of child rights and child protection laws to stop child marriages. There is also need to promote girl child education, improving household incomes, and intensifying mass media awareness on the risks of early pregnancies. Further, ensuring that villages have operational adolescent and youth friendly services as well as incorporating sex education and other different adolescent reproductive health programmes in school curriculum will be key measures in reducing the large inequality in teenage pregnancy.","container-title":"BMJ open","DOI":"10.1136/bmjopen-2021-053264","ISSN":"2044-6055","issue":"11","journalAbbreviation":"BMJ Open","language":"eng","page":"e053264","PMID":"34753766","PMCID":"PMC8578988","source":"PubMed","title":"Determinants of change in the inequality and associated predictors of teenage pregnancy in Uganda for the period 2006-2016: analysis of the Uganda Demographic and Health Surveys","title-short":"Determinants of change in the inequality and associated predictors of teenage pregnancy in Uganda for the period 2006-2016","volume":"11","author":[{"family":"Wasswa","given":"Ronald"},{"family":"Kabagenyi","given":"Allen"},{"family":"Kananura","given":"Rornald Muhumuza"},{"family":"Jehopio","given":"Joseph"},{"family":"Rutaremwa","given":"Gideon"}],"issued":{"date-parts":[["2021",11,9]]}}}],"schema":"https://github.com/citation-style-language/schema/raw/master/csl-citation.json"} </w:instrText>
      </w:r>
      <w:r w:rsidRPr="002538F5">
        <w:rPr>
          <w:rFonts w:ascii="Times New Roman" w:hAnsi="Times New Roman" w:cs="Times New Roman"/>
        </w:rPr>
        <w:fldChar w:fldCharType="separate"/>
      </w:r>
      <w:r w:rsidRPr="002538F5">
        <w:rPr>
          <w:rFonts w:ascii="Times New Roman" w:hAnsi="Times New Roman" w:cs="Times New Roman"/>
        </w:rPr>
        <w:t>(Dinah Amongin et al., 2020; Wasswa et al., 2021)</w:t>
      </w:r>
      <w:r w:rsidRPr="002538F5">
        <w:rPr>
          <w:rFonts w:ascii="Times New Roman" w:hAnsi="Times New Roman" w:cs="Times New Roman"/>
        </w:rPr>
        <w:fldChar w:fldCharType="end"/>
      </w:r>
      <w:r w:rsidRPr="002538F5">
        <w:rPr>
          <w:rFonts w:ascii="Times New Roman" w:hAnsi="Times New Roman" w:cs="Times New Roman"/>
        </w:rPr>
        <w:t>.</w:t>
      </w:r>
    </w:p>
    <w:p w14:paraId="167D99A4" w14:textId="07A51021" w:rsidR="002538F5" w:rsidRPr="002538F5" w:rsidRDefault="002538F5" w:rsidP="002538F5">
      <w:pPr>
        <w:spacing w:after="0" w:line="360" w:lineRule="auto"/>
        <w:jc w:val="both"/>
        <w:rPr>
          <w:rFonts w:ascii="Times New Roman" w:hAnsi="Times New Roman" w:cs="Times New Roman"/>
        </w:rPr>
      </w:pPr>
      <w:r w:rsidRPr="002538F5">
        <w:rPr>
          <w:rFonts w:ascii="Times New Roman" w:hAnsi="Times New Roman" w:cs="Times New Roman"/>
        </w:rPr>
        <w:t xml:space="preserve">The most outstanding predictor of teenage pregnancy identified in this study was marital status. The finding that married girls are six times more likely to be pregnant confirms that, in this context, marriage and pregnancy are nearly synonymous. This finding aligns with evidence indicating that child marriage is a major determinant of adolescent pregnancy in Uganda </w:t>
      </w:r>
      <w:r w:rsidRPr="002538F5">
        <w:rPr>
          <w:rFonts w:ascii="Times New Roman" w:hAnsi="Times New Roman" w:cs="Times New Roman"/>
        </w:rPr>
        <w:fldChar w:fldCharType="begin"/>
      </w:r>
      <w:r w:rsidRPr="002538F5">
        <w:rPr>
          <w:rFonts w:ascii="Times New Roman" w:hAnsi="Times New Roman" w:cs="Times New Roman"/>
        </w:rPr>
        <w:instrText xml:space="preserve"> ADDIN ZOTERO_ITEM CSL_CITATION {"citationID":"g1JUKnKk","properties":{"formattedCitation":"(UNICEF, 2022; Wasswa et al., 2021)","plainCitation":"(UNICEF, 2022; Wasswa et al., 2021)","noteIndex":0},"citationItems":[{"id":1348,"uris":["http://zotero.org/users/17127802/items/7LWA3XGK"],"itemData":{"id":1348,"type":"webpage","title":"The National Strategy to End Child Marriage and Teenage Pregnancy 2022/2023 – 2026/2027 | UNICEF Uganda","URL":"https://www.unicef.org/uganda/reports/national-strategy-end-child-marriage-and-teenage-pregnancy-20222023-20262027?utm_source=chatgpt.com","author":[{"literal":"UNICEF"}],"accessed":{"date-parts":[["2026",4,14]]},"issued":{"date-parts":[["2022"]]}}},{"id":1332,"uris":["http://zotero.org/users/17127802/items/5W9KYHPG"],"itemData":{"id":1332,"type":"article-journal","abstract":"OBJECTIVE: Teenage pregnancy has become a public health concern in Uganda because of its negative consequences to both the mother and child. The objective of this study was to examine the determinants of change in the inequality and associated predictors of teenage pregnancy in Uganda for the period 2006-2016.\nSTUDY DESIGN: A retrospective national cross-sectional study. SETTING: Uganda.\nPARTICIPANTS: Uganda Demographic and Health Survey secondary data of only female teenagers aged 15-19 years. The samples selected for analyses were 1936 in 2006; 2048 in 2011 and 4264 in 2016.\nOUTCOME MEASURE: The primary outcome was teenage pregnancy. Analysis was performed using the logistic regression, equiplots, concentration curve, normalised concentration index, decomposition of the concentration index and Oaxaca-type decomposition.\nRESULTS: The prevalence of teenage pregnancy has seemingly remained high and almost constant from 2006 to 2016 with the risk worsening to the disadvantage of the poor. Household wealth-index, teenagers' years of education, early sexual debut and child marriage were the main key predictors and contributors of the large inequality in teenage pregnancy from 2006 to 2016.\nCONCLUSION: Teenage pregnancy is disproportionately prevalent among different subpopulations of adolescent girls in Uganda. We therefore recommend policy actions to sensitise communities and enforcement of child rights and child protection laws to stop child marriages. There is also need to promote girl child education, improving household incomes, and intensifying mass media awareness on the risks of early pregnancies. Further, ensuring that villages have operational adolescent and youth friendly services as well as incorporating sex education and other different adolescent reproductive health programmes in school curriculum will be key measures in reducing the large inequality in teenage pregnancy.","container-title":"BMJ open","DOI":"10.1136/bmjopen-2021-053264","ISSN":"2044-6055","issue":"11","journalAbbreviation":"BMJ Open","language":"eng","page":"e053264","PMID":"34753766","PMCID":"PMC8578988","source":"PubMed","title":"Determinants of change in the inequality and associated predictors of teenage pregnancy in Uganda for the period 2006-2016: analysis of the Uganda Demographic and Health Surveys","title-short":"Determinants of change in the inequality and associated predictors of teenage pregnancy in Uganda for the period 2006-2016","volume":"11","author":[{"family":"Wasswa","given":"Ronald"},{"family":"Kabagenyi","given":"Allen"},{"family":"Kananura","given":"Rornald Muhumuza"},{"family":"Jehopio","given":"Joseph"},{"family":"Rutaremwa","given":"Gideon"}],"issued":{"date-parts":[["2021",11,9]]}}}],"schema":"https://github.com/citation-style-language/schema/raw/master/csl-citation.json"} </w:instrText>
      </w:r>
      <w:r w:rsidRPr="002538F5">
        <w:rPr>
          <w:rFonts w:ascii="Times New Roman" w:hAnsi="Times New Roman" w:cs="Times New Roman"/>
        </w:rPr>
        <w:fldChar w:fldCharType="separate"/>
      </w:r>
      <w:r w:rsidRPr="002538F5">
        <w:rPr>
          <w:rFonts w:ascii="Times New Roman" w:hAnsi="Times New Roman" w:cs="Times New Roman"/>
        </w:rPr>
        <w:t>(UNICEF, 2022; Wasswa et al., 2021)</w:t>
      </w:r>
      <w:r w:rsidRPr="002538F5">
        <w:rPr>
          <w:rFonts w:ascii="Times New Roman" w:hAnsi="Times New Roman" w:cs="Times New Roman"/>
        </w:rPr>
        <w:fldChar w:fldCharType="end"/>
      </w:r>
      <w:r w:rsidRPr="002538F5">
        <w:rPr>
          <w:rFonts w:ascii="Times New Roman" w:hAnsi="Times New Roman" w:cs="Times New Roman"/>
        </w:rPr>
        <w:t>. These challenges of marriage, conventional health promotion models that assume pregnancy is accidental, as for many girls, childbearing is perceived as an expected marital obligation within socially sanctioned unions.</w:t>
      </w:r>
    </w:p>
    <w:p w14:paraId="0BCC7EB5" w14:textId="540897F4" w:rsidR="002538F5" w:rsidRPr="002538F5" w:rsidRDefault="002538F5" w:rsidP="002538F5">
      <w:pPr>
        <w:spacing w:after="0" w:line="360" w:lineRule="auto"/>
        <w:jc w:val="both"/>
        <w:rPr>
          <w:rFonts w:ascii="Times New Roman" w:hAnsi="Times New Roman" w:cs="Times New Roman"/>
        </w:rPr>
      </w:pPr>
      <w:r w:rsidRPr="002538F5">
        <w:rPr>
          <w:rFonts w:ascii="Times New Roman" w:hAnsi="Times New Roman" w:cs="Times New Roman"/>
        </w:rPr>
        <w:t xml:space="preserve">Economic deprivation emerged as a fundamental driver of teenage pregnancy. With 61% of guardians engaged in subsistence farming and nearly half of the girls reporting unmet basic needs, poverty creates conditions where families may perceive daughters as economic assets </w:t>
      </w:r>
      <w:r w:rsidRPr="002538F5">
        <w:rPr>
          <w:rFonts w:ascii="Times New Roman" w:hAnsi="Times New Roman" w:cs="Times New Roman"/>
        </w:rPr>
        <w:lastRenderedPageBreak/>
        <w:t xml:space="preserve">through bride price, or where girls engage in transactional relationships for survival. This finding is consistent with broader evidence showing that teenage pregnancy is significantly concentrated among poorer households and economically vulnerable populations </w:t>
      </w:r>
      <w:r w:rsidRPr="002538F5">
        <w:rPr>
          <w:rFonts w:ascii="Times New Roman" w:hAnsi="Times New Roman" w:cs="Times New Roman"/>
        </w:rPr>
        <w:fldChar w:fldCharType="begin"/>
      </w:r>
      <w:r w:rsidRPr="002538F5">
        <w:rPr>
          <w:rFonts w:ascii="Times New Roman" w:hAnsi="Times New Roman" w:cs="Times New Roman"/>
        </w:rPr>
        <w:instrText xml:space="preserve"> ADDIN ZOTERO_ITEM CSL_CITATION {"citationID":"TBbkesNq","properties":{"formattedCitation":"(Dinah Amongin &amp; Lenka Benova, 2020; UN Women, 2025; Wasswa et al., 2021)","plainCitation":"(Dinah Amongin &amp; Lenka Benova, 2020; UN Women, 2025; Wasswa et al., 2021)","noteIndex":0},"citationItems":[{"id":1335,"uris":["http://zotero.org/users/17127802/items/C8ZDPUYS"],"itemData":{"id":1335,"type":"webpage","title":"Trends and determinants of adolescent childbirth in Uganda- analysis of rural and urban women using six demographic and health surveys, 1988–2016 | Reproductive Health | Springer Nature Link","URL":"https://link.springer.com/article/10.1186/s12978-020-00925-8?utm_source=chatgpt.com","author":[{"literal":"Dinah Amongin"},{"literal":"Lenka Benova"}],"accessed":{"date-parts":[["2026",4,14]]},"issued":{"date-parts":[["2020"]]}}},{"id":1346,"uris":["http://zotero.org/users/17127802/items/4GZQGEM7"],"itemData":{"id":1346,"type":"webpage","abstract":"Teenage pregnancy and child marriage remain major socio-economic and health challenges in Uganda. Around 24% of girls aged 15–19 have begun childbearing, while 35% are married before 18 and 7.3% before 15. Rates are consistently higher in rural areas, with teenage pregnancy reaching 24.9% compared to 20.5% in urban settings. Regional disparities persist, with Bukedi (29.5%) and Busoga (28.4%) recording the highest teenage pregnancy rates, and Kigezi (14.9%) the lowest—reflecting deep-rooted socio-cultural and economic drivers. Although the median age at first marriage for women slightly increased from 18.6 to 18.8 years between 2016 and 2022, child marriage continues to fuel teenage pregnancy and violates girls’ rights. Despite national strategies, legal frameworks, and ongoing norm-change efforts, both practices remain widespread, underscoring the need for sustained, coordinated action.","container-title":"UN Women – Africa","language":"en","title":"Breaking the cycle: Combating Teenage Pregnancies and Child Marriages in Uganda","title-short":"Breaking the cycle","URL":"https://africa.unwomen.org/en/digital-library/publications/2025/11/breaking-the-cycle-combating-teenage-pregnancies-and-child-marriages-in-uganda","author":[{"literal":"UN Women"}],"accessed":{"date-parts":[["2026",4,14]]},"issued":{"date-parts":[["2025"]]}}},{"id":1332,"uris":["http://zotero.org/users/17127802/items/5W9KYHPG"],"itemData":{"id":1332,"type":"article-journal","abstract":"OBJECTIVE: Teenage pregnancy has become a public health concern in Uganda because of its negative consequences to both the mother and child. The objective of this study was to examine the determinants of change in the inequality and associated predictors of teenage pregnancy in Uganda for the period 2006-2016.\nSTUDY DESIGN: A retrospective national cross-sectional study. SETTING: Uganda.\nPARTICIPANTS: Uganda Demographic and Health Survey secondary data of only female teenagers aged 15-19 years. The samples selected for analyses were 1936 in 2006; 2048 in 2011 and 4264 in 2016.\nOUTCOME MEASURE: The primary outcome was teenage pregnancy. Analysis was performed using the logistic regression, equiplots, concentration curve, normalised concentration index, decomposition of the concentration index and Oaxaca-type decomposition.\nRESULTS: The prevalence of teenage pregnancy has seemingly remained high and almost constant from 2006 to 2016 with the risk worsening to the disadvantage of the poor. Household wealth-index, teenagers' years of education, early sexual debut and child marriage were the main key predictors and contributors of the large inequality in teenage pregnancy from 2006 to 2016.\nCONCLUSION: Teenage pregnancy is disproportionately prevalent among different subpopulations of adolescent girls in Uganda. We therefore recommend policy actions to sensitise communities and enforcement of child rights and child protection laws to stop child marriages. There is also need to promote girl child education, improving household incomes, and intensifying mass media awareness on the risks of early pregnancies. Further, ensuring that villages have operational adolescent and youth friendly services as well as incorporating sex education and other different adolescent reproductive health programmes in school curriculum will be key measures in reducing the large inequality in teenage pregnancy.","container-title":"BMJ open","DOI":"10.1136/bmjopen-2021-053264","ISSN":"2044-6055","issue":"11","journalAbbreviation":"BMJ Open","language":"eng","page":"e053264","PMID":"34753766","PMCID":"PMC8578988","source":"PubMed","title":"Determinants of change in the inequality and associated predictors of teenage pregnancy in Uganda for the period 2006-2016: analysis of the Uganda Demographic and Health Surveys","title-short":"Determinants of change in the inequality and associated predictors of teenage pregnancy in Uganda for the period 2006-2016","volume":"11","author":[{"family":"Wasswa","given":"Ronald"},{"family":"Kabagenyi","given":"Allen"},{"family":"Kananura","given":"Rornald Muhumuza"},{"family":"Jehopio","given":"Joseph"},{"family":"Rutaremwa","given":"Gideon"}],"issued":{"date-parts":[["2021",11,9]]}}}],"schema":"https://github.com/citation-style-language/schema/raw/master/csl-citation.json"} </w:instrText>
      </w:r>
      <w:r w:rsidRPr="002538F5">
        <w:rPr>
          <w:rFonts w:ascii="Times New Roman" w:hAnsi="Times New Roman" w:cs="Times New Roman"/>
        </w:rPr>
        <w:fldChar w:fldCharType="separate"/>
      </w:r>
      <w:r w:rsidRPr="002538F5">
        <w:rPr>
          <w:rFonts w:ascii="Times New Roman" w:hAnsi="Times New Roman" w:cs="Times New Roman"/>
        </w:rPr>
        <w:t>(Dinah Amongin et al., 2020; UN Women, 2025; Wasswa et al., 2021)</w:t>
      </w:r>
      <w:r w:rsidRPr="002538F5">
        <w:rPr>
          <w:rFonts w:ascii="Times New Roman" w:hAnsi="Times New Roman" w:cs="Times New Roman"/>
        </w:rPr>
        <w:fldChar w:fldCharType="end"/>
      </w:r>
      <w:r w:rsidRPr="002538F5">
        <w:rPr>
          <w:rFonts w:ascii="Times New Roman" w:hAnsi="Times New Roman" w:cs="Times New Roman"/>
        </w:rPr>
        <w:t>. The high proportion of respondents (80.3%) who identified poverty as a key cause further reinforces the view that economic empowerment should be considered a central, rather than peripheral, intervention.</w:t>
      </w:r>
    </w:p>
    <w:p w14:paraId="5F9912C2" w14:textId="1E49364D" w:rsidR="002538F5" w:rsidRPr="002538F5" w:rsidRDefault="002538F5" w:rsidP="002538F5">
      <w:pPr>
        <w:spacing w:after="0" w:line="360" w:lineRule="auto"/>
        <w:jc w:val="both"/>
        <w:rPr>
          <w:rFonts w:ascii="Times New Roman" w:hAnsi="Times New Roman" w:cs="Times New Roman"/>
          <w:b/>
        </w:rPr>
      </w:pPr>
      <w:r w:rsidRPr="002538F5">
        <w:rPr>
          <w:rFonts w:ascii="Times New Roman" w:hAnsi="Times New Roman" w:cs="Times New Roman"/>
        </w:rPr>
        <w:t xml:space="preserve">Finally, cultural and gender norms provide the enabling environment for early pregnancy. The belief that girls should prioritize marriage over education (63.9%) and the perceived community support for early marriage (71.7%) reflect deeply entrenched social norms that limit girls' autonomy. These findings are supported by literature indicating that harmful gender norms, cultural expectations, and low valuation of girls' education contribute significantly to teenage pregnancy and child marriage in Uganda </w:t>
      </w:r>
      <w:r w:rsidRPr="002538F5">
        <w:rPr>
          <w:rFonts w:ascii="Times New Roman" w:hAnsi="Times New Roman" w:cs="Times New Roman"/>
        </w:rPr>
        <w:fldChar w:fldCharType="begin"/>
      </w:r>
      <w:r w:rsidRPr="002538F5">
        <w:rPr>
          <w:rFonts w:ascii="Times New Roman" w:hAnsi="Times New Roman" w:cs="Times New Roman"/>
        </w:rPr>
        <w:instrText xml:space="preserve"> ADDIN ZOTERO_ITEM CSL_CITATION {"citationID":"DFucdPGs","properties":{"formattedCitation":"(UN Women, 2025; UNICEF, 2022)","plainCitation":"(UN Women, 2025; UNICEF, 2022)","noteIndex":0},"citationItems":[{"id":1346,"uris":["http://zotero.org/users/17127802/items/4GZQGEM7"],"itemData":{"id":1346,"type":"webpage","abstract":"Teenage pregnancy and child marriage remain major socio-economic and health challenges in Uganda. Around 24% of girls aged 15–19 have begun childbearing, while 35% are married before 18 and 7.3% before 15. Rates are consistently higher in rural areas, with teenage pregnancy reaching 24.9% compared to 20.5% in urban settings. Regional disparities persist, with Bukedi (29.5%) and Busoga (28.4%) recording the highest teenage pregnancy rates, and Kigezi (14.9%) the lowest—reflecting deep-rooted socio-cultural and economic drivers. Although the median age at first marriage for women slightly increased from 18.6 to 18.8 years between 2016 and 2022, child marriage continues to fuel teenage pregnancy and violates girls’ rights. Despite national strategies, legal frameworks, and ongoing norm-change efforts, both practices remain widespread, underscoring the need for sustained, coordinated action.","container-title":"UN Women – Africa","language":"en","title":"Breaking the cycle: Combating Teenage Pregnancies and Child Marriages in Uganda","title-short":"Breaking the cycle","URL":"https://africa.unwomen.org/en/digital-library/publications/2025/11/breaking-the-cycle-combating-teenage-pregnancies-and-child-marriages-in-uganda","author":[{"literal":"UN Women"}],"accessed":{"date-parts":[["2026",4,14]]},"issued":{"date-parts":[["2025"]]}}},{"id":1348,"uris":["http://zotero.org/users/17127802/items/7LWA3XGK"],"itemData":{"id":1348,"type":"webpage","title":"The National Strategy to End Child Marriage and Teenage Pregnancy 2022/2023 – 2026/2027 | UNICEF Uganda","URL":"https://www.unicef.org/uganda/reports/national-strategy-end-child-marriage-and-teenage-pregnancy-20222023-20262027?utm_source=chatgpt.com","author":[{"literal":"UNICEF"}],"accessed":{"date-parts":[["2026",4,14]]},"issued":{"date-parts":[["2022"]]}}}],"schema":"https://github.com/citation-style-language/schema/raw/master/csl-citation.json"} </w:instrText>
      </w:r>
      <w:r w:rsidRPr="002538F5">
        <w:rPr>
          <w:rFonts w:ascii="Times New Roman" w:hAnsi="Times New Roman" w:cs="Times New Roman"/>
        </w:rPr>
        <w:fldChar w:fldCharType="separate"/>
      </w:r>
      <w:r w:rsidRPr="002538F5">
        <w:rPr>
          <w:rFonts w:ascii="Times New Roman" w:hAnsi="Times New Roman" w:cs="Times New Roman"/>
        </w:rPr>
        <w:t>(UN Women, 2025; UNICEF, 2022)</w:t>
      </w:r>
      <w:r w:rsidRPr="002538F5">
        <w:rPr>
          <w:rFonts w:ascii="Times New Roman" w:hAnsi="Times New Roman" w:cs="Times New Roman"/>
        </w:rPr>
        <w:fldChar w:fldCharType="end"/>
      </w:r>
      <w:r w:rsidRPr="002538F5">
        <w:rPr>
          <w:rFonts w:ascii="Times New Roman" w:hAnsi="Times New Roman" w:cs="Times New Roman"/>
        </w:rPr>
        <w:t>. Such norms, often reinforced by religious and societal restrictions on contraceptive use, trap girls in a cycle of early childbearing, school dropout, and persistent poverty.</w:t>
      </w:r>
    </w:p>
    <w:p w14:paraId="685F1B69" w14:textId="18763CB8" w:rsidR="00383CA1" w:rsidRPr="002538F5" w:rsidRDefault="002538F5" w:rsidP="002538F5">
      <w:pPr>
        <w:pStyle w:val="Heading1"/>
        <w:rPr>
          <w:rFonts w:cs="Times New Roman"/>
          <w:szCs w:val="24"/>
        </w:rPr>
      </w:pPr>
      <w:r>
        <w:rPr>
          <w:rFonts w:cs="Times New Roman"/>
          <w:szCs w:val="24"/>
        </w:rPr>
        <w:t xml:space="preserve">5.0 </w:t>
      </w:r>
      <w:r w:rsidR="00383CA1" w:rsidRPr="002538F5">
        <w:rPr>
          <w:rFonts w:cs="Times New Roman"/>
          <w:szCs w:val="24"/>
        </w:rPr>
        <w:t>Strengths and Limitations</w:t>
      </w:r>
      <w:r w:rsidRPr="002538F5">
        <w:rPr>
          <w:rFonts w:cs="Times New Roman"/>
          <w:szCs w:val="24"/>
        </w:rPr>
        <w:t>: Sub-County</w:t>
      </w:r>
    </w:p>
    <w:p w14:paraId="58E08C05" w14:textId="2D59C81F" w:rsidR="00383CA1" w:rsidRPr="00383CA1" w:rsidRDefault="00383CA1" w:rsidP="00383CA1">
      <w:pPr>
        <w:spacing w:after="0" w:line="360" w:lineRule="auto"/>
        <w:jc w:val="both"/>
        <w:rPr>
          <w:rFonts w:ascii="Times New Roman" w:hAnsi="Times New Roman" w:cs="Times New Roman"/>
        </w:rPr>
      </w:pPr>
      <w:r w:rsidRPr="00383CA1">
        <w:rPr>
          <w:rFonts w:ascii="Times New Roman" w:hAnsi="Times New Roman" w:cs="Times New Roman"/>
        </w:rPr>
        <w:t>The high response rate and focus on a previously understudied region are strengths. The cross-sectional design limits causal inference, and social desirability bias may have affected responses regarding sensitive topics like sexual violence.</w:t>
      </w:r>
    </w:p>
    <w:p w14:paraId="39688C19" w14:textId="37B274C7" w:rsidR="00383CA1" w:rsidRPr="002538F5" w:rsidRDefault="002538F5" w:rsidP="00383CA1">
      <w:pPr>
        <w:pStyle w:val="Heading1"/>
        <w:spacing w:before="0" w:after="0" w:line="360" w:lineRule="auto"/>
        <w:rPr>
          <w:rFonts w:cs="Times New Roman"/>
          <w:szCs w:val="24"/>
        </w:rPr>
      </w:pPr>
      <w:r>
        <w:rPr>
          <w:rFonts w:cs="Times New Roman"/>
          <w:szCs w:val="24"/>
        </w:rPr>
        <w:t>6</w:t>
      </w:r>
      <w:r w:rsidR="00383CA1" w:rsidRPr="002538F5">
        <w:rPr>
          <w:rFonts w:cs="Times New Roman"/>
          <w:szCs w:val="24"/>
        </w:rPr>
        <w:t>.0 Implications for Social Work Practice</w:t>
      </w:r>
    </w:p>
    <w:p w14:paraId="7AD36901" w14:textId="5BC90D50" w:rsidR="00383CA1" w:rsidRPr="00383CA1" w:rsidRDefault="00383CA1" w:rsidP="00383CA1">
      <w:pPr>
        <w:spacing w:after="0" w:line="360" w:lineRule="auto"/>
        <w:jc w:val="both"/>
        <w:rPr>
          <w:rFonts w:ascii="Times New Roman" w:hAnsi="Times New Roman" w:cs="Times New Roman"/>
        </w:rPr>
      </w:pPr>
      <w:r w:rsidRPr="00383CA1">
        <w:rPr>
          <w:rFonts w:ascii="Times New Roman" w:hAnsi="Times New Roman" w:cs="Times New Roman"/>
        </w:rPr>
        <w:t>The findings suggest that individual-level counseling alone will be insufficient. Social workers must adopt a structural approach</w:t>
      </w:r>
      <w:r w:rsidR="002538F5" w:rsidRPr="002538F5">
        <w:rPr>
          <w:rFonts w:ascii="Times New Roman" w:hAnsi="Times New Roman" w:cs="Times New Roman"/>
        </w:rPr>
        <w:t xml:space="preserve"> </w:t>
      </w:r>
      <w:r w:rsidR="002538F5" w:rsidRPr="002538F5">
        <w:rPr>
          <w:rFonts w:ascii="Times New Roman" w:hAnsi="Times New Roman" w:cs="Times New Roman"/>
        </w:rPr>
        <w:fldChar w:fldCharType="begin"/>
      </w:r>
      <w:r w:rsidR="002538F5" w:rsidRPr="002538F5">
        <w:rPr>
          <w:rFonts w:ascii="Times New Roman" w:hAnsi="Times New Roman" w:cs="Times New Roman"/>
        </w:rPr>
        <w:instrText xml:space="preserve"> ADDIN ZOTERO_ITEM CSL_CITATION {"citationID":"5Ro4bZl1","properties":{"formattedCitation":"(Siddiqi &amp; Innocenti, 2024)","plainCitation":"(Siddiqi &amp; Innocenti, 2024)","noteIndex":0},"citationItems":[{"id":1357,"uris":["http://zotero.org/users/17127802/items/CGK9CHY8"],"itemData":{"id":1357,"type":"article-journal","language":"en","source":"Zotero","title":"UNICEF Innocenti — Global Office of Research and Foresight","author":[{"family":"Siddiqi","given":"Manahil"},{"family":"Innocenti","given":"UNICEF"}],"issued":{"date-parts":[["2024"]]}}}],"schema":"https://github.com/citation-style-language/schema/raw/master/csl-citation.json"} </w:instrText>
      </w:r>
      <w:r w:rsidR="002538F5" w:rsidRPr="002538F5">
        <w:rPr>
          <w:rFonts w:ascii="Times New Roman" w:hAnsi="Times New Roman" w:cs="Times New Roman"/>
        </w:rPr>
        <w:fldChar w:fldCharType="separate"/>
      </w:r>
      <w:r w:rsidR="002538F5" w:rsidRPr="002538F5">
        <w:rPr>
          <w:rFonts w:ascii="Times New Roman" w:hAnsi="Times New Roman" w:cs="Times New Roman"/>
        </w:rPr>
        <w:t>(Siddiqi et al., 2024)</w:t>
      </w:r>
      <w:r w:rsidR="002538F5" w:rsidRPr="002538F5">
        <w:rPr>
          <w:rFonts w:ascii="Times New Roman" w:hAnsi="Times New Roman" w:cs="Times New Roman"/>
        </w:rPr>
        <w:fldChar w:fldCharType="end"/>
      </w:r>
      <w:r w:rsidR="002538F5" w:rsidRPr="002538F5">
        <w:rPr>
          <w:rFonts w:ascii="Times New Roman" w:hAnsi="Times New Roman" w:cs="Times New Roman"/>
        </w:rPr>
        <w:t>.</w:t>
      </w:r>
    </w:p>
    <w:p w14:paraId="1B7047F9" w14:textId="3B7D2F52" w:rsidR="00383CA1" w:rsidRPr="00383CA1" w:rsidRDefault="00383CA1" w:rsidP="00383CA1">
      <w:pPr>
        <w:spacing w:after="0" w:line="360" w:lineRule="auto"/>
        <w:jc w:val="both"/>
        <w:rPr>
          <w:rFonts w:ascii="Times New Roman" w:hAnsi="Times New Roman" w:cs="Times New Roman"/>
        </w:rPr>
      </w:pPr>
      <w:r w:rsidRPr="00383CA1">
        <w:rPr>
          <w:rFonts w:ascii="Times New Roman" w:hAnsi="Times New Roman" w:cs="Times New Roman"/>
        </w:rPr>
        <w:t>Policy Advocacy and Law Enforcement: Social workers should collaborate with local councils and police to actively enforce the legal age of marriage (18 years) and establish safe reporting mechanisms for girls at risk</w:t>
      </w:r>
      <w:r w:rsidR="002538F5" w:rsidRPr="002538F5">
        <w:rPr>
          <w:rFonts w:ascii="Times New Roman" w:hAnsi="Times New Roman" w:cs="Times New Roman"/>
        </w:rPr>
        <w:t xml:space="preserve"> </w:t>
      </w:r>
      <w:r w:rsidR="002538F5" w:rsidRPr="002538F5">
        <w:rPr>
          <w:rFonts w:ascii="Times New Roman" w:hAnsi="Times New Roman" w:cs="Times New Roman"/>
        </w:rPr>
        <w:fldChar w:fldCharType="begin"/>
      </w:r>
      <w:r w:rsidR="002538F5" w:rsidRPr="002538F5">
        <w:rPr>
          <w:rFonts w:ascii="Times New Roman" w:hAnsi="Times New Roman" w:cs="Times New Roman"/>
        </w:rPr>
        <w:instrText xml:space="preserve"> ADDIN ZOTERO_ITEM CSL_CITATION {"citationID":"lWwSKq40","properties":{"formattedCitation":"(UNICEF, 2025)","plainCitation":"(UNICEF, 2025)","noteIndex":0},"citationItems":[{"id":1359,"uris":["http://zotero.org/users/17127802/items/IWHIVHCB"],"itemData":{"id":1359,"type":"report","title":"ENDING CHILD MARRIAGE  IN UGANDA","author":[{"literal":"UNICEF"}],"issued":{"date-parts":[["2025"]]}}}],"schema":"https://github.com/citation-style-language/schema/raw/master/csl-citation.json"} </w:instrText>
      </w:r>
      <w:r w:rsidR="002538F5" w:rsidRPr="002538F5">
        <w:rPr>
          <w:rFonts w:ascii="Times New Roman" w:hAnsi="Times New Roman" w:cs="Times New Roman"/>
        </w:rPr>
        <w:fldChar w:fldCharType="separate"/>
      </w:r>
      <w:r w:rsidR="002538F5" w:rsidRPr="002538F5">
        <w:rPr>
          <w:rFonts w:ascii="Times New Roman" w:hAnsi="Times New Roman" w:cs="Times New Roman"/>
        </w:rPr>
        <w:t>(UNICEF, 2025)</w:t>
      </w:r>
      <w:r w:rsidR="002538F5" w:rsidRPr="002538F5">
        <w:rPr>
          <w:rFonts w:ascii="Times New Roman" w:hAnsi="Times New Roman" w:cs="Times New Roman"/>
        </w:rPr>
        <w:fldChar w:fldCharType="end"/>
      </w:r>
      <w:r w:rsidRPr="00383CA1">
        <w:rPr>
          <w:rFonts w:ascii="Times New Roman" w:hAnsi="Times New Roman" w:cs="Times New Roman"/>
        </w:rPr>
        <w:t>.</w:t>
      </w:r>
    </w:p>
    <w:p w14:paraId="3D85D1A1" w14:textId="082F7575" w:rsidR="00383CA1" w:rsidRPr="00383CA1" w:rsidRDefault="00383CA1" w:rsidP="00383CA1">
      <w:pPr>
        <w:spacing w:after="0" w:line="360" w:lineRule="auto"/>
        <w:jc w:val="both"/>
        <w:rPr>
          <w:rFonts w:ascii="Times New Roman" w:hAnsi="Times New Roman" w:cs="Times New Roman"/>
        </w:rPr>
      </w:pPr>
      <w:r w:rsidRPr="00383CA1">
        <w:rPr>
          <w:rFonts w:ascii="Times New Roman" w:hAnsi="Times New Roman" w:cs="Times New Roman"/>
        </w:rPr>
        <w:t>Economic Empowerment: Interventions must link girls directly to economic resources (e.g., vocational training, cash transfers conditional on school attendance) to address the poverty driver</w:t>
      </w:r>
      <w:r w:rsidR="002538F5" w:rsidRPr="002538F5">
        <w:rPr>
          <w:rFonts w:ascii="Times New Roman" w:hAnsi="Times New Roman" w:cs="Times New Roman"/>
        </w:rPr>
        <w:t xml:space="preserve"> </w:t>
      </w:r>
      <w:r w:rsidR="002538F5" w:rsidRPr="002538F5">
        <w:rPr>
          <w:rFonts w:ascii="Times New Roman" w:hAnsi="Times New Roman" w:cs="Times New Roman"/>
        </w:rPr>
        <w:fldChar w:fldCharType="begin"/>
      </w:r>
      <w:r w:rsidR="002538F5" w:rsidRPr="002538F5">
        <w:rPr>
          <w:rFonts w:ascii="Times New Roman" w:hAnsi="Times New Roman" w:cs="Times New Roman"/>
        </w:rPr>
        <w:instrText xml:space="preserve"> ADDIN ZOTERO_ITEM CSL_CITATION {"citationID":"R0QMFSUX","properties":{"formattedCitation":"(Kabiru et al., 2023)","plainCitation":"(Kabiru et al., 2023)","noteIndex":0},"citationItems":[{"id":1360,"uris":["http://zotero.org/users/17127802/items/WVSUXF68"],"itemData":{"id":1360,"type":"article-journal","abstract":"Introduction\nGirls’ and women’s health as well as social and economic wellbeing are often negatively impacted by early childbearing. In many parts of Africa, adolescent girls who get pregnant often drop out of school, resulting in widening gender inequalities in schooling and economic participation. Few interventions have focused on education and economic empowerment of adolescent mothers in the region. We aim to conduct a pilot randomized controlled trial in Blantyre (Malawi) and Ouagadougou (Burkina Faso) to examine the acceptability and feasibility of three interventions in improving educational and health outcomes among adolescent mothers and to estimate the effect and cost-effectiveness of the three interventions in facilitating (re)entry into school or vocational training. We will also test the effect of the interventions on their sexual and reproductive health (SRH) and mental health.\n\nInterventions\nThe three interventions we will assess are: a cash transfer conditioned on (re)enrolment into school or vocational training, subsidized childcare, and life skills training offered through adolescent mothers’ clubs. The life skills training will cover nurturing childcare, SRH, mental health, and financial literacy. Community health workers will facilitate the clubs. Each intervention will be implemented for 12 months.\n\nMethods\nWe will conduct a baseline survey among adolescent mothers aged 10–19 years (N = 270, per site) enrolled following a household listing in select enumeration areas in each site. Adolescent mothers will be interviewed using a structured survey adapted from a previous survey on the lived experiences of pregnant and parenting adolescents in the two sites. Following the baseline survey, adolescent mothers will be individually randomly assigned to one of three study arms: arm one (adolescent mothers’ clubs only); arm two (adolescent mothers’ clubs + subsidized childcare), and arm three (adolescent mothers’ clubs + subsidized childcare + cash transfer). At endline, we will re-administer the structured survey and assess the average treatment effect across the three groups following intent-to-treat (ITT) analysis, comparing school or vocational training attendance during the intervention period. We will also compare baseline and endline measures of SRH and mental health outcomes. Between the baseline and endline survey, we will conduct a process evaluation to examine the acceptability and feasibility of the interventions and to track the implementation of the interventions.\n\nDiscussion\nOur research will generate evidence that provides insights on interventions that can enable adolescent mothers to continue their education, as well as improve their SRH and mental health. We aim to maximize the translation of the evidence into policy and action through sustained engagement from inception with key stakeholders and decision makers and strategic communication of research findings., Trial registration number AEARCTR-0009115, May 15, 2022.","container-title":"Reproductive Health","DOI":"10.1186/s12978-023-01706-9","ISSN":"1742-4755","journalAbbreviation":"Reprod Health","page":"166","PMID":"37946289","PMCID":"PMC10634174","source":"PubMed Central","title":"Effectiveness of conditional cash transfers, subsidized child care and life skills training on adolescent mothers’ schooling, sexual and reproductive health, and mental health outcomes in Burkina Faso and Malawi: the PROMOTE Project pilot randomized controlled trial protocol","title-short":"Effectiveness of conditional cash transfers, subsidized child care and life skills training on adolescent mothers’ schooling, sexual and reproductive health, and mental health outcomes in Burkina Faso and Malawi","volume":"20","author":[{"family":"Kabiru","given":"Caroline W."},{"family":"Munthali","given":"Alister"},{"family":"Sawadogo","given":"Nathalie"},{"family":"Ajayi","given":"Anthony Idowu"},{"family":"Asego","given":"Catherine"},{"family":"Ilboudo","given":"Patrick G."},{"family":"Khisa","given":"Anne M."},{"family":"Kimemia","given":"Grace"},{"family":"Maina","given":"Beatrice"},{"family":"Mangwana","given":"Jane"},{"family":"Mbuthia","given":"Michelle"},{"family":"Ouedraogo","given":"Ramatou"},{"family":"Thakwalakwa","given":"Chrissie"},{"family":"Wanambwa","given":"David"},{"family":"Tapsoba","given":"Alexandra"},{"family":"Alfonso","given":"Witness Olex Tapani"}],"issued":{"date-parts":[["2023",11,9]]}}}],"schema":"https://github.com/citation-style-language/schema/raw/master/csl-citation.json"} </w:instrText>
      </w:r>
      <w:r w:rsidR="002538F5" w:rsidRPr="002538F5">
        <w:rPr>
          <w:rFonts w:ascii="Times New Roman" w:hAnsi="Times New Roman" w:cs="Times New Roman"/>
        </w:rPr>
        <w:fldChar w:fldCharType="separate"/>
      </w:r>
      <w:r w:rsidR="002538F5" w:rsidRPr="002538F5">
        <w:rPr>
          <w:rFonts w:ascii="Times New Roman" w:hAnsi="Times New Roman" w:cs="Times New Roman"/>
        </w:rPr>
        <w:t>(Kabiru et al., 2023)</w:t>
      </w:r>
      <w:r w:rsidR="002538F5" w:rsidRPr="002538F5">
        <w:rPr>
          <w:rFonts w:ascii="Times New Roman" w:hAnsi="Times New Roman" w:cs="Times New Roman"/>
        </w:rPr>
        <w:fldChar w:fldCharType="end"/>
      </w:r>
      <w:r w:rsidRPr="00383CA1">
        <w:rPr>
          <w:rFonts w:ascii="Times New Roman" w:hAnsi="Times New Roman" w:cs="Times New Roman"/>
        </w:rPr>
        <w:t>.</w:t>
      </w:r>
    </w:p>
    <w:p w14:paraId="51C7F3D7" w14:textId="77777777" w:rsidR="00383CA1" w:rsidRPr="00383CA1" w:rsidRDefault="00383CA1" w:rsidP="00383CA1">
      <w:pPr>
        <w:spacing w:after="0" w:line="360" w:lineRule="auto"/>
        <w:jc w:val="both"/>
        <w:rPr>
          <w:rFonts w:ascii="Times New Roman" w:hAnsi="Times New Roman" w:cs="Times New Roman"/>
        </w:rPr>
      </w:pPr>
      <w:r w:rsidRPr="00383CA1">
        <w:rPr>
          <w:rFonts w:ascii="Times New Roman" w:hAnsi="Times New Roman" w:cs="Times New Roman"/>
        </w:rPr>
        <w:t>Community Transformation: Rather than simply educating girls, social workers should facilitate community dialogues with religious and cultural leaders to challenge norms that devalue girls' education and promote early marriage.</w:t>
      </w:r>
    </w:p>
    <w:p w14:paraId="7EE25D96" w14:textId="569C115C" w:rsidR="00383CA1" w:rsidRPr="002538F5" w:rsidRDefault="002538F5" w:rsidP="00383CA1">
      <w:pPr>
        <w:pStyle w:val="Heading1"/>
        <w:spacing w:before="0" w:after="0" w:line="360" w:lineRule="auto"/>
        <w:rPr>
          <w:rFonts w:cs="Times New Roman"/>
          <w:szCs w:val="24"/>
        </w:rPr>
      </w:pPr>
      <w:r>
        <w:rPr>
          <w:rFonts w:cs="Times New Roman"/>
          <w:szCs w:val="24"/>
        </w:rPr>
        <w:t>7</w:t>
      </w:r>
      <w:r w:rsidR="00383CA1" w:rsidRPr="002538F5">
        <w:rPr>
          <w:rFonts w:cs="Times New Roman"/>
          <w:szCs w:val="24"/>
        </w:rPr>
        <w:t>.0 Conclusion</w:t>
      </w:r>
    </w:p>
    <w:p w14:paraId="4D2D4591" w14:textId="0F0690A1" w:rsidR="00383CA1" w:rsidRPr="00383CA1" w:rsidRDefault="00383CA1" w:rsidP="00383CA1">
      <w:pPr>
        <w:spacing w:after="0" w:line="360" w:lineRule="auto"/>
        <w:jc w:val="both"/>
        <w:rPr>
          <w:rFonts w:ascii="Times New Roman" w:hAnsi="Times New Roman" w:cs="Times New Roman"/>
        </w:rPr>
      </w:pPr>
      <w:r w:rsidRPr="00383CA1">
        <w:rPr>
          <w:rFonts w:ascii="Times New Roman" w:hAnsi="Times New Roman" w:cs="Times New Roman"/>
        </w:rPr>
        <w:t xml:space="preserve">Teenage pregnancy in Odravu Sub-County is a manifestation of structural violence against girls, driven by the confluence of early marriage, severe poverty, and patriarchal cultural norms. </w:t>
      </w:r>
      <w:r w:rsidRPr="00383CA1">
        <w:rPr>
          <w:rFonts w:ascii="Times New Roman" w:hAnsi="Times New Roman" w:cs="Times New Roman"/>
        </w:rPr>
        <w:lastRenderedPageBreak/>
        <w:t>Without urgent, multi-sectoral action that addresses these root causes</w:t>
      </w:r>
      <w:r w:rsidRPr="002538F5">
        <w:rPr>
          <w:rFonts w:ascii="Times New Roman" w:hAnsi="Times New Roman" w:cs="Times New Roman"/>
        </w:rPr>
        <w:t xml:space="preserve"> </w:t>
      </w:r>
      <w:r w:rsidRPr="00383CA1">
        <w:rPr>
          <w:rFonts w:ascii="Times New Roman" w:hAnsi="Times New Roman" w:cs="Times New Roman"/>
        </w:rPr>
        <w:t>rather than merely the health consequences</w:t>
      </w:r>
      <w:r w:rsidRPr="002538F5">
        <w:rPr>
          <w:rFonts w:ascii="Times New Roman" w:hAnsi="Times New Roman" w:cs="Times New Roman"/>
        </w:rPr>
        <w:t xml:space="preserve">, </w:t>
      </w:r>
      <w:r w:rsidRPr="00383CA1">
        <w:rPr>
          <w:rFonts w:ascii="Times New Roman" w:hAnsi="Times New Roman" w:cs="Times New Roman"/>
        </w:rPr>
        <w:t>the cycle of poverty and gender inequality will continue for generations.</w:t>
      </w:r>
    </w:p>
    <w:p w14:paraId="6051B23F" w14:textId="77777777" w:rsidR="000F5747" w:rsidRPr="002538F5" w:rsidRDefault="000F5747" w:rsidP="00383CA1">
      <w:pPr>
        <w:spacing w:after="0" w:line="360" w:lineRule="auto"/>
        <w:jc w:val="both"/>
        <w:rPr>
          <w:rFonts w:ascii="Times New Roman" w:hAnsi="Times New Roman" w:cs="Times New Roman"/>
        </w:rPr>
      </w:pPr>
    </w:p>
    <w:p w14:paraId="5239255D" w14:textId="77777777" w:rsidR="00383CA1" w:rsidRPr="00383CA1" w:rsidRDefault="00383CA1" w:rsidP="00383CA1">
      <w:pPr>
        <w:spacing w:after="0" w:line="360" w:lineRule="auto"/>
        <w:jc w:val="both"/>
        <w:rPr>
          <w:rFonts w:ascii="Times New Roman" w:hAnsi="Times New Roman" w:cs="Times New Roman"/>
        </w:rPr>
      </w:pPr>
      <w:r w:rsidRPr="00383CA1">
        <w:rPr>
          <w:rFonts w:ascii="Times New Roman" w:hAnsi="Times New Roman" w:cs="Times New Roman"/>
          <w:b/>
          <w:bCs/>
        </w:rPr>
        <w:t>Conflict of Interest Statement:</w:t>
      </w:r>
      <w:r w:rsidRPr="00383CA1">
        <w:rPr>
          <w:rFonts w:ascii="Times New Roman" w:hAnsi="Times New Roman" w:cs="Times New Roman"/>
        </w:rPr>
        <w:t> The author declares no conflict of interest.</w:t>
      </w:r>
    </w:p>
    <w:p w14:paraId="755B347A" w14:textId="77777777" w:rsidR="00383CA1" w:rsidRPr="00383CA1" w:rsidRDefault="00383CA1" w:rsidP="00383CA1">
      <w:pPr>
        <w:spacing w:after="0" w:line="360" w:lineRule="auto"/>
        <w:jc w:val="both"/>
        <w:rPr>
          <w:rFonts w:ascii="Times New Roman" w:hAnsi="Times New Roman" w:cs="Times New Roman"/>
        </w:rPr>
      </w:pPr>
      <w:r w:rsidRPr="00383CA1">
        <w:rPr>
          <w:rFonts w:ascii="Times New Roman" w:hAnsi="Times New Roman" w:cs="Times New Roman"/>
          <w:b/>
          <w:bCs/>
        </w:rPr>
        <w:t>Funding:</w:t>
      </w:r>
      <w:r w:rsidRPr="00383CA1">
        <w:rPr>
          <w:rFonts w:ascii="Times New Roman" w:hAnsi="Times New Roman" w:cs="Times New Roman"/>
        </w:rPr>
        <w:t> This research received no specific grant from any funding agency in the public, commercial, or not-for-profit sectors.</w:t>
      </w:r>
    </w:p>
    <w:p w14:paraId="77A3ED5F" w14:textId="77777777" w:rsidR="00383CA1" w:rsidRPr="002538F5" w:rsidRDefault="00383CA1" w:rsidP="00383CA1">
      <w:pPr>
        <w:spacing w:after="0" w:line="360" w:lineRule="auto"/>
        <w:jc w:val="both"/>
        <w:rPr>
          <w:rFonts w:ascii="Times New Roman" w:hAnsi="Times New Roman" w:cs="Times New Roman"/>
        </w:rPr>
      </w:pPr>
      <w:r w:rsidRPr="002538F5">
        <w:rPr>
          <w:rFonts w:ascii="Times New Roman" w:hAnsi="Times New Roman" w:cs="Times New Roman"/>
          <w:b/>
          <w:bCs/>
        </w:rPr>
        <w:t>Acknowledgments</w:t>
      </w:r>
      <w:r w:rsidRPr="00383CA1">
        <w:rPr>
          <w:rFonts w:ascii="Times New Roman" w:hAnsi="Times New Roman" w:cs="Times New Roman"/>
          <w:b/>
          <w:bCs/>
        </w:rPr>
        <w:t>:</w:t>
      </w:r>
      <w:r w:rsidRPr="00383CA1">
        <w:rPr>
          <w:rFonts w:ascii="Times New Roman" w:hAnsi="Times New Roman" w:cs="Times New Roman"/>
        </w:rPr>
        <w:t> </w:t>
      </w:r>
    </w:p>
    <w:p w14:paraId="46F92867" w14:textId="1ACAF84A" w:rsidR="00383CA1" w:rsidRDefault="00383CA1" w:rsidP="00383CA1">
      <w:pPr>
        <w:spacing w:after="0" w:line="360" w:lineRule="auto"/>
        <w:jc w:val="both"/>
        <w:rPr>
          <w:rFonts w:ascii="Times New Roman" w:hAnsi="Times New Roman" w:cs="Times New Roman"/>
        </w:rPr>
      </w:pPr>
      <w:r w:rsidRPr="00383CA1">
        <w:rPr>
          <w:rFonts w:ascii="Times New Roman" w:hAnsi="Times New Roman" w:cs="Times New Roman"/>
        </w:rPr>
        <w:t>The author thanks the Islamic University in Uganda for the approval to conduct this research, the Yumbe District Health Office for their support, and the teenage girls of Odravu Sub-County for their participation and honesty.</w:t>
      </w:r>
    </w:p>
    <w:p w14:paraId="4ED8D9D9" w14:textId="77777777" w:rsidR="002538F5" w:rsidRDefault="002538F5" w:rsidP="00383CA1">
      <w:pPr>
        <w:spacing w:after="0" w:line="360" w:lineRule="auto"/>
        <w:jc w:val="both"/>
        <w:rPr>
          <w:rFonts w:ascii="Times New Roman" w:hAnsi="Times New Roman" w:cs="Times New Roman"/>
        </w:rPr>
      </w:pPr>
    </w:p>
    <w:p w14:paraId="60C2EA1C" w14:textId="77777777" w:rsidR="007643C1" w:rsidRDefault="007643C1" w:rsidP="00383CA1">
      <w:pPr>
        <w:spacing w:after="0" w:line="360" w:lineRule="auto"/>
        <w:jc w:val="both"/>
        <w:rPr>
          <w:rFonts w:ascii="Times New Roman" w:hAnsi="Times New Roman" w:cs="Times New Roman"/>
        </w:rPr>
      </w:pPr>
    </w:p>
    <w:p w14:paraId="7113F541" w14:textId="77777777" w:rsidR="007643C1" w:rsidRDefault="007643C1" w:rsidP="00383CA1">
      <w:pPr>
        <w:spacing w:after="0" w:line="360" w:lineRule="auto"/>
        <w:jc w:val="both"/>
        <w:rPr>
          <w:rFonts w:ascii="Times New Roman" w:hAnsi="Times New Roman" w:cs="Times New Roman"/>
        </w:rPr>
      </w:pPr>
    </w:p>
    <w:p w14:paraId="2117B48A" w14:textId="77777777" w:rsidR="007643C1" w:rsidRDefault="007643C1" w:rsidP="00383CA1">
      <w:pPr>
        <w:spacing w:after="0" w:line="360" w:lineRule="auto"/>
        <w:jc w:val="both"/>
        <w:rPr>
          <w:rFonts w:ascii="Times New Roman" w:hAnsi="Times New Roman" w:cs="Times New Roman"/>
        </w:rPr>
      </w:pPr>
    </w:p>
    <w:p w14:paraId="3347568B" w14:textId="77777777" w:rsidR="007643C1" w:rsidRDefault="007643C1" w:rsidP="00383CA1">
      <w:pPr>
        <w:spacing w:after="0" w:line="360" w:lineRule="auto"/>
        <w:jc w:val="both"/>
        <w:rPr>
          <w:rFonts w:ascii="Times New Roman" w:hAnsi="Times New Roman" w:cs="Times New Roman"/>
        </w:rPr>
      </w:pPr>
    </w:p>
    <w:p w14:paraId="09F2FBB9" w14:textId="77777777" w:rsidR="007643C1" w:rsidRDefault="007643C1" w:rsidP="00383CA1">
      <w:pPr>
        <w:spacing w:after="0" w:line="360" w:lineRule="auto"/>
        <w:jc w:val="both"/>
        <w:rPr>
          <w:rFonts w:ascii="Times New Roman" w:hAnsi="Times New Roman" w:cs="Times New Roman"/>
        </w:rPr>
      </w:pPr>
    </w:p>
    <w:p w14:paraId="74165629" w14:textId="77777777" w:rsidR="007643C1" w:rsidRDefault="007643C1" w:rsidP="00383CA1">
      <w:pPr>
        <w:spacing w:after="0" w:line="360" w:lineRule="auto"/>
        <w:jc w:val="both"/>
        <w:rPr>
          <w:rFonts w:ascii="Times New Roman" w:hAnsi="Times New Roman" w:cs="Times New Roman"/>
        </w:rPr>
      </w:pPr>
    </w:p>
    <w:p w14:paraId="15A46698" w14:textId="77777777" w:rsidR="007643C1" w:rsidRDefault="007643C1" w:rsidP="00383CA1">
      <w:pPr>
        <w:spacing w:after="0" w:line="360" w:lineRule="auto"/>
        <w:jc w:val="both"/>
        <w:rPr>
          <w:rFonts w:ascii="Times New Roman" w:hAnsi="Times New Roman" w:cs="Times New Roman"/>
        </w:rPr>
      </w:pPr>
    </w:p>
    <w:p w14:paraId="32A884EA" w14:textId="77777777" w:rsidR="007643C1" w:rsidRDefault="007643C1" w:rsidP="00383CA1">
      <w:pPr>
        <w:spacing w:after="0" w:line="360" w:lineRule="auto"/>
        <w:jc w:val="both"/>
        <w:rPr>
          <w:rFonts w:ascii="Times New Roman" w:hAnsi="Times New Roman" w:cs="Times New Roman"/>
        </w:rPr>
      </w:pPr>
    </w:p>
    <w:p w14:paraId="20D31F37" w14:textId="77777777" w:rsidR="002538F5" w:rsidRDefault="002538F5" w:rsidP="00383CA1">
      <w:pPr>
        <w:spacing w:after="0" w:line="360" w:lineRule="auto"/>
        <w:jc w:val="both"/>
        <w:rPr>
          <w:rFonts w:ascii="Times New Roman" w:hAnsi="Times New Roman" w:cs="Times New Roman"/>
        </w:rPr>
      </w:pPr>
    </w:p>
    <w:p w14:paraId="54C6DFEA" w14:textId="5724F56C" w:rsidR="002538F5" w:rsidRDefault="002538F5" w:rsidP="002538F5">
      <w:pPr>
        <w:pStyle w:val="Heading1"/>
      </w:pPr>
      <w:r>
        <w:t>References</w:t>
      </w:r>
    </w:p>
    <w:p w14:paraId="18C258F9" w14:textId="3E56C57D"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fldChar w:fldCharType="begin"/>
      </w:r>
      <w:r w:rsidRPr="002538F5">
        <w:rPr>
          <w:rFonts w:ascii="Times New Roman" w:hAnsi="Times New Roman" w:cs="Times New Roman"/>
        </w:rPr>
        <w:instrText xml:space="preserve"> ADDIN ZOTERO_BIBL {"uncited":[],"omitted":[],"custom":[]} CSL_BIBLIOGRAPHY </w:instrText>
      </w:r>
      <w:r w:rsidRPr="002538F5">
        <w:rPr>
          <w:rFonts w:ascii="Times New Roman" w:hAnsi="Times New Roman" w:cs="Times New Roman"/>
        </w:rPr>
        <w:fldChar w:fldCharType="separate"/>
      </w:r>
      <w:r w:rsidRPr="002538F5">
        <w:rPr>
          <w:rFonts w:ascii="Times New Roman" w:hAnsi="Times New Roman" w:cs="Times New Roman"/>
        </w:rPr>
        <w:t xml:space="preserve">Dinah Amongin &amp; Lenka Benova. (2020). Trends and determinants of adolescent childbirth in Uganda: analysis of rural and urban women using six Demographic and Health Surveys, 1988–2016 | Reproductive Health | Springer Nature Link. </w:t>
      </w:r>
      <w:r w:rsidRPr="002538F5">
        <w:rPr>
          <w:rFonts w:ascii="Times New Roman" w:hAnsi="Times New Roman" w:cs="Times New Roman"/>
        </w:rPr>
        <w:lastRenderedPageBreak/>
        <w:t>https://link.springer.com/article/10.1186/s12978-020-00925-8?utm_source=chatgpt.com</w:t>
      </w:r>
    </w:p>
    <w:p w14:paraId="72DC1089" w14:textId="42BEC154"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Kabiru, C. W., Munthali, A., Sawadogo, N., Ajayi, A. I., Asego, C., Ilboudo, P. G., Khisa, A. M., Kimemia, G., Maina, B., Mangwana, J., Mbuthia, M., Ouedraogo, R., Thakwalakwa, C., Wanambwa, D., Tapsoba, A., &amp; Alfonso, W. O. T. (2023). Effectiveness of conditional cash transfers, subsidized child care, and life skills training on adolescent mothers' schooling, sexual and reproductive health, and mental health outcomes in Burkina Faso and Malawi: The PROMOTE Project pilot randomized controlled trial protocol. Reproductive Health, 20, 166. https://doi.org/10.1186/s12978-023-01706-9</w:t>
      </w:r>
    </w:p>
    <w:p w14:paraId="7F734DEE" w14:textId="77777777"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Maharaj, N. R. (2022). Adolescent pregnancy in sub-Saharan Africa – a cause for concern. Frontiers in Reproductive Health, 4. https://doi.org/10.3389/frph.2022.984303</w:t>
      </w:r>
    </w:p>
    <w:p w14:paraId="05818E8A" w14:textId="7676DF80"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Sabir Musa. (2025). High Rate of Child Marriage, Teenage Pregnancy Worries Yumbe District Leaders : Uganda Radio Network. https://ugandaradionetwork.net/story/high-rate-of-child-marriage-teenage-pregnancy-worries-yumbe-district-leaders</w:t>
      </w:r>
    </w:p>
    <w:p w14:paraId="5645E6F9" w14:textId="77777777"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Siddiqi, M., &amp; Innocenti, U. (2024). UNICEF Innocenti—Global Office of Research and Foresight.</w:t>
      </w:r>
    </w:p>
    <w:p w14:paraId="52BACA0E" w14:textId="4969384C"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Ssebwami, L., Kato, I. P., Jagwe, D., Bahatungire, R., Zimula, J., Okullo, R., Opeto, M., Oburu, G. O., Tibwita, F., Bagonza, N., &amp; Oryem, J. (2026). Determinants and outcomes of teenage pregnancy in Uganda: A case study of Hoima. International Journal of Reproduction, Contraception, Obstetrics and Gynecology, 15(3), 833–838. https://doi.org/10.18203/2320-1770.ijrcog20260536</w:t>
      </w:r>
    </w:p>
    <w:p w14:paraId="62E64EA1" w14:textId="24A1BD74"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UN Women. (2025). Breaking the Cycle: Combating Teenage Pregnancies and Child Marriages in Uganda. UN Women – Africa. https://africa.unwomen.org/en/digital-library/publications/2025/11/breaking-the-cycle-combating-teenage-pregnancies-and-child-marriages-in-uganda</w:t>
      </w:r>
    </w:p>
    <w:p w14:paraId="386364A2" w14:textId="77777777"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UNICEF. (2022). The National Strategy to End Child Marriage and Teenage Pregnancy 2022/2023 – 2026/2027 | UNICEF Uganda. https://www.unicef.org/uganda/reports/national-strategy-end-child-marriage-and-teenage-pregnancy-20222023-20262027?utm_source=chatgpt.com</w:t>
      </w:r>
    </w:p>
    <w:p w14:paraId="58187524" w14:textId="77777777"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UNICEF. (2025). ENDING CHILD MARRIAGE  IN UGANDA.</w:t>
      </w:r>
    </w:p>
    <w:p w14:paraId="3D52BB32" w14:textId="77777777"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 xml:space="preserve">Wasswa, R., Kabagenyi, A., Kananura, R. M., Jehopio, J., &amp; Rutaremwa, G. (2021). Determinants of change in the inequality and associated predictors of teenage pregnancy in Uganda for the period 2006-2016: Analysis of the Uganda Demographic </w:t>
      </w:r>
      <w:r w:rsidRPr="002538F5">
        <w:rPr>
          <w:rFonts w:ascii="Times New Roman" w:hAnsi="Times New Roman" w:cs="Times New Roman"/>
        </w:rPr>
        <w:lastRenderedPageBreak/>
        <w:t>and Health Surveys. BMJ Open, 11(11), e053264. https://doi.org/10.1136/bmjopen-2021-053264</w:t>
      </w:r>
    </w:p>
    <w:p w14:paraId="29E45431" w14:textId="77777777"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WHO. (2024). Adolescent pregnancy. https://www.who.int/news-room/fact-sheets/detail/adolescent-pregnancy</w:t>
      </w:r>
    </w:p>
    <w:p w14:paraId="377EAC46" w14:textId="77777777"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WHO. (2025). Sexual and Reproductive Health and Research (SRH). https://www.who.int/teams/sexual-and-reproductive-health-and-research-%28srh%29/areas-of-work/adolescent-and-sexual-and-reproductive-health-and-rights?utm_source=chatgpt.com</w:t>
      </w:r>
    </w:p>
    <w:p w14:paraId="60CE92F7" w14:textId="3377BE75" w:rsidR="002538F5" w:rsidRPr="002538F5" w:rsidRDefault="002538F5" w:rsidP="002538F5">
      <w:pPr>
        <w:spacing w:after="0" w:line="360" w:lineRule="auto"/>
        <w:jc w:val="both"/>
        <w:rPr>
          <w:rFonts w:ascii="Times New Roman" w:hAnsi="Times New Roman" w:cs="Times New Roman"/>
        </w:rPr>
      </w:pPr>
      <w:r w:rsidRPr="002538F5">
        <w:rPr>
          <w:rFonts w:ascii="Times New Roman" w:hAnsi="Times New Roman" w:cs="Times New Roman"/>
        </w:rPr>
        <w:fldChar w:fldCharType="end"/>
      </w:r>
    </w:p>
    <w:p w14:paraId="12C95E73" w14:textId="77777777" w:rsidR="00383CA1" w:rsidRPr="00383CA1" w:rsidRDefault="00383CA1" w:rsidP="00383CA1">
      <w:pPr>
        <w:jc w:val="both"/>
        <w:rPr>
          <w:rFonts w:ascii="Times New Roman" w:hAnsi="Times New Roman" w:cs="Times New Roman"/>
        </w:rPr>
      </w:pPr>
    </w:p>
    <w:sectPr w:rsidR="00383CA1" w:rsidRPr="00383C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59D"/>
    <w:multiLevelType w:val="hybridMultilevel"/>
    <w:tmpl w:val="C406C048"/>
    <w:lvl w:ilvl="0" w:tplc="6CDCAD02">
      <w:start w:val="1"/>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38B7109"/>
    <w:multiLevelType w:val="multilevel"/>
    <w:tmpl w:val="82404B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AA21AD"/>
    <w:multiLevelType w:val="hybridMultilevel"/>
    <w:tmpl w:val="CBD664A8"/>
    <w:lvl w:ilvl="0" w:tplc="2000000F">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 w15:restartNumberingAfterBreak="0">
    <w:nsid w:val="70D152F1"/>
    <w:multiLevelType w:val="multilevel"/>
    <w:tmpl w:val="6E6EC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021582"/>
    <w:multiLevelType w:val="multilevel"/>
    <w:tmpl w:val="86FC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9517842">
    <w:abstractNumId w:val="3"/>
  </w:num>
  <w:num w:numId="2" w16cid:durableId="605774199">
    <w:abstractNumId w:val="2"/>
  </w:num>
  <w:num w:numId="3" w16cid:durableId="2082679688">
    <w:abstractNumId w:val="0"/>
  </w:num>
  <w:num w:numId="4" w16cid:durableId="489565946">
    <w:abstractNumId w:val="4"/>
  </w:num>
  <w:num w:numId="5" w16cid:durableId="1554078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zMTGwNLS0NDA2NDFX0lEKTi0uzszPAykwrAUAOFtBBywAAAA="/>
  </w:docVars>
  <w:rsids>
    <w:rsidRoot w:val="00383CA1"/>
    <w:rsid w:val="000F5747"/>
    <w:rsid w:val="002538F5"/>
    <w:rsid w:val="003649B7"/>
    <w:rsid w:val="00383CA1"/>
    <w:rsid w:val="005E5315"/>
    <w:rsid w:val="007643C1"/>
    <w:rsid w:val="008710C1"/>
    <w:rsid w:val="00A20064"/>
    <w:rsid w:val="00A8546C"/>
    <w:rsid w:val="00AC52F3"/>
    <w:rsid w:val="00CD3BB6"/>
    <w:rsid w:val="00DA6CD9"/>
    <w:rsid w:val="00E329BD"/>
    <w:rsid w:val="00F0792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0204E"/>
  <w15:chartTrackingRefBased/>
  <w15:docId w15:val="{905CE192-06C5-42D5-B867-9C61A497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CA1"/>
    <w:pPr>
      <w:keepNext/>
      <w:keepLines/>
      <w:spacing w:before="360" w:after="80"/>
      <w:outlineLvl w:val="0"/>
    </w:pPr>
    <w:rPr>
      <w:rFonts w:ascii="Times New Roman" w:eastAsiaTheme="majorEastAsia" w:hAnsi="Times New Roman" w:cstheme="majorBidi"/>
      <w:b/>
      <w:color w:val="2F5496" w:themeColor="accent1" w:themeShade="BF"/>
      <w:szCs w:val="40"/>
    </w:rPr>
  </w:style>
  <w:style w:type="paragraph" w:styleId="Heading2">
    <w:name w:val="heading 2"/>
    <w:basedOn w:val="Normal"/>
    <w:next w:val="Normal"/>
    <w:link w:val="Heading2Char"/>
    <w:uiPriority w:val="9"/>
    <w:unhideWhenUsed/>
    <w:qFormat/>
    <w:rsid w:val="00383C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83C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3C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3C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3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CA1"/>
    <w:rPr>
      <w:rFonts w:ascii="Times New Roman" w:eastAsiaTheme="majorEastAsia" w:hAnsi="Times New Roman" w:cstheme="majorBidi"/>
      <w:b/>
      <w:color w:val="2F5496" w:themeColor="accent1" w:themeShade="BF"/>
      <w:szCs w:val="40"/>
    </w:rPr>
  </w:style>
  <w:style w:type="character" w:customStyle="1" w:styleId="Heading2Char">
    <w:name w:val="Heading 2 Char"/>
    <w:basedOn w:val="DefaultParagraphFont"/>
    <w:link w:val="Heading2"/>
    <w:uiPriority w:val="9"/>
    <w:rsid w:val="00383C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83C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3C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3C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3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CA1"/>
    <w:rPr>
      <w:rFonts w:eastAsiaTheme="majorEastAsia" w:cstheme="majorBidi"/>
      <w:color w:val="272727" w:themeColor="text1" w:themeTint="D8"/>
    </w:rPr>
  </w:style>
  <w:style w:type="paragraph" w:styleId="Title">
    <w:name w:val="Title"/>
    <w:basedOn w:val="Normal"/>
    <w:next w:val="Normal"/>
    <w:link w:val="TitleChar"/>
    <w:uiPriority w:val="10"/>
    <w:qFormat/>
    <w:rsid w:val="00383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CA1"/>
    <w:pPr>
      <w:spacing w:before="160"/>
      <w:jc w:val="center"/>
    </w:pPr>
    <w:rPr>
      <w:i/>
      <w:iCs/>
      <w:color w:val="404040" w:themeColor="text1" w:themeTint="BF"/>
    </w:rPr>
  </w:style>
  <w:style w:type="character" w:customStyle="1" w:styleId="QuoteChar">
    <w:name w:val="Quote Char"/>
    <w:basedOn w:val="DefaultParagraphFont"/>
    <w:link w:val="Quote"/>
    <w:uiPriority w:val="29"/>
    <w:rsid w:val="00383CA1"/>
    <w:rPr>
      <w:i/>
      <w:iCs/>
      <w:color w:val="404040" w:themeColor="text1" w:themeTint="BF"/>
    </w:rPr>
  </w:style>
  <w:style w:type="paragraph" w:styleId="ListParagraph">
    <w:name w:val="List Paragraph"/>
    <w:basedOn w:val="Normal"/>
    <w:uiPriority w:val="34"/>
    <w:qFormat/>
    <w:rsid w:val="00383CA1"/>
    <w:pPr>
      <w:ind w:left="720"/>
      <w:contextualSpacing/>
    </w:pPr>
  </w:style>
  <w:style w:type="character" w:styleId="IntenseEmphasis">
    <w:name w:val="Intense Emphasis"/>
    <w:basedOn w:val="DefaultParagraphFont"/>
    <w:uiPriority w:val="21"/>
    <w:qFormat/>
    <w:rsid w:val="00383CA1"/>
    <w:rPr>
      <w:i/>
      <w:iCs/>
      <w:color w:val="2F5496" w:themeColor="accent1" w:themeShade="BF"/>
    </w:rPr>
  </w:style>
  <w:style w:type="paragraph" w:styleId="IntenseQuote">
    <w:name w:val="Intense Quote"/>
    <w:basedOn w:val="Normal"/>
    <w:next w:val="Normal"/>
    <w:link w:val="IntenseQuoteChar"/>
    <w:uiPriority w:val="30"/>
    <w:qFormat/>
    <w:rsid w:val="00383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3CA1"/>
    <w:rPr>
      <w:i/>
      <w:iCs/>
      <w:color w:val="2F5496" w:themeColor="accent1" w:themeShade="BF"/>
    </w:rPr>
  </w:style>
  <w:style w:type="character" w:styleId="IntenseReference">
    <w:name w:val="Intense Reference"/>
    <w:basedOn w:val="DefaultParagraphFont"/>
    <w:uiPriority w:val="32"/>
    <w:qFormat/>
    <w:rsid w:val="00383CA1"/>
    <w:rPr>
      <w:b/>
      <w:bCs/>
      <w:smallCaps/>
      <w:color w:val="2F5496" w:themeColor="accent1" w:themeShade="BF"/>
      <w:spacing w:val="5"/>
    </w:rPr>
  </w:style>
  <w:style w:type="paragraph" w:customStyle="1" w:styleId="ds-markdown-paragraph">
    <w:name w:val="ds-markdown-paragraph"/>
    <w:basedOn w:val="Normal"/>
    <w:rsid w:val="00383CA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83CA1"/>
    <w:rPr>
      <w:b/>
      <w:bCs/>
    </w:rPr>
  </w:style>
  <w:style w:type="character" w:styleId="Emphasis">
    <w:name w:val="Emphasis"/>
    <w:basedOn w:val="DefaultParagraphFont"/>
    <w:uiPriority w:val="20"/>
    <w:qFormat/>
    <w:rsid w:val="00383CA1"/>
    <w:rPr>
      <w:i/>
      <w:iCs/>
    </w:rPr>
  </w:style>
  <w:style w:type="table" w:styleId="TableGrid">
    <w:name w:val="Table Grid"/>
    <w:basedOn w:val="TableNormal"/>
    <w:uiPriority w:val="39"/>
    <w:rsid w:val="00383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538F5"/>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2538F5"/>
    <w:pPr>
      <w:spacing w:after="0" w:line="480" w:lineRule="auto"/>
      <w:ind w:left="720" w:hanging="720"/>
    </w:pPr>
  </w:style>
  <w:style w:type="character" w:customStyle="1" w:styleId="dq">
    <w:name w:val="dq"/>
    <w:basedOn w:val="DefaultParagraphFont"/>
    <w:rsid w:val="005E5315"/>
  </w:style>
  <w:style w:type="character" w:styleId="Hyperlink">
    <w:name w:val="Hyperlink"/>
    <w:basedOn w:val="DefaultParagraphFont"/>
    <w:uiPriority w:val="99"/>
    <w:unhideWhenUsed/>
    <w:rsid w:val="007643C1"/>
    <w:rPr>
      <w:color w:val="0563C1" w:themeColor="hyperlink"/>
      <w:u w:val="single"/>
    </w:rPr>
  </w:style>
  <w:style w:type="character" w:styleId="UnresolvedMention">
    <w:name w:val="Unresolved Mention"/>
    <w:basedOn w:val="DefaultParagraphFont"/>
    <w:uiPriority w:val="99"/>
    <w:semiHidden/>
    <w:unhideWhenUsed/>
    <w:rsid w:val="007643C1"/>
    <w:rPr>
      <w:color w:val="605E5C"/>
      <w:shd w:val="clear" w:color="auto" w:fill="E1DFDD"/>
    </w:rPr>
  </w:style>
  <w:style w:type="paragraph" w:styleId="NormalWeb">
    <w:name w:val="Normal (Web)"/>
    <w:basedOn w:val="Normal"/>
    <w:uiPriority w:val="99"/>
    <w:unhideWhenUsed/>
    <w:rsid w:val="007643C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TMLPreformatted">
    <w:name w:val="HTML Preformatted"/>
    <w:basedOn w:val="Normal"/>
    <w:link w:val="HTMLPreformattedChar"/>
    <w:uiPriority w:val="99"/>
    <w:semiHidden/>
    <w:unhideWhenUsed/>
    <w:rsid w:val="00764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7643C1"/>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0075B-2985-452E-A893-ADB4A11B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Pages>
  <Words>8940</Words>
  <Characters>50958</Characters>
  <Application>Microsoft Office Word</Application>
  <DocSecurity>0</DocSecurity>
  <Lines>424</Lines>
  <Paragraphs>119</Paragraphs>
  <ScaleCrop>false</ScaleCrop>
  <Company/>
  <LinksUpToDate>false</LinksUpToDate>
  <CharactersWithSpaces>59779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Taban Dalili</dc:creator>
  <cp:keywords/>
  <dc:description/>
  <cp:lastModifiedBy>theaisha1707@gmail.com</cp:lastModifiedBy>
  <cp:revision>6</cp:revision>
  <dcterms:created xsi:type="dcterms:W3CDTF">2026-04-14T12:41:00Z</dcterms:created>
  <dcterms:modified xsi:type="dcterms:W3CDTF">2026-04-20T06:06:00Z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2432df4e-2b66-407f-b2c1-b9cda839856f</vt:lpwstr>
  </property>
  <property fmtid="{D5CDD505-2E9C-101B-9397-08002B2CF9AE}" pid="3" name="ZOTERO_PREF_1">
    <vt:lpwstr>&lt;data data-version="3" zotero-version="7.0.32"&gt;&lt;session id="PU87igDh"/&gt;&lt;style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