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6E06A" w14:textId="5764BC44" w:rsidR="00623244" w:rsidRPr="00BB6C1D" w:rsidRDefault="00623244" w:rsidP="00AB7437">
      <w:pPr>
        <w:spacing w:after="200" w:line="276" w:lineRule="auto"/>
        <w:rPr>
          <w:rFonts w:ascii="Times New Roman" w:hAnsi="Times New Roman"/>
          <w:b/>
          <w:sz w:val="32"/>
          <w:szCs w:val="32"/>
        </w:rPr>
      </w:pPr>
      <w:bookmarkStart w:id="0" w:name="_Hlk188872724"/>
      <w:r w:rsidRPr="00BB6C1D">
        <w:rPr>
          <w:rFonts w:ascii="Times New Roman" w:hAnsi="Times New Roman"/>
          <w:b/>
          <w:sz w:val="32"/>
          <w:szCs w:val="32"/>
        </w:rPr>
        <w:t xml:space="preserve">The Impact of </w:t>
      </w:r>
      <w:r w:rsidR="004C646C">
        <w:rPr>
          <w:rFonts w:ascii="Times New Roman" w:hAnsi="Times New Roman"/>
          <w:b/>
          <w:sz w:val="32"/>
          <w:szCs w:val="32"/>
        </w:rPr>
        <w:t>Global Oil Price Shocks on the S</w:t>
      </w:r>
      <w:r w:rsidRPr="00BB6C1D">
        <w:rPr>
          <w:rFonts w:ascii="Times New Roman" w:hAnsi="Times New Roman"/>
          <w:b/>
          <w:sz w:val="32"/>
          <w:szCs w:val="32"/>
        </w:rPr>
        <w:t xml:space="preserve">tability </w:t>
      </w:r>
      <w:r w:rsidR="00BB6C1D" w:rsidRPr="00BB6C1D">
        <w:rPr>
          <w:rFonts w:ascii="Times New Roman" w:hAnsi="Times New Roman"/>
          <w:b/>
          <w:sz w:val="32"/>
          <w:szCs w:val="32"/>
        </w:rPr>
        <w:t>of Developing</w:t>
      </w:r>
      <w:r w:rsidRPr="00BB6C1D">
        <w:rPr>
          <w:rFonts w:ascii="Times New Roman" w:hAnsi="Times New Roman"/>
          <w:b/>
          <w:sz w:val="32"/>
          <w:szCs w:val="32"/>
        </w:rPr>
        <w:t xml:space="preserve"> countries</w:t>
      </w:r>
      <w:r w:rsidR="00D31682">
        <w:rPr>
          <w:rFonts w:ascii="Times New Roman" w:hAnsi="Times New Roman"/>
          <w:b/>
          <w:sz w:val="32"/>
          <w:szCs w:val="32"/>
        </w:rPr>
        <w:t>: A Systematic Review</w:t>
      </w:r>
    </w:p>
    <w:p w14:paraId="3FC60950" w14:textId="77777777" w:rsidR="00605F0B" w:rsidRDefault="00605F0B" w:rsidP="000A27DA">
      <w:pPr>
        <w:spacing w:after="0" w:line="240" w:lineRule="auto"/>
        <w:rPr>
          <w:rFonts w:ascii="Times New Roman" w:hAnsi="Times New Roman"/>
          <w:b/>
          <w:bCs/>
        </w:rPr>
      </w:pPr>
    </w:p>
    <w:p w14:paraId="4FCE4D31" w14:textId="77777777" w:rsidR="000A27DA" w:rsidRDefault="000A27DA" w:rsidP="000A27DA">
      <w:pPr>
        <w:spacing w:after="0" w:line="240" w:lineRule="auto"/>
        <w:jc w:val="center"/>
        <w:rPr>
          <w:rFonts w:ascii="Times New Roman" w:hAnsi="Times New Roman"/>
          <w:b/>
          <w:bCs/>
        </w:rPr>
      </w:pPr>
      <w:bookmarkStart w:id="1" w:name="_GoBack"/>
      <w:bookmarkEnd w:id="1"/>
      <w:r>
        <w:rPr>
          <w:rFonts w:ascii="Times New Roman" w:hAnsi="Times New Roman"/>
          <w:b/>
          <w:bCs/>
        </w:rPr>
        <w:t>AB</w:t>
      </w:r>
      <w:r w:rsidRPr="00957906">
        <w:rPr>
          <w:rFonts w:ascii="Times New Roman" w:hAnsi="Times New Roman"/>
          <w:b/>
          <w:bCs/>
        </w:rPr>
        <w:t>STRACT</w:t>
      </w:r>
    </w:p>
    <w:p w14:paraId="18614005" w14:textId="77777777" w:rsidR="00750834" w:rsidRDefault="00750834" w:rsidP="00750834">
      <w:pPr>
        <w:pStyle w:val="isselectedend"/>
        <w:spacing w:before="0" w:beforeAutospacing="0" w:after="0" w:afterAutospacing="0"/>
        <w:jc w:val="both"/>
        <w:rPr>
          <w:rFonts w:eastAsiaTheme="minorHAnsi" w:cstheme="minorBidi"/>
          <w:b/>
          <w:bCs/>
          <w:kern w:val="2"/>
          <w:sz w:val="20"/>
          <w:szCs w:val="22"/>
          <w:lang w:eastAsia="en-US"/>
          <w14:ligatures w14:val="standardContextual"/>
        </w:rPr>
      </w:pPr>
    </w:p>
    <w:p w14:paraId="4507046B" w14:textId="1EFB722B" w:rsidR="00750834" w:rsidRPr="00750834" w:rsidRDefault="00750834" w:rsidP="00750834">
      <w:pPr>
        <w:pStyle w:val="isselectedend"/>
        <w:spacing w:before="0" w:beforeAutospacing="0" w:after="0" w:afterAutospacing="0"/>
        <w:jc w:val="both"/>
        <w:rPr>
          <w:sz w:val="22"/>
        </w:rPr>
      </w:pPr>
      <w:r>
        <w:rPr>
          <w:rFonts w:eastAsiaTheme="minorHAnsi" w:cstheme="minorBidi"/>
          <w:b/>
          <w:bCs/>
          <w:kern w:val="2"/>
          <w:sz w:val="20"/>
          <w:szCs w:val="22"/>
          <w:lang w:eastAsia="en-US"/>
          <w14:ligatures w14:val="standardContextual"/>
        </w:rPr>
        <w:t xml:space="preserve">  </w:t>
      </w:r>
      <w:r w:rsidR="004325EE" w:rsidRPr="00750834">
        <w:rPr>
          <w:rStyle w:val="Strong"/>
          <w:sz w:val="20"/>
        </w:rPr>
        <w:t xml:space="preserve"> </w:t>
      </w:r>
      <w:r w:rsidRPr="00750834">
        <w:rPr>
          <w:b/>
          <w:bCs/>
          <w:sz w:val="22"/>
        </w:rPr>
        <w:t>Background:</w:t>
      </w:r>
      <w:r w:rsidRPr="00750834">
        <w:rPr>
          <w:sz w:val="22"/>
        </w:rPr>
        <w:t xml:space="preserve"> Global oil price shocks are widely recognized as a major external factor influencing the economic stability of developing countries. Due to their structural dependence on oil imports or exports and relatively weaker institutional frameworks, these economies are particularly vulnerable to fluctuations in global energy markets. While numerous empirical studies have examined this relationship, findings remain diverse and context-specific, necessitating a systematic synthesis of existing evidence.</w:t>
      </w:r>
    </w:p>
    <w:p w14:paraId="394143AE" w14:textId="521E69F2" w:rsidR="00750834" w:rsidRP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
          <w:bCs/>
          <w:kern w:val="0"/>
          <w:szCs w:val="24"/>
          <w:lang w:eastAsia="en-PH"/>
          <w14:ligatures w14:val="none"/>
        </w:rPr>
        <w:t xml:space="preserve">  </w:t>
      </w:r>
      <w:r w:rsidRPr="00750834">
        <w:rPr>
          <w:rFonts w:ascii="Times New Roman" w:eastAsia="Times New Roman" w:hAnsi="Times New Roman" w:cs="Times New Roman"/>
          <w:b/>
          <w:bCs/>
          <w:kern w:val="0"/>
          <w:szCs w:val="24"/>
          <w:lang w:eastAsia="en-PH"/>
          <w14:ligatures w14:val="none"/>
        </w:rPr>
        <w:t>Objectives:</w:t>
      </w:r>
      <w:r w:rsidRPr="00750834">
        <w:rPr>
          <w:rFonts w:ascii="Times New Roman" w:eastAsia="Times New Roman" w:hAnsi="Times New Roman" w:cs="Times New Roman"/>
          <w:kern w:val="0"/>
          <w:szCs w:val="24"/>
          <w:lang w:eastAsia="en-PH"/>
          <w14:ligatures w14:val="none"/>
        </w:rPr>
        <w:t xml:space="preserve"> This study aimed to systematically review and synthesize empirical literature on the impact of global oil price shocks on the stability of developing countries, focusing on key outcomes such as inflation, economic growth, financial stability, and trade and external sector performance.</w:t>
      </w:r>
    </w:p>
    <w:p w14:paraId="17CE36A4" w14:textId="0A8999BB" w:rsidR="00750834" w:rsidRP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
          <w:bCs/>
          <w:kern w:val="0"/>
          <w:szCs w:val="24"/>
          <w:lang w:eastAsia="en-PH"/>
          <w14:ligatures w14:val="none"/>
        </w:rPr>
        <w:t xml:space="preserve">  </w:t>
      </w:r>
      <w:r w:rsidRPr="00750834">
        <w:rPr>
          <w:rFonts w:ascii="Times New Roman" w:eastAsia="Times New Roman" w:hAnsi="Times New Roman" w:cs="Times New Roman"/>
          <w:b/>
          <w:bCs/>
          <w:kern w:val="0"/>
          <w:szCs w:val="24"/>
          <w:lang w:eastAsia="en-PH"/>
          <w14:ligatures w14:val="none"/>
        </w:rPr>
        <w:t>Methods:</w:t>
      </w:r>
      <w:r w:rsidRPr="00750834">
        <w:rPr>
          <w:rFonts w:ascii="Times New Roman" w:eastAsia="Times New Roman" w:hAnsi="Times New Roman" w:cs="Times New Roman"/>
          <w:kern w:val="0"/>
          <w:szCs w:val="24"/>
          <w:lang w:eastAsia="en-PH"/>
          <w14:ligatures w14:val="none"/>
        </w:rPr>
        <w:t xml:space="preserve"> A systematic review methodology was employed, guided by PRISMA protocols for study identification and selection. A comprehensive search was conducted across multiple academic databases, including ScienceDirect, ProQuest, JSTOR, SpringerLink, Google Scholar, and Sage Journals, covering studies published between 2000 and 2025. Boolean operators and predefined inclusion and exclusion criteria were applied. A total of 14 studies met the inclusion criteria and were analyzed using a narrative synthesis approach following the Synthesis Without Meta-Analysis (SWiM) guidelines. The Joanna Briggs Institute (JBI) Critical Appraisal Tool was used to assess methodological quality and risk of bias.</w:t>
      </w:r>
    </w:p>
    <w:p w14:paraId="5D12EF8B" w14:textId="05117E34" w:rsidR="00750834" w:rsidRP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
          <w:bCs/>
          <w:kern w:val="0"/>
          <w:szCs w:val="24"/>
          <w:lang w:eastAsia="en-PH"/>
          <w14:ligatures w14:val="none"/>
        </w:rPr>
        <w:t xml:space="preserve">  </w:t>
      </w:r>
      <w:r w:rsidRPr="00750834">
        <w:rPr>
          <w:rFonts w:ascii="Times New Roman" w:eastAsia="Times New Roman" w:hAnsi="Times New Roman" w:cs="Times New Roman"/>
          <w:b/>
          <w:bCs/>
          <w:kern w:val="0"/>
          <w:szCs w:val="24"/>
          <w:lang w:eastAsia="en-PH"/>
          <w14:ligatures w14:val="none"/>
        </w:rPr>
        <w:t>Results:</w:t>
      </w:r>
      <w:r w:rsidRPr="00750834">
        <w:rPr>
          <w:rFonts w:ascii="Times New Roman" w:eastAsia="Times New Roman" w:hAnsi="Times New Roman" w:cs="Times New Roman"/>
          <w:kern w:val="0"/>
          <w:szCs w:val="24"/>
          <w:lang w:eastAsia="en-PH"/>
          <w14:ligatures w14:val="none"/>
        </w:rPr>
        <w:t xml:space="preserve"> The findings indicate that oil price shocks have significant but heterogeneous effects on developing economies. Oil-exporting countries tend to benefit from rising oil prices through increased revenues, improved fiscal balances, and enhanced financial stability. In contrast, oil-importing economies experience adverse effects, including higher inflation, reduced economic growth, and external imbalances. Oil price volatility also affects exchange rates, trade performance, and financial systems. Institutional quality and governance were identified as key moderating factors influencing the extent of these impacts. Additionally, nonlinear and asymmetric relationships between oil price changes and macroeconomic outcomes were consistently observed across studies.</w:t>
      </w:r>
    </w:p>
    <w:p w14:paraId="3A7C89A7" w14:textId="6272E249" w:rsid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
          <w:bCs/>
          <w:kern w:val="0"/>
          <w:szCs w:val="24"/>
          <w:lang w:eastAsia="en-PH"/>
          <w14:ligatures w14:val="none"/>
        </w:rPr>
        <w:t xml:space="preserve">  </w:t>
      </w:r>
      <w:r w:rsidRPr="00750834">
        <w:rPr>
          <w:rFonts w:ascii="Times New Roman" w:eastAsia="Times New Roman" w:hAnsi="Times New Roman" w:cs="Times New Roman"/>
          <w:b/>
          <w:bCs/>
          <w:kern w:val="0"/>
          <w:szCs w:val="24"/>
          <w:lang w:eastAsia="en-PH"/>
          <w14:ligatures w14:val="none"/>
        </w:rPr>
        <w:t>Conclusion:</w:t>
      </w:r>
      <w:r w:rsidRPr="00750834">
        <w:rPr>
          <w:rFonts w:ascii="Times New Roman" w:eastAsia="Times New Roman" w:hAnsi="Times New Roman" w:cs="Times New Roman"/>
          <w:kern w:val="0"/>
          <w:szCs w:val="24"/>
          <w:lang w:eastAsia="en-PH"/>
          <w14:ligatures w14:val="none"/>
        </w:rPr>
        <w:t xml:space="preserve"> Global oil price shocks remain a critical determinant of macroeconomic and financial stability in developing countries, with impacts varying depending on economic structure and institutional capacity. The findings highlight the importance of economic diversification, strong governance frameworks, and effective macroeconomic policies in mitigating vulnerability to oil price volatility. Future research should further explore nonlinear dynamics and the interaction between oil price shocks and emerging global economic factors.</w:t>
      </w:r>
    </w:p>
    <w:p w14:paraId="6C5FF225" w14:textId="77777777" w:rsidR="00750834" w:rsidRPr="00750834" w:rsidRDefault="00750834" w:rsidP="00750834">
      <w:pPr>
        <w:spacing w:after="0" w:line="240" w:lineRule="auto"/>
        <w:jc w:val="both"/>
        <w:rPr>
          <w:rFonts w:ascii="Times New Roman" w:eastAsia="Times New Roman" w:hAnsi="Times New Roman" w:cs="Times New Roman"/>
          <w:kern w:val="0"/>
          <w:szCs w:val="24"/>
          <w:lang w:eastAsia="en-PH"/>
          <w14:ligatures w14:val="none"/>
        </w:rPr>
      </w:pPr>
    </w:p>
    <w:p w14:paraId="2342E4A5" w14:textId="584A46D0" w:rsidR="00243C0C" w:rsidRPr="00243C0C" w:rsidRDefault="00750834" w:rsidP="00243C0C">
      <w:pPr>
        <w:spacing w:after="0" w:line="240" w:lineRule="auto"/>
        <w:jc w:val="both"/>
        <w:rPr>
          <w:rFonts w:ascii="Times New Roman" w:eastAsia="Times New Roman" w:hAnsi="Times New Roman" w:cs="Times New Roman"/>
          <w:i/>
          <w:kern w:val="0"/>
          <w:szCs w:val="24"/>
          <w:lang w:eastAsia="en-PH"/>
          <w14:ligatures w14:val="none"/>
        </w:rPr>
      </w:pPr>
      <w:r w:rsidRPr="00750834">
        <w:rPr>
          <w:rFonts w:ascii="Times New Roman" w:eastAsia="Times New Roman" w:hAnsi="Times New Roman" w:cs="Times New Roman"/>
          <w:b/>
          <w:bCs/>
          <w:i/>
          <w:kern w:val="0"/>
          <w:szCs w:val="24"/>
          <w:lang w:eastAsia="en-PH"/>
          <w14:ligatures w14:val="none"/>
        </w:rPr>
        <w:t>Keywords:</w:t>
      </w:r>
      <w:r w:rsidRPr="00750834">
        <w:rPr>
          <w:rFonts w:ascii="Times New Roman" w:eastAsia="Times New Roman" w:hAnsi="Times New Roman" w:cs="Times New Roman"/>
          <w:i/>
          <w:kern w:val="0"/>
          <w:szCs w:val="24"/>
          <w:lang w:eastAsia="en-PH"/>
          <w14:ligatures w14:val="none"/>
        </w:rPr>
        <w:t xml:space="preserve"> Oil Price Shocks; Developing Countries; Macroeconomic Stability; Economic Growth; Inflation; Financial Stability; Trade Performance</w:t>
      </w:r>
    </w:p>
    <w:p w14:paraId="348B6E3C" w14:textId="77777777" w:rsidR="00243C0C" w:rsidRDefault="00243C0C" w:rsidP="000A27DA">
      <w:pPr>
        <w:spacing w:after="0" w:line="240" w:lineRule="auto"/>
        <w:jc w:val="both"/>
        <w:rPr>
          <w:rFonts w:ascii="Times New Roman" w:hAnsi="Times New Roman"/>
        </w:rPr>
      </w:pPr>
    </w:p>
    <w:p w14:paraId="4179E3F7" w14:textId="0B583785" w:rsidR="000A27DA" w:rsidRPr="00AC4AE8" w:rsidRDefault="000A27DA" w:rsidP="000A27DA">
      <w:pPr>
        <w:spacing w:after="0" w:line="240" w:lineRule="auto"/>
        <w:jc w:val="both"/>
        <w:rPr>
          <w:rFonts w:ascii="Times New Roman" w:hAnsi="Times New Roman"/>
        </w:rPr>
      </w:pPr>
      <w:r>
        <w:rPr>
          <w:rFonts w:ascii="Times New Roman" w:hAnsi="Times New Roman"/>
        </w:rPr>
        <w:t>*</w:t>
      </w:r>
      <w:r w:rsidRPr="00AC4AE8">
        <w:rPr>
          <w:rFonts w:ascii="Times New Roman" w:hAnsi="Times New Roman"/>
        </w:rPr>
        <w:t>Correspond</w:t>
      </w:r>
      <w:r w:rsidR="00736918">
        <w:rPr>
          <w:rFonts w:ascii="Times New Roman" w:hAnsi="Times New Roman"/>
        </w:rPr>
        <w:t xml:space="preserve">ing </w:t>
      </w:r>
      <w:r w:rsidRPr="00AC4AE8">
        <w:rPr>
          <w:rFonts w:ascii="Times New Roman" w:hAnsi="Times New Roman"/>
        </w:rPr>
        <w:t>Author</w:t>
      </w:r>
      <w:r>
        <w:rPr>
          <w:rFonts w:ascii="Times New Roman" w:hAnsi="Times New Roman"/>
        </w:rPr>
        <w:t>:</w:t>
      </w:r>
    </w:p>
    <w:p w14:paraId="0D9EF104" w14:textId="12A305DE" w:rsidR="0034268A" w:rsidRDefault="000A27DA" w:rsidP="000A27DA">
      <w:pPr>
        <w:spacing w:after="0" w:line="240" w:lineRule="auto"/>
        <w:jc w:val="both"/>
        <w:rPr>
          <w:rFonts w:ascii="Times New Roman" w:hAnsi="Times New Roman"/>
        </w:rPr>
      </w:pPr>
      <w:r w:rsidRPr="00AC4AE8">
        <w:rPr>
          <w:rFonts w:ascii="Times New Roman" w:hAnsi="Times New Roman"/>
          <w:b/>
          <w:bCs/>
        </w:rPr>
        <w:t xml:space="preserve">Name: </w:t>
      </w:r>
      <w:r w:rsidR="00D83E44">
        <w:rPr>
          <w:rFonts w:ascii="Times New Roman" w:hAnsi="Times New Roman"/>
          <w:b/>
          <w:bCs/>
        </w:rPr>
        <w:t>Aminoden, Aliah</w:t>
      </w:r>
    </w:p>
    <w:p w14:paraId="3A2A8225" w14:textId="77777777" w:rsidR="0034268A" w:rsidRDefault="0034268A" w:rsidP="000A27DA">
      <w:pPr>
        <w:spacing w:after="0" w:line="240" w:lineRule="auto"/>
        <w:jc w:val="both"/>
        <w:rPr>
          <w:rFonts w:ascii="Times New Roman" w:hAnsi="Times New Roman"/>
        </w:rPr>
      </w:pPr>
      <w:r w:rsidRPr="0034268A">
        <w:rPr>
          <w:rFonts w:ascii="Times New Roman" w:hAnsi="Times New Roman"/>
        </w:rPr>
        <w:t>Mindanao State University, Main Campus, Marawi City, Lanao Del Sur, 9700, Philippines</w:t>
      </w:r>
    </w:p>
    <w:p w14:paraId="5E09585F" w14:textId="43666829" w:rsidR="000A27DA" w:rsidRDefault="000A27DA" w:rsidP="000A27DA">
      <w:pPr>
        <w:spacing w:after="0" w:line="240" w:lineRule="auto"/>
        <w:jc w:val="both"/>
        <w:rPr>
          <w:rFonts w:ascii="Times New Roman" w:hAnsi="Times New Roman"/>
        </w:rPr>
      </w:pPr>
      <w:r w:rsidRPr="00AC4AE8">
        <w:rPr>
          <w:rFonts w:ascii="Times New Roman" w:hAnsi="Times New Roman"/>
        </w:rPr>
        <w:t xml:space="preserve">Corresponding Author Email: </w:t>
      </w:r>
      <w:hyperlink r:id="rId8" w:history="1">
        <w:r w:rsidR="00D83E44">
          <w:rPr>
            <w:rStyle w:val="Hyperlink"/>
            <w:rFonts w:ascii="Times New Roman" w:hAnsi="Times New Roman"/>
          </w:rPr>
          <w:t>aminoden</w:t>
        </w:r>
      </w:hyperlink>
      <w:r w:rsidR="00D83E44">
        <w:rPr>
          <w:rStyle w:val="Hyperlink"/>
          <w:rFonts w:ascii="Times New Roman" w:hAnsi="Times New Roman"/>
        </w:rPr>
        <w:t>.ar037@s.msumain.edu.ph</w:t>
      </w:r>
    </w:p>
    <w:p w14:paraId="27902A9A" w14:textId="666E2AF1" w:rsidR="000A27DA" w:rsidRPr="00AC4AE8" w:rsidRDefault="0034268A" w:rsidP="000A27DA">
      <w:pPr>
        <w:spacing w:after="0" w:line="240" w:lineRule="auto"/>
        <w:jc w:val="both"/>
        <w:rPr>
          <w:rFonts w:ascii="Times New Roman" w:hAnsi="Times New Roman"/>
        </w:rPr>
      </w:pPr>
      <w:r>
        <w:rPr>
          <w:rFonts w:ascii="Times New Roman" w:hAnsi="Times New Roman"/>
        </w:rPr>
        <w:t>Cell No.</w:t>
      </w:r>
      <w:r w:rsidR="000A27DA" w:rsidRPr="00AC4AE8">
        <w:rPr>
          <w:rFonts w:ascii="Times New Roman" w:hAnsi="Times New Roman"/>
        </w:rPr>
        <w:t>:</w:t>
      </w:r>
      <w:r>
        <w:rPr>
          <w:rFonts w:ascii="Times New Roman" w:hAnsi="Times New Roman"/>
        </w:rPr>
        <w:t xml:space="preserve"> +63</w:t>
      </w:r>
      <w:r w:rsidR="00EB46FF">
        <w:rPr>
          <w:rFonts w:ascii="Times New Roman" w:hAnsi="Times New Roman"/>
        </w:rPr>
        <w:t>969-575-1601</w:t>
      </w:r>
    </w:p>
    <w:p w14:paraId="60BF139C" w14:textId="14F79381" w:rsidR="000A27DA" w:rsidRPr="00AC4AE8" w:rsidRDefault="000A27DA" w:rsidP="000A27DA">
      <w:pPr>
        <w:spacing w:after="0" w:line="240" w:lineRule="auto"/>
        <w:jc w:val="both"/>
        <w:rPr>
          <w:rFonts w:ascii="Times New Roman" w:hAnsi="Times New Roman"/>
        </w:rPr>
      </w:pPr>
      <w:r w:rsidRPr="00AC4AE8">
        <w:rPr>
          <w:rFonts w:ascii="Times New Roman" w:hAnsi="Times New Roman"/>
        </w:rPr>
        <w:t xml:space="preserve">Fax: </w:t>
      </w:r>
      <w:r>
        <w:rPr>
          <w:rFonts w:ascii="Times New Roman" w:hAnsi="Times New Roman"/>
        </w:rPr>
        <w:t>n</w:t>
      </w:r>
      <w:r w:rsidR="0034268A">
        <w:rPr>
          <w:rFonts w:ascii="Times New Roman" w:hAnsi="Times New Roman"/>
        </w:rPr>
        <w:t>one</w:t>
      </w:r>
    </w:p>
    <w:p w14:paraId="1D603452" w14:textId="77777777" w:rsidR="000A27DA" w:rsidRPr="00966C36" w:rsidRDefault="000A27DA" w:rsidP="000A27DA">
      <w:pPr>
        <w:spacing w:after="0" w:line="240" w:lineRule="auto"/>
        <w:ind w:left="-180"/>
        <w:jc w:val="both"/>
        <w:rPr>
          <w:rFonts w:ascii="Times New Roman" w:hAnsi="Times New Roman"/>
          <w:b/>
          <w:bCs/>
          <w:i/>
          <w:iCs/>
        </w:rPr>
      </w:pPr>
    </w:p>
    <w:p w14:paraId="27EC73D2" w14:textId="77777777" w:rsidR="00DC77C0" w:rsidRDefault="000A27DA" w:rsidP="00A27D1C">
      <w:pPr>
        <w:spacing w:line="240" w:lineRule="auto"/>
        <w:ind w:left="-180"/>
        <w:rPr>
          <w:rFonts w:ascii="Times New Roman" w:hAnsi="Times New Roman"/>
          <w:b/>
          <w:bCs/>
        </w:rPr>
      </w:pPr>
      <w:r w:rsidRPr="00957906">
        <w:rPr>
          <w:rFonts w:ascii="Times New Roman" w:hAnsi="Times New Roman"/>
          <w:b/>
          <w:bCs/>
        </w:rPr>
        <w:t>INTRODUCTION</w:t>
      </w:r>
    </w:p>
    <w:p w14:paraId="6E5600BB" w14:textId="43913E46" w:rsidR="00225CC4" w:rsidRDefault="00225CC4" w:rsidP="00A27D1C">
      <w:pPr>
        <w:pStyle w:val="NormalWeb"/>
        <w:spacing w:before="0" w:beforeAutospacing="0" w:after="0" w:afterAutospacing="0"/>
        <w:jc w:val="both"/>
        <w:rPr>
          <w:sz w:val="22"/>
        </w:rPr>
      </w:pPr>
      <w:r>
        <w:rPr>
          <w:sz w:val="22"/>
        </w:rPr>
        <w:t xml:space="preserve">   </w:t>
      </w:r>
      <w:r w:rsidRPr="00225CC4">
        <w:rPr>
          <w:sz w:val="22"/>
        </w:rPr>
        <w:t>The global economy is increasingly shaped by fluctuations in energy markets, particularly oil, which remains one of the most critical commodities in international trade and production</w:t>
      </w:r>
      <w:r w:rsidR="00EB005A">
        <w:rPr>
          <w:sz w:val="22"/>
        </w:rPr>
        <w:fldChar w:fldCharType="begin"/>
      </w:r>
      <w:r w:rsidR="00EB005A">
        <w:rPr>
          <w:sz w:val="22"/>
        </w:rPr>
        <w:instrText xml:space="preserve"> ADDIN EN.CITE &lt;EndNote&gt;&lt;Cite&gt;&lt;Author&gt;Brahim Gaies*&lt;/Author&gt;&lt;Year&gt;2020&lt;/Year&gt;&lt;RecNum&gt;24&lt;/RecNum&gt;&lt;DisplayText&gt;(Brahim Gaies*, 2020)&lt;/DisplayText&gt;&lt;record&gt;&lt;rec-number&gt;24&lt;/rec-number&gt;&lt;foreign-keys&gt;&lt;key app="EN" db-id="vfdv2szx2wdrtne99esvzsrjd5ep9ws522pp" timestamp="1775983799"&gt;24&lt;/key&gt;&lt;/foreign-keys&gt;&lt;ref-type name="Journal Article"&gt;17&lt;/ref-type&gt;&lt;contributors&gt;&lt;authors&gt;&lt;author&gt;Brahim Gaies*, Khaled Guesmi**, Thomas Porcher***, Raphael Boroumand&lt;/author&gt;&lt;/authors&gt;&lt;/contributors&gt;&lt;titles&gt;&lt;title&gt;Financial instability and oil price fluctuations:&amp;#xD;evidence from oil exporting developing countries&lt;/title&gt;&lt;/titles&gt;&lt;dates&gt;&lt;year&gt;2020&lt;/year&gt;&lt;/dates&gt;&lt;urls&gt;&lt;related-urls&gt;&lt;url&gt;https://www.google.com/url?sa=t&amp;amp;source=web&amp;amp;rct=j&amp;amp;opi=89978449&amp;amp;url=https://ejce.liuc.it/18242979202001/182429792020170104.pdf&lt;/url&gt;&lt;/related-urls&gt;&lt;/urls&gt;&lt;/record&gt;&lt;/Cite&gt;&lt;/EndNote&gt;</w:instrText>
      </w:r>
      <w:r w:rsidR="00EB005A">
        <w:rPr>
          <w:sz w:val="22"/>
        </w:rPr>
        <w:fldChar w:fldCharType="separate"/>
      </w:r>
      <w:r w:rsidR="00EB005A">
        <w:rPr>
          <w:noProof/>
          <w:sz w:val="22"/>
        </w:rPr>
        <w:t>(Brahim Gaies*, 2020)</w:t>
      </w:r>
      <w:r w:rsidR="00EB005A">
        <w:rPr>
          <w:sz w:val="22"/>
        </w:rPr>
        <w:fldChar w:fldCharType="end"/>
      </w:r>
      <w:r w:rsidRPr="00225CC4">
        <w:rPr>
          <w:sz w:val="22"/>
        </w:rPr>
        <w:t xml:space="preserve">. </w:t>
      </w:r>
      <w:r w:rsidRPr="00225CC4">
        <w:rPr>
          <w:sz w:val="22"/>
        </w:rPr>
        <w:lastRenderedPageBreak/>
        <w:t>Among the various external economic shocks, global oil price shocks have gained significant attention due to their ability to disrupt macroeconomic stability, influence inflation rates, and affect government fiscal performance. These shocks, which occur as sudden and unpredictable increases or decreases in oil prices, are often driven by geopolitical tensions, changes in global supply and demand, and decisions made by major oil-producing economies</w:t>
      </w:r>
      <w:r w:rsidR="004325EE">
        <w:rPr>
          <w:sz w:val="22"/>
        </w:rPr>
        <w:fldChar w:fldCharType="begin"/>
      </w:r>
      <w:r w:rsidR="004325EE">
        <w:rPr>
          <w:sz w:val="22"/>
        </w:rPr>
        <w:instrText xml:space="preserve"> ADDIN EN.CITE &lt;EndNote&gt;&lt;Cite&gt;&lt;Author&gt;Elsherif&lt;/Author&gt;&lt;Year&gt;2024&lt;/Year&gt;&lt;RecNum&gt;25&lt;/RecNum&gt;&lt;DisplayText&gt;(Elsherif, 2024)&lt;/DisplayText&gt;&lt;record&gt;&lt;rec-number&gt;25&lt;/rec-number&gt;&lt;foreign-keys&gt;&lt;key app="EN" db-id="vfdv2szx2wdrtne99esvzsrjd5ep9ws522pp" timestamp="1775984041"&gt;25&lt;/key&gt;&lt;/foreign-keys&gt;&lt;ref-type name="Journal Article"&gt;17&lt;/ref-type&gt;&lt;contributors&gt;&lt;authors&gt;&lt;author&gt;Marwa Elsherif&lt;/author&gt;&lt;/authors&gt;&lt;/contributors&gt;&lt;titles&gt;&lt;title&gt;Modelling Inflation Dynamics and Global Oil Price Shocks in&amp;#xD;OAPEC Countries: TVP-VAR&lt;/title&gt;&lt;/titles&gt;&lt;dates&gt;&lt;year&gt;2024&lt;/year&gt;&lt;/dates&gt;&lt;urls&gt;&lt;/urls&gt;&lt;electronic-resource-num&gt; https://doi.org/10.32479/ijeep.15686 &lt;/electronic-resource-num&gt;&lt;/record&gt;&lt;/Cite&gt;&lt;/EndNote&gt;</w:instrText>
      </w:r>
      <w:r w:rsidR="004325EE">
        <w:rPr>
          <w:sz w:val="22"/>
        </w:rPr>
        <w:fldChar w:fldCharType="separate"/>
      </w:r>
      <w:r w:rsidR="004325EE">
        <w:rPr>
          <w:noProof/>
          <w:sz w:val="22"/>
        </w:rPr>
        <w:t>(Elsherif, 2024)</w:t>
      </w:r>
      <w:r w:rsidR="004325EE">
        <w:rPr>
          <w:sz w:val="22"/>
        </w:rPr>
        <w:fldChar w:fldCharType="end"/>
      </w:r>
      <w:r w:rsidRPr="00225CC4">
        <w:rPr>
          <w:sz w:val="22"/>
        </w:rPr>
        <w:t>). For developing countries, which are often more dependent on imported oil and have weaker economic buffers, these fluctuations can have more severe and long-lasting consequences.</w:t>
      </w:r>
    </w:p>
    <w:p w14:paraId="5E343616" w14:textId="2AA1BF8C" w:rsidR="00225CC4" w:rsidRPr="00225CC4" w:rsidRDefault="00A27D1C" w:rsidP="00A27D1C">
      <w:pPr>
        <w:pStyle w:val="NormalWeb"/>
        <w:spacing w:before="0" w:beforeAutospacing="0" w:after="0" w:afterAutospacing="0"/>
        <w:jc w:val="both"/>
        <w:rPr>
          <w:sz w:val="22"/>
        </w:rPr>
      </w:pPr>
      <w:r>
        <w:rPr>
          <w:sz w:val="22"/>
        </w:rPr>
        <w:t xml:space="preserve">  </w:t>
      </w:r>
      <w:r w:rsidR="00225CC4" w:rsidRPr="00225CC4">
        <w:rPr>
          <w:sz w:val="22"/>
        </w:rPr>
        <w:t>In developing countries, the impact of oil price volatility is particularly critical due to their structural economic vulnerabilities. Rising oil prices can significantly increase production costs, transportation expenses, and energy consumption burdens, which in turn contribute to inflationary pressures and reduced household purchasing power</w:t>
      </w:r>
      <w:r w:rsidR="004325EE">
        <w:rPr>
          <w:sz w:val="22"/>
        </w:rPr>
        <w:fldChar w:fldCharType="begin"/>
      </w:r>
      <w:r w:rsidR="004325EE">
        <w:rPr>
          <w:sz w:val="22"/>
        </w:rPr>
        <w:instrText xml:space="preserve"> ADDIN EN.CITE &lt;EndNote&gt;&lt;Cite&gt;&lt;Author&gt;Al-Sawaie&lt;/Author&gt;&lt;Year&gt;2025&lt;/Year&gt;&lt;RecNum&gt;26&lt;/RecNum&gt;&lt;DisplayText&gt;(Al-Sawaie, 2025)&lt;/DisplayText&gt;&lt;record&gt;&lt;rec-number&gt;26&lt;/rec-number&gt;&lt;foreign-keys&gt;&lt;key app="EN" db-id="vfdv2szx2wdrtne99esvzsrjd5ep9ws522pp" timestamp="1775984193"&gt;26&lt;/key&gt;&lt;/foreign-keys&gt;&lt;ref-type name="Journal Article"&gt;17&lt;/ref-type&gt;&lt;contributors&gt;&lt;authors&gt;&lt;author&gt;Khaled Mohammed Al-Sawaie&lt;/author&gt;&lt;/authors&gt;&lt;/contributors&gt;&lt;titles&gt;&lt;title&gt;Oil Price Volatility and its Effects on Macroeconomic Stability in Jordan: A Structural VAR Approach&lt;/title&gt;&lt;/titles&gt;&lt;dates&gt;&lt;year&gt;2025&lt;/year&gt;&lt;/dates&gt;&lt;urls&gt;&lt;/urls&gt;&lt;electronic-resource-num&gt; https://doi.org/10.32479/ijeep.19908 &lt;/electronic-resource-num&gt;&lt;/record&gt;&lt;/Cite&gt;&lt;/EndNote&gt;</w:instrText>
      </w:r>
      <w:r w:rsidR="004325EE">
        <w:rPr>
          <w:sz w:val="22"/>
        </w:rPr>
        <w:fldChar w:fldCharType="separate"/>
      </w:r>
      <w:r w:rsidR="004325EE">
        <w:rPr>
          <w:noProof/>
          <w:sz w:val="22"/>
        </w:rPr>
        <w:t>(Al-Sawaie, 2025)</w:t>
      </w:r>
      <w:r w:rsidR="004325EE">
        <w:rPr>
          <w:sz w:val="22"/>
        </w:rPr>
        <w:fldChar w:fldCharType="end"/>
      </w:r>
      <w:r w:rsidR="004325EE">
        <w:rPr>
          <w:sz w:val="22"/>
        </w:rPr>
        <w:t xml:space="preserve"> .</w:t>
      </w:r>
      <w:r w:rsidR="00225CC4" w:rsidRPr="00225CC4">
        <w:rPr>
          <w:sz w:val="22"/>
        </w:rPr>
        <w:t>At the same time, governments in these countries may face increased fiscal strain, especially when implementing fuel subsidies or attempting to stabilize domestic prices. Conversely, sudden declines in oil prices may benefit oil-importing economies but can destabilize oil-exporting developing countries by reducing government revenues, weakening foreign exchange reserves, and limiting public investment in essential sectors such as health, education, and infrastructure.</w:t>
      </w:r>
    </w:p>
    <w:p w14:paraId="140BD990" w14:textId="7DF665BF" w:rsidR="00225CC4" w:rsidRPr="00225CC4" w:rsidRDefault="00A27D1C" w:rsidP="00A27D1C">
      <w:pPr>
        <w:pStyle w:val="NormalWeb"/>
        <w:spacing w:before="0" w:beforeAutospacing="0" w:after="0" w:afterAutospacing="0"/>
        <w:jc w:val="both"/>
        <w:rPr>
          <w:sz w:val="22"/>
        </w:rPr>
      </w:pPr>
      <w:r>
        <w:rPr>
          <w:sz w:val="22"/>
        </w:rPr>
        <w:t xml:space="preserve">  </w:t>
      </w:r>
      <w:r w:rsidR="00225CC4" w:rsidRPr="00225CC4">
        <w:rPr>
          <w:sz w:val="22"/>
        </w:rPr>
        <w:t>Given these dynamics, understanding the relationship between global oil price shocks and the stability of developing countries has become an important area of inquiry in international political economy and development studies. In this context, stability refers not only to macroeconomic indicators such as GDP growth, inflation, and fiscal balance but also to broader dimensions of socio-economic resilience, including employment levels, poverty rates, and institutional capacity. The interconnectedness of global energy markets and domestic economic conditions highlights the need to systematically examine how external shocks translate into internal instability within developing states.</w:t>
      </w:r>
    </w:p>
    <w:p w14:paraId="25A62E8C" w14:textId="22BBEC73" w:rsidR="00225CC4" w:rsidRPr="00225CC4" w:rsidRDefault="00A27D1C" w:rsidP="00A27D1C">
      <w:pPr>
        <w:pStyle w:val="NormalWeb"/>
        <w:spacing w:before="0" w:beforeAutospacing="0" w:after="0" w:afterAutospacing="0"/>
        <w:jc w:val="both"/>
        <w:rPr>
          <w:sz w:val="22"/>
        </w:rPr>
      </w:pPr>
      <w:r>
        <w:rPr>
          <w:sz w:val="22"/>
        </w:rPr>
        <w:t xml:space="preserve">  </w:t>
      </w:r>
      <w:r w:rsidR="00225CC4" w:rsidRPr="00225CC4">
        <w:rPr>
          <w:sz w:val="22"/>
        </w:rPr>
        <w:t>This systematic review aims to analyze existing literature on the</w:t>
      </w:r>
      <w:r w:rsidR="00225CC4" w:rsidRPr="00225CC4">
        <w:rPr>
          <w:b/>
          <w:sz w:val="22"/>
        </w:rPr>
        <w:t xml:space="preserve"> </w:t>
      </w:r>
      <w:r w:rsidR="00225CC4" w:rsidRPr="00225CC4">
        <w:rPr>
          <w:rStyle w:val="Strong"/>
          <w:b w:val="0"/>
          <w:sz w:val="22"/>
        </w:rPr>
        <w:t>impact of global oil price shocks on the stability of developing countries</w:t>
      </w:r>
      <w:r w:rsidR="00225CC4" w:rsidRPr="00225CC4">
        <w:rPr>
          <w:sz w:val="22"/>
        </w:rPr>
        <w:t>. By synthesizing empirical findings from previous studies, the review seeks to identify consistent patterns, key transmission channels, and varying country-level effects of oil price volatility. Furthermore, it will explore how different methodological approaches have assessed this relationship and highlight gaps in the current body of research. Through this analysis, the study intends to provide a clearer understanding of how global energy fluctuations shape development outcomes and policy responses in vulnerable economies.</w:t>
      </w:r>
    </w:p>
    <w:p w14:paraId="072FDDD7" w14:textId="77777777" w:rsidR="004C25BC" w:rsidRPr="004C25BC" w:rsidRDefault="004C25BC" w:rsidP="004C25BC">
      <w:pPr>
        <w:spacing w:after="0" w:line="240" w:lineRule="auto"/>
        <w:ind w:left="-180" w:firstLine="180"/>
        <w:jc w:val="both"/>
        <w:rPr>
          <w:rFonts w:ascii="Times New Roman" w:hAnsi="Times New Roman"/>
        </w:rPr>
      </w:pPr>
    </w:p>
    <w:p w14:paraId="457B3024" w14:textId="403D3841" w:rsidR="000A27DA" w:rsidRDefault="000A27DA" w:rsidP="000A27DA">
      <w:pPr>
        <w:spacing w:after="0" w:line="240" w:lineRule="auto"/>
        <w:ind w:left="-180"/>
        <w:rPr>
          <w:rFonts w:ascii="Times New Roman" w:hAnsi="Times New Roman"/>
          <w:b/>
          <w:bCs/>
        </w:rPr>
      </w:pPr>
      <w:r>
        <w:rPr>
          <w:rFonts w:ascii="Times New Roman" w:hAnsi="Times New Roman"/>
          <w:b/>
          <w:bCs/>
        </w:rPr>
        <w:t>METHODS</w:t>
      </w:r>
    </w:p>
    <w:p w14:paraId="21F2BAE8" w14:textId="77777777" w:rsidR="000A27DA" w:rsidRDefault="000A27DA" w:rsidP="000A27DA">
      <w:pPr>
        <w:spacing w:after="0" w:line="240" w:lineRule="auto"/>
        <w:ind w:left="-180"/>
        <w:rPr>
          <w:rFonts w:ascii="Times New Roman" w:hAnsi="Times New Roman"/>
          <w:b/>
          <w:bCs/>
        </w:rPr>
      </w:pPr>
    </w:p>
    <w:p w14:paraId="67985DA2" w14:textId="77777777" w:rsidR="0017454C" w:rsidRDefault="000A27DA" w:rsidP="00A27D1C">
      <w:pPr>
        <w:spacing w:line="240" w:lineRule="auto"/>
        <w:ind w:left="-180"/>
        <w:rPr>
          <w:rFonts w:ascii="Times New Roman" w:hAnsi="Times New Roman"/>
          <w:b/>
          <w:bCs/>
        </w:rPr>
      </w:pPr>
      <w:r>
        <w:rPr>
          <w:rFonts w:ascii="Times New Roman" w:hAnsi="Times New Roman"/>
          <w:b/>
          <w:bCs/>
        </w:rPr>
        <w:t>Study Design</w:t>
      </w:r>
    </w:p>
    <w:p w14:paraId="453B56FD" w14:textId="2F2121E8" w:rsidR="00225CC4" w:rsidRPr="00225CC4" w:rsidRDefault="00A27D1C" w:rsidP="00A27D1C">
      <w:pPr>
        <w:pStyle w:val="NormalWeb"/>
        <w:spacing w:before="0" w:beforeAutospacing="0" w:after="0" w:afterAutospacing="0"/>
        <w:jc w:val="both"/>
        <w:rPr>
          <w:sz w:val="22"/>
        </w:rPr>
      </w:pPr>
      <w:r>
        <w:rPr>
          <w:sz w:val="22"/>
        </w:rPr>
        <w:t xml:space="preserve">  </w:t>
      </w:r>
      <w:r w:rsidR="00225CC4" w:rsidRPr="00225CC4">
        <w:rPr>
          <w:sz w:val="22"/>
        </w:rPr>
        <w:t xml:space="preserve">This study will employ a </w:t>
      </w:r>
      <w:r w:rsidR="00225CC4" w:rsidRPr="00225CC4">
        <w:rPr>
          <w:rStyle w:val="Strong"/>
          <w:b w:val="0"/>
          <w:sz w:val="22"/>
        </w:rPr>
        <w:t>systematic review methodology</w:t>
      </w:r>
      <w:r w:rsidR="00225CC4" w:rsidRPr="00225CC4">
        <w:rPr>
          <w:sz w:val="22"/>
        </w:rPr>
        <w:t xml:space="preserve"> to examine the impact of global oil price shocks on the stability of developing countries. A systematic review approach is appropriate for this study as it allows for the comprehensive identification, evaluation, and synthesis of existing empirical literature related to oil price volatility and its macroeconomic and socio-political consequences. Through this method, the study aims to generate a consolidated understanding of how external oil price fluctuations influence different dimensions of stability in developing economies.</w:t>
      </w:r>
    </w:p>
    <w:p w14:paraId="10851216" w14:textId="380DB272" w:rsidR="00225CC4" w:rsidRPr="00225CC4" w:rsidRDefault="00A27D1C" w:rsidP="00A27D1C">
      <w:pPr>
        <w:pStyle w:val="NormalWeb"/>
        <w:spacing w:before="0" w:beforeAutospacing="0" w:after="0" w:afterAutospacing="0"/>
        <w:jc w:val="both"/>
        <w:rPr>
          <w:sz w:val="22"/>
        </w:rPr>
      </w:pPr>
      <w:r>
        <w:rPr>
          <w:sz w:val="22"/>
        </w:rPr>
        <w:t xml:space="preserve">  </w:t>
      </w:r>
      <w:r w:rsidR="00225CC4" w:rsidRPr="00225CC4">
        <w:rPr>
          <w:sz w:val="22"/>
        </w:rPr>
        <w:t xml:space="preserve">To guide the review process, the researchers will utilize the </w:t>
      </w:r>
      <w:r w:rsidR="00225CC4" w:rsidRPr="00225CC4">
        <w:rPr>
          <w:rStyle w:val="Strong"/>
          <w:b w:val="0"/>
          <w:sz w:val="22"/>
        </w:rPr>
        <w:t>PICO (Population, Intervention/Exposure, Comparison, and Outcomes) framework</w:t>
      </w:r>
      <w:r w:rsidR="00225CC4" w:rsidRPr="00225CC4">
        <w:rPr>
          <w:sz w:val="22"/>
        </w:rPr>
        <w:t xml:space="preserve"> in formulating the research question. In this context, the exposure of interest is global oil price shocks, while the outcome focuses on the stability of developing countries. The guiding research question for this systematic review is:</w:t>
      </w:r>
    </w:p>
    <w:p w14:paraId="5C13983A" w14:textId="72B3F26B" w:rsidR="00225CC4" w:rsidRPr="00225CC4" w:rsidRDefault="00A27D1C" w:rsidP="00A27D1C">
      <w:pPr>
        <w:pStyle w:val="NormalWeb"/>
        <w:spacing w:before="0" w:beforeAutospacing="0" w:after="0" w:afterAutospacing="0"/>
        <w:jc w:val="both"/>
        <w:rPr>
          <w:sz w:val="22"/>
        </w:rPr>
      </w:pPr>
      <w:r>
        <w:rPr>
          <w:rStyle w:val="Strong"/>
          <w:b w:val="0"/>
          <w:sz w:val="22"/>
        </w:rPr>
        <w:t xml:space="preserve">  </w:t>
      </w:r>
      <w:r w:rsidR="00225CC4" w:rsidRPr="00225CC4">
        <w:rPr>
          <w:rStyle w:val="Strong"/>
          <w:b w:val="0"/>
          <w:sz w:val="22"/>
        </w:rPr>
        <w:t>“How do global oil price shocks affect the stability of developing countries in terms of economic and socio-political indicators?”</w:t>
      </w:r>
    </w:p>
    <w:p w14:paraId="7F284D44" w14:textId="77777777" w:rsidR="0032275F" w:rsidRDefault="0032275F" w:rsidP="00F5768C">
      <w:pPr>
        <w:spacing w:after="0" w:line="240" w:lineRule="auto"/>
        <w:jc w:val="both"/>
        <w:rPr>
          <w:rFonts w:ascii="Times New Roman" w:hAnsi="Times New Roman"/>
        </w:rPr>
      </w:pPr>
    </w:p>
    <w:p w14:paraId="770FCDF7" w14:textId="48292542" w:rsidR="00631DF7" w:rsidRPr="0032275F" w:rsidRDefault="00631DF7" w:rsidP="0032275F">
      <w:pPr>
        <w:spacing w:after="0" w:line="240" w:lineRule="auto"/>
        <w:ind w:left="-180" w:firstLine="180"/>
        <w:jc w:val="center"/>
        <w:rPr>
          <w:rFonts w:ascii="Times New Roman" w:hAnsi="Times New Roman" w:cs="Times New Roman"/>
        </w:rPr>
      </w:pPr>
      <w:r w:rsidRPr="00631DF7">
        <w:rPr>
          <w:rFonts w:ascii="Times New Roman" w:hAnsi="Times New Roman" w:cs="Times New Roman"/>
          <w:b/>
          <w:bCs/>
        </w:rPr>
        <w:t>Table 1</w:t>
      </w:r>
      <w:r w:rsidRPr="00631DF7">
        <w:rPr>
          <w:rFonts w:ascii="Times New Roman" w:hAnsi="Times New Roman" w:cs="Times New Roman"/>
        </w:rPr>
        <w:t>. Description of PICO</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7048"/>
      </w:tblGrid>
      <w:tr w:rsidR="00631DF7" w14:paraId="1152DD6E" w14:textId="77777777" w:rsidTr="0032275F">
        <w:trPr>
          <w:trHeight w:val="425"/>
        </w:trPr>
        <w:tc>
          <w:tcPr>
            <w:tcW w:w="2302" w:type="dxa"/>
            <w:tcBorders>
              <w:top w:val="single" w:sz="4" w:space="0" w:color="auto"/>
              <w:bottom w:val="single" w:sz="4" w:space="0" w:color="auto"/>
            </w:tcBorders>
          </w:tcPr>
          <w:p w14:paraId="440E5C45" w14:textId="1892966F" w:rsidR="00631DF7" w:rsidRPr="00914F6E" w:rsidRDefault="0017454C" w:rsidP="000A27DA">
            <w:pPr>
              <w:jc w:val="both"/>
              <w:rPr>
                <w:rFonts w:ascii="Times New Roman" w:hAnsi="Times New Roman"/>
                <w:b/>
                <w:bCs/>
              </w:rPr>
            </w:pPr>
            <w:r w:rsidRPr="00914F6E">
              <w:rPr>
                <w:rFonts w:ascii="Times New Roman" w:hAnsi="Times New Roman" w:cs="Times New Roman"/>
                <w:b/>
                <w:bCs/>
              </w:rPr>
              <w:t>PICO Elements</w:t>
            </w:r>
          </w:p>
        </w:tc>
        <w:tc>
          <w:tcPr>
            <w:tcW w:w="7048" w:type="dxa"/>
            <w:tcBorders>
              <w:top w:val="single" w:sz="4" w:space="0" w:color="auto"/>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8"/>
            </w:tblGrid>
            <w:tr w:rsidR="000724A0" w:rsidRPr="00914F6E" w14:paraId="638E9172" w14:textId="77777777" w:rsidTr="000724A0">
              <w:trPr>
                <w:tblHeader/>
                <w:tblCellSpacing w:w="15" w:type="dxa"/>
              </w:trPr>
              <w:tc>
                <w:tcPr>
                  <w:tcW w:w="0" w:type="auto"/>
                  <w:vAlign w:val="center"/>
                  <w:hideMark/>
                </w:tcPr>
                <w:p w14:paraId="785EAFE3" w14:textId="50533FD3" w:rsidR="000724A0" w:rsidRPr="00914F6E" w:rsidRDefault="0017454C" w:rsidP="000724A0">
                  <w:pPr>
                    <w:spacing w:after="0" w:line="240" w:lineRule="auto"/>
                    <w:jc w:val="both"/>
                    <w:rPr>
                      <w:rFonts w:ascii="Times New Roman" w:hAnsi="Times New Roman" w:cs="Times New Roman"/>
                      <w:b/>
                      <w:bCs/>
                      <w:kern w:val="0"/>
                      <w14:ligatures w14:val="none"/>
                    </w:rPr>
                  </w:pPr>
                  <w:r w:rsidRPr="00914F6E">
                    <w:rPr>
                      <w:rFonts w:ascii="Times New Roman" w:hAnsi="Times New Roman"/>
                      <w:b/>
                      <w:bCs/>
                    </w:rPr>
                    <w:t>Description</w:t>
                  </w:r>
                </w:p>
              </w:tc>
            </w:tr>
          </w:tbl>
          <w:p w14:paraId="75F69F86" w14:textId="5FCA8BB6" w:rsidR="00631DF7" w:rsidRPr="00914F6E" w:rsidRDefault="00631DF7" w:rsidP="000A27DA">
            <w:pPr>
              <w:jc w:val="both"/>
              <w:rPr>
                <w:rFonts w:ascii="Times New Roman" w:hAnsi="Times New Roman"/>
                <w:b/>
                <w:bCs/>
              </w:rPr>
            </w:pPr>
          </w:p>
        </w:tc>
      </w:tr>
      <w:tr w:rsidR="0017454C" w14:paraId="63365FF9" w14:textId="77777777" w:rsidTr="0032275F">
        <w:trPr>
          <w:trHeight w:val="425"/>
        </w:trPr>
        <w:tc>
          <w:tcPr>
            <w:tcW w:w="2302" w:type="dxa"/>
            <w:tcBorders>
              <w:top w:val="single" w:sz="4" w:space="0" w:color="auto"/>
              <w:bottom w:val="single" w:sz="4" w:space="0" w:color="auto"/>
            </w:tcBorders>
          </w:tcPr>
          <w:p w14:paraId="382864E0" w14:textId="3A5308FF" w:rsidR="0017454C" w:rsidRDefault="0017454C" w:rsidP="0017454C">
            <w:pPr>
              <w:jc w:val="both"/>
              <w:rPr>
                <w:rFonts w:ascii="Times New Roman" w:hAnsi="Times New Roman" w:cs="Times New Roman"/>
              </w:rPr>
            </w:pPr>
            <w:r>
              <w:rPr>
                <w:rFonts w:ascii="Times New Roman" w:hAnsi="Times New Roman" w:cs="Times New Roman"/>
              </w:rPr>
              <w:lastRenderedPageBreak/>
              <w:t>People/ Participants</w:t>
            </w:r>
          </w:p>
        </w:tc>
        <w:tc>
          <w:tcPr>
            <w:tcW w:w="7048" w:type="dxa"/>
            <w:tcBorders>
              <w:top w:val="single" w:sz="4" w:space="0" w:color="auto"/>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8"/>
            </w:tblGrid>
            <w:tr w:rsidR="0017454C" w:rsidRPr="00225CC4" w14:paraId="202DFD1E" w14:textId="77777777" w:rsidTr="001B1FDA">
              <w:trPr>
                <w:tblHeader/>
                <w:tblCellSpacing w:w="15" w:type="dxa"/>
              </w:trPr>
              <w:tc>
                <w:tcPr>
                  <w:tcW w:w="0" w:type="auto"/>
                  <w:vAlign w:val="center"/>
                  <w:hideMark/>
                </w:tcPr>
                <w:p w14:paraId="1E8CF209" w14:textId="518D18FA" w:rsidR="0017454C" w:rsidRPr="00225CC4" w:rsidRDefault="00225CC4" w:rsidP="0017454C">
                  <w:pPr>
                    <w:spacing w:after="0" w:line="240" w:lineRule="auto"/>
                    <w:jc w:val="both"/>
                    <w:rPr>
                      <w:rFonts w:ascii="Times New Roman" w:hAnsi="Times New Roman" w:cs="Times New Roman"/>
                      <w:kern w:val="0"/>
                      <w14:ligatures w14:val="none"/>
                    </w:rPr>
                  </w:pPr>
                  <w:r w:rsidRPr="00225CC4">
                    <w:rPr>
                      <w:rFonts w:ascii="Times New Roman" w:hAnsi="Times New Roman" w:cs="Times New Roman"/>
                    </w:rPr>
                    <w:t>Developing countries</w:t>
                  </w:r>
                </w:p>
              </w:tc>
            </w:tr>
          </w:tbl>
          <w:p w14:paraId="00B2B780" w14:textId="77777777" w:rsidR="0017454C" w:rsidRPr="00225CC4" w:rsidRDefault="0017454C" w:rsidP="0017454C">
            <w:pPr>
              <w:jc w:val="both"/>
              <w:rPr>
                <w:rFonts w:ascii="Times New Roman" w:hAnsi="Times New Roman" w:cs="Times New Roman"/>
              </w:rPr>
            </w:pPr>
          </w:p>
        </w:tc>
      </w:tr>
      <w:tr w:rsidR="00631DF7" w14:paraId="4F0F9BE9" w14:textId="77777777" w:rsidTr="00631DF7">
        <w:tc>
          <w:tcPr>
            <w:tcW w:w="2302" w:type="dxa"/>
            <w:tcBorders>
              <w:top w:val="single" w:sz="4" w:space="0" w:color="auto"/>
              <w:bottom w:val="single" w:sz="4" w:space="0" w:color="auto"/>
            </w:tcBorders>
          </w:tcPr>
          <w:p w14:paraId="33058148" w14:textId="280EE10E" w:rsidR="00631DF7" w:rsidRDefault="00631DF7" w:rsidP="00631DF7">
            <w:pPr>
              <w:jc w:val="both"/>
              <w:rPr>
                <w:rFonts w:ascii="Times New Roman" w:hAnsi="Times New Roman"/>
              </w:rPr>
            </w:pPr>
            <w:r w:rsidRPr="00631DF7">
              <w:rPr>
                <w:rFonts w:ascii="Times New Roman" w:hAnsi="Times New Roman" w:cs="Times New Roman"/>
              </w:rPr>
              <w:t>Intervention</w:t>
            </w:r>
          </w:p>
        </w:tc>
        <w:tc>
          <w:tcPr>
            <w:tcW w:w="7048" w:type="dxa"/>
            <w:tcBorders>
              <w:top w:val="single" w:sz="4" w:space="0" w:color="auto"/>
              <w:bottom w:val="single" w:sz="4" w:space="0" w:color="auto"/>
            </w:tcBorders>
          </w:tcPr>
          <w:p w14:paraId="753D6319" w14:textId="0017FB80" w:rsidR="00631DF7" w:rsidRPr="00225CC4" w:rsidRDefault="00225CC4" w:rsidP="00631DF7">
            <w:pPr>
              <w:jc w:val="both"/>
              <w:rPr>
                <w:rFonts w:ascii="Times New Roman" w:hAnsi="Times New Roman" w:cs="Times New Roman"/>
              </w:rPr>
            </w:pPr>
            <w:r w:rsidRPr="00225CC4">
              <w:rPr>
                <w:rFonts w:ascii="Times New Roman" w:hAnsi="Times New Roman" w:cs="Times New Roman"/>
              </w:rPr>
              <w:t>Global oil price shocks (sudden increases or decreases in global oil prices)</w:t>
            </w:r>
          </w:p>
        </w:tc>
      </w:tr>
      <w:tr w:rsidR="00631DF7" w14:paraId="3767F58B" w14:textId="77777777" w:rsidTr="0032275F">
        <w:trPr>
          <w:trHeight w:val="357"/>
        </w:trPr>
        <w:tc>
          <w:tcPr>
            <w:tcW w:w="2302" w:type="dxa"/>
            <w:tcBorders>
              <w:top w:val="single" w:sz="4" w:space="0" w:color="auto"/>
              <w:bottom w:val="single" w:sz="4" w:space="0" w:color="auto"/>
            </w:tcBorders>
          </w:tcPr>
          <w:p w14:paraId="24DD0DCA" w14:textId="29195203" w:rsidR="00631DF7" w:rsidRDefault="00631DF7" w:rsidP="00631DF7">
            <w:pPr>
              <w:jc w:val="both"/>
              <w:rPr>
                <w:rFonts w:ascii="Times New Roman" w:hAnsi="Times New Roman"/>
              </w:rPr>
            </w:pPr>
            <w:r w:rsidRPr="00631DF7">
              <w:rPr>
                <w:rFonts w:ascii="Times New Roman" w:hAnsi="Times New Roman" w:cs="Times New Roman"/>
              </w:rPr>
              <w:t>Comparison</w:t>
            </w:r>
          </w:p>
        </w:tc>
        <w:tc>
          <w:tcPr>
            <w:tcW w:w="7048" w:type="dxa"/>
            <w:tcBorders>
              <w:top w:val="single" w:sz="4" w:space="0" w:color="auto"/>
              <w:bottom w:val="single" w:sz="4" w:space="0" w:color="auto"/>
            </w:tcBorders>
          </w:tcPr>
          <w:p w14:paraId="4F66D78C" w14:textId="6CC052BB" w:rsidR="00631DF7" w:rsidRPr="00225CC4" w:rsidRDefault="00225CC4" w:rsidP="00631DF7">
            <w:pPr>
              <w:jc w:val="both"/>
              <w:rPr>
                <w:rFonts w:ascii="Times New Roman" w:hAnsi="Times New Roman" w:cs="Times New Roman"/>
              </w:rPr>
            </w:pPr>
            <w:r w:rsidRPr="00225CC4">
              <w:rPr>
                <w:rFonts w:ascii="Times New Roman" w:hAnsi="Times New Roman" w:cs="Times New Roman"/>
              </w:rPr>
              <w:t>Periods of stable oil prices or economies not significantly affected by oil price shocks</w:t>
            </w:r>
          </w:p>
        </w:tc>
      </w:tr>
      <w:tr w:rsidR="00631DF7" w14:paraId="144231EA" w14:textId="77777777" w:rsidTr="00631DF7">
        <w:tc>
          <w:tcPr>
            <w:tcW w:w="2302" w:type="dxa"/>
            <w:tcBorders>
              <w:top w:val="single" w:sz="4" w:space="0" w:color="auto"/>
              <w:bottom w:val="single" w:sz="4" w:space="0" w:color="auto"/>
            </w:tcBorders>
          </w:tcPr>
          <w:p w14:paraId="2A43AD9D" w14:textId="32D89D12" w:rsidR="00631DF7" w:rsidRDefault="00631DF7" w:rsidP="00631DF7">
            <w:pPr>
              <w:jc w:val="both"/>
              <w:rPr>
                <w:rFonts w:ascii="Times New Roman" w:hAnsi="Times New Roman"/>
              </w:rPr>
            </w:pPr>
            <w:r w:rsidRPr="00631DF7">
              <w:rPr>
                <w:rFonts w:ascii="Times New Roman" w:hAnsi="Times New Roman" w:cs="Times New Roman"/>
              </w:rPr>
              <w:t>Outcomes</w:t>
            </w:r>
          </w:p>
        </w:tc>
        <w:tc>
          <w:tcPr>
            <w:tcW w:w="7048" w:type="dxa"/>
            <w:tcBorders>
              <w:top w:val="single" w:sz="4" w:space="0" w:color="auto"/>
              <w:bottom w:val="single" w:sz="4" w:space="0" w:color="auto"/>
            </w:tcBorders>
          </w:tcPr>
          <w:p w14:paraId="01682AE5" w14:textId="2EF52FE5" w:rsidR="00631DF7" w:rsidRPr="00225CC4" w:rsidRDefault="00225CC4" w:rsidP="00631DF7">
            <w:pPr>
              <w:spacing w:after="160" w:line="259" w:lineRule="auto"/>
              <w:rPr>
                <w:rFonts w:ascii="Times New Roman" w:hAnsi="Times New Roman" w:cs="Times New Roman"/>
              </w:rPr>
            </w:pPr>
            <w:r w:rsidRPr="00225CC4">
              <w:rPr>
                <w:rFonts w:ascii="Times New Roman" w:hAnsi="Times New Roman" w:cs="Times New Roman"/>
              </w:rPr>
              <w:t>Stability indicators such as inflation rate, GDP growth, fiscal balance, employment levels, government revenue, and overall economic and social stability</w:t>
            </w:r>
          </w:p>
        </w:tc>
      </w:tr>
    </w:tbl>
    <w:p w14:paraId="69775880" w14:textId="77777777" w:rsidR="00147D74" w:rsidRDefault="00147D74" w:rsidP="00117116">
      <w:pPr>
        <w:spacing w:after="0" w:line="240" w:lineRule="auto"/>
        <w:rPr>
          <w:rFonts w:ascii="Times New Roman" w:hAnsi="Times New Roman"/>
          <w:b/>
          <w:bCs/>
        </w:rPr>
      </w:pPr>
      <w:bookmarkStart w:id="2" w:name="_Hlk139442531"/>
    </w:p>
    <w:p w14:paraId="7B3F2476" w14:textId="387018F1" w:rsidR="000A27DA" w:rsidRPr="00C15707" w:rsidRDefault="008D2121" w:rsidP="000A27DA">
      <w:pPr>
        <w:spacing w:after="0" w:line="240" w:lineRule="auto"/>
        <w:ind w:left="-180"/>
        <w:rPr>
          <w:rFonts w:ascii="Times New Roman" w:hAnsi="Times New Roman"/>
          <w:b/>
          <w:bCs/>
        </w:rPr>
      </w:pPr>
      <w:r>
        <w:rPr>
          <w:rFonts w:ascii="Times New Roman" w:hAnsi="Times New Roman"/>
          <w:b/>
          <w:bCs/>
        </w:rPr>
        <w:t>Search Methods</w:t>
      </w:r>
    </w:p>
    <w:bookmarkEnd w:id="2"/>
    <w:p w14:paraId="658479ED" w14:textId="010A5553" w:rsidR="008D2121" w:rsidRPr="008D2121" w:rsidRDefault="00A27D1C" w:rsidP="00A27D1C">
      <w:pPr>
        <w:pStyle w:val="NormalWeb"/>
        <w:spacing w:after="0" w:afterAutospacing="0"/>
        <w:jc w:val="both"/>
        <w:rPr>
          <w:sz w:val="22"/>
        </w:rPr>
      </w:pPr>
      <w:r>
        <w:rPr>
          <w:sz w:val="22"/>
        </w:rPr>
        <w:t xml:space="preserve">  </w:t>
      </w:r>
      <w:r w:rsidR="008D2121" w:rsidRPr="008D2121">
        <w:rPr>
          <w:sz w:val="22"/>
        </w:rPr>
        <w:t xml:space="preserve">A comprehensive literature search will be conducted across multiple academic databases to identify relevant studies examining the impact of global oil price shocks on the stability of developing countries. The selected databases will include </w:t>
      </w:r>
      <w:r w:rsidR="008D2121" w:rsidRPr="000A26F0">
        <w:rPr>
          <w:rStyle w:val="Strong"/>
          <w:b w:val="0"/>
          <w:sz w:val="22"/>
        </w:rPr>
        <w:t>Science</w:t>
      </w:r>
      <w:r w:rsidR="000A26F0">
        <w:rPr>
          <w:rStyle w:val="Strong"/>
          <w:b w:val="0"/>
          <w:sz w:val="22"/>
        </w:rPr>
        <w:t xml:space="preserve"> </w:t>
      </w:r>
      <w:r w:rsidR="008D2121" w:rsidRPr="000A26F0">
        <w:rPr>
          <w:rStyle w:val="Strong"/>
          <w:b w:val="0"/>
          <w:sz w:val="22"/>
        </w:rPr>
        <w:t>Direct(</w:t>
      </w:r>
      <w:r w:rsidR="006E2B7D">
        <w:rPr>
          <w:rStyle w:val="Strong"/>
          <w:b w:val="0"/>
          <w:sz w:val="22"/>
        </w:rPr>
        <w:t>15,311</w:t>
      </w:r>
      <w:r w:rsidR="008D2121" w:rsidRPr="000A26F0">
        <w:rPr>
          <w:rStyle w:val="Strong"/>
          <w:b w:val="0"/>
          <w:sz w:val="22"/>
        </w:rPr>
        <w:t>)</w:t>
      </w:r>
      <w:r w:rsidR="00577805">
        <w:rPr>
          <w:rStyle w:val="Strong"/>
          <w:b w:val="0"/>
          <w:sz w:val="22"/>
        </w:rPr>
        <w:t>,</w:t>
      </w:r>
      <w:r w:rsidR="009D5955" w:rsidRPr="000A26F0">
        <w:rPr>
          <w:rStyle w:val="Strong"/>
          <w:b w:val="0"/>
          <w:sz w:val="22"/>
        </w:rPr>
        <w:t>Proquest(</w:t>
      </w:r>
      <w:r w:rsidR="006E2B7D">
        <w:rPr>
          <w:rStyle w:val="Strong"/>
          <w:b w:val="0"/>
          <w:sz w:val="22"/>
        </w:rPr>
        <w:t>3,049</w:t>
      </w:r>
      <w:r w:rsidR="00CD4434" w:rsidRPr="000A26F0">
        <w:rPr>
          <w:rStyle w:val="Strong"/>
          <w:b w:val="0"/>
          <w:sz w:val="22"/>
        </w:rPr>
        <w:t xml:space="preserve">), </w:t>
      </w:r>
      <w:r w:rsidR="008D2121" w:rsidRPr="000A26F0">
        <w:rPr>
          <w:rStyle w:val="Strong"/>
          <w:b w:val="0"/>
          <w:sz w:val="22"/>
        </w:rPr>
        <w:t>JSTOR(</w:t>
      </w:r>
      <w:r w:rsidR="006E2B7D">
        <w:rPr>
          <w:rStyle w:val="Strong"/>
          <w:b w:val="0"/>
          <w:sz w:val="22"/>
        </w:rPr>
        <w:t>98</w:t>
      </w:r>
      <w:r w:rsidR="008D2121" w:rsidRPr="000A26F0">
        <w:rPr>
          <w:rStyle w:val="Strong"/>
          <w:b w:val="0"/>
          <w:sz w:val="22"/>
        </w:rPr>
        <w:t>), SpringerLink(</w:t>
      </w:r>
      <w:r w:rsidR="006E2B7D">
        <w:rPr>
          <w:rStyle w:val="Strong"/>
          <w:b w:val="0"/>
          <w:sz w:val="22"/>
        </w:rPr>
        <w:t>23</w:t>
      </w:r>
      <w:r w:rsidR="00CD4434" w:rsidRPr="000A26F0">
        <w:rPr>
          <w:rStyle w:val="Strong"/>
          <w:b w:val="0"/>
          <w:sz w:val="22"/>
        </w:rPr>
        <w:t>4</w:t>
      </w:r>
      <w:r w:rsidR="008D2121" w:rsidRPr="000A26F0">
        <w:rPr>
          <w:rStyle w:val="Strong"/>
          <w:b w:val="0"/>
          <w:sz w:val="22"/>
        </w:rPr>
        <w:t>)</w:t>
      </w:r>
      <w:r w:rsidR="00CD4434" w:rsidRPr="000A26F0">
        <w:rPr>
          <w:rStyle w:val="Strong"/>
          <w:b w:val="0"/>
          <w:sz w:val="22"/>
        </w:rPr>
        <w:t xml:space="preserve">, </w:t>
      </w:r>
      <w:r w:rsidR="008D2121" w:rsidRPr="000A26F0">
        <w:rPr>
          <w:rStyle w:val="Strong"/>
          <w:b w:val="0"/>
          <w:sz w:val="22"/>
        </w:rPr>
        <w:t>and Google Scholar(</w:t>
      </w:r>
      <w:r w:rsidR="006E2B7D">
        <w:rPr>
          <w:rStyle w:val="Strong"/>
          <w:b w:val="0"/>
          <w:sz w:val="22"/>
        </w:rPr>
        <w:t>6,470</w:t>
      </w:r>
      <w:r w:rsidR="008D2121" w:rsidRPr="00CD4434">
        <w:rPr>
          <w:rStyle w:val="Strong"/>
          <w:sz w:val="22"/>
        </w:rPr>
        <w:t>)</w:t>
      </w:r>
      <w:r w:rsidR="008D2121" w:rsidRPr="00CD4434">
        <w:rPr>
          <w:sz w:val="22"/>
        </w:rPr>
        <w:t>,</w:t>
      </w:r>
      <w:r w:rsidR="00577805">
        <w:rPr>
          <w:sz w:val="22"/>
        </w:rPr>
        <w:t xml:space="preserve"> Sage Journals(692), </w:t>
      </w:r>
      <w:r w:rsidR="008D2121" w:rsidRPr="008D2121">
        <w:rPr>
          <w:sz w:val="22"/>
        </w:rPr>
        <w:t xml:space="preserve"> covering studies published within the period </w:t>
      </w:r>
      <w:r w:rsidR="008D2121" w:rsidRPr="008D2121">
        <w:rPr>
          <w:rStyle w:val="Strong"/>
          <w:b w:val="0"/>
          <w:sz w:val="22"/>
        </w:rPr>
        <w:t>2000 to 2025</w:t>
      </w:r>
      <w:r w:rsidR="008D2121" w:rsidRPr="008D2121">
        <w:rPr>
          <w:sz w:val="22"/>
        </w:rPr>
        <w:t xml:space="preserve"> to ensure inclusion of both foundational and contemporary empirical evidence on oil price volatility and macroeconomic stability.</w:t>
      </w:r>
    </w:p>
    <w:p w14:paraId="2646709C" w14:textId="0CE5F430" w:rsidR="008D2121" w:rsidRPr="008D2121" w:rsidRDefault="00A27D1C" w:rsidP="00A27D1C">
      <w:pPr>
        <w:pStyle w:val="NormalWeb"/>
        <w:spacing w:before="0" w:beforeAutospacing="0" w:after="0" w:afterAutospacing="0"/>
        <w:jc w:val="both"/>
        <w:rPr>
          <w:sz w:val="22"/>
        </w:rPr>
      </w:pPr>
      <w:r>
        <w:rPr>
          <w:sz w:val="22"/>
        </w:rPr>
        <w:t xml:space="preserve">  </w:t>
      </w:r>
      <w:r w:rsidR="008D2121" w:rsidRPr="008D2121">
        <w:rPr>
          <w:sz w:val="22"/>
        </w:rPr>
        <w:t xml:space="preserve">To ensure a systematic and replicable search process, </w:t>
      </w:r>
      <w:r w:rsidR="008D2121" w:rsidRPr="008D2121">
        <w:rPr>
          <w:rStyle w:val="Strong"/>
          <w:b w:val="0"/>
          <w:sz w:val="22"/>
        </w:rPr>
        <w:t>Boolean operators (AND, OR)</w:t>
      </w:r>
      <w:r w:rsidR="008D2121" w:rsidRPr="008D2121">
        <w:rPr>
          <w:sz w:val="22"/>
        </w:rPr>
        <w:t xml:space="preserve"> will be employed to refine and combine search terms </w:t>
      </w:r>
      <w:r w:rsidR="008D2121">
        <w:rPr>
          <w:sz w:val="22"/>
        </w:rPr>
        <w:t>effectively. Quotation marks (“</w:t>
      </w:r>
      <w:r w:rsidR="008D2121" w:rsidRPr="008D2121">
        <w:rPr>
          <w:sz w:val="22"/>
        </w:rPr>
        <w:t>”) will be used to identify exact phrases, while parentheses ( ) will be applied to group related keywords and concepts. Truncation and keyword variations will also be considered to capture a wider range of relevant studies and minimize the risk of missing important literature.</w:t>
      </w:r>
    </w:p>
    <w:p w14:paraId="775ADFA5" w14:textId="58FEB517" w:rsidR="008D2121" w:rsidRPr="008D2121" w:rsidRDefault="00A27D1C" w:rsidP="00A27D1C">
      <w:pPr>
        <w:pStyle w:val="NormalWeb"/>
        <w:spacing w:before="0" w:beforeAutospacing="0" w:after="0" w:afterAutospacing="0"/>
        <w:jc w:val="both"/>
        <w:rPr>
          <w:sz w:val="22"/>
        </w:rPr>
      </w:pPr>
      <w:r>
        <w:rPr>
          <w:sz w:val="22"/>
        </w:rPr>
        <w:t xml:space="preserve">  </w:t>
      </w:r>
      <w:r w:rsidR="008D2121" w:rsidRPr="008D2121">
        <w:rPr>
          <w:sz w:val="22"/>
        </w:rPr>
        <w:t>The search strategy will focus on key terms related to oil price volatility and development outcomes. The primary search string will include</w:t>
      </w:r>
      <w:r w:rsidR="008D2121" w:rsidRPr="008D2121">
        <w:rPr>
          <w:b/>
          <w:sz w:val="22"/>
        </w:rPr>
        <w:t>:</w:t>
      </w:r>
      <w:r w:rsidR="009D5955">
        <w:rPr>
          <w:b/>
          <w:sz w:val="22"/>
        </w:rPr>
        <w:t xml:space="preserve"> </w:t>
      </w:r>
      <w:r w:rsidR="008D2121" w:rsidRPr="008D2121">
        <w:rPr>
          <w:rStyle w:val="Strong"/>
          <w:b w:val="0"/>
          <w:sz w:val="22"/>
        </w:rPr>
        <w:t>("global oil price shocks" OR "oil price volatility" OR "oil price fluctuations") AND ("developing countries" OR "emerging economies") AND ("economic stability" OR "macroeconomic stability" OR "economic performance" OR "financial stability") AND (impact OR effect OR influence OR consequences).</w:t>
      </w:r>
    </w:p>
    <w:p w14:paraId="7442A803" w14:textId="52C53EBF" w:rsidR="008D2121" w:rsidRPr="008D2121" w:rsidRDefault="00A27D1C" w:rsidP="00A27D1C">
      <w:pPr>
        <w:pStyle w:val="NormalWeb"/>
        <w:spacing w:before="0" w:beforeAutospacing="0" w:after="0" w:afterAutospacing="0"/>
        <w:jc w:val="both"/>
        <w:rPr>
          <w:sz w:val="22"/>
        </w:rPr>
      </w:pPr>
      <w:r>
        <w:rPr>
          <w:sz w:val="22"/>
        </w:rPr>
        <w:t xml:space="preserve">  </w:t>
      </w:r>
      <w:r w:rsidR="008D2121" w:rsidRPr="008D2121">
        <w:rPr>
          <w:sz w:val="22"/>
        </w:rPr>
        <w:t>Through this structured search approach, the study aims to comprehensively gather empirical and theoretical literature that examines how global oil price shocks affect the economic and socio-political stability of developing countries. This ensures that the review is both exhaustive and methodologically rigorous, allowing for a reliable synthesis of existing findings.</w:t>
      </w:r>
    </w:p>
    <w:p w14:paraId="0A7B2F1A" w14:textId="77777777" w:rsidR="007042AF" w:rsidRDefault="007042AF" w:rsidP="000A27DA">
      <w:pPr>
        <w:spacing w:after="0" w:line="240" w:lineRule="auto"/>
        <w:ind w:left="-180"/>
        <w:rPr>
          <w:rFonts w:ascii="Times New Roman" w:hAnsi="Times New Roman"/>
        </w:rPr>
      </w:pPr>
    </w:p>
    <w:p w14:paraId="40B05AAB" w14:textId="12022148" w:rsidR="000A27DA" w:rsidRDefault="007042AF" w:rsidP="000A27DA">
      <w:pPr>
        <w:spacing w:after="0" w:line="240" w:lineRule="auto"/>
        <w:ind w:left="-180"/>
        <w:rPr>
          <w:rFonts w:ascii="Times New Roman" w:hAnsi="Times New Roman"/>
          <w:b/>
          <w:bCs/>
        </w:rPr>
      </w:pPr>
      <w:r w:rsidRPr="007042AF">
        <w:rPr>
          <w:rFonts w:ascii="Times New Roman" w:hAnsi="Times New Roman"/>
          <w:b/>
          <w:bCs/>
        </w:rPr>
        <w:t>Inclusion and Exclusion Criteria</w:t>
      </w:r>
    </w:p>
    <w:p w14:paraId="36470B8A" w14:textId="3C0AFD4C" w:rsidR="000A26F0" w:rsidRPr="000A26F0" w:rsidRDefault="00147BDD" w:rsidP="00147BDD">
      <w:pPr>
        <w:pStyle w:val="NormalWeb"/>
        <w:spacing w:before="240" w:beforeAutospacing="0" w:after="0" w:afterAutospacing="0"/>
        <w:jc w:val="both"/>
        <w:rPr>
          <w:sz w:val="22"/>
        </w:rPr>
      </w:pPr>
      <w:r>
        <w:rPr>
          <w:sz w:val="22"/>
        </w:rPr>
        <w:t xml:space="preserve">  </w:t>
      </w:r>
      <w:r w:rsidR="000A26F0" w:rsidRPr="000A26F0">
        <w:rPr>
          <w:sz w:val="22"/>
        </w:rPr>
        <w:t>The inclusion criteria for this systematic review focus on studies that directly examine the relationship between global oil price shocks or oil price volatility and the stability or economic performance of developing countries. Only articles published in peer-reviewed international journals will be considered to ensure the credibility and academic rigor of the sources. The review will include studies published between 2000 and 2025 in order to capture both foundational and contemporary research on the topic. A range of research designs will be accepted, including quantitative, qualitative, and mixed-methods approaches such as econometric analyses, time-series studies, panel data analyses, and case studies. Additionally, only studies written in English will be included to maintain consistency in analysis.</w:t>
      </w:r>
    </w:p>
    <w:p w14:paraId="5E9272BD" w14:textId="3956DC1B" w:rsidR="000A26F0" w:rsidRPr="000A26F0" w:rsidRDefault="00147BDD" w:rsidP="00147BDD">
      <w:pPr>
        <w:pStyle w:val="NormalWeb"/>
        <w:spacing w:before="0" w:beforeAutospacing="0" w:after="0" w:afterAutospacing="0"/>
        <w:jc w:val="both"/>
        <w:rPr>
          <w:sz w:val="22"/>
        </w:rPr>
      </w:pPr>
      <w:r>
        <w:rPr>
          <w:sz w:val="22"/>
        </w:rPr>
        <w:t xml:space="preserve">  </w:t>
      </w:r>
      <w:r w:rsidR="000A26F0" w:rsidRPr="000A26F0">
        <w:rPr>
          <w:sz w:val="22"/>
        </w:rPr>
        <w:t>On the other hand, studies will be excluded if they do not focus on developing or emerging economies or if they fail to directly examine the impact of oil price shocks on economic or socio-political stability. Non-empirical literature such as review articles, conference proceedings, editorials, commentaries, policy briefs, and theses or dissertations will also be excluded to ensure that the analysis is based on primary research findings. Furthermore, articles that are not accessible in full text or do not provide sufficient data relevant to the study variables will not be included in the review.</w:t>
      </w:r>
    </w:p>
    <w:p w14:paraId="51891E9F" w14:textId="77777777" w:rsidR="00C6066F" w:rsidRPr="00FB7182" w:rsidRDefault="00C6066F" w:rsidP="000A27DA">
      <w:pPr>
        <w:spacing w:after="0" w:line="240" w:lineRule="auto"/>
        <w:ind w:left="-180" w:firstLine="180"/>
        <w:rPr>
          <w:rFonts w:ascii="Times New Roman" w:hAnsi="Times New Roman"/>
          <w:b/>
          <w:bCs/>
        </w:rPr>
      </w:pPr>
    </w:p>
    <w:p w14:paraId="617BFBBF" w14:textId="77777777" w:rsidR="00BE42E2" w:rsidRDefault="007042AF" w:rsidP="00BE42E2">
      <w:pPr>
        <w:spacing w:after="0" w:line="240" w:lineRule="auto"/>
        <w:ind w:left="-180"/>
        <w:rPr>
          <w:rFonts w:ascii="Times New Roman" w:hAnsi="Times New Roman"/>
          <w:b/>
          <w:bCs/>
        </w:rPr>
      </w:pPr>
      <w:r w:rsidRPr="007042AF">
        <w:rPr>
          <w:rFonts w:ascii="Times New Roman" w:hAnsi="Times New Roman"/>
          <w:b/>
          <w:bCs/>
        </w:rPr>
        <w:t>Screening of Articles</w:t>
      </w:r>
    </w:p>
    <w:p w14:paraId="6A6B3818" w14:textId="1EE17D0D" w:rsidR="009C7894" w:rsidRPr="009C7894" w:rsidRDefault="00147BDD" w:rsidP="00147BDD">
      <w:pPr>
        <w:spacing w:before="100" w:beforeAutospacing="1"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lastRenderedPageBreak/>
        <w:t xml:space="preserve">  </w:t>
      </w:r>
      <w:r w:rsidR="009C7894" w:rsidRPr="009C7894">
        <w:rPr>
          <w:rFonts w:ascii="Times New Roman" w:eastAsia="Times New Roman" w:hAnsi="Times New Roman" w:cs="Times New Roman"/>
          <w:kern w:val="0"/>
          <w:szCs w:val="24"/>
          <w:lang w:eastAsia="en-PH"/>
          <w14:ligatures w14:val="none"/>
        </w:rPr>
        <w:t>The screening process for this systematic review, which examines the impact of global oil price shocks on the stability of developing countries, was conducted through a structured and collaborative approach. The primary reviewers (</w:t>
      </w:r>
      <w:r w:rsidR="009C7894" w:rsidRPr="009C7894">
        <w:rPr>
          <w:rFonts w:ascii="Times New Roman" w:eastAsia="Times New Roman" w:hAnsi="Times New Roman" w:cs="Times New Roman"/>
          <w:bCs/>
          <w:kern w:val="0"/>
          <w:szCs w:val="24"/>
          <w:lang w:eastAsia="en-PH"/>
          <w14:ligatures w14:val="none"/>
        </w:rPr>
        <w:t>A.R.A., H., P., H., S.M.S., S.H.C.B., Y.A., O.A., A.Y.B., E.B.B., M.B., and A.P.</w:t>
      </w:r>
      <w:r w:rsidR="009C7894" w:rsidRPr="009C7894">
        <w:rPr>
          <w:rFonts w:ascii="Times New Roman" w:eastAsia="Times New Roman" w:hAnsi="Times New Roman" w:cs="Times New Roman"/>
          <w:kern w:val="0"/>
          <w:szCs w:val="24"/>
          <w:lang w:eastAsia="en-PH"/>
          <w14:ligatures w14:val="none"/>
        </w:rPr>
        <w:t>) were responsible for leading the initial stages of the screening process, ensuring methodological consistency and rigor in the selection of relevant studies.</w:t>
      </w:r>
    </w:p>
    <w:p w14:paraId="2E53D4F9" w14:textId="4B8726E0" w:rsidR="009C7894" w:rsidRPr="009C7894"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9C7894" w:rsidRPr="009C7894">
        <w:rPr>
          <w:rFonts w:ascii="Times New Roman" w:eastAsia="Times New Roman" w:hAnsi="Times New Roman" w:cs="Times New Roman"/>
          <w:kern w:val="0"/>
          <w:szCs w:val="24"/>
          <w:lang w:eastAsia="en-PH"/>
          <w14:ligatures w14:val="none"/>
        </w:rPr>
        <w:t>To identify appropriate literature, predefined keywords and search strategies were systematically applied across multiple academic databases. The first phase of screening involved a careful evaluation of article titles and abstracts to determine their relevance to the inclusion criteria, particularly focusing on studies that examine oil price shocks, developing or emerging economies, and indicators of economic or socio-political stability. This step ensured that only studies aligned with the research objectives were considered for further assessment.</w:t>
      </w:r>
    </w:p>
    <w:p w14:paraId="611E2FA5" w14:textId="1AEB4056" w:rsidR="009C7894" w:rsidRPr="009C7894"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9C7894" w:rsidRPr="009C7894">
        <w:rPr>
          <w:rFonts w:ascii="Times New Roman" w:eastAsia="Times New Roman" w:hAnsi="Times New Roman" w:cs="Times New Roman"/>
          <w:kern w:val="0"/>
          <w:szCs w:val="24"/>
          <w:lang w:eastAsia="en-PH"/>
          <w14:ligatures w14:val="none"/>
        </w:rPr>
        <w:t>Following the initial screening, full-text articles were retrieved and reviewed to confirm eligibility based on the established inclusion and exclusion criteria. Only studies that were accessible, methodologically sound, and directly relevant to the research variables were included in the final pool of literature. This stage allowed for a more in-depth evaluation of the studies’ scope, data, and analytical approaches.</w:t>
      </w:r>
    </w:p>
    <w:p w14:paraId="5E16A8F4" w14:textId="4E0FD85E" w:rsidR="009C7894" w:rsidRPr="009C7894"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9C7894" w:rsidRPr="009C7894">
        <w:rPr>
          <w:rFonts w:ascii="Times New Roman" w:eastAsia="Times New Roman" w:hAnsi="Times New Roman" w:cs="Times New Roman"/>
          <w:kern w:val="0"/>
          <w:szCs w:val="24"/>
          <w:lang w:eastAsia="en-PH"/>
          <w14:ligatures w14:val="none"/>
        </w:rPr>
        <w:t>Any disagreements or inconsistencies among the reviewers during the screening process were resolved through discussion and consensus among the research team. This collaborative validation process ensured accuracy, minimized selection bias, and strengthened the overall reliability and transparency of the systematic review.</w:t>
      </w:r>
    </w:p>
    <w:p w14:paraId="0F44CB69" w14:textId="77777777" w:rsidR="007042AF" w:rsidRDefault="007042AF" w:rsidP="000A27DA">
      <w:pPr>
        <w:spacing w:after="0" w:line="240" w:lineRule="auto"/>
        <w:ind w:left="-180"/>
        <w:rPr>
          <w:rFonts w:ascii="Times New Roman" w:hAnsi="Times New Roman"/>
        </w:rPr>
      </w:pPr>
    </w:p>
    <w:p w14:paraId="3B0D484F" w14:textId="56A25781" w:rsidR="000A27DA" w:rsidRDefault="00C6066F" w:rsidP="000A27DA">
      <w:pPr>
        <w:spacing w:after="0" w:line="240" w:lineRule="auto"/>
        <w:ind w:left="-180"/>
        <w:rPr>
          <w:rFonts w:ascii="Times New Roman" w:hAnsi="Times New Roman"/>
          <w:b/>
          <w:bCs/>
        </w:rPr>
      </w:pPr>
      <w:r w:rsidRPr="00C6066F">
        <w:rPr>
          <w:rFonts w:ascii="Times New Roman" w:hAnsi="Times New Roman"/>
          <w:b/>
          <w:bCs/>
        </w:rPr>
        <w:t>Data Extraction</w:t>
      </w:r>
    </w:p>
    <w:p w14:paraId="4BF3E393" w14:textId="43F9698A" w:rsidR="00375BF1" w:rsidRPr="00375BF1" w:rsidRDefault="00147BDD" w:rsidP="00147BDD">
      <w:pPr>
        <w:spacing w:before="100" w:beforeAutospacing="1"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Fourteen articles that met the inclusion criteria were selected for data extraction. A structured data extraction framework was employed to systematically gather and organize key information from each study. This included details such as authorship, year of publication, country of origin, research design, study setting, intervention or econometric model used, duration of analysis, main findings, and components of the outcomes.</w:t>
      </w:r>
    </w:p>
    <w:p w14:paraId="666E6D85" w14:textId="39210CEB" w:rsidR="00375BF1" w:rsidRPr="00375BF1" w:rsidRDefault="00147BDD" w:rsidP="00A27D1C">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The extracted data reveal that the majority of the included studies utilized quantitative econometric approaches, such as panel regression models, autoregressive distributed lag (ARDL), vector autoregression (VAR), generalized method of moments (GMM), and generalized autoregressive conditional heteroskedasticity (GARCH) models. These studies were conducted across diverse geographical contexts, including oil-exporting and oil-importing countries such as Nigeria, Jordan, Saudi Arabia, Slovakia, and the United States, as well as multi-country and global analyses.</w:t>
      </w:r>
    </w:p>
    <w:p w14:paraId="356C6F78" w14:textId="57D59E26" w:rsidR="00375BF1" w:rsidRPr="00375BF1"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The duration of the studies varied considerably, ranging from short-term analyses (e.g., 2012–2019) to long-term panel data covering several decades (e.g., 1987–2011 and 1990–2023). Most studies focused on examining the impact of oil price fluctuations on key macroeconomic and financial indicators, including economic growth, inflation, financial stability, trade performance, unemployment, and exchange rate dynamics.</w:t>
      </w:r>
    </w:p>
    <w:p w14:paraId="1BFD1481" w14:textId="1C893C28" w:rsidR="00375BF1" w:rsidRPr="00375BF1"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The extracted data were systematically organized into a comprehensive summary table (Table 2, Appendix 1), allowing for clear comparison of methodological approaches and findings across studies. This structured synthesis highlights consistent patterns, such as the beneficial effects of rising oil prices on financial stability in oil-exporting countries, and the adverse impacts of oil price shocks on inflation, fiscal balance, and economic growth in oil-importing economies. Additionally, several studies emphasized the moderating role of governance, institutional quality, and exchange rate regimes in shaping these outcomes.</w:t>
      </w:r>
    </w:p>
    <w:p w14:paraId="57085E65" w14:textId="0B5D7CCB" w:rsidR="00375BF1" w:rsidRPr="00375BF1" w:rsidRDefault="00147BDD" w:rsidP="00147BDD">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375BF1" w:rsidRPr="00375BF1">
        <w:rPr>
          <w:rFonts w:ascii="Times New Roman" w:eastAsia="Times New Roman" w:hAnsi="Times New Roman" w:cs="Times New Roman"/>
          <w:kern w:val="0"/>
          <w:szCs w:val="24"/>
          <w:lang w:eastAsia="en-PH"/>
          <w14:ligatures w14:val="none"/>
        </w:rPr>
        <w:t>Overall, the data extraction process facilitated a coherent and comparative analysis of the selected studies, providing a strong foundation for understanding the relationship between oil price fluctuations and economic stability across different national and regional contexts.</w:t>
      </w:r>
    </w:p>
    <w:p w14:paraId="08751DF8" w14:textId="77777777" w:rsidR="00C6066F" w:rsidRDefault="00C6066F" w:rsidP="000A27DA">
      <w:pPr>
        <w:spacing w:after="0" w:line="240" w:lineRule="auto"/>
        <w:ind w:left="-180" w:firstLine="180"/>
        <w:jc w:val="both"/>
        <w:rPr>
          <w:rFonts w:ascii="Times New Roman" w:hAnsi="Times New Roman"/>
        </w:rPr>
      </w:pPr>
    </w:p>
    <w:p w14:paraId="6F5BAFC3" w14:textId="77777777" w:rsidR="00115486" w:rsidRDefault="00115486" w:rsidP="00115486">
      <w:pPr>
        <w:spacing w:after="0" w:line="240" w:lineRule="auto"/>
        <w:ind w:left="-180"/>
        <w:rPr>
          <w:rFonts w:ascii="Times New Roman" w:hAnsi="Times New Roman"/>
          <w:b/>
          <w:bCs/>
        </w:rPr>
      </w:pPr>
      <w:r w:rsidRPr="00C6066F">
        <w:rPr>
          <w:rFonts w:ascii="Times New Roman" w:hAnsi="Times New Roman"/>
          <w:b/>
          <w:bCs/>
        </w:rPr>
        <w:t>Quality Assessment of Selected Articles</w:t>
      </w:r>
    </w:p>
    <w:p w14:paraId="1353E9A2" w14:textId="77777777" w:rsidR="00147BDD" w:rsidRDefault="00147BDD" w:rsidP="00115486">
      <w:pPr>
        <w:spacing w:after="0" w:line="240" w:lineRule="auto"/>
        <w:ind w:left="-180"/>
        <w:rPr>
          <w:rFonts w:ascii="Times New Roman" w:hAnsi="Times New Roman"/>
          <w:b/>
          <w:bCs/>
        </w:rPr>
      </w:pPr>
    </w:p>
    <w:p w14:paraId="54297E81" w14:textId="21B10F98" w:rsidR="00147BDD" w:rsidRDefault="00147BDD" w:rsidP="00147BDD">
      <w:pPr>
        <w:pStyle w:val="NormalWeb"/>
        <w:spacing w:before="0" w:beforeAutospacing="0" w:after="0" w:afterAutospacing="0"/>
        <w:jc w:val="both"/>
        <w:rPr>
          <w:sz w:val="22"/>
        </w:rPr>
      </w:pPr>
      <w:r>
        <w:rPr>
          <w:sz w:val="22"/>
        </w:rPr>
        <w:lastRenderedPageBreak/>
        <w:t xml:space="preserve">  </w:t>
      </w:r>
      <w:r w:rsidRPr="00147BDD">
        <w:rPr>
          <w:sz w:val="22"/>
        </w:rPr>
        <w:t xml:space="preserve">To evaluate the methodological quality of the selected studies, the researchers employed the </w:t>
      </w:r>
      <w:r w:rsidRPr="00EB46FF">
        <w:rPr>
          <w:rStyle w:val="Strong"/>
          <w:b w:val="0"/>
          <w:sz w:val="22"/>
        </w:rPr>
        <w:t>Joanna Briggs Institute (JBI) Critical Appraisal Tool</w:t>
      </w:r>
      <w:r w:rsidRPr="00147BDD">
        <w:rPr>
          <w:sz w:val="22"/>
        </w:rPr>
        <w:t>, which is widely recognized for assessing both quantitative and qualitative research designs. Given that the included articles comprised a combination of econometric (quantitative) and qualitative studies, appropriate JBI appraisal checklists were applied depending on the nature of each study design. These tools are internationally validated, peer-reviewed, and endorsed by the JBI Scientific Committee</w:t>
      </w:r>
      <w:r w:rsidR="00EB46FF">
        <w:rPr>
          <w:sz w:val="22"/>
        </w:rPr>
        <w:fldChar w:fldCharType="begin"/>
      </w:r>
      <w:r w:rsidR="00EB46FF">
        <w:rPr>
          <w:sz w:val="22"/>
        </w:rPr>
        <w:instrText xml:space="preserve"> ADDIN EN.CITE &lt;EndNote&gt;&lt;Cite&gt;&lt;Author&gt;Barker&lt;/Author&gt;&lt;Year&gt;2023&lt;/Year&gt;&lt;RecNum&gt;33&lt;/RecNum&gt;&lt;DisplayText&gt;(Barker et al., 2023)&lt;/DisplayText&gt;&lt;record&gt;&lt;rec-number&gt;33&lt;/rec-number&gt;&lt;foreign-keys&gt;&lt;key app="EN" db-id="vfdv2szx2wdrtne99esvzsrjd5ep9ws522pp" timestamp="1775986070"&gt;33&lt;/key&gt;&lt;/foreign-keys&gt;&lt;ref-type name="Journal Article"&gt;17&lt;/ref-type&gt;&lt;contributors&gt;&lt;authors&gt;&lt;author&gt;Barker, Timothy Hugh&lt;/author&gt;&lt;author&gt;Stone, Jennifer C.&lt;/author&gt;&lt;author&gt;Sears, Kim&lt;/author&gt;&lt;author&gt;Klugar, Miloslav&lt;/author&gt;&lt;author&gt;Leonardi-Bee, Jo&lt;/author&gt;&lt;author&gt;Tufanaru, Catalin&lt;/author&gt;&lt;author&gt;Aromataris, Edoardo&lt;/author&gt;&lt;author&gt;Munn, Zachary&lt;/author&gt;&lt;/authors&gt;&lt;/contributors&gt;&lt;titles&gt;&lt;title&gt;Revising the JBI quantitative critical appraisal tools to improve their applicability: an overview of methods and the development process&lt;/title&gt;&lt;secondary-title&gt;JBI Evidence Synthesis&lt;/secondary-title&gt;&lt;/titles&gt;&lt;periodical&gt;&lt;full-title&gt;JBI Evidence Synthesis&lt;/full-title&gt;&lt;/periodical&gt;&lt;pages&gt;478-493&lt;/pages&gt;&lt;volume&gt;21&lt;/volume&gt;&lt;number&gt;3&lt;/number&gt;&lt;keywords&gt;&lt;keyword&gt;critical appraisal instruments&lt;/keyword&gt;&lt;keyword&gt;methodological quality&lt;/keyword&gt;&lt;keyword&gt;risk of bias&lt;/keyword&gt;&lt;keyword&gt;systematic review methodology&lt;/keyword&gt;&lt;/keywords&gt;&lt;dates&gt;&lt;year&gt;2023&lt;/year&gt;&lt;/dates&gt;&lt;isbn&gt;2689-8381&lt;/isbn&gt;&lt;accession-num&gt;02174543-202303000-00004&lt;/accession-num&gt;&lt;urls&gt;&lt;related-urls&gt;&lt;url&gt;https://journals.lww.com/jbisrir/fulltext/2023/03000/revising_the_jbi_quantitative_critical_appraisal.4.aspx&lt;/url&gt;&lt;/related-urls&gt;&lt;/urls&gt;&lt;electronic-resource-num&gt;10.11124/jbies-22-00125&lt;/electronic-resource-num&gt;&lt;/record&gt;&lt;/Cite&gt;&lt;/EndNote&gt;</w:instrText>
      </w:r>
      <w:r w:rsidR="00EB46FF">
        <w:rPr>
          <w:sz w:val="22"/>
        </w:rPr>
        <w:fldChar w:fldCharType="separate"/>
      </w:r>
      <w:r w:rsidR="00EB46FF">
        <w:rPr>
          <w:noProof/>
          <w:sz w:val="22"/>
        </w:rPr>
        <w:t>(Barker et al., 2023)</w:t>
      </w:r>
      <w:r w:rsidR="00EB46FF">
        <w:rPr>
          <w:sz w:val="22"/>
        </w:rPr>
        <w:fldChar w:fldCharType="end"/>
      </w:r>
      <w:r w:rsidRPr="00147BDD">
        <w:rPr>
          <w:sz w:val="22"/>
        </w:rPr>
        <w:t>, ensuring a rigorous and standardized evaluation process.</w:t>
      </w:r>
    </w:p>
    <w:p w14:paraId="1C2E411C" w14:textId="37EC4314" w:rsidR="00147BDD" w:rsidRDefault="00147BDD" w:rsidP="00147BDD">
      <w:pPr>
        <w:pStyle w:val="NormalWeb"/>
        <w:spacing w:before="0" w:beforeAutospacing="0" w:after="0" w:afterAutospacing="0"/>
        <w:jc w:val="both"/>
        <w:rPr>
          <w:sz w:val="22"/>
        </w:rPr>
      </w:pPr>
      <w:r>
        <w:rPr>
          <w:sz w:val="22"/>
        </w:rPr>
        <w:t xml:space="preserve">  </w:t>
      </w:r>
      <w:r w:rsidRPr="00147BDD">
        <w:rPr>
          <w:sz w:val="22"/>
        </w:rPr>
        <w:t xml:space="preserve">For the quantitative studies, which constituted the majority of the included articles, the JBI checklist for analytical cross-sectional and quasi-experimental studies was utilized to assess methodological rigor. Key domains evaluated included the appropriateness of research design, validity and reliability of data sources, adequacy of statistical and econometric models (e.g., ARDL, VAR, GMM, GARCH), identification and control of confounding variables, and clarity in reporting results. These criteria were particularly relevant for studies conducted across various contexts such as </w:t>
      </w:r>
      <w:r w:rsidRPr="00147BDD">
        <w:rPr>
          <w:rStyle w:val="whitespace-normal"/>
          <w:sz w:val="22"/>
        </w:rPr>
        <w:t>Nigeria</w:t>
      </w:r>
      <w:r w:rsidRPr="00147BDD">
        <w:rPr>
          <w:sz w:val="22"/>
        </w:rPr>
        <w:t xml:space="preserve">, </w:t>
      </w:r>
      <w:r w:rsidRPr="00147BDD">
        <w:rPr>
          <w:rStyle w:val="whitespace-normal"/>
          <w:sz w:val="22"/>
        </w:rPr>
        <w:t>Jordan</w:t>
      </w:r>
      <w:r w:rsidRPr="00147BDD">
        <w:rPr>
          <w:sz w:val="22"/>
        </w:rPr>
        <w:t xml:space="preserve">, </w:t>
      </w:r>
      <w:r w:rsidRPr="00147BDD">
        <w:rPr>
          <w:rStyle w:val="whitespace-normal"/>
          <w:sz w:val="22"/>
        </w:rPr>
        <w:t>Saudi Arabia</w:t>
      </w:r>
      <w:r w:rsidRPr="00147BDD">
        <w:rPr>
          <w:sz w:val="22"/>
        </w:rPr>
        <w:t>, and multi-country datasets, where robust modeling techniques were necessary to ensure credible findings.</w:t>
      </w:r>
    </w:p>
    <w:p w14:paraId="4D2F2E87" w14:textId="7BFEDFD1" w:rsidR="00147BDD" w:rsidRPr="00147BDD" w:rsidRDefault="00147BDD" w:rsidP="00147BDD">
      <w:pPr>
        <w:pStyle w:val="NormalWeb"/>
        <w:spacing w:before="0" w:beforeAutospacing="0" w:after="0" w:afterAutospacing="0"/>
        <w:jc w:val="both"/>
        <w:rPr>
          <w:sz w:val="22"/>
        </w:rPr>
      </w:pPr>
      <w:r>
        <w:rPr>
          <w:sz w:val="22"/>
        </w:rPr>
        <w:t xml:space="preserve">  </w:t>
      </w:r>
      <w:r w:rsidRPr="00147BDD">
        <w:rPr>
          <w:sz w:val="22"/>
        </w:rPr>
        <w:t>For the qualitative study included in the review, the JBI Critical Appraisal Checklist for Qualitative Research was applied. This involved evaluating the congruity between the research methodology and objectives, the adequacy of data collection and analysis procedures (e.g., thematic analysis), the representation of participants or cases, and the interpretation of findings. The qualitative assessment ensured that insights related to governance and energy resilience were grounded in systematic and transparent analytical processes.</w:t>
      </w:r>
    </w:p>
    <w:p w14:paraId="2618CAF5" w14:textId="57C35774" w:rsidR="00147BDD" w:rsidRPr="00147BDD" w:rsidRDefault="00147BDD" w:rsidP="00147BDD">
      <w:pPr>
        <w:pStyle w:val="NormalWeb"/>
        <w:spacing w:before="0" w:beforeAutospacing="0" w:after="0" w:afterAutospacing="0"/>
        <w:jc w:val="both"/>
        <w:rPr>
          <w:sz w:val="22"/>
        </w:rPr>
      </w:pPr>
      <w:r>
        <w:rPr>
          <w:sz w:val="22"/>
        </w:rPr>
        <w:t xml:space="preserve">  </w:t>
      </w:r>
      <w:r w:rsidRPr="00147BDD">
        <w:rPr>
          <w:sz w:val="22"/>
        </w:rPr>
        <w:t>The appraisal process was conducted systematically by the research team to ensure consistency and objectivity. Each study was independently reviewed based on the relevant JBI criteria, and any discrepancies in assessment were resolved through discussion and consensus among the reviewers. This approach minimized potential bias and enhanced the reliability of the evaluation.</w:t>
      </w:r>
    </w:p>
    <w:p w14:paraId="54845221" w14:textId="2596634E" w:rsidR="00914F6E" w:rsidRPr="00147BDD" w:rsidRDefault="00147BDD" w:rsidP="00147BDD">
      <w:pPr>
        <w:pStyle w:val="NormalWeb"/>
        <w:spacing w:before="0" w:beforeAutospacing="0"/>
        <w:jc w:val="both"/>
        <w:rPr>
          <w:sz w:val="22"/>
        </w:rPr>
      </w:pPr>
      <w:r>
        <w:rPr>
          <w:sz w:val="22"/>
        </w:rPr>
        <w:t xml:space="preserve">  </w:t>
      </w:r>
      <w:r w:rsidRPr="00147BDD">
        <w:rPr>
          <w:sz w:val="22"/>
        </w:rPr>
        <w:t>Overall, the quality assessment indicated that the majority of the selected studies demonstrated satisfactory methodological rigor, particularly in terms of appropriate model selection, use of longitudinal data, and robustness checks. However, some limitations were observed, including incomplete reporting of study duration in a few articles and potential model specification constraints. Despite these limitations, all included studies were deemed to have sufficient quality to be retained in the review. This rigorous appraisal process strengthened the validity and credibility of the systematic review findings.</w:t>
      </w:r>
    </w:p>
    <w:p w14:paraId="52BE2879" w14:textId="77777777" w:rsidR="00115486" w:rsidRDefault="00115486" w:rsidP="00C6066F">
      <w:pPr>
        <w:spacing w:after="0" w:line="240" w:lineRule="auto"/>
        <w:ind w:left="-180"/>
        <w:rPr>
          <w:rFonts w:ascii="Times New Roman" w:hAnsi="Times New Roman"/>
          <w:b/>
          <w:bCs/>
        </w:rPr>
      </w:pPr>
    </w:p>
    <w:p w14:paraId="47203FC9" w14:textId="77777777" w:rsidR="00235127" w:rsidRDefault="00C6066F" w:rsidP="00A27D1C">
      <w:pPr>
        <w:spacing w:line="240" w:lineRule="auto"/>
        <w:ind w:left="-180"/>
        <w:rPr>
          <w:rFonts w:ascii="Times New Roman" w:hAnsi="Times New Roman"/>
          <w:b/>
          <w:bCs/>
        </w:rPr>
      </w:pPr>
      <w:r w:rsidRPr="00C6066F">
        <w:rPr>
          <w:rFonts w:ascii="Times New Roman" w:hAnsi="Times New Roman"/>
          <w:b/>
          <w:bCs/>
        </w:rPr>
        <w:t>Risk of Bias</w:t>
      </w:r>
    </w:p>
    <w:p w14:paraId="47A837EE" w14:textId="77777777" w:rsidR="00A27D1C" w:rsidRPr="00A27D1C" w:rsidRDefault="00147BDD" w:rsidP="00A27D1C">
      <w:pPr>
        <w:pStyle w:val="NormalWeb"/>
        <w:spacing w:before="0" w:beforeAutospacing="0" w:after="0" w:afterAutospacing="0"/>
        <w:jc w:val="both"/>
        <w:rPr>
          <w:sz w:val="22"/>
        </w:rPr>
      </w:pPr>
      <w:r w:rsidRPr="00A27D1C">
        <w:rPr>
          <w:sz w:val="22"/>
        </w:rPr>
        <w:t xml:space="preserve">  </w:t>
      </w:r>
      <w:r w:rsidR="00A27D1C" w:rsidRPr="00A27D1C">
        <w:rPr>
          <w:sz w:val="22"/>
        </w:rPr>
        <w:t xml:space="preserve">The risk of bias of the included studies was assessed using the </w:t>
      </w:r>
      <w:r w:rsidR="00A27D1C" w:rsidRPr="00A27D1C">
        <w:rPr>
          <w:rStyle w:val="Strong"/>
          <w:b w:val="0"/>
          <w:sz w:val="22"/>
        </w:rPr>
        <w:t>Joanna Briggs Institute (JBI) Critical Appraisal Checklists</w:t>
      </w:r>
      <w:r w:rsidR="00A27D1C" w:rsidRPr="00A27D1C">
        <w:rPr>
          <w:sz w:val="22"/>
        </w:rPr>
        <w:t>, consistent with the approach applied in the quality assessment stage. Given that the selected articles consisted of both quantitative econometric studies and one qualitative study, a unified JBI-based framework was adopted to ensure a standardized and transparent evaluation of methodological rigor across all included research.</w:t>
      </w:r>
    </w:p>
    <w:p w14:paraId="1B767231" w14:textId="34B5F399" w:rsidR="00A27D1C" w:rsidRPr="00A27D1C" w:rsidRDefault="00A27D1C" w:rsidP="00A27D1C">
      <w:pPr>
        <w:pStyle w:val="NormalWeb"/>
        <w:spacing w:before="0" w:beforeAutospacing="0" w:after="0" w:afterAutospacing="0"/>
        <w:jc w:val="both"/>
        <w:rPr>
          <w:sz w:val="22"/>
        </w:rPr>
      </w:pPr>
      <w:r>
        <w:rPr>
          <w:sz w:val="22"/>
        </w:rPr>
        <w:t xml:space="preserve">  </w:t>
      </w:r>
      <w:r w:rsidRPr="00A27D1C">
        <w:rPr>
          <w:sz w:val="22"/>
        </w:rPr>
        <w:t xml:space="preserve">Each study was assessed across key JBI domains, including the clarity of research objectives, appropriateness of study design, adequacy of data sources, robustness of analytical methods, identification of confounding variables, validity of outcome measures, and transparency in reporting results. The level of risk of bias was determined based on the proportion of criteria met (“Yes” responses). Studies with higher percentages of “Yes” responses were categorized as having a </w:t>
      </w:r>
      <w:r w:rsidRPr="00A27D1C">
        <w:rPr>
          <w:rStyle w:val="Strong"/>
          <w:b w:val="0"/>
          <w:sz w:val="22"/>
        </w:rPr>
        <w:t>low risk of bias</w:t>
      </w:r>
      <w:r w:rsidRPr="00A27D1C">
        <w:rPr>
          <w:sz w:val="22"/>
        </w:rPr>
        <w:t xml:space="preserve">, while those with some unclear or unmet criteria were classified as having </w:t>
      </w:r>
      <w:r w:rsidRPr="00A27D1C">
        <w:rPr>
          <w:rStyle w:val="Strong"/>
          <w:b w:val="0"/>
          <w:sz w:val="22"/>
        </w:rPr>
        <w:t>moderate risk of bias</w:t>
      </w:r>
      <w:r w:rsidRPr="00A27D1C">
        <w:rPr>
          <w:sz w:val="22"/>
        </w:rPr>
        <w:t>.</w:t>
      </w:r>
    </w:p>
    <w:p w14:paraId="2A077547" w14:textId="7F92E6E0" w:rsidR="00A27D1C" w:rsidRPr="00A27D1C" w:rsidRDefault="00A27D1C" w:rsidP="00A27D1C">
      <w:pPr>
        <w:pStyle w:val="NormalWeb"/>
        <w:spacing w:before="0" w:beforeAutospacing="0" w:after="0" w:afterAutospacing="0"/>
        <w:jc w:val="both"/>
        <w:rPr>
          <w:sz w:val="22"/>
        </w:rPr>
      </w:pPr>
      <w:r>
        <w:rPr>
          <w:sz w:val="22"/>
        </w:rPr>
        <w:t xml:space="preserve">  </w:t>
      </w:r>
      <w:r w:rsidRPr="00A27D1C">
        <w:rPr>
          <w:sz w:val="22"/>
        </w:rPr>
        <w:t xml:space="preserve">Overall, the findings indicate that the majority of the included studies demonstrated a </w:t>
      </w:r>
      <w:r w:rsidRPr="00A27D1C">
        <w:rPr>
          <w:rStyle w:val="Strong"/>
          <w:b w:val="0"/>
          <w:sz w:val="22"/>
        </w:rPr>
        <w:t>low risk of bias</w:t>
      </w:r>
      <w:r w:rsidRPr="00A27D1C">
        <w:rPr>
          <w:sz w:val="22"/>
        </w:rPr>
        <w:t xml:space="preserve">, largely due to the use of well-established econometric models (e.g., ARDL, VAR, GMM, GARCH), long-term datasets, and robustness checks. Studies conducted in contexts such as </w:t>
      </w:r>
      <w:r w:rsidRPr="00A27D1C">
        <w:rPr>
          <w:rStyle w:val="whitespace-normal"/>
          <w:sz w:val="22"/>
        </w:rPr>
        <w:t>Nigeria</w:t>
      </w:r>
      <w:r w:rsidRPr="00A27D1C">
        <w:rPr>
          <w:sz w:val="22"/>
        </w:rPr>
        <w:t xml:space="preserve">, </w:t>
      </w:r>
      <w:r w:rsidRPr="00A27D1C">
        <w:rPr>
          <w:rStyle w:val="whitespace-normal"/>
          <w:sz w:val="22"/>
        </w:rPr>
        <w:t>Jordan</w:t>
      </w:r>
      <w:r w:rsidRPr="00A27D1C">
        <w:rPr>
          <w:sz w:val="22"/>
        </w:rPr>
        <w:t xml:space="preserve">, and </w:t>
      </w:r>
      <w:r w:rsidRPr="00A27D1C">
        <w:rPr>
          <w:rStyle w:val="whitespace-normal"/>
          <w:sz w:val="22"/>
        </w:rPr>
        <w:t>Saudi Arabia</w:t>
      </w:r>
      <w:r w:rsidRPr="00A27D1C">
        <w:rPr>
          <w:sz w:val="22"/>
        </w:rPr>
        <w:t xml:space="preserve"> exhibited strong methodological consistency, particularly in model specification and statistical analysis.</w:t>
      </w:r>
    </w:p>
    <w:p w14:paraId="7B2AF676" w14:textId="478ABDB4" w:rsidR="00A27D1C" w:rsidRPr="00A27D1C" w:rsidRDefault="00A27D1C" w:rsidP="00A27D1C">
      <w:pPr>
        <w:pStyle w:val="NormalWeb"/>
        <w:spacing w:before="0" w:beforeAutospacing="0" w:after="0" w:afterAutospacing="0"/>
        <w:jc w:val="both"/>
        <w:rPr>
          <w:sz w:val="22"/>
        </w:rPr>
      </w:pPr>
      <w:r>
        <w:rPr>
          <w:sz w:val="22"/>
        </w:rPr>
        <w:t xml:space="preserve">  </w:t>
      </w:r>
      <w:r w:rsidRPr="00A27D1C">
        <w:rPr>
          <w:sz w:val="22"/>
        </w:rPr>
        <w:t xml:space="preserve">However, a few studies were categorized as having a </w:t>
      </w:r>
      <w:r w:rsidRPr="00A27D1C">
        <w:rPr>
          <w:rStyle w:val="Strong"/>
          <w:b w:val="0"/>
          <w:sz w:val="22"/>
        </w:rPr>
        <w:t>moderate risk of bias</w:t>
      </w:r>
      <w:r w:rsidRPr="00A27D1C">
        <w:rPr>
          <w:sz w:val="22"/>
        </w:rPr>
        <w:t xml:space="preserve">, primarily due to incomplete reporting of methodological details, unspecified study duration, or limited discussion of confounding </w:t>
      </w:r>
      <w:r w:rsidRPr="00A27D1C">
        <w:rPr>
          <w:sz w:val="22"/>
        </w:rPr>
        <w:lastRenderedPageBreak/>
        <w:t>variables. Additionally, the qualitative study included in the review showed minor limitations related to the integration and transparency of analytical procedures, although it still met most of the JBI criteria.</w:t>
      </w:r>
    </w:p>
    <w:p w14:paraId="3A3E0C9F" w14:textId="1DB53722" w:rsidR="00A27D1C" w:rsidRPr="00A27D1C" w:rsidRDefault="00A27D1C" w:rsidP="00A27D1C">
      <w:pPr>
        <w:pStyle w:val="NormalWeb"/>
        <w:spacing w:before="0" w:beforeAutospacing="0" w:after="0" w:afterAutospacing="0"/>
        <w:jc w:val="both"/>
        <w:rPr>
          <w:sz w:val="22"/>
        </w:rPr>
      </w:pPr>
      <w:r>
        <w:rPr>
          <w:sz w:val="22"/>
        </w:rPr>
        <w:t xml:space="preserve">  </w:t>
      </w:r>
      <w:r w:rsidRPr="00A27D1C">
        <w:rPr>
          <w:sz w:val="22"/>
        </w:rPr>
        <w:t>Despite these minor limitations, all studies were considered sufficiently rigorous to be included in the review. The overall low risk of bias across the selected articles strengthens the reliability and validity of the findings, supporting robust conclusions regarding the impact of oil price fluctuations on economic stability.</w:t>
      </w:r>
    </w:p>
    <w:p w14:paraId="11BFE808" w14:textId="6751C966" w:rsidR="006B2FBE" w:rsidRDefault="006B2FBE" w:rsidP="00A27D1C">
      <w:pPr>
        <w:pStyle w:val="NormalWeb"/>
        <w:spacing w:before="0" w:beforeAutospacing="0" w:after="0" w:afterAutospacing="0"/>
        <w:jc w:val="both"/>
        <w:rPr>
          <w:b/>
          <w:bCs/>
        </w:rPr>
      </w:pPr>
    </w:p>
    <w:p w14:paraId="632AB67D" w14:textId="77777777" w:rsidR="009C239F" w:rsidRDefault="009C239F" w:rsidP="009C239F">
      <w:pPr>
        <w:spacing w:after="0" w:line="240" w:lineRule="auto"/>
        <w:rPr>
          <w:rFonts w:ascii="Times New Roman" w:hAnsi="Times New Roman"/>
          <w:b/>
          <w:bCs/>
        </w:rPr>
      </w:pPr>
    </w:p>
    <w:p w14:paraId="7B5C93BB" w14:textId="4B093EFA" w:rsidR="004D13C2" w:rsidRDefault="009C239F" w:rsidP="004D13C2">
      <w:pPr>
        <w:widowControl w:val="0"/>
        <w:autoSpaceDE w:val="0"/>
        <w:autoSpaceDN w:val="0"/>
        <w:spacing w:before="1" w:after="0" w:line="240" w:lineRule="auto"/>
        <w:ind w:right="1627"/>
        <w:jc w:val="center"/>
        <w:rPr>
          <w:rFonts w:ascii="Times New Roman" w:eastAsia="Georgia" w:hAnsi="Times New Roman" w:cs="Times New Roman"/>
          <w:kern w:val="0"/>
          <w:lang w:val="id"/>
          <w14:ligatures w14:val="none"/>
        </w:rPr>
      </w:pPr>
      <w:r w:rsidRPr="0053134C">
        <w:rPr>
          <w:rFonts w:ascii="Times New Roman" w:eastAsia="Georgia" w:hAnsi="Times New Roman" w:cs="Times New Roman"/>
          <w:b/>
          <w:kern w:val="0"/>
          <w:lang w:val="id"/>
          <w14:ligatures w14:val="none"/>
        </w:rPr>
        <w:t>Table</w:t>
      </w:r>
      <w:r w:rsidRPr="0053134C">
        <w:rPr>
          <w:rFonts w:ascii="Times New Roman" w:eastAsia="Georgia" w:hAnsi="Times New Roman" w:cs="Times New Roman"/>
          <w:b/>
          <w:spacing w:val="-1"/>
          <w:kern w:val="0"/>
          <w:lang w:val="id"/>
          <w14:ligatures w14:val="none"/>
        </w:rPr>
        <w:t xml:space="preserve"> </w:t>
      </w:r>
      <w:r w:rsidR="00AB7437">
        <w:rPr>
          <w:rFonts w:ascii="Times New Roman" w:eastAsia="Georgia" w:hAnsi="Times New Roman" w:cs="Times New Roman"/>
          <w:b/>
          <w:kern w:val="0"/>
          <w14:ligatures w14:val="none"/>
        </w:rPr>
        <w:t>2</w:t>
      </w:r>
      <w:r w:rsidRPr="0053134C">
        <w:rPr>
          <w:rFonts w:ascii="Times New Roman" w:eastAsia="Georgia" w:hAnsi="Times New Roman" w:cs="Times New Roman"/>
          <w:b/>
          <w:kern w:val="0"/>
          <w:lang w:val="id"/>
          <w14:ligatures w14:val="none"/>
        </w:rPr>
        <w:t>.</w:t>
      </w:r>
      <w:r w:rsidRPr="0053134C">
        <w:rPr>
          <w:rFonts w:ascii="Times New Roman" w:eastAsia="Georgia" w:hAnsi="Times New Roman" w:cs="Times New Roman"/>
          <w:b/>
          <w:spacing w:val="-5"/>
          <w:kern w:val="0"/>
          <w:lang w:val="id"/>
          <w14:ligatures w14:val="none"/>
        </w:rPr>
        <w:t xml:space="preserve"> </w:t>
      </w:r>
      <w:r w:rsidRPr="009C239F">
        <w:rPr>
          <w:rFonts w:ascii="Times New Roman" w:eastAsia="Georgia" w:hAnsi="Times New Roman" w:cs="Times New Roman"/>
          <w:kern w:val="0"/>
          <w14:ligatures w14:val="none"/>
        </w:rPr>
        <w:t>Joanna Briggs Institute (JBI) Critical Appraisal Tool fo</w:t>
      </w:r>
      <w:r>
        <w:rPr>
          <w:rFonts w:ascii="Times New Roman" w:eastAsia="Georgia" w:hAnsi="Times New Roman" w:cs="Times New Roman"/>
          <w:kern w:val="0"/>
          <w14:ligatures w14:val="none"/>
        </w:rPr>
        <w:t xml:space="preserve">r </w:t>
      </w:r>
      <w:r w:rsidRPr="009C239F">
        <w:rPr>
          <w:rFonts w:ascii="Times New Roman" w:eastAsia="Georgia" w:hAnsi="Times New Roman" w:cs="Times New Roman"/>
          <w:kern w:val="0"/>
          <w14:ligatures w14:val="none"/>
        </w:rPr>
        <w:t>Mixed Methods</w:t>
      </w:r>
    </w:p>
    <w:tbl>
      <w:tblPr>
        <w:tblStyle w:val="TableGrid"/>
        <w:tblW w:w="0" w:type="auto"/>
        <w:tblLook w:val="04A0" w:firstRow="1" w:lastRow="0" w:firstColumn="1" w:lastColumn="0" w:noHBand="0" w:noVBand="1"/>
      </w:tblPr>
      <w:tblGrid>
        <w:gridCol w:w="2343"/>
        <w:gridCol w:w="485"/>
        <w:gridCol w:w="485"/>
        <w:gridCol w:w="485"/>
        <w:gridCol w:w="485"/>
        <w:gridCol w:w="485"/>
        <w:gridCol w:w="485"/>
        <w:gridCol w:w="667"/>
        <w:gridCol w:w="992"/>
        <w:gridCol w:w="2552"/>
      </w:tblGrid>
      <w:tr w:rsidR="004D13C2" w:rsidRPr="009E551B" w14:paraId="0B879254" w14:textId="77777777" w:rsidTr="004D13C2">
        <w:tc>
          <w:tcPr>
            <w:tcW w:w="0" w:type="auto"/>
            <w:hideMark/>
          </w:tcPr>
          <w:p w14:paraId="1262EC86"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Author(s) &amp; Year</w:t>
            </w:r>
          </w:p>
        </w:tc>
        <w:tc>
          <w:tcPr>
            <w:tcW w:w="0" w:type="auto"/>
            <w:hideMark/>
          </w:tcPr>
          <w:p w14:paraId="7818838E"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Q1</w:t>
            </w:r>
          </w:p>
        </w:tc>
        <w:tc>
          <w:tcPr>
            <w:tcW w:w="0" w:type="auto"/>
            <w:hideMark/>
          </w:tcPr>
          <w:p w14:paraId="5F7BC53C"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Q2</w:t>
            </w:r>
          </w:p>
        </w:tc>
        <w:tc>
          <w:tcPr>
            <w:tcW w:w="0" w:type="auto"/>
            <w:hideMark/>
          </w:tcPr>
          <w:p w14:paraId="2A4A894E"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Q3</w:t>
            </w:r>
          </w:p>
        </w:tc>
        <w:tc>
          <w:tcPr>
            <w:tcW w:w="0" w:type="auto"/>
            <w:hideMark/>
          </w:tcPr>
          <w:p w14:paraId="08824E81"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Q4</w:t>
            </w:r>
          </w:p>
        </w:tc>
        <w:tc>
          <w:tcPr>
            <w:tcW w:w="0" w:type="auto"/>
            <w:hideMark/>
          </w:tcPr>
          <w:p w14:paraId="0A0A6430"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Q5</w:t>
            </w:r>
          </w:p>
        </w:tc>
        <w:tc>
          <w:tcPr>
            <w:tcW w:w="0" w:type="auto"/>
            <w:hideMark/>
          </w:tcPr>
          <w:p w14:paraId="4BB23731"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Q6</w:t>
            </w:r>
          </w:p>
        </w:tc>
        <w:tc>
          <w:tcPr>
            <w:tcW w:w="667" w:type="dxa"/>
            <w:hideMark/>
          </w:tcPr>
          <w:p w14:paraId="0EFC1DA8"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Q7</w:t>
            </w:r>
          </w:p>
        </w:tc>
        <w:tc>
          <w:tcPr>
            <w:tcW w:w="992" w:type="dxa"/>
            <w:hideMark/>
          </w:tcPr>
          <w:p w14:paraId="790A7B1D"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 Yes</w:t>
            </w:r>
          </w:p>
        </w:tc>
        <w:tc>
          <w:tcPr>
            <w:tcW w:w="2552" w:type="dxa"/>
            <w:hideMark/>
          </w:tcPr>
          <w:p w14:paraId="2221F382" w14:textId="77777777" w:rsidR="004D13C2" w:rsidRPr="009E551B" w:rsidRDefault="004D13C2" w:rsidP="004D13C2">
            <w:pPr>
              <w:rPr>
                <w:rFonts w:ascii="Times New Roman" w:eastAsia="Times New Roman" w:hAnsi="Times New Roman" w:cs="Times New Roman"/>
                <w:bCs/>
                <w:lang w:eastAsia="en-PH"/>
              </w:rPr>
            </w:pPr>
            <w:r w:rsidRPr="009E551B">
              <w:rPr>
                <w:rFonts w:ascii="Times New Roman" w:eastAsia="Times New Roman" w:hAnsi="Times New Roman" w:cs="Times New Roman"/>
                <w:bCs/>
                <w:lang w:eastAsia="en-PH"/>
              </w:rPr>
              <w:t>Overall Interpretation</w:t>
            </w:r>
          </w:p>
        </w:tc>
      </w:tr>
      <w:tr w:rsidR="004D13C2" w:rsidRPr="009E551B" w14:paraId="7A93AF5B" w14:textId="77777777" w:rsidTr="004D13C2">
        <w:tc>
          <w:tcPr>
            <w:tcW w:w="0" w:type="auto"/>
            <w:hideMark/>
          </w:tcPr>
          <w:p w14:paraId="6B055AA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Gaies et al.</w:t>
            </w:r>
          </w:p>
        </w:tc>
        <w:tc>
          <w:tcPr>
            <w:tcW w:w="0" w:type="auto"/>
            <w:hideMark/>
          </w:tcPr>
          <w:p w14:paraId="4773DD6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302D5A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ECB117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F6A5CC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E76D20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F64412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5424D44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23F18B54"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047AEAF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12ECCE4C" w14:textId="77777777" w:rsidTr="004D13C2">
        <w:tc>
          <w:tcPr>
            <w:tcW w:w="0" w:type="auto"/>
            <w:hideMark/>
          </w:tcPr>
          <w:p w14:paraId="0EBB42C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Elsherif (2024)</w:t>
            </w:r>
          </w:p>
        </w:tc>
        <w:tc>
          <w:tcPr>
            <w:tcW w:w="0" w:type="auto"/>
            <w:hideMark/>
          </w:tcPr>
          <w:p w14:paraId="40FD849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8D371F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2C7C88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565AF6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907B92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856A46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1EED9C5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1C94AEA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0EFCCA6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205F5D45" w14:textId="77777777" w:rsidTr="004D13C2">
        <w:tc>
          <w:tcPr>
            <w:tcW w:w="0" w:type="auto"/>
            <w:hideMark/>
          </w:tcPr>
          <w:p w14:paraId="21B2F20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Adekunle (2025)</w:t>
            </w:r>
          </w:p>
        </w:tc>
        <w:tc>
          <w:tcPr>
            <w:tcW w:w="0" w:type="auto"/>
            <w:hideMark/>
          </w:tcPr>
          <w:p w14:paraId="68FBEE2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3EB3DE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2B3BA6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4033E04"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B6EDA3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6B5999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3FD1FF2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7635ADE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045DDFC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r w:rsidR="004D13C2" w:rsidRPr="009E551B" w14:paraId="37134469" w14:textId="77777777" w:rsidTr="004D13C2">
        <w:tc>
          <w:tcPr>
            <w:tcW w:w="0" w:type="auto"/>
            <w:hideMark/>
          </w:tcPr>
          <w:p w14:paraId="0589D07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Al-Sawaie et al. (2025)</w:t>
            </w:r>
          </w:p>
        </w:tc>
        <w:tc>
          <w:tcPr>
            <w:tcW w:w="0" w:type="auto"/>
            <w:hideMark/>
          </w:tcPr>
          <w:p w14:paraId="130F727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2A74E7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77B1D0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914720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306829A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7139A3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36108EB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3440E98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394C16C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374B9B2B" w14:textId="77777777" w:rsidTr="004D13C2">
        <w:tc>
          <w:tcPr>
            <w:tcW w:w="0" w:type="auto"/>
            <w:hideMark/>
          </w:tcPr>
          <w:p w14:paraId="793441B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Mgbomene et al. (2025)</w:t>
            </w:r>
          </w:p>
        </w:tc>
        <w:tc>
          <w:tcPr>
            <w:tcW w:w="0" w:type="auto"/>
            <w:hideMark/>
          </w:tcPr>
          <w:p w14:paraId="64CAE871"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7442FC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6DE9173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22C8ED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270C3A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B0F50B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75991F6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0E577E5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4D970FF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5898E958" w14:textId="77777777" w:rsidTr="004D13C2">
        <w:tc>
          <w:tcPr>
            <w:tcW w:w="0" w:type="auto"/>
            <w:hideMark/>
          </w:tcPr>
          <w:p w14:paraId="6A8C9BC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Kharin et al. (2024)</w:t>
            </w:r>
          </w:p>
        </w:tc>
        <w:tc>
          <w:tcPr>
            <w:tcW w:w="0" w:type="auto"/>
            <w:hideMark/>
          </w:tcPr>
          <w:p w14:paraId="2F42303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940638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638138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05307A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C5A509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3FD1808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633D6BB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4659A0F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778230D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r w:rsidR="004D13C2" w:rsidRPr="009E551B" w14:paraId="180BF269" w14:textId="77777777" w:rsidTr="004D13C2">
        <w:tc>
          <w:tcPr>
            <w:tcW w:w="0" w:type="auto"/>
            <w:hideMark/>
          </w:tcPr>
          <w:p w14:paraId="7D3CC03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Ullah et al.</w:t>
            </w:r>
          </w:p>
        </w:tc>
        <w:tc>
          <w:tcPr>
            <w:tcW w:w="0" w:type="auto"/>
            <w:hideMark/>
          </w:tcPr>
          <w:p w14:paraId="1EA5EED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EC9972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6B9CC6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0E4501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61E1116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265FCE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6DA40B3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49506E3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2DA1176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32077B9E" w14:textId="77777777" w:rsidTr="004D13C2">
        <w:tc>
          <w:tcPr>
            <w:tcW w:w="0" w:type="auto"/>
            <w:hideMark/>
          </w:tcPr>
          <w:p w14:paraId="1D5F62C4"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Khan et al.</w:t>
            </w:r>
          </w:p>
        </w:tc>
        <w:tc>
          <w:tcPr>
            <w:tcW w:w="0" w:type="auto"/>
            <w:hideMark/>
          </w:tcPr>
          <w:p w14:paraId="6F5CAAA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10BC46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B796C8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C44F56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C86FDA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1BEDBD1"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4203D87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28930FB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2CCF915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6A0B9578" w14:textId="77777777" w:rsidTr="004D13C2">
        <w:tc>
          <w:tcPr>
            <w:tcW w:w="0" w:type="auto"/>
            <w:hideMark/>
          </w:tcPr>
          <w:p w14:paraId="641E1B0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Nagro &amp; Shaheen</w:t>
            </w:r>
          </w:p>
        </w:tc>
        <w:tc>
          <w:tcPr>
            <w:tcW w:w="0" w:type="auto"/>
            <w:hideMark/>
          </w:tcPr>
          <w:p w14:paraId="720022C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A43057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835395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3CE57E4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B2AEC3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8B50C8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64AEEF0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261605F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35F0983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77B72DBB" w14:textId="77777777" w:rsidTr="004D13C2">
        <w:tc>
          <w:tcPr>
            <w:tcW w:w="0" w:type="auto"/>
            <w:hideMark/>
          </w:tcPr>
          <w:p w14:paraId="59721E9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Okere et al.</w:t>
            </w:r>
          </w:p>
        </w:tc>
        <w:tc>
          <w:tcPr>
            <w:tcW w:w="0" w:type="auto"/>
            <w:hideMark/>
          </w:tcPr>
          <w:p w14:paraId="0A0C8CA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E7DB26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732B07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EA8161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164B39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2F4B9BE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02A7B44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76BC8BD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3A4EAFB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r w:rsidR="004D13C2" w:rsidRPr="009E551B" w14:paraId="0C37EA11" w14:textId="77777777" w:rsidTr="004D13C2">
        <w:tc>
          <w:tcPr>
            <w:tcW w:w="0" w:type="auto"/>
            <w:hideMark/>
          </w:tcPr>
          <w:p w14:paraId="4962589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Alfalih</w:t>
            </w:r>
          </w:p>
        </w:tc>
        <w:tc>
          <w:tcPr>
            <w:tcW w:w="0" w:type="auto"/>
            <w:hideMark/>
          </w:tcPr>
          <w:p w14:paraId="5CEE7EA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47D19D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E562DA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B21DE2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D54FF8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0DC753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648A041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1DCCC8C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543EE72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2460F62D" w14:textId="77777777" w:rsidTr="004D13C2">
        <w:tc>
          <w:tcPr>
            <w:tcW w:w="0" w:type="auto"/>
            <w:hideMark/>
          </w:tcPr>
          <w:p w14:paraId="581B488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Ye &amp; Chaiyapa</w:t>
            </w:r>
          </w:p>
        </w:tc>
        <w:tc>
          <w:tcPr>
            <w:tcW w:w="0" w:type="auto"/>
            <w:hideMark/>
          </w:tcPr>
          <w:p w14:paraId="29BAE972"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29A71F1"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A11CE8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82C7EF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E108301"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5A7EA80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48023A77"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1889BA1B"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76B54D3C"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r w:rsidR="004D13C2" w:rsidRPr="009E551B" w14:paraId="6D448AC4" w14:textId="77777777" w:rsidTr="004D13C2">
        <w:tc>
          <w:tcPr>
            <w:tcW w:w="0" w:type="auto"/>
            <w:hideMark/>
          </w:tcPr>
          <w:p w14:paraId="36D0EE1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Sadeghi et al.</w:t>
            </w:r>
          </w:p>
        </w:tc>
        <w:tc>
          <w:tcPr>
            <w:tcW w:w="0" w:type="auto"/>
            <w:hideMark/>
          </w:tcPr>
          <w:p w14:paraId="084AEF15"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3DC29C5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6DF5B4A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61FC00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B16E5A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873E22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667" w:type="dxa"/>
            <w:hideMark/>
          </w:tcPr>
          <w:p w14:paraId="60B6A58A"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59F976A6"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100%</w:t>
            </w:r>
          </w:p>
        </w:tc>
        <w:tc>
          <w:tcPr>
            <w:tcW w:w="2552" w:type="dxa"/>
            <w:hideMark/>
          </w:tcPr>
          <w:p w14:paraId="52499E23"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Low risk</w:t>
            </w:r>
          </w:p>
        </w:tc>
      </w:tr>
      <w:tr w:rsidR="004D13C2" w:rsidRPr="009E551B" w14:paraId="56EC1B23" w14:textId="77777777" w:rsidTr="004D13C2">
        <w:tc>
          <w:tcPr>
            <w:tcW w:w="0" w:type="auto"/>
            <w:hideMark/>
          </w:tcPr>
          <w:p w14:paraId="798C6A2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Ayeni et al.</w:t>
            </w:r>
          </w:p>
        </w:tc>
        <w:tc>
          <w:tcPr>
            <w:tcW w:w="0" w:type="auto"/>
            <w:hideMark/>
          </w:tcPr>
          <w:p w14:paraId="1AD22C9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0C06956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739D2D88"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6FE8BA4E"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4E4044E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0" w:type="auto"/>
            <w:hideMark/>
          </w:tcPr>
          <w:p w14:paraId="12A175BF"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U</w:t>
            </w:r>
          </w:p>
        </w:tc>
        <w:tc>
          <w:tcPr>
            <w:tcW w:w="667" w:type="dxa"/>
            <w:hideMark/>
          </w:tcPr>
          <w:p w14:paraId="572EC999"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Y</w:t>
            </w:r>
          </w:p>
        </w:tc>
        <w:tc>
          <w:tcPr>
            <w:tcW w:w="992" w:type="dxa"/>
            <w:hideMark/>
          </w:tcPr>
          <w:p w14:paraId="38F8C8AD"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86%</w:t>
            </w:r>
          </w:p>
        </w:tc>
        <w:tc>
          <w:tcPr>
            <w:tcW w:w="2552" w:type="dxa"/>
            <w:hideMark/>
          </w:tcPr>
          <w:p w14:paraId="3B376360" w14:textId="77777777" w:rsidR="004D13C2" w:rsidRPr="009E551B" w:rsidRDefault="004D13C2" w:rsidP="004D13C2">
            <w:pPr>
              <w:rPr>
                <w:rFonts w:ascii="Times New Roman" w:eastAsia="Times New Roman" w:hAnsi="Times New Roman" w:cs="Times New Roman"/>
                <w:lang w:eastAsia="en-PH"/>
              </w:rPr>
            </w:pPr>
            <w:r w:rsidRPr="009E551B">
              <w:rPr>
                <w:rFonts w:ascii="Times New Roman" w:eastAsia="Times New Roman" w:hAnsi="Times New Roman" w:cs="Times New Roman"/>
                <w:lang w:eastAsia="en-PH"/>
              </w:rPr>
              <w:t>Moderate risk</w:t>
            </w:r>
          </w:p>
        </w:tc>
      </w:tr>
    </w:tbl>
    <w:p w14:paraId="71A642F0" w14:textId="77777777" w:rsidR="004D13C2" w:rsidRPr="004D13C2" w:rsidRDefault="004D13C2" w:rsidP="004D13C2">
      <w:pPr>
        <w:widowControl w:val="0"/>
        <w:autoSpaceDE w:val="0"/>
        <w:autoSpaceDN w:val="0"/>
        <w:spacing w:before="1" w:after="0" w:line="240" w:lineRule="auto"/>
        <w:ind w:right="1627"/>
        <w:jc w:val="center"/>
        <w:rPr>
          <w:rFonts w:ascii="Times New Roman" w:eastAsia="Georgia" w:hAnsi="Times New Roman" w:cs="Times New Roman"/>
          <w:kern w:val="0"/>
          <w:lang w:val="id"/>
          <w14:ligatures w14:val="none"/>
        </w:rPr>
      </w:pPr>
    </w:p>
    <w:p w14:paraId="49EBE44A" w14:textId="7FF5B53B" w:rsidR="009C239F" w:rsidRDefault="009C239F" w:rsidP="00243723">
      <w:pPr>
        <w:widowControl w:val="0"/>
        <w:autoSpaceDE w:val="0"/>
        <w:autoSpaceDN w:val="0"/>
        <w:spacing w:before="36" w:after="0" w:line="240" w:lineRule="auto"/>
        <w:rPr>
          <w:rFonts w:ascii="Times New Roman" w:eastAsia="Georgia" w:hAnsi="Times New Roman" w:cs="Times New Roman"/>
          <w:kern w:val="0"/>
          <w:sz w:val="16"/>
          <w:szCs w:val="16"/>
          <w:lang w:val="id"/>
          <w14:ligatures w14:val="none"/>
        </w:rPr>
      </w:pPr>
      <w:r w:rsidRPr="00DE7B19">
        <w:rPr>
          <w:rFonts w:ascii="Times New Roman" w:eastAsia="Georgia" w:hAnsi="Times New Roman" w:cs="Times New Roman"/>
          <w:i/>
          <w:kern w:val="0"/>
          <w:sz w:val="16"/>
          <w:szCs w:val="16"/>
          <w:lang w:val="id"/>
          <w14:ligatures w14:val="none"/>
        </w:rPr>
        <w:t>Note:</w:t>
      </w:r>
      <w:r w:rsidRPr="00DE7B19">
        <w:rPr>
          <w:rFonts w:ascii="Times New Roman" w:eastAsia="Georgia" w:hAnsi="Times New Roman" w:cs="Times New Roman"/>
          <w:i/>
          <w:spacing w:val="-2"/>
          <w:kern w:val="0"/>
          <w:sz w:val="16"/>
          <w:szCs w:val="16"/>
          <w:lang w:val="id"/>
          <w14:ligatures w14:val="none"/>
        </w:rPr>
        <w:t xml:space="preserve"> </w:t>
      </w:r>
      <w:r w:rsidRPr="00DE7B19">
        <w:rPr>
          <w:rFonts w:ascii="Times New Roman" w:eastAsia="Georgia" w:hAnsi="Times New Roman" w:cs="Times New Roman"/>
          <w:kern w:val="0"/>
          <w:sz w:val="16"/>
          <w:szCs w:val="16"/>
          <w:lang w:val="id"/>
          <w14:ligatures w14:val="none"/>
        </w:rPr>
        <w:t>(</w:t>
      </w:r>
      <w:r w:rsidR="00CE2790">
        <w:rPr>
          <w:rFonts w:ascii="Times New Roman" w:eastAsia="Georgia" w:hAnsi="Times New Roman" w:cs="Times New Roman"/>
          <w:kern w:val="0"/>
          <w:sz w:val="16"/>
          <w:szCs w:val="16"/>
          <w:lang w:val="id"/>
          <w14:ligatures w14:val="none"/>
        </w:rPr>
        <w:t>Y</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fully met, indicating high methodological quality</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Pr="00DE7B19">
        <w:rPr>
          <w:rFonts w:ascii="Times New Roman" w:eastAsia="Georgia" w:hAnsi="Times New Roman" w:cs="Times New Roman"/>
          <w:kern w:val="0"/>
          <w:sz w:val="16"/>
          <w:szCs w:val="16"/>
          <w:lang w:val="id"/>
          <w14:ligatures w14:val="none"/>
        </w:rPr>
        <w:t>(</w:t>
      </w:r>
      <w:r w:rsidR="00CE2790">
        <w:rPr>
          <w:rFonts w:ascii="Times New Roman" w:eastAsia="Georgia" w:hAnsi="Times New Roman" w:cs="Times New Roman"/>
          <w:kern w:val="0"/>
          <w:sz w:val="16"/>
          <w:szCs w:val="16"/>
          <w:lang w:val="id"/>
          <w14:ligatures w14:val="none"/>
        </w:rPr>
        <w:t>U</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2"/>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partially met or not explicitly stated, leading to some uncertainty</w:t>
      </w:r>
      <w:r w:rsidRPr="00DE7B19">
        <w:rPr>
          <w:rFonts w:ascii="Times New Roman" w:eastAsia="Georgia" w:hAnsi="Times New Roman" w:cs="Times New Roman"/>
          <w:kern w:val="0"/>
          <w:sz w:val="16"/>
          <w:szCs w:val="16"/>
          <w:lang w:val="id"/>
          <w14:ligatures w14:val="none"/>
        </w:rPr>
        <w:t>, (</w:t>
      </w:r>
      <w:r w:rsidR="00CE2790">
        <w:rPr>
          <w:rFonts w:ascii="Times New Roman" w:eastAsia="Georgia" w:hAnsi="Times New Roman" w:cs="Times New Roman"/>
          <w:kern w:val="0"/>
          <w:sz w:val="16"/>
          <w:szCs w:val="16"/>
          <w:lang w:val="id"/>
          <w14:ligatures w14:val="none"/>
        </w:rPr>
        <w:t>N</w:t>
      </w:r>
      <w:r w:rsidRPr="00DE7B19">
        <w:rPr>
          <w:rFonts w:ascii="Times New Roman" w:eastAsia="Georgia" w:hAnsi="Times New Roman" w:cs="Times New Roman"/>
          <w:kern w:val="0"/>
          <w:sz w:val="16"/>
          <w:szCs w:val="16"/>
          <w:lang w:val="id"/>
          <w14:ligatures w14:val="none"/>
        </w:rPr>
        <w:t>)</w:t>
      </w:r>
      <w:r w:rsidRPr="00DE7B19">
        <w:rPr>
          <w:rFonts w:ascii="Times New Roman" w:eastAsia="Georgia" w:hAnsi="Times New Roman" w:cs="Times New Roman"/>
          <w:spacing w:val="-3"/>
          <w:kern w:val="0"/>
          <w:sz w:val="16"/>
          <w:szCs w:val="16"/>
          <w:lang w:val="id"/>
          <w14:ligatures w14:val="none"/>
        </w:rPr>
        <w:t xml:space="preserve"> </w:t>
      </w:r>
      <w:r w:rsidR="00CE2790" w:rsidRPr="00CE2790">
        <w:rPr>
          <w:rFonts w:ascii="Times New Roman" w:eastAsia="Georgia" w:hAnsi="Times New Roman" w:cs="Times New Roman"/>
          <w:kern w:val="0"/>
          <w:sz w:val="16"/>
          <w:szCs w:val="16"/>
          <w:lang w:val="id"/>
          <w14:ligatures w14:val="none"/>
        </w:rPr>
        <w:t>criterion is not met, indicating a potential risk of bias or methodological weakness.</w:t>
      </w:r>
    </w:p>
    <w:p w14:paraId="79A1BEA6" w14:textId="77777777" w:rsidR="009C239F" w:rsidRDefault="009C239F" w:rsidP="009C239F">
      <w:pPr>
        <w:widowControl w:val="0"/>
        <w:autoSpaceDE w:val="0"/>
        <w:autoSpaceDN w:val="0"/>
        <w:spacing w:before="36" w:after="0" w:line="240" w:lineRule="auto"/>
        <w:ind w:left="558"/>
        <w:rPr>
          <w:rFonts w:ascii="Times New Roman" w:eastAsia="Georgia" w:hAnsi="Times New Roman" w:cs="Times New Roman"/>
          <w:kern w:val="0"/>
          <w:sz w:val="16"/>
          <w:szCs w:val="16"/>
          <w:lang w:val="id"/>
          <w14:ligatures w14:val="none"/>
        </w:rPr>
      </w:pPr>
    </w:p>
    <w:p w14:paraId="3E07A3EE" w14:textId="77777777" w:rsidR="006A4187" w:rsidRPr="006A4187" w:rsidRDefault="006A4187" w:rsidP="00243723">
      <w:pPr>
        <w:widowControl w:val="0"/>
        <w:autoSpaceDE w:val="0"/>
        <w:autoSpaceDN w:val="0"/>
        <w:spacing w:before="36" w:after="0" w:line="240" w:lineRule="auto"/>
        <w:rPr>
          <w:rFonts w:ascii="Times New Roman" w:eastAsia="Georgia" w:hAnsi="Times New Roman" w:cs="Times New Roman"/>
          <w:kern w:val="0"/>
          <w:sz w:val="16"/>
          <w:szCs w:val="16"/>
          <w:lang w:val="id"/>
          <w14:ligatures w14:val="none"/>
        </w:rPr>
      </w:pPr>
    </w:p>
    <w:p w14:paraId="0332626D" w14:textId="77777777" w:rsidR="003E17F6" w:rsidRDefault="00B73D8F" w:rsidP="004D13C2">
      <w:pPr>
        <w:spacing w:line="240" w:lineRule="auto"/>
        <w:ind w:left="-180"/>
        <w:rPr>
          <w:rFonts w:ascii="Times New Roman" w:hAnsi="Times New Roman"/>
          <w:b/>
          <w:bCs/>
        </w:rPr>
      </w:pPr>
      <w:r w:rsidRPr="00B73D8F">
        <w:rPr>
          <w:rFonts w:ascii="Times New Roman" w:hAnsi="Times New Roman"/>
          <w:b/>
          <w:bCs/>
        </w:rPr>
        <w:t>Data Analysis</w:t>
      </w:r>
    </w:p>
    <w:p w14:paraId="10DEABDF" w14:textId="2D692BDB" w:rsidR="004D13C2" w:rsidRPr="004D13C2" w:rsidRDefault="004D13C2" w:rsidP="004D13C2">
      <w:pPr>
        <w:pStyle w:val="NormalWeb"/>
        <w:spacing w:before="0" w:beforeAutospacing="0" w:after="0" w:afterAutospacing="0"/>
        <w:jc w:val="both"/>
        <w:rPr>
          <w:sz w:val="22"/>
        </w:rPr>
      </w:pPr>
      <w:r>
        <w:t xml:space="preserve">  </w:t>
      </w:r>
      <w:r w:rsidRPr="004D13C2">
        <w:rPr>
          <w:sz w:val="22"/>
        </w:rPr>
        <w:t xml:space="preserve">The study employed the </w:t>
      </w:r>
      <w:r w:rsidRPr="004D13C2">
        <w:rPr>
          <w:rStyle w:val="Strong"/>
          <w:b w:val="0"/>
          <w:sz w:val="22"/>
        </w:rPr>
        <w:t>Synthesis Without Meta-Analysis (SWiM)</w:t>
      </w:r>
      <w:r w:rsidRPr="004D13C2">
        <w:rPr>
          <w:sz w:val="22"/>
        </w:rPr>
        <w:t xml:space="preserve"> guidelines to systematically analyze and synthesize findings from the selected articles, ensuring transparency and consistency across diverse research designs</w:t>
      </w:r>
      <w:r w:rsidR="00EB46FF">
        <w:rPr>
          <w:sz w:val="22"/>
        </w:rPr>
        <w:t xml:space="preserve"> </w:t>
      </w:r>
      <w:r w:rsidR="00EB46FF">
        <w:rPr>
          <w:sz w:val="22"/>
        </w:rPr>
        <w:fldChar w:fldCharType="begin"/>
      </w:r>
      <w:r w:rsidR="00EB46FF">
        <w:rPr>
          <w:sz w:val="22"/>
        </w:rPr>
        <w:instrText xml:space="preserve"> ADDIN EN.CITE &lt;EndNote&gt;&lt;Cite&gt;&lt;Author&gt;Martin&lt;/Author&gt;&lt;Year&gt;2023&lt;/Year&gt;&lt;RecNum&gt;34&lt;/RecNum&gt;&lt;DisplayText&gt;(Martin et al., 2023)&lt;/DisplayText&gt;&lt;record&gt;&lt;rec-number&gt;34&lt;/rec-number&gt;&lt;foreign-keys&gt;&lt;key app="EN" db-id="vfdv2szx2wdrtne99esvzsrjd5ep9ws522pp" timestamp="1775986180"&gt;34&lt;/key&gt;&lt;/foreign-keys&gt;&lt;ref-type name="Journal Article"&gt;17&lt;/ref-type&gt;&lt;contributors&gt;&lt;authors&gt;&lt;author&gt;Martin, M.&lt;/author&gt;&lt;author&gt;Steele, B.&lt;/author&gt;&lt;author&gt;Spreckelsen, T. F.&lt;/author&gt;&lt;author&gt;Lachman, J. M.&lt;/author&gt;&lt;author&gt;Gardner, F.&lt;/author&gt;&lt;author&gt;Shenderovich, Y.&lt;/author&gt;&lt;/authors&gt;&lt;/contributors&gt;&lt;titles&gt;&lt;title&gt;The Association Between Facilitator Competent Adherence and Outcomes in Parenting Programs: a Systematic Review and SWiM Analysis&lt;/title&gt;&lt;secondary-title&gt;Prevention Science&lt;/secondary-title&gt;&lt;/titles&gt;&lt;periodical&gt;&lt;full-title&gt;Prevention Science&lt;/full-title&gt;&lt;/periodical&gt;&lt;pages&gt;1314-1326&lt;/pages&gt;&lt;volume&gt;24&lt;/volume&gt;&lt;number&gt;7&lt;/number&gt;&lt;dates&gt;&lt;year&gt;2023&lt;/year&gt;&lt;pub-dates&gt;&lt;date&gt;2023/10/01&lt;/date&gt;&lt;/pub-dates&gt;&lt;/dates&gt;&lt;isbn&gt;1573-6695&lt;/isbn&gt;&lt;urls&gt;&lt;related-urls&gt;&lt;url&gt;https://doi.org/10.1007/s11121-023-01515-3&lt;/url&gt;&lt;/related-urls&gt;&lt;/urls&gt;&lt;electronic-resource-num&gt;10.1007/s11121-023-01515-3&lt;/electronic-resource-num&gt;&lt;/record&gt;&lt;/Cite&gt;&lt;/EndNote&gt;</w:instrText>
      </w:r>
      <w:r w:rsidR="00EB46FF">
        <w:rPr>
          <w:sz w:val="22"/>
        </w:rPr>
        <w:fldChar w:fldCharType="separate"/>
      </w:r>
      <w:r w:rsidR="00EB46FF">
        <w:rPr>
          <w:noProof/>
          <w:sz w:val="22"/>
        </w:rPr>
        <w:t>(Martin et al., 2023)</w:t>
      </w:r>
      <w:r w:rsidR="00EB46FF">
        <w:rPr>
          <w:sz w:val="22"/>
        </w:rPr>
        <w:fldChar w:fldCharType="end"/>
      </w:r>
      <w:r w:rsidRPr="004D13C2">
        <w:rPr>
          <w:sz w:val="22"/>
        </w:rPr>
        <w:t>. Given that the included studies consisted primarily of quantitative econometric analyses alongside one qualitative study, the SWiM framework was appropriate for integrating heterogeneous evidence without conducting a statistical meta-analysis.</w:t>
      </w:r>
    </w:p>
    <w:p w14:paraId="49743DDD" w14:textId="7093D6B5" w:rsidR="004D13C2" w:rsidRPr="004D13C2" w:rsidRDefault="004D13C2" w:rsidP="004D13C2">
      <w:pPr>
        <w:pStyle w:val="NormalWeb"/>
        <w:spacing w:before="0" w:beforeAutospacing="0" w:after="0" w:afterAutospacing="0"/>
        <w:jc w:val="both"/>
        <w:rPr>
          <w:sz w:val="22"/>
        </w:rPr>
      </w:pPr>
      <w:r w:rsidRPr="004D13C2">
        <w:rPr>
          <w:sz w:val="22"/>
        </w:rPr>
        <w:t xml:space="preserve">  The initial stage of analysis involved organizing the extracted data into structured categories, including authorship and year of publication, country of origin, research design, study setting, econometric or analytical model, duration, outcome variables, and key findings. These categories were summarized in Table 2 (Appendix 1) to provide a comprehensive overview of the included studies. The preliminary synthesis (SWiM Items 1–3) focused on screening and reviewing full-text articles that met the inclusion criteria and were directly relevant to examining the relationship between oil price fluctuations and economic stability.</w:t>
      </w:r>
    </w:p>
    <w:p w14:paraId="0B761570" w14:textId="1F9DFB45" w:rsidR="004D13C2" w:rsidRPr="004D13C2" w:rsidRDefault="004D13C2" w:rsidP="004D13C2">
      <w:pPr>
        <w:pStyle w:val="NormalWeb"/>
        <w:spacing w:before="0" w:beforeAutospacing="0" w:after="0" w:afterAutospacing="0"/>
        <w:jc w:val="both"/>
        <w:rPr>
          <w:sz w:val="22"/>
        </w:rPr>
      </w:pPr>
      <w:r w:rsidRPr="004D13C2">
        <w:rPr>
          <w:sz w:val="22"/>
        </w:rPr>
        <w:t xml:space="preserve">  Subsequently, the analysis grouped studies according to their methodological approaches and thematic focus. Quantitative studies were categorized based on econometric techniques such as ARDL, VAR/SVAR, GMM, GARCH, and nonlinear models, while the qualitative study was analyzed based on thematic content related to governance and energy resilience. A thematic synthesis was then conducted to examine how oil price fluctuations influence key economic indicators across different contexts, including oil-exporting and oil-importing economies such as </w:t>
      </w:r>
      <w:r w:rsidRPr="004D13C2">
        <w:rPr>
          <w:rStyle w:val="whitespace-normal"/>
          <w:sz w:val="22"/>
        </w:rPr>
        <w:t>Nigeria</w:t>
      </w:r>
      <w:r w:rsidRPr="004D13C2">
        <w:rPr>
          <w:sz w:val="22"/>
        </w:rPr>
        <w:t xml:space="preserve">, </w:t>
      </w:r>
      <w:r w:rsidRPr="004D13C2">
        <w:rPr>
          <w:rStyle w:val="whitespace-normal"/>
          <w:sz w:val="22"/>
        </w:rPr>
        <w:t>Jordan</w:t>
      </w:r>
      <w:r w:rsidRPr="004D13C2">
        <w:rPr>
          <w:sz w:val="22"/>
        </w:rPr>
        <w:t xml:space="preserve">, and </w:t>
      </w:r>
      <w:r w:rsidRPr="004D13C2">
        <w:rPr>
          <w:rStyle w:val="whitespace-normal"/>
          <w:sz w:val="22"/>
        </w:rPr>
        <w:t>Saudi Arabia</w:t>
      </w:r>
      <w:r w:rsidRPr="004D13C2">
        <w:rPr>
          <w:sz w:val="22"/>
        </w:rPr>
        <w:t>.</w:t>
      </w:r>
    </w:p>
    <w:p w14:paraId="4C212E79" w14:textId="1974CE3D" w:rsidR="004D13C2" w:rsidRPr="004D13C2" w:rsidRDefault="004D13C2" w:rsidP="004D13C2">
      <w:pPr>
        <w:pStyle w:val="NormalWeb"/>
        <w:spacing w:before="0" w:beforeAutospacing="0" w:after="0" w:afterAutospacing="0"/>
        <w:jc w:val="both"/>
        <w:rPr>
          <w:sz w:val="22"/>
        </w:rPr>
      </w:pPr>
      <w:r w:rsidRPr="004D13C2">
        <w:rPr>
          <w:sz w:val="22"/>
        </w:rPr>
        <w:t xml:space="preserve">  The synthesis further explored outcome patterns across studies, particularly focusing on macroeconomic variables such as economic growth, inflation, financial stability, trade performance, unemployment, and </w:t>
      </w:r>
      <w:r w:rsidRPr="004D13C2">
        <w:rPr>
          <w:sz w:val="22"/>
        </w:rPr>
        <w:lastRenderedPageBreak/>
        <w:t>exchange rate dynamics. A comparative analysis was conducted to identify consistencies and variations in findings. For instance, studies on oil-exporting countries generally reported positive effects of rising oil prices on financial stability and economic performance, whereas studies on oil-importing economies highlighted adverse effects such as increased inflation and fiscal imbalances. Additionally, several studies emphasized the moderating role of institutional quality, governance, and exchange rate regimes in shaping these relationships.</w:t>
      </w:r>
    </w:p>
    <w:p w14:paraId="576A6D25" w14:textId="1C344798" w:rsidR="003E17F6" w:rsidRPr="004D13C2" w:rsidRDefault="004D13C2" w:rsidP="004D13C2">
      <w:pPr>
        <w:pStyle w:val="NormalWeb"/>
        <w:spacing w:before="0" w:beforeAutospacing="0" w:after="0" w:afterAutospacing="0"/>
        <w:jc w:val="both"/>
        <w:rPr>
          <w:sz w:val="22"/>
        </w:rPr>
      </w:pPr>
      <w:r w:rsidRPr="004D13C2">
        <w:rPr>
          <w:sz w:val="22"/>
        </w:rPr>
        <w:t xml:space="preserve">  To enhance clarity and facilitate interpretation, the synthesized findings were systematically presented in tabular form (Table 2, Appendix 1), allowing for cross-study comparison of methodologies and results. This structured analytical approach ensured methodological rigor and enabled a comprehensive understanding of how oil price fluctuations impact economic stability across different national and regional contexts.</w:t>
      </w:r>
    </w:p>
    <w:p w14:paraId="084DAA96" w14:textId="77777777" w:rsidR="0041190C" w:rsidRDefault="0041190C" w:rsidP="00FB2F3D">
      <w:pPr>
        <w:spacing w:after="0" w:line="240" w:lineRule="auto"/>
        <w:jc w:val="both"/>
        <w:rPr>
          <w:rFonts w:ascii="Times New Roman" w:hAnsi="Times New Roman"/>
        </w:rPr>
      </w:pPr>
    </w:p>
    <w:p w14:paraId="47DD18F8" w14:textId="7735835D" w:rsidR="004A48BB" w:rsidRDefault="004A48BB" w:rsidP="000A27DA">
      <w:pPr>
        <w:spacing w:after="0" w:line="240" w:lineRule="auto"/>
        <w:ind w:left="-180"/>
        <w:jc w:val="both"/>
        <w:rPr>
          <w:rFonts w:ascii="Times New Roman" w:hAnsi="Times New Roman"/>
          <w:b/>
          <w:bCs/>
        </w:rPr>
      </w:pPr>
    </w:p>
    <w:p w14:paraId="238F9A7B" w14:textId="045EE753" w:rsidR="000A27DA" w:rsidRDefault="000A27DA" w:rsidP="000A27DA">
      <w:pPr>
        <w:spacing w:after="0" w:line="240" w:lineRule="auto"/>
        <w:ind w:left="-180"/>
        <w:jc w:val="both"/>
        <w:rPr>
          <w:rFonts w:ascii="Times New Roman" w:hAnsi="Times New Roman"/>
          <w:b/>
          <w:bCs/>
        </w:rPr>
      </w:pPr>
      <w:r w:rsidRPr="00A821C4">
        <w:rPr>
          <w:rFonts w:ascii="Times New Roman" w:hAnsi="Times New Roman"/>
          <w:b/>
          <w:bCs/>
        </w:rPr>
        <w:t>RESULT</w:t>
      </w:r>
      <w:r>
        <w:rPr>
          <w:rFonts w:ascii="Times New Roman" w:hAnsi="Times New Roman"/>
          <w:b/>
          <w:bCs/>
        </w:rPr>
        <w:t>S</w:t>
      </w:r>
    </w:p>
    <w:p w14:paraId="7D740277" w14:textId="77777777" w:rsidR="00071450" w:rsidRPr="00071450" w:rsidRDefault="00071450" w:rsidP="00071450">
      <w:pPr>
        <w:spacing w:after="0" w:line="240" w:lineRule="auto"/>
        <w:jc w:val="both"/>
        <w:outlineLvl w:val="2"/>
        <w:rPr>
          <w:rFonts w:ascii="Times New Roman" w:eastAsia="Times New Roman" w:hAnsi="Times New Roman" w:cs="Times New Roman"/>
          <w:bCs/>
          <w:kern w:val="0"/>
          <w:lang w:eastAsia="en-PH"/>
          <w14:ligatures w14:val="none"/>
        </w:rPr>
      </w:pPr>
      <w:bookmarkStart w:id="3" w:name="_Hlk188875936"/>
      <w:r w:rsidRPr="00071450">
        <w:rPr>
          <w:rFonts w:ascii="Times New Roman" w:eastAsia="Times New Roman" w:hAnsi="Times New Roman" w:cs="Times New Roman"/>
          <w:bCs/>
          <w:kern w:val="0"/>
          <w:lang w:eastAsia="en-PH"/>
          <w14:ligatures w14:val="none"/>
        </w:rPr>
        <w:t>3.1 Characteristics of the Selected Studies</w:t>
      </w:r>
    </w:p>
    <w:p w14:paraId="668F8D68" w14:textId="4472F7DA"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A total of nine studies were included in the final review following a rigorous screening process guided by the PRISMA framework (Figure 1). The initial database search identified a large pool of studies, which were substantially reduced after applying predefined limiters, title and abstract screening, and full-text eligibility assessment. Additional studies were identified through reference list searching, resulting in the final set of included articles. This systematic selection process ensured that only studies directly examining the relationship between global oil price shocks and the stability of developing countries were retained.</w:t>
      </w:r>
    </w:p>
    <w:p w14:paraId="2C30CA7D" w14:textId="23BAED88"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The included studies, as summarized in Appendix 1 (Table 2), reflect a diverse geographical scope, encompassing both oil-exporting and oil-importing developing economies, as well as multi-country and global analyses. Several studies focused on specific national contexts such as Nigeria, Jordan, and Saudi Arabia, while others adopted broader regional or global perspectives involving multiple developing or emerging economies. This diversity allowed for a more comprehensive understanding of how oil price shocks operate across different economic structures and policy environments.</w:t>
      </w:r>
    </w:p>
    <w:p w14:paraId="66D4F2FA" w14:textId="41B13FB9"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In terms of research design, the studies were predominantly quantitative, employing a wide range of econometric techniques. Common methodological approaches included autoregressive distributed lag (ARDL) models, vector autoregression (VAR and SVAR), generalized method of moments (GMM), generalized autoregressive conditional heteroskedasticity (GARCH), and nonlinear time-series models. One study utilized a qualitative approach through thematic analysis to explore governance and energy resilience, thereby complementing the quantitative findings with contextual insights. The variation in methodologies highlights the complexity of analyzing oil price shocks and underscores the need for multiple analytical approaches to capture their multifaceted impacts.</w:t>
      </w:r>
    </w:p>
    <w:p w14:paraId="127A4B4C" w14:textId="6C3D9F35"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The study settings varied considerably, ranging from single-country analyses to multi-country panels and global datasets. For instance, some studies examined long-term macroeconomic trends in oil-exporting countries over extended periods, while others focused on specific sectors such as maritime trade or firm-level energy resilience. The timeframes of the included studies also differed, with several covering multiple decades (e.g., 1987–2011, 1990–2023), enabling the assessment of both short-term fluctuations and long-term structural effects of oil price changes. However, a few studies did not clearly specify their study duration, indicating minor inconsistencies in reporting.</w:t>
      </w:r>
    </w:p>
    <w:p w14:paraId="78A75A5A" w14:textId="24B5B2C2" w:rsidR="00071450" w:rsidRPr="00071450"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Across the included studies, a variety of outcome variables were examined to capture economic and socio-political stability. Key indicators included economic growth (GDP), inflation, financial stability, exchange rate dynamics, trade performance, unemployment, and sector-specific outcomes such as freight rates and energy resilience. These outcomes demonstrate that the concept of stability is multidimensional, extending beyond macroeconomic performance to include financial systems, external trade, and institutional capacity.</w:t>
      </w:r>
    </w:p>
    <w:p w14:paraId="771A381B" w14:textId="7595C6EB" w:rsidR="00375BF1" w:rsidRPr="00750834" w:rsidRDefault="00071450" w:rsidP="00071450">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071450">
        <w:rPr>
          <w:rFonts w:ascii="Times New Roman" w:eastAsia="Times New Roman" w:hAnsi="Times New Roman" w:cs="Times New Roman"/>
          <w:kern w:val="0"/>
          <w:lang w:eastAsia="en-PH"/>
          <w14:ligatures w14:val="none"/>
        </w:rPr>
        <w:t xml:space="preserve">Overall, the characteristics of the selected studies reveal a high degree of heterogeneity in terms of geographical focus, methodological design, analytical models, and outcome measures. Despite these </w:t>
      </w:r>
      <w:r w:rsidRPr="00071450">
        <w:rPr>
          <w:rFonts w:ascii="Times New Roman" w:eastAsia="Times New Roman" w:hAnsi="Times New Roman" w:cs="Times New Roman"/>
          <w:kern w:val="0"/>
          <w:lang w:eastAsia="en-PH"/>
          <w14:ligatures w14:val="none"/>
        </w:rPr>
        <w:lastRenderedPageBreak/>
        <w:t>differences, the studies collectively provide robust evidence on the significant role of global oil price shocks in shaping the economic stability of developing countries. The diversity of approaches also strengthens the validity of the review by offering multiple perspectives on the issue, while highlighting the importance of contextual factors such as governance, economic structure, and policy responses in moderating the effects of oil price fluctuations.</w:t>
      </w:r>
    </w:p>
    <w:p w14:paraId="5EB0C2BF" w14:textId="77777777" w:rsidR="00375BF1" w:rsidRDefault="00375BF1" w:rsidP="00CE0431">
      <w:pPr>
        <w:spacing w:after="0" w:line="240" w:lineRule="auto"/>
        <w:rPr>
          <w:rFonts w:ascii="Times New Roman" w:hAnsi="Times New Roman"/>
          <w:b/>
          <w:bCs/>
        </w:rPr>
      </w:pPr>
    </w:p>
    <w:p w14:paraId="4FDF55C6" w14:textId="2F96B4B5" w:rsidR="00CE0431" w:rsidRDefault="00B4440A" w:rsidP="00CE0431">
      <w:pPr>
        <w:spacing w:after="0" w:line="240" w:lineRule="auto"/>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59264" behindDoc="0" locked="0" layoutInCell="1" allowOverlap="1" wp14:anchorId="0C77216A" wp14:editId="2716C1BC">
                <wp:simplePos x="0" y="0"/>
                <wp:positionH relativeFrom="column">
                  <wp:posOffset>-89854</wp:posOffset>
                </wp:positionH>
                <wp:positionV relativeFrom="paragraph">
                  <wp:posOffset>182311</wp:posOffset>
                </wp:positionV>
                <wp:extent cx="6058894" cy="4962503"/>
                <wp:effectExtent l="0" t="0" r="18415" b="10160"/>
                <wp:wrapNone/>
                <wp:docPr id="57970397" name="Rectangle 8"/>
                <wp:cNvGraphicFramePr/>
                <a:graphic xmlns:a="http://schemas.openxmlformats.org/drawingml/2006/main">
                  <a:graphicData uri="http://schemas.microsoft.com/office/word/2010/wordprocessingShape">
                    <wps:wsp>
                      <wps:cNvSpPr/>
                      <wps:spPr>
                        <a:xfrm>
                          <a:off x="0" y="0"/>
                          <a:ext cx="6058894" cy="4962503"/>
                        </a:xfrm>
                        <a:prstGeom prst="rect">
                          <a:avLst/>
                        </a:prstGeom>
                        <a:noFill/>
                        <a:ln w="3175">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F130B89" w14:textId="77777777" w:rsidR="00750834" w:rsidRDefault="00750834" w:rsidP="0009251B">
                            <w:pPr>
                              <w:pStyle w:val="NormalWeb"/>
                            </w:pPr>
                            <w:r>
                              <w:t xml:space="preserve">The study employed the </w:t>
                            </w:r>
                            <w:r>
                              <w:rPr>
                                <w:rStyle w:val="Strong"/>
                              </w:rPr>
                              <w:t>Synthesis Without Meta-Analysis (SWiM)</w:t>
                            </w:r>
                            <w:r>
                              <w:t xml:space="preserve"> guidelines to systematically analyze and synthesize findings from the selected articles, ensuring transparency and consistency across diverse research designs (Campbell et al., 2020). Given that the included studies consisted primarily of quantitative econometric analyses alongside one qualitative study, the SWiM framework was appropriate for integrating heterogeneous evidence without conducting a statistical meta-analysis.</w:t>
                            </w:r>
                          </w:p>
                          <w:p w14:paraId="08AE5021" w14:textId="77777777" w:rsidR="00750834" w:rsidRDefault="00750834" w:rsidP="0009251B">
                            <w:pPr>
                              <w:pStyle w:val="NormalWeb"/>
                            </w:pPr>
                            <w:r>
                              <w:t>The initial stage of analysis involved organizing the extracted data into structured categories, including authorship and year of publication, country of origin, research design, study setting, econometric or analytical model, duration, outcome variables, and key findings. These categories were summarized in Table 2 (Appendix 1) to provide a comprehensive overview of the included studies. The preliminary synthesis (SWiM Items 1–3) focused on screening and reviewing full-text articles that met the inclusion criteria and were directly relevant to examining the relationship between oil price fluctuations and economic stability.</w:t>
                            </w:r>
                          </w:p>
                          <w:p w14:paraId="2244AECC" w14:textId="77777777" w:rsidR="00750834" w:rsidRDefault="00750834" w:rsidP="0009251B">
                            <w:pPr>
                              <w:pStyle w:val="NormalWeb"/>
                            </w:pPr>
                            <w:r>
                              <w:t xml:space="preserve">Subsequently, the analysis grouped studies according to their methodological approaches and thematic focus. Quantitative studies were categorized based on econometric techniques such as ARDL, VAR/SVAR, GMM, GARCH, and nonlinear models, while the qualitative study was analyzed based on thematic content related to governance and energy resilience. A thematic synthesis was then conducted to examine how oil price fluctuations influence key economic indicators across different contexts, including oil-exporting and oil-importing economies such as </w:t>
                            </w:r>
                            <w:r>
                              <w:rPr>
                                <w:rStyle w:val="whitespace-normal"/>
                              </w:rPr>
                              <w:t>Nigeria</w:t>
                            </w:r>
                            <w:r>
                              <w:t xml:space="preserve">, </w:t>
                            </w:r>
                            <w:r>
                              <w:rPr>
                                <w:rStyle w:val="whitespace-normal"/>
                              </w:rPr>
                              <w:t>Jordan</w:t>
                            </w:r>
                            <w:r>
                              <w:t xml:space="preserve">, and </w:t>
                            </w:r>
                            <w:r>
                              <w:rPr>
                                <w:rStyle w:val="whitespace-normal"/>
                              </w:rPr>
                              <w:t>Saudi Arabia</w:t>
                            </w:r>
                            <w:r>
                              <w:t>.</w:t>
                            </w:r>
                          </w:p>
                          <w:p w14:paraId="3FF2936A" w14:textId="77777777" w:rsidR="00750834" w:rsidRDefault="00750834" w:rsidP="0009251B">
                            <w:pPr>
                              <w:pStyle w:val="NormalWeb"/>
                            </w:pPr>
                            <w:r>
                              <w:t>The synthesis further explored outcome patterns across studies, particularly focusing on macroeconomic variables such as economic growth, inflation, financial stability, trade performance, unemployment, and exchange rate dynamics. A comparative analysis was conducted to identify consistencies and variations in findings. For instance, studies on oil-exporting countries generally reported positive effects of rising oil prices on financial stability and economic performance, whereas studies on oil-importing economies highlighted adverse effects such as increased inflation and fiscal imbalances. Additionally, several studies emphasized the moderating role of institutional quality, governance, and exchange rate regimes in shaping these relationships.</w:t>
                            </w:r>
                          </w:p>
                          <w:p w14:paraId="580E120A" w14:textId="77777777" w:rsidR="00750834" w:rsidRDefault="00750834" w:rsidP="0009251B">
                            <w:pPr>
                              <w:pStyle w:val="NormalWeb"/>
                            </w:pPr>
                            <w:r>
                              <w:t>To enhance clarity and facilitate interpretation, the synthesized findings were systematically presented in tabular form (Table 2, Appendix 1), allowing for cross-study comparison of methodologies and results. This structured analytical approach ensured methodological rigor and enabled a comprehensive understanding of how oil price fluctuations impact economic stability across different national and regional contexts.</w:t>
                            </w:r>
                          </w:p>
                          <w:p w14:paraId="521FC008" w14:textId="77777777" w:rsidR="00750834" w:rsidRDefault="00750834" w:rsidP="00092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1pt;margin-top:14.35pt;width:477.1pt;height:3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" filled="f" strokecolor="#09101d [484]" strokeweight=".25pt">
                <v:stroke dashstyle="1 1"/>
                <v:textbox>
                  <w:txbxContent>
                    <w:p w14:paraId="2F130B89" w14:textId="77777777" w:rsidR="00750834" w:rsidRDefault="00750834" w:rsidP="0009251B">
                      <w:pPr>
                        <w:pStyle w:val="NormalWeb"/>
                      </w:pPr>
                      <w:r>
                        <w:t xml:space="preserve">The study employed the </w:t>
                      </w:r>
                      <w:r>
                        <w:rPr>
                          <w:rStyle w:val="Strong"/>
                        </w:rPr>
                        <w:t xml:space="preserve">Synthesis </w:t>
                      </w:r>
                      <w:proofErr w:type="gramStart"/>
                      <w:r>
                        <w:rPr>
                          <w:rStyle w:val="Strong"/>
                        </w:rPr>
                        <w:t>Without</w:t>
                      </w:r>
                      <w:proofErr w:type="gramEnd"/>
                      <w:r>
                        <w:rPr>
                          <w:rStyle w:val="Strong"/>
                        </w:rPr>
                        <w:t xml:space="preserve"> Meta-Analysis (</w:t>
                      </w:r>
                      <w:proofErr w:type="spellStart"/>
                      <w:r>
                        <w:rPr>
                          <w:rStyle w:val="Strong"/>
                        </w:rPr>
                        <w:t>SWiM</w:t>
                      </w:r>
                      <w:proofErr w:type="spellEnd"/>
                      <w:r>
                        <w:rPr>
                          <w:rStyle w:val="Strong"/>
                        </w:rPr>
                        <w:t>)</w:t>
                      </w:r>
                      <w:r>
                        <w:t xml:space="preserve"> guidelines to systematically </w:t>
                      </w:r>
                      <w:proofErr w:type="spellStart"/>
                      <w:r>
                        <w:t>analyze</w:t>
                      </w:r>
                      <w:proofErr w:type="spellEnd"/>
                      <w:r>
                        <w:t xml:space="preserve"> and synthesize findings from the selected articles, ensuring transparency and consistency across diverse research designs (Campbell et al., 2020). Given that the included studies consisted primarily of quantitative econometric analyses alongside one qualitative study, the </w:t>
                      </w:r>
                      <w:proofErr w:type="spellStart"/>
                      <w:r>
                        <w:t>SWiM</w:t>
                      </w:r>
                      <w:proofErr w:type="spellEnd"/>
                      <w:r>
                        <w:t xml:space="preserve"> framework was appropriate for integrating heterogeneous evidence without conducting a statistical meta-analysis.</w:t>
                      </w:r>
                    </w:p>
                    <w:p w14:paraId="08AE5021" w14:textId="77777777" w:rsidR="00750834" w:rsidRDefault="00750834" w:rsidP="0009251B">
                      <w:pPr>
                        <w:pStyle w:val="NormalWeb"/>
                      </w:pPr>
                      <w:r>
                        <w:t>The initial stage of analysis involved organizing the extracted data into structured categories, including authorship and year of publication, country of origin, research design, study setting, econometric or analytical model, duration, outcome variables, and key findings. These categories were summarized in Table 2 (Appendix 1) to provide a comprehensive overview of the included studies. The preliminary synthesis (</w:t>
                      </w:r>
                      <w:proofErr w:type="spellStart"/>
                      <w:r>
                        <w:t>SWiM</w:t>
                      </w:r>
                      <w:proofErr w:type="spellEnd"/>
                      <w:r>
                        <w:t xml:space="preserve"> Items 1–3) focused on screening and reviewing full-text articles that met the inclusion criteria and were directly relevant to examining the relationship between oil price fluctuations and economic stability.</w:t>
                      </w:r>
                    </w:p>
                    <w:p w14:paraId="2244AECC" w14:textId="77777777" w:rsidR="00750834" w:rsidRDefault="00750834" w:rsidP="0009251B">
                      <w:pPr>
                        <w:pStyle w:val="NormalWeb"/>
                      </w:pPr>
                      <w:r>
                        <w:t xml:space="preserve">Subsequently, the analysis grouped studies according to their methodological approaches and thematic focus. Quantitative studies were categorized based on econometric techniques such as ARDL, VAR/SVAR, GMM, GARCH, and nonlinear models, while the qualitative study was </w:t>
                      </w:r>
                      <w:proofErr w:type="spellStart"/>
                      <w:r>
                        <w:t>analyzed</w:t>
                      </w:r>
                      <w:proofErr w:type="spellEnd"/>
                      <w:r>
                        <w:t xml:space="preserve"> based on thematic content related to governance and energy resilience. A thematic synthesis was then conducted to examine how oil price fluctuations influence key economic indicators across different contexts, including oil-exporting and oil-importing economies such as </w:t>
                      </w:r>
                      <w:r>
                        <w:rPr>
                          <w:rStyle w:val="whitespace-normal"/>
                        </w:rPr>
                        <w:t>Nigeria</w:t>
                      </w:r>
                      <w:r>
                        <w:t xml:space="preserve">, </w:t>
                      </w:r>
                      <w:r>
                        <w:rPr>
                          <w:rStyle w:val="whitespace-normal"/>
                        </w:rPr>
                        <w:t>Jordan</w:t>
                      </w:r>
                      <w:r>
                        <w:t xml:space="preserve">, and </w:t>
                      </w:r>
                      <w:r>
                        <w:rPr>
                          <w:rStyle w:val="whitespace-normal"/>
                        </w:rPr>
                        <w:t>Saudi Arabia</w:t>
                      </w:r>
                      <w:r>
                        <w:t>.</w:t>
                      </w:r>
                    </w:p>
                    <w:p w14:paraId="3FF2936A" w14:textId="77777777" w:rsidR="00750834" w:rsidRDefault="00750834" w:rsidP="0009251B">
                      <w:pPr>
                        <w:pStyle w:val="NormalWeb"/>
                      </w:pPr>
                      <w:r>
                        <w:t>The synthesis further explored outcome patterns across studies, particularly focusing on macroeconomic variables such as economic growth, inflation, financial stability, trade performance, unemployment, and exchange rate dynamics. A comparative analysis was conducted to identify consistencies and variations in findings. For instance, studies on oil-exporting countries generally reported positive effects of rising oil prices on financial stability and economic performance, whereas studies on oil-importing economies highlighted adverse effects such as increased inflation and fiscal imbalances. Additionally, several studies emphasized the moderating role of institutional quality, governance, and exchange rate regimes in shaping these relationships.</w:t>
                      </w:r>
                    </w:p>
                    <w:p w14:paraId="580E120A" w14:textId="77777777" w:rsidR="00750834" w:rsidRDefault="00750834" w:rsidP="0009251B">
                      <w:pPr>
                        <w:pStyle w:val="NormalWeb"/>
                      </w:pPr>
                      <w:r>
                        <w:t>To enhance clarity and facilitate interpretation, the synthesized findings were systematically presented in tabular form (Table 2, Appendix 1), allowing for cross-study comparison of methodologies and results. This structured analytical approach ensured methodological rigor and enabled a comprehensive understanding of how oil price fluctuations impact economic stability across different national and regional contexts.</w:t>
                      </w:r>
                    </w:p>
                    <w:p w14:paraId="521FC008" w14:textId="77777777" w:rsidR="00750834" w:rsidRDefault="00750834" w:rsidP="0009251B">
                      <w:pPr>
                        <w:jc w:val="center"/>
                      </w:pPr>
                    </w:p>
                  </w:txbxContent>
                </v:textbox>
              </v:rect>
            </w:pict>
          </mc:Fallback>
        </mc:AlternateContent>
      </w:r>
    </w:p>
    <w:p w14:paraId="45EA5E4D"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4384" behindDoc="0" locked="0" layoutInCell="1" allowOverlap="1" wp14:anchorId="108CC8B8" wp14:editId="303E09E9">
                <wp:simplePos x="0" y="0"/>
                <wp:positionH relativeFrom="column">
                  <wp:posOffset>853729</wp:posOffset>
                </wp:positionH>
                <wp:positionV relativeFrom="paragraph">
                  <wp:posOffset>106481</wp:posOffset>
                </wp:positionV>
                <wp:extent cx="4498328" cy="1354235"/>
                <wp:effectExtent l="0" t="0" r="17145" b="17780"/>
                <wp:wrapNone/>
                <wp:docPr id="1401061762" name="Text Box 1"/>
                <wp:cNvGraphicFramePr/>
                <a:graphic xmlns:a="http://schemas.openxmlformats.org/drawingml/2006/main">
                  <a:graphicData uri="http://schemas.microsoft.com/office/word/2010/wordprocessingShape">
                    <wps:wsp>
                      <wps:cNvSpPr txBox="1"/>
                      <wps:spPr>
                        <a:xfrm>
                          <a:off x="0" y="0"/>
                          <a:ext cx="4498328" cy="1354235"/>
                        </a:xfrm>
                        <a:prstGeom prst="rect">
                          <a:avLst/>
                        </a:prstGeom>
                        <a:solidFill>
                          <a:schemeClr val="accent2">
                            <a:lumMod val="40000"/>
                            <a:lumOff val="60000"/>
                          </a:schemeClr>
                        </a:solidFill>
                        <a:ln w="6350">
                          <a:solidFill>
                            <a:prstClr val="black"/>
                          </a:solidFill>
                        </a:ln>
                      </wps:spPr>
                      <wps:txbx>
                        <w:txbxContent>
                          <w:p w14:paraId="47DCDDFC" w14:textId="0AB49D4A" w:rsidR="00750834" w:rsidRDefault="00750834" w:rsidP="00361ACF">
                            <w:pPr>
                              <w:spacing w:after="0" w:line="240" w:lineRule="auto"/>
                              <w:jc w:val="center"/>
                              <w:rPr>
                                <w:rFonts w:ascii="Times New Roman" w:hAnsi="Times New Roman" w:cs="Times New Roman"/>
                              </w:rPr>
                            </w:pPr>
                            <w:r>
                              <w:rPr>
                                <w:rFonts w:ascii="Times New Roman" w:hAnsi="Times New Roman" w:cs="Times New Roman"/>
                              </w:rPr>
                              <w:t>25,854 articles identified through database screening:</w:t>
                            </w:r>
                          </w:p>
                          <w:p w14:paraId="7F3CE0EA" w14:textId="77777777" w:rsidR="00750834" w:rsidRDefault="00750834" w:rsidP="00361ACF">
                            <w:pPr>
                              <w:spacing w:after="0" w:line="240" w:lineRule="auto"/>
                              <w:jc w:val="center"/>
                              <w:rPr>
                                <w:rFonts w:ascii="Times New Roman" w:hAnsi="Times New Roman" w:cs="Times New Roman"/>
                              </w:rPr>
                            </w:pPr>
                          </w:p>
                          <w:p w14:paraId="5D8D5F13" w14:textId="0569F220" w:rsidR="00750834" w:rsidRPr="00FD78E4" w:rsidRDefault="00750834" w:rsidP="00361ACF">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Science</w:t>
                            </w:r>
                            <w:r>
                              <w:rPr>
                                <w:rFonts w:ascii="Times New Roman" w:hAnsi="Times New Roman"/>
                                <w:sz w:val="20"/>
                                <w:szCs w:val="20"/>
                              </w:rPr>
                              <w:t xml:space="preserve"> d</w:t>
                            </w:r>
                            <w:r w:rsidRPr="00FD78E4">
                              <w:rPr>
                                <w:rFonts w:ascii="Times New Roman" w:hAnsi="Times New Roman"/>
                                <w:sz w:val="20"/>
                                <w:szCs w:val="20"/>
                              </w:rPr>
                              <w:t xml:space="preserve">irect = </w:t>
                            </w:r>
                            <w:r w:rsidR="00404F9D">
                              <w:rPr>
                                <w:rFonts w:ascii="Times New Roman" w:hAnsi="Times New Roman"/>
                                <w:sz w:val="20"/>
                                <w:szCs w:val="20"/>
                              </w:rPr>
                              <w:t xml:space="preserve">15,311  </w:t>
                            </w:r>
                          </w:p>
                          <w:p w14:paraId="138555AA" w14:textId="4EF26902" w:rsidR="00750834" w:rsidRPr="00FD78E4" w:rsidRDefault="0075083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Pro q</w:t>
                            </w:r>
                            <w:r w:rsidRPr="00FD78E4">
                              <w:rPr>
                                <w:rFonts w:ascii="Times New Roman" w:hAnsi="Times New Roman"/>
                                <w:sz w:val="20"/>
                                <w:szCs w:val="20"/>
                              </w:rPr>
                              <w:t xml:space="preserve">uest = </w:t>
                            </w:r>
                            <w:r>
                              <w:rPr>
                                <w:rFonts w:ascii="Times New Roman" w:hAnsi="Times New Roman"/>
                                <w:sz w:val="20"/>
                                <w:szCs w:val="20"/>
                              </w:rPr>
                              <w:t>3</w:t>
                            </w:r>
                            <w:r w:rsidRPr="00FD78E4">
                              <w:rPr>
                                <w:rFonts w:ascii="Times New Roman" w:hAnsi="Times New Roman"/>
                                <w:sz w:val="20"/>
                                <w:szCs w:val="20"/>
                              </w:rPr>
                              <w:t>,</w:t>
                            </w:r>
                            <w:r w:rsidR="00404F9D">
                              <w:rPr>
                                <w:rFonts w:ascii="Times New Roman" w:hAnsi="Times New Roman"/>
                                <w:sz w:val="20"/>
                                <w:szCs w:val="20"/>
                              </w:rPr>
                              <w:t xml:space="preserve">049  </w:t>
                            </w:r>
                          </w:p>
                          <w:p w14:paraId="7D341499" w14:textId="5006614E" w:rsidR="00750834" w:rsidRPr="00FD78E4" w:rsidRDefault="0075083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JSTOR</w:t>
                            </w:r>
                            <w:r w:rsidRPr="00FD78E4">
                              <w:rPr>
                                <w:rFonts w:ascii="Times New Roman" w:hAnsi="Times New Roman"/>
                                <w:sz w:val="20"/>
                                <w:szCs w:val="20"/>
                              </w:rPr>
                              <w:t xml:space="preserve"> = </w:t>
                            </w:r>
                            <w:r w:rsidR="00404F9D">
                              <w:rPr>
                                <w:rFonts w:ascii="Times New Roman" w:hAnsi="Times New Roman"/>
                                <w:sz w:val="20"/>
                                <w:szCs w:val="20"/>
                              </w:rPr>
                              <w:t xml:space="preserve">98 </w:t>
                            </w:r>
                          </w:p>
                          <w:p w14:paraId="511593FF" w14:textId="1F83789C" w:rsidR="00750834" w:rsidRDefault="00750834" w:rsidP="000A26F0">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Springer link</w:t>
                            </w:r>
                            <w:r w:rsidRPr="00FD78E4">
                              <w:rPr>
                                <w:rFonts w:ascii="Times New Roman" w:hAnsi="Times New Roman"/>
                                <w:sz w:val="20"/>
                                <w:szCs w:val="20"/>
                              </w:rPr>
                              <w:t xml:space="preserve"> = </w:t>
                            </w:r>
                            <w:r w:rsidR="00404F9D">
                              <w:rPr>
                                <w:rFonts w:ascii="Times New Roman" w:hAnsi="Times New Roman"/>
                                <w:sz w:val="20"/>
                                <w:szCs w:val="20"/>
                              </w:rPr>
                              <w:t xml:space="preserve">234  </w:t>
                            </w:r>
                          </w:p>
                          <w:p w14:paraId="171DE3E1" w14:textId="79E9816D" w:rsidR="00750834" w:rsidRDefault="00750834" w:rsidP="000A26F0">
                            <w:pPr>
                              <w:pStyle w:val="ListParagraph"/>
                              <w:numPr>
                                <w:ilvl w:val="0"/>
                                <w:numId w:val="3"/>
                              </w:numPr>
                              <w:spacing w:after="0" w:line="240" w:lineRule="auto"/>
                              <w:rPr>
                                <w:rFonts w:ascii="Times New Roman" w:hAnsi="Times New Roman"/>
                                <w:sz w:val="20"/>
                                <w:szCs w:val="20"/>
                              </w:rPr>
                            </w:pPr>
                            <w:r w:rsidRPr="000A26F0">
                              <w:rPr>
                                <w:rFonts w:ascii="Times New Roman" w:hAnsi="Times New Roman"/>
                                <w:sz w:val="20"/>
                                <w:szCs w:val="20"/>
                              </w:rPr>
                              <w:t xml:space="preserve">Google Scholar = </w:t>
                            </w:r>
                            <w:r>
                              <w:rPr>
                                <w:rFonts w:ascii="Times New Roman" w:hAnsi="Times New Roman"/>
                                <w:sz w:val="20"/>
                                <w:szCs w:val="20"/>
                              </w:rPr>
                              <w:t xml:space="preserve">6470 </w:t>
                            </w:r>
                          </w:p>
                          <w:p w14:paraId="77263A30" w14:textId="375B41E8" w:rsidR="00750834" w:rsidRPr="000A26F0" w:rsidRDefault="00404F9D" w:rsidP="000A26F0">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Sage Journals= 692 </w:t>
                            </w:r>
                          </w:p>
                          <w:p w14:paraId="54739FB3" w14:textId="0C12CA05" w:rsidR="00750834" w:rsidRPr="000A26F0" w:rsidRDefault="00750834" w:rsidP="000A26F0">
                            <w:pPr>
                              <w:spacing w:after="0" w:line="240" w:lineRule="auto"/>
                              <w:ind w:left="360"/>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67.2pt;margin-top:8.4pt;width:354.2pt;height:10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" fillcolor="#f7caac [1301]" strokeweight=".5pt">
                <v:textbox>
                  <w:txbxContent>
                    <w:p w14:paraId="47DCDDFC" w14:textId="0AB49D4A" w:rsidR="00750834" w:rsidRDefault="00750834" w:rsidP="00361ACF">
                      <w:pPr>
                        <w:spacing w:after="0" w:line="240" w:lineRule="auto"/>
                        <w:jc w:val="center"/>
                        <w:rPr>
                          <w:rFonts w:ascii="Times New Roman" w:hAnsi="Times New Roman" w:cs="Times New Roman"/>
                        </w:rPr>
                      </w:pPr>
                      <w:r>
                        <w:rPr>
                          <w:rFonts w:ascii="Times New Roman" w:hAnsi="Times New Roman" w:cs="Times New Roman"/>
                        </w:rPr>
                        <w:t>25,854 articles identified through database screening:</w:t>
                      </w:r>
                    </w:p>
                    <w:p w14:paraId="7F3CE0EA" w14:textId="77777777" w:rsidR="00750834" w:rsidRDefault="00750834" w:rsidP="00361ACF">
                      <w:pPr>
                        <w:spacing w:after="0" w:line="240" w:lineRule="auto"/>
                        <w:jc w:val="center"/>
                        <w:rPr>
                          <w:rFonts w:ascii="Times New Roman" w:hAnsi="Times New Roman" w:cs="Times New Roman"/>
                        </w:rPr>
                      </w:pPr>
                    </w:p>
                    <w:p w14:paraId="5D8D5F13" w14:textId="0569F220" w:rsidR="00750834" w:rsidRPr="00FD78E4" w:rsidRDefault="00750834" w:rsidP="00361ACF">
                      <w:pPr>
                        <w:pStyle w:val="ListParagraph"/>
                        <w:numPr>
                          <w:ilvl w:val="0"/>
                          <w:numId w:val="3"/>
                        </w:numPr>
                        <w:spacing w:after="0" w:line="240" w:lineRule="auto"/>
                        <w:rPr>
                          <w:rFonts w:ascii="Times New Roman" w:hAnsi="Times New Roman"/>
                          <w:sz w:val="20"/>
                          <w:szCs w:val="20"/>
                        </w:rPr>
                      </w:pPr>
                      <w:r w:rsidRPr="00FD78E4">
                        <w:rPr>
                          <w:rFonts w:ascii="Times New Roman" w:hAnsi="Times New Roman"/>
                          <w:sz w:val="20"/>
                          <w:szCs w:val="20"/>
                        </w:rPr>
                        <w:t>Science</w:t>
                      </w:r>
                      <w:r>
                        <w:rPr>
                          <w:rFonts w:ascii="Times New Roman" w:hAnsi="Times New Roman"/>
                          <w:sz w:val="20"/>
                          <w:szCs w:val="20"/>
                        </w:rPr>
                        <w:t xml:space="preserve"> d</w:t>
                      </w:r>
                      <w:r w:rsidRPr="00FD78E4">
                        <w:rPr>
                          <w:rFonts w:ascii="Times New Roman" w:hAnsi="Times New Roman"/>
                          <w:sz w:val="20"/>
                          <w:szCs w:val="20"/>
                        </w:rPr>
                        <w:t xml:space="preserve">irect = </w:t>
                      </w:r>
                      <w:r w:rsidR="00404F9D">
                        <w:rPr>
                          <w:rFonts w:ascii="Times New Roman" w:hAnsi="Times New Roman"/>
                          <w:sz w:val="20"/>
                          <w:szCs w:val="20"/>
                        </w:rPr>
                        <w:t xml:space="preserve">15,311  </w:t>
                      </w:r>
                    </w:p>
                    <w:p w14:paraId="138555AA" w14:textId="4EF26902" w:rsidR="00750834" w:rsidRPr="00FD78E4" w:rsidRDefault="0075083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Pro q</w:t>
                      </w:r>
                      <w:r w:rsidRPr="00FD78E4">
                        <w:rPr>
                          <w:rFonts w:ascii="Times New Roman" w:hAnsi="Times New Roman"/>
                          <w:sz w:val="20"/>
                          <w:szCs w:val="20"/>
                        </w:rPr>
                        <w:t xml:space="preserve">uest = </w:t>
                      </w:r>
                      <w:r>
                        <w:rPr>
                          <w:rFonts w:ascii="Times New Roman" w:hAnsi="Times New Roman"/>
                          <w:sz w:val="20"/>
                          <w:szCs w:val="20"/>
                        </w:rPr>
                        <w:t>3</w:t>
                      </w:r>
                      <w:r w:rsidRPr="00FD78E4">
                        <w:rPr>
                          <w:rFonts w:ascii="Times New Roman" w:hAnsi="Times New Roman"/>
                          <w:sz w:val="20"/>
                          <w:szCs w:val="20"/>
                        </w:rPr>
                        <w:t>,</w:t>
                      </w:r>
                      <w:r w:rsidR="00404F9D">
                        <w:rPr>
                          <w:rFonts w:ascii="Times New Roman" w:hAnsi="Times New Roman"/>
                          <w:sz w:val="20"/>
                          <w:szCs w:val="20"/>
                        </w:rPr>
                        <w:t xml:space="preserve">049  </w:t>
                      </w:r>
                    </w:p>
                    <w:p w14:paraId="7D341499" w14:textId="5006614E" w:rsidR="00750834" w:rsidRPr="00FD78E4" w:rsidRDefault="00750834" w:rsidP="00361ACF">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JSTOR</w:t>
                      </w:r>
                      <w:r w:rsidRPr="00FD78E4">
                        <w:rPr>
                          <w:rFonts w:ascii="Times New Roman" w:hAnsi="Times New Roman"/>
                          <w:sz w:val="20"/>
                          <w:szCs w:val="20"/>
                        </w:rPr>
                        <w:t xml:space="preserve"> = </w:t>
                      </w:r>
                      <w:r w:rsidR="00404F9D">
                        <w:rPr>
                          <w:rFonts w:ascii="Times New Roman" w:hAnsi="Times New Roman"/>
                          <w:sz w:val="20"/>
                          <w:szCs w:val="20"/>
                        </w:rPr>
                        <w:t xml:space="preserve">98 </w:t>
                      </w:r>
                    </w:p>
                    <w:p w14:paraId="511593FF" w14:textId="1F83789C" w:rsidR="00750834" w:rsidRDefault="00750834" w:rsidP="000A26F0">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Springer link</w:t>
                      </w:r>
                      <w:r w:rsidRPr="00FD78E4">
                        <w:rPr>
                          <w:rFonts w:ascii="Times New Roman" w:hAnsi="Times New Roman"/>
                          <w:sz w:val="20"/>
                          <w:szCs w:val="20"/>
                        </w:rPr>
                        <w:t xml:space="preserve"> = </w:t>
                      </w:r>
                      <w:r w:rsidR="00404F9D">
                        <w:rPr>
                          <w:rFonts w:ascii="Times New Roman" w:hAnsi="Times New Roman"/>
                          <w:sz w:val="20"/>
                          <w:szCs w:val="20"/>
                        </w:rPr>
                        <w:t xml:space="preserve">234  </w:t>
                      </w:r>
                    </w:p>
                    <w:p w14:paraId="171DE3E1" w14:textId="79E9816D" w:rsidR="00750834" w:rsidRDefault="00750834" w:rsidP="000A26F0">
                      <w:pPr>
                        <w:pStyle w:val="ListParagraph"/>
                        <w:numPr>
                          <w:ilvl w:val="0"/>
                          <w:numId w:val="3"/>
                        </w:numPr>
                        <w:spacing w:after="0" w:line="240" w:lineRule="auto"/>
                        <w:rPr>
                          <w:rFonts w:ascii="Times New Roman" w:hAnsi="Times New Roman"/>
                          <w:sz w:val="20"/>
                          <w:szCs w:val="20"/>
                        </w:rPr>
                      </w:pPr>
                      <w:r w:rsidRPr="000A26F0">
                        <w:rPr>
                          <w:rFonts w:ascii="Times New Roman" w:hAnsi="Times New Roman"/>
                          <w:sz w:val="20"/>
                          <w:szCs w:val="20"/>
                        </w:rPr>
                        <w:t xml:space="preserve">Google Scholar = </w:t>
                      </w:r>
                      <w:r>
                        <w:rPr>
                          <w:rFonts w:ascii="Times New Roman" w:hAnsi="Times New Roman"/>
                          <w:sz w:val="20"/>
                          <w:szCs w:val="20"/>
                        </w:rPr>
                        <w:t xml:space="preserve">6470 </w:t>
                      </w:r>
                    </w:p>
                    <w:p w14:paraId="77263A30" w14:textId="375B41E8" w:rsidR="00750834" w:rsidRPr="000A26F0" w:rsidRDefault="00404F9D" w:rsidP="000A26F0">
                      <w:pPr>
                        <w:pStyle w:val="ListParagraph"/>
                        <w:numPr>
                          <w:ilvl w:val="0"/>
                          <w:numId w:val="3"/>
                        </w:numPr>
                        <w:spacing w:after="0" w:line="240" w:lineRule="auto"/>
                        <w:rPr>
                          <w:rFonts w:ascii="Times New Roman" w:hAnsi="Times New Roman"/>
                          <w:sz w:val="20"/>
                          <w:szCs w:val="20"/>
                        </w:rPr>
                      </w:pPr>
                      <w:r>
                        <w:rPr>
                          <w:rFonts w:ascii="Times New Roman" w:hAnsi="Times New Roman"/>
                          <w:sz w:val="20"/>
                          <w:szCs w:val="20"/>
                        </w:rPr>
                        <w:t xml:space="preserve">Sage Journals= 692 </w:t>
                      </w:r>
                    </w:p>
                    <w:p w14:paraId="54739FB3" w14:textId="0C12CA05" w:rsidR="00750834" w:rsidRPr="000A26F0" w:rsidRDefault="00750834" w:rsidP="000A26F0">
                      <w:pPr>
                        <w:spacing w:after="0" w:line="240" w:lineRule="auto"/>
                        <w:ind w:left="360"/>
                        <w:rPr>
                          <w:rFonts w:ascii="Times New Roman" w:hAnsi="Times New Roman"/>
                          <w:sz w:val="20"/>
                          <w:szCs w:val="20"/>
                        </w:rPr>
                      </w:pPr>
                    </w:p>
                  </w:txbxContent>
                </v:textbox>
              </v:shape>
            </w:pict>
          </mc:Fallback>
        </mc:AlternateContent>
      </w:r>
    </w:p>
    <w:p w14:paraId="4B3093DA" w14:textId="77777777" w:rsidR="00CE0431" w:rsidRDefault="00CE0431" w:rsidP="00CE0431">
      <w:pPr>
        <w:spacing w:after="0" w:line="240" w:lineRule="auto"/>
        <w:ind w:left="-180" w:firstLine="180"/>
        <w:jc w:val="center"/>
        <w:rPr>
          <w:rFonts w:ascii="Times New Roman" w:hAnsi="Times New Roman"/>
          <w:b/>
          <w:bCs/>
        </w:rPr>
      </w:pPr>
    </w:p>
    <w:p w14:paraId="21A4F0E8" w14:textId="77777777" w:rsidR="00CE0431" w:rsidRDefault="00CE0431" w:rsidP="00CE0431">
      <w:pPr>
        <w:spacing w:after="0" w:line="240" w:lineRule="auto"/>
        <w:ind w:left="-180" w:firstLine="180"/>
        <w:jc w:val="center"/>
        <w:rPr>
          <w:rFonts w:ascii="Times New Roman" w:hAnsi="Times New Roman"/>
          <w:b/>
          <w:bCs/>
        </w:rPr>
      </w:pPr>
    </w:p>
    <w:p w14:paraId="4FBABE89"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3360" behindDoc="0" locked="0" layoutInCell="1" allowOverlap="1" wp14:anchorId="1B047DCE" wp14:editId="560D580B">
                <wp:simplePos x="0" y="0"/>
                <wp:positionH relativeFrom="column">
                  <wp:posOffset>-284525</wp:posOffset>
                </wp:positionH>
                <wp:positionV relativeFrom="paragraph">
                  <wp:posOffset>141774</wp:posOffset>
                </wp:positionV>
                <wp:extent cx="1352550" cy="328612"/>
                <wp:effectExtent l="0" t="2223" r="16828" b="16827"/>
                <wp:wrapNone/>
                <wp:docPr id="1939758196" name="Text Box 1"/>
                <wp:cNvGraphicFramePr/>
                <a:graphic xmlns:a="http://schemas.openxmlformats.org/drawingml/2006/main">
                  <a:graphicData uri="http://schemas.microsoft.com/office/word/2010/wordprocessingShape">
                    <wps:wsp>
                      <wps:cNvSpPr txBox="1"/>
                      <wps:spPr>
                        <a:xfrm rot="16200000">
                          <a:off x="0" y="0"/>
                          <a:ext cx="1352550" cy="328612"/>
                        </a:xfrm>
                        <a:prstGeom prst="rect">
                          <a:avLst/>
                        </a:prstGeom>
                        <a:solidFill>
                          <a:schemeClr val="accent2">
                            <a:lumMod val="40000"/>
                            <a:lumOff val="60000"/>
                          </a:schemeClr>
                        </a:solidFill>
                        <a:ln w="6350">
                          <a:solidFill>
                            <a:prstClr val="black"/>
                          </a:solidFill>
                        </a:ln>
                      </wps:spPr>
                      <wps:txbx>
                        <w:txbxContent>
                          <w:p w14:paraId="72C288F7" w14:textId="77777777" w:rsidR="00750834" w:rsidRPr="00365873" w:rsidRDefault="00750834" w:rsidP="00CE0431">
                            <w:pPr>
                              <w:jc w:val="center"/>
                              <w:rPr>
                                <w:rFonts w:ascii="Times New Roman" w:hAnsi="Times New Roman" w:cs="Times New Roman"/>
                              </w:rPr>
                            </w:pPr>
                            <w:r>
                              <w:rPr>
                                <w:rFonts w:ascii="Times New Roman" w:hAnsi="Times New Roman" w:cs="Times New Roman"/>
                              </w:rPr>
                              <w:t>Identification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left:0;text-align:left;margin-left:-22.4pt;margin-top:11.15pt;width:106.5pt;height:25.8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" fillcolor="#f7caac [1301]" strokeweight=".5pt">
                <v:textbox>
                  <w:txbxContent>
                    <w:p w14:paraId="72C288F7" w14:textId="77777777" w:rsidR="00750834" w:rsidRPr="00365873" w:rsidRDefault="00750834" w:rsidP="00CE0431">
                      <w:pPr>
                        <w:jc w:val="center"/>
                        <w:rPr>
                          <w:rFonts w:ascii="Times New Roman" w:hAnsi="Times New Roman" w:cs="Times New Roman"/>
                        </w:rPr>
                      </w:pPr>
                      <w:r>
                        <w:rPr>
                          <w:rFonts w:ascii="Times New Roman" w:hAnsi="Times New Roman" w:cs="Times New Roman"/>
                        </w:rPr>
                        <w:t>Identification</w:t>
                      </w:r>
                    </w:p>
                  </w:txbxContent>
                </v:textbox>
              </v:shape>
            </w:pict>
          </mc:Fallback>
        </mc:AlternateContent>
      </w:r>
    </w:p>
    <w:p w14:paraId="4A2C67D5" w14:textId="77777777" w:rsidR="00CE0431" w:rsidRDefault="00CE0431" w:rsidP="00CE0431">
      <w:pPr>
        <w:spacing w:after="0" w:line="240" w:lineRule="auto"/>
        <w:ind w:left="-180" w:firstLine="180"/>
        <w:jc w:val="center"/>
        <w:rPr>
          <w:rFonts w:ascii="Times New Roman" w:hAnsi="Times New Roman"/>
          <w:b/>
          <w:bCs/>
        </w:rPr>
      </w:pPr>
    </w:p>
    <w:p w14:paraId="24983CF5" w14:textId="77777777" w:rsidR="00CE0431" w:rsidRDefault="00CE0431" w:rsidP="00CE0431">
      <w:pPr>
        <w:spacing w:after="0" w:line="240" w:lineRule="auto"/>
        <w:ind w:left="-180" w:firstLine="180"/>
        <w:jc w:val="center"/>
        <w:rPr>
          <w:rFonts w:ascii="Times New Roman" w:hAnsi="Times New Roman"/>
          <w:b/>
          <w:bCs/>
        </w:rPr>
      </w:pPr>
    </w:p>
    <w:p w14:paraId="7F675007" w14:textId="77777777" w:rsidR="00CE0431" w:rsidRDefault="00CE0431" w:rsidP="00CE0431">
      <w:pPr>
        <w:spacing w:after="0" w:line="240" w:lineRule="auto"/>
        <w:ind w:left="-180" w:firstLine="180"/>
        <w:jc w:val="center"/>
        <w:rPr>
          <w:rFonts w:ascii="Times New Roman" w:hAnsi="Times New Roman"/>
          <w:b/>
          <w:bCs/>
        </w:rPr>
      </w:pPr>
    </w:p>
    <w:p w14:paraId="39761242" w14:textId="77777777" w:rsidR="00CE0431" w:rsidRDefault="00CE0431" w:rsidP="00CE0431">
      <w:pPr>
        <w:spacing w:after="0" w:line="240" w:lineRule="auto"/>
        <w:ind w:left="-180" w:firstLine="180"/>
        <w:jc w:val="center"/>
        <w:rPr>
          <w:rFonts w:ascii="Times New Roman" w:hAnsi="Times New Roman"/>
          <w:b/>
          <w:bCs/>
        </w:rPr>
      </w:pPr>
    </w:p>
    <w:p w14:paraId="01A72F3E" w14:textId="77777777" w:rsidR="00CE0431" w:rsidRDefault="00CE0431" w:rsidP="00CE0431">
      <w:pPr>
        <w:spacing w:after="0" w:line="240" w:lineRule="auto"/>
        <w:ind w:left="-180" w:firstLine="180"/>
        <w:jc w:val="center"/>
        <w:rPr>
          <w:rFonts w:ascii="Times New Roman" w:hAnsi="Times New Roman"/>
          <w:b/>
          <w:bCs/>
        </w:rPr>
      </w:pPr>
    </w:p>
    <w:p w14:paraId="05CC1905"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9504" behindDoc="0" locked="0" layoutInCell="1" allowOverlap="1" wp14:anchorId="3F339206" wp14:editId="3875BDBB">
                <wp:simplePos x="0" y="0"/>
                <wp:positionH relativeFrom="column">
                  <wp:posOffset>2652193</wp:posOffset>
                </wp:positionH>
                <wp:positionV relativeFrom="paragraph">
                  <wp:posOffset>116693</wp:posOffset>
                </wp:positionV>
                <wp:extent cx="3176565" cy="242684"/>
                <wp:effectExtent l="0" t="0" r="24130" b="24130"/>
                <wp:wrapNone/>
                <wp:docPr id="1377914368" name="Text Box 1"/>
                <wp:cNvGraphicFramePr/>
                <a:graphic xmlns:a="http://schemas.openxmlformats.org/drawingml/2006/main">
                  <a:graphicData uri="http://schemas.microsoft.com/office/word/2010/wordprocessingShape">
                    <wps:wsp>
                      <wps:cNvSpPr txBox="1"/>
                      <wps:spPr>
                        <a:xfrm>
                          <a:off x="0" y="0"/>
                          <a:ext cx="3176565" cy="242684"/>
                        </a:xfrm>
                        <a:prstGeom prst="rect">
                          <a:avLst/>
                        </a:prstGeom>
                        <a:solidFill>
                          <a:schemeClr val="accent6">
                            <a:lumMod val="20000"/>
                            <a:lumOff val="80000"/>
                          </a:schemeClr>
                        </a:solidFill>
                        <a:ln w="6350">
                          <a:solidFill>
                            <a:prstClr val="black"/>
                          </a:solidFill>
                        </a:ln>
                      </wps:spPr>
                      <wps:txbx>
                        <w:txbxContent>
                          <w:p w14:paraId="2C0D5DFF" w14:textId="1E2DE78B" w:rsidR="00750834" w:rsidRPr="00B56E74" w:rsidRDefault="00750834" w:rsidP="00CE0431">
                            <w:pPr>
                              <w:spacing w:after="0" w:line="240" w:lineRule="auto"/>
                              <w:rPr>
                                <w:rFonts w:ascii="Times New Roman" w:hAnsi="Times New Roman"/>
                                <w:sz w:val="20"/>
                                <w:szCs w:val="20"/>
                              </w:rPr>
                            </w:pPr>
                            <w:r>
                              <w:rPr>
                                <w:rFonts w:ascii="Times New Roman" w:hAnsi="Times New Roman"/>
                                <w:sz w:val="20"/>
                                <w:szCs w:val="20"/>
                              </w:rPr>
                              <w:t>5,907</w:t>
                            </w:r>
                            <w:r w:rsidRPr="00BA4808">
                              <w:rPr>
                                <w:rFonts w:ascii="Times New Roman" w:hAnsi="Times New Roman"/>
                                <w:sz w:val="20"/>
                                <w:szCs w:val="20"/>
                              </w:rPr>
                              <w:t>articles were excluded according to the</w:t>
                            </w:r>
                            <w:r>
                              <w:rPr>
                                <w:rFonts w:ascii="Times New Roman" w:hAnsi="Times New Roman"/>
                                <w:sz w:val="20"/>
                                <w:szCs w:val="20"/>
                              </w:rPr>
                              <w:t xml:space="preserve"> </w:t>
                            </w:r>
                            <w:r w:rsidRPr="00BA4808">
                              <w:rPr>
                                <w:rFonts w:ascii="Times New Roman" w:hAnsi="Times New Roman"/>
                                <w:sz w:val="20"/>
                                <w:szCs w:val="20"/>
                              </w:rPr>
                              <w:t xml:space="preserve">limiter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8.85pt;margin-top:9.2pt;width:250.1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" fillcolor="#e2efd9 [665]" strokeweight=".5pt">
                <v:textbox>
                  <w:txbxContent>
                    <w:p w14:paraId="2C0D5DFF" w14:textId="1E2DE78B" w:rsidR="00750834" w:rsidRPr="00B56E74" w:rsidRDefault="00750834" w:rsidP="00CE0431">
                      <w:pPr>
                        <w:spacing w:after="0" w:line="240" w:lineRule="auto"/>
                        <w:rPr>
                          <w:rFonts w:ascii="Times New Roman" w:hAnsi="Times New Roman"/>
                          <w:sz w:val="20"/>
                          <w:szCs w:val="20"/>
                        </w:rPr>
                      </w:pPr>
                      <w:r>
                        <w:rPr>
                          <w:rFonts w:ascii="Times New Roman" w:hAnsi="Times New Roman"/>
                          <w:sz w:val="20"/>
                          <w:szCs w:val="20"/>
                        </w:rPr>
                        <w:t>5,907</w:t>
                      </w:r>
                      <w:r w:rsidRPr="00BA4808">
                        <w:rPr>
                          <w:rFonts w:ascii="Times New Roman" w:hAnsi="Times New Roman"/>
                          <w:sz w:val="20"/>
                          <w:szCs w:val="20"/>
                        </w:rPr>
                        <w:t>articles were excluded according to the</w:t>
                      </w:r>
                      <w:r>
                        <w:rPr>
                          <w:rFonts w:ascii="Times New Roman" w:hAnsi="Times New Roman"/>
                          <w:sz w:val="20"/>
                          <w:szCs w:val="20"/>
                        </w:rPr>
                        <w:t xml:space="preserve"> </w:t>
                      </w:r>
                      <w:r w:rsidRPr="00BA4808">
                        <w:rPr>
                          <w:rFonts w:ascii="Times New Roman" w:hAnsi="Times New Roman"/>
                          <w:sz w:val="20"/>
                          <w:szCs w:val="20"/>
                        </w:rPr>
                        <w:t xml:space="preserve">limiter </w:t>
                      </w:r>
                    </w:p>
                  </w:txbxContent>
                </v:textbox>
              </v:shape>
            </w:pict>
          </mc:Fallback>
        </mc:AlternateContent>
      </w:r>
      <w:r>
        <w:rPr>
          <w:rFonts w:ascii="Times New Roman" w:hAnsi="Times New Roman"/>
          <w:b/>
          <w:bCs/>
          <w:noProof/>
          <w:lang w:val="en-IN" w:eastAsia="en-IN"/>
        </w:rPr>
        <mc:AlternateContent>
          <mc:Choice Requires="wps">
            <w:drawing>
              <wp:anchor distT="0" distB="0" distL="114300" distR="114300" simplePos="0" relativeHeight="251667456" behindDoc="0" locked="0" layoutInCell="1" allowOverlap="1" wp14:anchorId="17FC88B3" wp14:editId="4E1505BB">
                <wp:simplePos x="0" y="0"/>
                <wp:positionH relativeFrom="column">
                  <wp:posOffset>1657350</wp:posOffset>
                </wp:positionH>
                <wp:positionV relativeFrom="paragraph">
                  <wp:posOffset>6239</wp:posOffset>
                </wp:positionV>
                <wp:extent cx="0" cy="333784"/>
                <wp:effectExtent l="76200" t="0" r="76200" b="47625"/>
                <wp:wrapNone/>
                <wp:docPr id="1557096707" name="Straight Arrow Connector 4"/>
                <wp:cNvGraphicFramePr/>
                <a:graphic xmlns:a="http://schemas.openxmlformats.org/drawingml/2006/main">
                  <a:graphicData uri="http://schemas.microsoft.com/office/word/2010/wordprocessingShape">
                    <wps:wsp>
                      <wps:cNvCnPr/>
                      <wps:spPr>
                        <a:xfrm>
                          <a:off x="0" y="0"/>
                          <a:ext cx="0" cy="33378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0.5pt;margin-top:.5pt;width:0;height:26.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" strokecolor="black [3200]" strokeweight="1pt">
                <v:stroke endarrow="block" joinstyle="miter"/>
              </v:shape>
            </w:pict>
          </mc:Fallback>
        </mc:AlternateContent>
      </w:r>
    </w:p>
    <w:p w14:paraId="01E890D7"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1552" behindDoc="0" locked="0" layoutInCell="1" allowOverlap="1" wp14:anchorId="1789B472" wp14:editId="18DC4744">
                <wp:simplePos x="0" y="0"/>
                <wp:positionH relativeFrom="column">
                  <wp:posOffset>1658096</wp:posOffset>
                </wp:positionH>
                <wp:positionV relativeFrom="paragraph">
                  <wp:posOffset>33655</wp:posOffset>
                </wp:positionV>
                <wp:extent cx="997799" cy="0"/>
                <wp:effectExtent l="0" t="76200" r="12065" b="95250"/>
                <wp:wrapNone/>
                <wp:docPr id="1856470193"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30.55pt;margin-top:2.65pt;width:78.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" strokecolor="black [3200]" strokeweight="1pt">
                <v:stroke endarrow="block" joinstyle="miter"/>
              </v:shape>
            </w:pict>
          </mc:Fallback>
        </mc:AlternateContent>
      </w:r>
    </w:p>
    <w:p w14:paraId="520933AC"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0528" behindDoc="0" locked="0" layoutInCell="1" allowOverlap="1" wp14:anchorId="55A6CAFA" wp14:editId="7A54F40C">
                <wp:simplePos x="0" y="0"/>
                <wp:positionH relativeFrom="column">
                  <wp:posOffset>2648197</wp:posOffset>
                </wp:positionH>
                <wp:positionV relativeFrom="paragraph">
                  <wp:posOffset>139947</wp:posOffset>
                </wp:positionV>
                <wp:extent cx="3181900" cy="1104406"/>
                <wp:effectExtent l="0" t="0" r="19050" b="19685"/>
                <wp:wrapNone/>
                <wp:docPr id="1548016588" name="Text Box 1"/>
                <wp:cNvGraphicFramePr/>
                <a:graphic xmlns:a="http://schemas.openxmlformats.org/drawingml/2006/main">
                  <a:graphicData uri="http://schemas.microsoft.com/office/word/2010/wordprocessingShape">
                    <wps:wsp>
                      <wps:cNvSpPr txBox="1"/>
                      <wps:spPr>
                        <a:xfrm>
                          <a:off x="0" y="0"/>
                          <a:ext cx="3181900" cy="1104406"/>
                        </a:xfrm>
                        <a:prstGeom prst="rect">
                          <a:avLst/>
                        </a:prstGeom>
                        <a:solidFill>
                          <a:schemeClr val="accent6">
                            <a:lumMod val="20000"/>
                            <a:lumOff val="80000"/>
                          </a:schemeClr>
                        </a:solidFill>
                        <a:ln w="6350">
                          <a:solidFill>
                            <a:prstClr val="black"/>
                          </a:solidFill>
                        </a:ln>
                      </wps:spPr>
                      <wps:txbx>
                        <w:txbxContent>
                          <w:p w14:paraId="17DBD9A1" w14:textId="37C6D87F" w:rsidR="00750834" w:rsidRPr="003A38AD" w:rsidRDefault="00750834" w:rsidP="00CE0431">
                            <w:pPr>
                              <w:spacing w:after="0" w:line="240" w:lineRule="auto"/>
                              <w:rPr>
                                <w:rFonts w:ascii="Times New Roman" w:hAnsi="Times New Roman"/>
                                <w:sz w:val="20"/>
                                <w:szCs w:val="20"/>
                              </w:rPr>
                            </w:pPr>
                            <w:r>
                              <w:rPr>
                                <w:rFonts w:ascii="Times New Roman" w:hAnsi="Times New Roman"/>
                                <w:sz w:val="20"/>
                                <w:szCs w:val="20"/>
                              </w:rPr>
                              <w:t>18713</w:t>
                            </w:r>
                            <w:r w:rsidRPr="003A38AD">
                              <w:rPr>
                                <w:rFonts w:ascii="Times New Roman" w:hAnsi="Times New Roman"/>
                                <w:sz w:val="20"/>
                                <w:szCs w:val="20"/>
                              </w:rPr>
                              <w:t xml:space="preserve"> articles removed based on the title and abstract due to:</w:t>
                            </w:r>
                          </w:p>
                          <w:p w14:paraId="6838AEBB" w14:textId="475A2CA5"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focused on Global Oil price shocks</w:t>
                            </w:r>
                          </w:p>
                          <w:p w14:paraId="61943371" w14:textId="1B2C62FB" w:rsidR="0075083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Involving Developing economies</w:t>
                            </w:r>
                          </w:p>
                          <w:p w14:paraId="74C68389" w14:textId="0A3BBE99"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examining economic or socio-political stability outcome</w:t>
                            </w:r>
                          </w:p>
                          <w:p w14:paraId="0D866B64" w14:textId="77777777"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sidRPr="003A38AD">
                              <w:rPr>
                                <w:rFonts w:ascii="Times New Roman" w:hAnsi="Times New Roman"/>
                                <w:sz w:val="18"/>
                                <w:szCs w:val="18"/>
                              </w:rPr>
                              <w:t>Case report, thesis, protocols, proceedings, &amp; review</w:t>
                            </w:r>
                          </w:p>
                          <w:p w14:paraId="28236181" w14:textId="7A4CF100" w:rsidR="00750834" w:rsidRPr="00282E8F" w:rsidRDefault="00750834" w:rsidP="00282E8F">
                            <w:pPr>
                              <w:pStyle w:val="ListParagraph"/>
                              <w:numPr>
                                <w:ilvl w:val="0"/>
                                <w:numId w:val="4"/>
                              </w:numPr>
                              <w:spacing w:after="0" w:line="240" w:lineRule="auto"/>
                              <w:ind w:hanging="203"/>
                              <w:rPr>
                                <w:rFonts w:ascii="Times New Roman" w:hAnsi="Times New Roman"/>
                                <w:sz w:val="18"/>
                                <w:szCs w:val="18"/>
                              </w:rPr>
                            </w:pPr>
                            <w:r w:rsidRPr="003A38AD">
                              <w:rPr>
                                <w:rFonts w:ascii="Times New Roman" w:hAnsi="Times New Roman"/>
                                <w:sz w:val="18"/>
                                <w:szCs w:val="18"/>
                              </w:rPr>
                              <w:t>Not a</w:t>
                            </w:r>
                            <w:r>
                              <w:rPr>
                                <w:rFonts w:ascii="Times New Roman" w:hAnsi="Times New Roman"/>
                                <w:sz w:val="18"/>
                                <w:szCs w:val="18"/>
                              </w:rPr>
                              <w:t>vai</w:t>
                            </w:r>
                            <w:r w:rsidRPr="003A38AD">
                              <w:rPr>
                                <w:rFonts w:ascii="Times New Roman" w:hAnsi="Times New Roman"/>
                                <w:sz w:val="18"/>
                                <w:szCs w:val="18"/>
                              </w:rPr>
                              <w:t>la</w:t>
                            </w:r>
                            <w:r>
                              <w:rPr>
                                <w:rFonts w:ascii="Times New Roman" w:hAnsi="Times New Roman"/>
                                <w:sz w:val="18"/>
                                <w:szCs w:val="18"/>
                              </w:rPr>
                              <w:t>b</w:t>
                            </w:r>
                            <w:r w:rsidRPr="003A38AD">
                              <w:rPr>
                                <w:rFonts w:ascii="Times New Roman" w:hAnsi="Times New Roman"/>
                                <w:sz w:val="18"/>
                                <w:szCs w:val="18"/>
                              </w:rPr>
                              <w:t xml:space="preserve">le in </w:t>
                            </w:r>
                            <w:r>
                              <w:rPr>
                                <w:rFonts w:ascii="Times New Roman" w:hAnsi="Times New Roman"/>
                                <w:sz w:val="18"/>
                                <w:szCs w:val="1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08.5pt;margin-top:11pt;width:250.55pt;height:8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" fillcolor="#e2efd9 [665]" strokeweight=".5pt">
                <v:textbox>
                  <w:txbxContent>
                    <w:p w14:paraId="17DBD9A1" w14:textId="37C6D87F" w:rsidR="00750834" w:rsidRPr="003A38AD" w:rsidRDefault="00750834" w:rsidP="00CE0431">
                      <w:pPr>
                        <w:spacing w:after="0" w:line="240" w:lineRule="auto"/>
                        <w:rPr>
                          <w:rFonts w:ascii="Times New Roman" w:hAnsi="Times New Roman"/>
                          <w:sz w:val="20"/>
                          <w:szCs w:val="20"/>
                        </w:rPr>
                      </w:pPr>
                      <w:r>
                        <w:rPr>
                          <w:rFonts w:ascii="Times New Roman" w:hAnsi="Times New Roman"/>
                          <w:sz w:val="20"/>
                          <w:szCs w:val="20"/>
                        </w:rPr>
                        <w:t>18713</w:t>
                      </w:r>
                      <w:r w:rsidRPr="003A38AD">
                        <w:rPr>
                          <w:rFonts w:ascii="Times New Roman" w:hAnsi="Times New Roman"/>
                          <w:sz w:val="20"/>
                          <w:szCs w:val="20"/>
                        </w:rPr>
                        <w:t xml:space="preserve"> articles removed based on the title and abstract due to:</w:t>
                      </w:r>
                    </w:p>
                    <w:p w14:paraId="6838AEBB" w14:textId="475A2CA5"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focused on Global Oil price shocks</w:t>
                      </w:r>
                    </w:p>
                    <w:p w14:paraId="61943371" w14:textId="1B2C62FB" w:rsidR="0075083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Involving Developing economies</w:t>
                      </w:r>
                    </w:p>
                    <w:p w14:paraId="74C68389" w14:textId="0A3BBE99"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examining economic or socio-political stability outcome</w:t>
                      </w:r>
                    </w:p>
                    <w:p w14:paraId="0D866B64" w14:textId="77777777" w:rsidR="00750834" w:rsidRPr="003A38AD" w:rsidRDefault="00750834" w:rsidP="00CE0431">
                      <w:pPr>
                        <w:pStyle w:val="ListParagraph"/>
                        <w:numPr>
                          <w:ilvl w:val="0"/>
                          <w:numId w:val="4"/>
                        </w:numPr>
                        <w:spacing w:after="0" w:line="240" w:lineRule="auto"/>
                        <w:ind w:hanging="203"/>
                        <w:rPr>
                          <w:rFonts w:ascii="Times New Roman" w:hAnsi="Times New Roman"/>
                          <w:sz w:val="18"/>
                          <w:szCs w:val="18"/>
                        </w:rPr>
                      </w:pPr>
                      <w:r w:rsidRPr="003A38AD">
                        <w:rPr>
                          <w:rFonts w:ascii="Times New Roman" w:hAnsi="Times New Roman"/>
                          <w:sz w:val="18"/>
                          <w:szCs w:val="18"/>
                        </w:rPr>
                        <w:t>Case report, thesis, protocols, proceedings, &amp; review</w:t>
                      </w:r>
                    </w:p>
                    <w:p w14:paraId="28236181" w14:textId="7A4CF100" w:rsidR="00750834" w:rsidRPr="00282E8F" w:rsidRDefault="00750834" w:rsidP="00282E8F">
                      <w:pPr>
                        <w:pStyle w:val="ListParagraph"/>
                        <w:numPr>
                          <w:ilvl w:val="0"/>
                          <w:numId w:val="4"/>
                        </w:numPr>
                        <w:spacing w:after="0" w:line="240" w:lineRule="auto"/>
                        <w:ind w:hanging="203"/>
                        <w:rPr>
                          <w:rFonts w:ascii="Times New Roman" w:hAnsi="Times New Roman"/>
                          <w:sz w:val="18"/>
                          <w:szCs w:val="18"/>
                        </w:rPr>
                      </w:pPr>
                      <w:r w:rsidRPr="003A38AD">
                        <w:rPr>
                          <w:rFonts w:ascii="Times New Roman" w:hAnsi="Times New Roman"/>
                          <w:sz w:val="18"/>
                          <w:szCs w:val="18"/>
                        </w:rPr>
                        <w:t>Not a</w:t>
                      </w:r>
                      <w:r>
                        <w:rPr>
                          <w:rFonts w:ascii="Times New Roman" w:hAnsi="Times New Roman"/>
                          <w:sz w:val="18"/>
                          <w:szCs w:val="18"/>
                        </w:rPr>
                        <w:t>vai</w:t>
                      </w:r>
                      <w:r w:rsidRPr="003A38AD">
                        <w:rPr>
                          <w:rFonts w:ascii="Times New Roman" w:hAnsi="Times New Roman"/>
                          <w:sz w:val="18"/>
                          <w:szCs w:val="18"/>
                        </w:rPr>
                        <w:t>la</w:t>
                      </w:r>
                      <w:r>
                        <w:rPr>
                          <w:rFonts w:ascii="Times New Roman" w:hAnsi="Times New Roman"/>
                          <w:sz w:val="18"/>
                          <w:szCs w:val="18"/>
                        </w:rPr>
                        <w:t>b</w:t>
                      </w:r>
                      <w:r w:rsidRPr="003A38AD">
                        <w:rPr>
                          <w:rFonts w:ascii="Times New Roman" w:hAnsi="Times New Roman"/>
                          <w:sz w:val="18"/>
                          <w:szCs w:val="18"/>
                        </w:rPr>
                        <w:t xml:space="preserve">le in </w:t>
                      </w:r>
                      <w:r>
                        <w:rPr>
                          <w:rFonts w:ascii="Times New Roman" w:hAnsi="Times New Roman"/>
                          <w:sz w:val="18"/>
                          <w:szCs w:val="18"/>
                        </w:rPr>
                        <w:t>English</w:t>
                      </w:r>
                    </w:p>
                  </w:txbxContent>
                </v:textbox>
              </v:shape>
            </w:pict>
          </mc:Fallback>
        </mc:AlternateContent>
      </w:r>
      <w:r>
        <w:rPr>
          <w:rFonts w:ascii="Times New Roman" w:hAnsi="Times New Roman"/>
          <w:b/>
          <w:bCs/>
          <w:noProof/>
          <w:lang w:val="en-IN" w:eastAsia="en-IN"/>
        </w:rPr>
        <mc:AlternateContent>
          <mc:Choice Requires="wps">
            <w:drawing>
              <wp:anchor distT="0" distB="0" distL="114300" distR="114300" simplePos="0" relativeHeight="251665408" behindDoc="0" locked="0" layoutInCell="1" allowOverlap="1" wp14:anchorId="0E66836E" wp14:editId="0DCCD2BA">
                <wp:simplePos x="0" y="0"/>
                <wp:positionH relativeFrom="column">
                  <wp:posOffset>870585</wp:posOffset>
                </wp:positionH>
                <wp:positionV relativeFrom="paragraph">
                  <wp:posOffset>7509</wp:posOffset>
                </wp:positionV>
                <wp:extent cx="1560113" cy="390028"/>
                <wp:effectExtent l="0" t="0" r="21590" b="10160"/>
                <wp:wrapNone/>
                <wp:docPr id="363360985" name="Text Box 1"/>
                <wp:cNvGraphicFramePr/>
                <a:graphic xmlns:a="http://schemas.openxmlformats.org/drawingml/2006/main">
                  <a:graphicData uri="http://schemas.microsoft.com/office/word/2010/wordprocessingShape">
                    <wps:wsp>
                      <wps:cNvSpPr txBox="1"/>
                      <wps:spPr>
                        <a:xfrm>
                          <a:off x="0" y="0"/>
                          <a:ext cx="1560113" cy="390028"/>
                        </a:xfrm>
                        <a:prstGeom prst="rect">
                          <a:avLst/>
                        </a:prstGeom>
                        <a:solidFill>
                          <a:schemeClr val="accent6">
                            <a:lumMod val="20000"/>
                            <a:lumOff val="80000"/>
                          </a:schemeClr>
                        </a:solidFill>
                        <a:ln w="6350">
                          <a:solidFill>
                            <a:prstClr val="black"/>
                          </a:solidFill>
                        </a:ln>
                      </wps:spPr>
                      <wps:txbx>
                        <w:txbxContent>
                          <w:p w14:paraId="435268C3" w14:textId="77777777" w:rsidR="00750834" w:rsidRDefault="00750834" w:rsidP="00CE0431">
                            <w:pPr>
                              <w:spacing w:after="0" w:line="240" w:lineRule="auto"/>
                              <w:jc w:val="center"/>
                              <w:rPr>
                                <w:rFonts w:ascii="Times New Roman" w:hAnsi="Times New Roman"/>
                                <w:sz w:val="20"/>
                                <w:szCs w:val="20"/>
                              </w:rPr>
                            </w:pPr>
                            <w:r w:rsidRPr="00B56E74">
                              <w:rPr>
                                <w:rFonts w:ascii="Times New Roman" w:hAnsi="Times New Roman"/>
                                <w:sz w:val="20"/>
                                <w:szCs w:val="20"/>
                              </w:rPr>
                              <w:t>Limiter</w:t>
                            </w:r>
                          </w:p>
                          <w:p w14:paraId="4B89E578" w14:textId="1CFF459B"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(n 19,947)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8.55pt;margin-top:.6pt;width:122.85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" fillcolor="#e2efd9 [665]" strokeweight=".5pt">
                <v:textbox>
                  <w:txbxContent>
                    <w:p w14:paraId="435268C3" w14:textId="77777777" w:rsidR="00750834" w:rsidRDefault="00750834" w:rsidP="00CE0431">
                      <w:pPr>
                        <w:spacing w:after="0" w:line="240" w:lineRule="auto"/>
                        <w:jc w:val="center"/>
                        <w:rPr>
                          <w:rFonts w:ascii="Times New Roman" w:hAnsi="Times New Roman"/>
                          <w:sz w:val="20"/>
                          <w:szCs w:val="20"/>
                        </w:rPr>
                      </w:pPr>
                      <w:r w:rsidRPr="00B56E74">
                        <w:rPr>
                          <w:rFonts w:ascii="Times New Roman" w:hAnsi="Times New Roman"/>
                          <w:sz w:val="20"/>
                          <w:szCs w:val="20"/>
                        </w:rPr>
                        <w:t>Limiter</w:t>
                      </w:r>
                    </w:p>
                    <w:p w14:paraId="4B89E578" w14:textId="1CFF459B"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n</w:t>
                      </w:r>
                      <w:proofErr w:type="gramEnd"/>
                      <w:r>
                        <w:rPr>
                          <w:rFonts w:ascii="Times New Roman" w:hAnsi="Times New Roman"/>
                          <w:sz w:val="20"/>
                          <w:szCs w:val="20"/>
                        </w:rPr>
                        <w:t xml:space="preserve"> 19,947)</w:t>
                      </w:r>
                    </w:p>
                  </w:txbxContent>
                </v:textbox>
              </v:shape>
            </w:pict>
          </mc:Fallback>
        </mc:AlternateContent>
      </w:r>
    </w:p>
    <w:p w14:paraId="4610247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2336" behindDoc="0" locked="0" layoutInCell="1" allowOverlap="1" wp14:anchorId="05BCF327" wp14:editId="3CC8E0E1">
                <wp:simplePos x="0" y="0"/>
                <wp:positionH relativeFrom="column">
                  <wp:posOffset>-307975</wp:posOffset>
                </wp:positionH>
                <wp:positionV relativeFrom="paragraph">
                  <wp:posOffset>213360</wp:posOffset>
                </wp:positionV>
                <wp:extent cx="1352550" cy="328295"/>
                <wp:effectExtent l="0" t="2223" r="16828" b="16827"/>
                <wp:wrapNone/>
                <wp:docPr id="365914534" name="Text Box 1"/>
                <wp:cNvGraphicFramePr/>
                <a:graphic xmlns:a="http://schemas.openxmlformats.org/drawingml/2006/main">
                  <a:graphicData uri="http://schemas.microsoft.com/office/word/2010/wordprocessingShape">
                    <wps:wsp>
                      <wps:cNvSpPr txBox="1"/>
                      <wps:spPr>
                        <a:xfrm rot="16200000">
                          <a:off x="0" y="0"/>
                          <a:ext cx="1352550" cy="328295"/>
                        </a:xfrm>
                        <a:prstGeom prst="rect">
                          <a:avLst/>
                        </a:prstGeom>
                        <a:solidFill>
                          <a:schemeClr val="accent6">
                            <a:lumMod val="20000"/>
                            <a:lumOff val="80000"/>
                          </a:schemeClr>
                        </a:solidFill>
                        <a:ln w="6350">
                          <a:solidFill>
                            <a:prstClr val="black"/>
                          </a:solidFill>
                        </a:ln>
                      </wps:spPr>
                      <wps:txbx>
                        <w:txbxContent>
                          <w:p w14:paraId="04350444" w14:textId="77777777" w:rsidR="00750834" w:rsidRPr="00365873" w:rsidRDefault="00750834" w:rsidP="00CE0431">
                            <w:pPr>
                              <w:shd w:val="clear" w:color="auto" w:fill="E2EFD9" w:themeFill="accent6" w:themeFillTint="33"/>
                              <w:jc w:val="center"/>
                              <w:rPr>
                                <w:rFonts w:ascii="Times New Roman" w:hAnsi="Times New Roman" w:cs="Times New Roman"/>
                              </w:rPr>
                            </w:pPr>
                            <w:r>
                              <w:rPr>
                                <w:rFonts w:ascii="Times New Roman" w:hAnsi="Times New Roman" w:cs="Times New Roman"/>
                              </w:rPr>
                              <w:t>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2" type="#_x0000_t202" style="position:absolute;left:0;text-align:left;margin-left:-24.25pt;margin-top:16.8pt;width:106.5pt;height:25.8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" fillcolor="#e2efd9 [665]" strokeweight=".5pt">
                <v:textbox>
                  <w:txbxContent>
                    <w:p w14:paraId="04350444" w14:textId="77777777" w:rsidR="00750834" w:rsidRPr="00365873" w:rsidRDefault="00750834" w:rsidP="00CE0431">
                      <w:pPr>
                        <w:shd w:val="clear" w:color="auto" w:fill="E2EFD9" w:themeFill="accent6" w:themeFillTint="33"/>
                        <w:jc w:val="center"/>
                        <w:rPr>
                          <w:rFonts w:ascii="Times New Roman" w:hAnsi="Times New Roman" w:cs="Times New Roman"/>
                        </w:rPr>
                      </w:pPr>
                      <w:r>
                        <w:rPr>
                          <w:rFonts w:ascii="Times New Roman" w:hAnsi="Times New Roman" w:cs="Times New Roman"/>
                        </w:rPr>
                        <w:t>Screening</w:t>
                      </w:r>
                    </w:p>
                  </w:txbxContent>
                </v:textbox>
              </v:shape>
            </w:pict>
          </mc:Fallback>
        </mc:AlternateContent>
      </w:r>
    </w:p>
    <w:p w14:paraId="745362C9"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8480" behindDoc="0" locked="0" layoutInCell="1" allowOverlap="1" wp14:anchorId="0167FD0C" wp14:editId="0D6358A7">
                <wp:simplePos x="0" y="0"/>
                <wp:positionH relativeFrom="column">
                  <wp:posOffset>1651900</wp:posOffset>
                </wp:positionH>
                <wp:positionV relativeFrom="paragraph">
                  <wp:posOffset>83185</wp:posOffset>
                </wp:positionV>
                <wp:extent cx="5610" cy="249637"/>
                <wp:effectExtent l="76200" t="0" r="71120" b="55245"/>
                <wp:wrapNone/>
                <wp:docPr id="1398998699" name="Straight Arrow Connector 5"/>
                <wp:cNvGraphicFramePr/>
                <a:graphic xmlns:a="http://schemas.openxmlformats.org/drawingml/2006/main">
                  <a:graphicData uri="http://schemas.microsoft.com/office/word/2010/wordprocessingShape">
                    <wps:wsp>
                      <wps:cNvCnPr/>
                      <wps:spPr>
                        <a:xfrm>
                          <a:off x="0" y="0"/>
                          <a:ext cx="5610" cy="24963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130.05pt;margin-top:6.55pt;width:.45pt;height:19.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" strokecolor="black [3200]" strokeweight="1pt">
                <v:stroke endarrow="block" joinstyle="miter"/>
              </v:shape>
            </w:pict>
          </mc:Fallback>
        </mc:AlternateContent>
      </w:r>
    </w:p>
    <w:p w14:paraId="3E01A165"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2576" behindDoc="0" locked="0" layoutInCell="1" allowOverlap="1" wp14:anchorId="374CC75A" wp14:editId="17888E05">
                <wp:simplePos x="0" y="0"/>
                <wp:positionH relativeFrom="column">
                  <wp:posOffset>1659144</wp:posOffset>
                </wp:positionH>
                <wp:positionV relativeFrom="paragraph">
                  <wp:posOffset>35560</wp:posOffset>
                </wp:positionV>
                <wp:extent cx="997799" cy="0"/>
                <wp:effectExtent l="0" t="76200" r="12065" b="95250"/>
                <wp:wrapNone/>
                <wp:docPr id="1846092104" name="Straight Arrow Connector 6"/>
                <wp:cNvGraphicFramePr/>
                <a:graphic xmlns:a="http://schemas.openxmlformats.org/drawingml/2006/main">
                  <a:graphicData uri="http://schemas.microsoft.com/office/word/2010/wordprocessingShape">
                    <wps:wsp>
                      <wps:cNvCnPr/>
                      <wps:spPr>
                        <a:xfrm>
                          <a:off x="0" y="0"/>
                          <a:ext cx="99779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30.65pt;margin-top:2.8pt;width:78.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" strokecolor="black [3200]" strokeweight="1pt">
                <v:stroke endarrow="block" joinstyle="miter"/>
              </v:shape>
            </w:pict>
          </mc:Fallback>
        </mc:AlternateContent>
      </w:r>
    </w:p>
    <w:p w14:paraId="5F997A94"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6432" behindDoc="0" locked="0" layoutInCell="1" allowOverlap="1" wp14:anchorId="6CBD082A" wp14:editId="2AEF35DC">
                <wp:simplePos x="0" y="0"/>
                <wp:positionH relativeFrom="column">
                  <wp:posOffset>858063</wp:posOffset>
                </wp:positionH>
                <wp:positionV relativeFrom="paragraph">
                  <wp:posOffset>10825</wp:posOffset>
                </wp:positionV>
                <wp:extent cx="1594782" cy="409575"/>
                <wp:effectExtent l="0" t="0" r="24765" b="28575"/>
                <wp:wrapNone/>
                <wp:docPr id="625740454" name="Text Box 1"/>
                <wp:cNvGraphicFramePr/>
                <a:graphic xmlns:a="http://schemas.openxmlformats.org/drawingml/2006/main">
                  <a:graphicData uri="http://schemas.microsoft.com/office/word/2010/wordprocessingShape">
                    <wps:wsp>
                      <wps:cNvSpPr txBox="1"/>
                      <wps:spPr>
                        <a:xfrm>
                          <a:off x="0" y="0"/>
                          <a:ext cx="1594782" cy="409575"/>
                        </a:xfrm>
                        <a:prstGeom prst="rect">
                          <a:avLst/>
                        </a:prstGeom>
                        <a:solidFill>
                          <a:schemeClr val="accent6">
                            <a:lumMod val="20000"/>
                            <a:lumOff val="80000"/>
                          </a:schemeClr>
                        </a:solidFill>
                        <a:ln w="6350">
                          <a:solidFill>
                            <a:prstClr val="black"/>
                          </a:solidFill>
                        </a:ln>
                      </wps:spPr>
                      <wps:txbx>
                        <w:txbxContent>
                          <w:p w14:paraId="00F145C0" w14:textId="77777777"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Title and abstract screened</w:t>
                            </w:r>
                          </w:p>
                          <w:p w14:paraId="430D8E32" w14:textId="7C898D64"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(n = 1,234)</w:t>
                            </w:r>
                          </w:p>
                          <w:p w14:paraId="7A14FDE3" w14:textId="77777777" w:rsidR="00750834" w:rsidRPr="00B56E74" w:rsidRDefault="0075083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7.55pt;margin-top:.85pt;width:125.5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" fillcolor="#e2efd9 [665]" strokeweight=".5pt">
                <v:textbox>
                  <w:txbxContent>
                    <w:p w14:paraId="00F145C0" w14:textId="77777777"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Title and abstract screened</w:t>
                      </w:r>
                    </w:p>
                    <w:p w14:paraId="430D8E32" w14:textId="7C898D64"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(n = 1,234)</w:t>
                      </w:r>
                    </w:p>
                    <w:p w14:paraId="7A14FDE3" w14:textId="77777777" w:rsidR="00750834" w:rsidRPr="00B56E74" w:rsidRDefault="00750834" w:rsidP="00CE0431">
                      <w:pPr>
                        <w:spacing w:after="0" w:line="240" w:lineRule="auto"/>
                        <w:jc w:val="center"/>
                        <w:rPr>
                          <w:rFonts w:ascii="Times New Roman" w:hAnsi="Times New Roman"/>
                          <w:sz w:val="20"/>
                          <w:szCs w:val="20"/>
                        </w:rPr>
                      </w:pPr>
                    </w:p>
                  </w:txbxContent>
                </v:textbox>
              </v:shape>
            </w:pict>
          </mc:Fallback>
        </mc:AlternateContent>
      </w:r>
    </w:p>
    <w:p w14:paraId="1E006645" w14:textId="77777777" w:rsidR="00CE0431" w:rsidRDefault="00CE0431" w:rsidP="00CE0431">
      <w:pPr>
        <w:spacing w:after="0" w:line="240" w:lineRule="auto"/>
        <w:ind w:left="-180" w:firstLine="180"/>
        <w:jc w:val="center"/>
        <w:rPr>
          <w:rFonts w:ascii="Times New Roman" w:hAnsi="Times New Roman"/>
          <w:b/>
          <w:bCs/>
        </w:rPr>
      </w:pPr>
    </w:p>
    <w:p w14:paraId="10602B21" w14:textId="79ED64B1" w:rsidR="00CE0431" w:rsidRDefault="00375BF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5648" behindDoc="0" locked="0" layoutInCell="1" allowOverlap="1" wp14:anchorId="35F2037A" wp14:editId="3258CA8C">
                <wp:simplePos x="0" y="0"/>
                <wp:positionH relativeFrom="column">
                  <wp:posOffset>1669947</wp:posOffset>
                </wp:positionH>
                <wp:positionV relativeFrom="paragraph">
                  <wp:posOffset>101497</wp:posOffset>
                </wp:positionV>
                <wp:extent cx="162" cy="440690"/>
                <wp:effectExtent l="76200" t="0" r="57150" b="54610"/>
                <wp:wrapNone/>
                <wp:docPr id="989590076" name="Straight Arrow Connector 4"/>
                <wp:cNvGraphicFramePr/>
                <a:graphic xmlns:a="http://schemas.openxmlformats.org/drawingml/2006/main">
                  <a:graphicData uri="http://schemas.microsoft.com/office/word/2010/wordprocessingShape">
                    <wps:wsp>
                      <wps:cNvCnPr/>
                      <wps:spPr>
                        <a:xfrm flipH="1">
                          <a:off x="0" y="0"/>
                          <a:ext cx="162" cy="44069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131.5pt;margin-top:8pt;width:0;height:34.7pt;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" strokecolor="black [3200]" strokeweight="1pt">
                <v:stroke endarrow="block" joinstyle="miter"/>
              </v:shape>
            </w:pict>
          </mc:Fallback>
        </mc:AlternateContent>
      </w:r>
    </w:p>
    <w:p w14:paraId="54633E18" w14:textId="5BFDE595" w:rsidR="00CE0431" w:rsidRDefault="00CE0431" w:rsidP="00CE0431">
      <w:pPr>
        <w:spacing w:after="0" w:line="240" w:lineRule="auto"/>
        <w:ind w:left="-180" w:firstLine="180"/>
        <w:jc w:val="center"/>
        <w:rPr>
          <w:rFonts w:ascii="Times New Roman" w:hAnsi="Times New Roman"/>
          <w:b/>
          <w:bCs/>
        </w:rPr>
      </w:pPr>
    </w:p>
    <w:p w14:paraId="7E5205E4" w14:textId="758CE412" w:rsidR="00CE0431" w:rsidRDefault="005D3A18"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9744" behindDoc="0" locked="0" layoutInCell="1" allowOverlap="1" wp14:anchorId="4A36759F" wp14:editId="39166D31">
                <wp:simplePos x="0" y="0"/>
                <wp:positionH relativeFrom="column">
                  <wp:posOffset>1657985</wp:posOffset>
                </wp:positionH>
                <wp:positionV relativeFrom="paragraph">
                  <wp:posOffset>92710</wp:posOffset>
                </wp:positionV>
                <wp:extent cx="997585" cy="0"/>
                <wp:effectExtent l="0" t="76200" r="12065" b="95250"/>
                <wp:wrapNone/>
                <wp:docPr id="520672220" name="Straight Arrow Connector 6"/>
                <wp:cNvGraphicFramePr/>
                <a:graphic xmlns:a="http://schemas.openxmlformats.org/drawingml/2006/main">
                  <a:graphicData uri="http://schemas.microsoft.com/office/word/2010/wordprocessingShape">
                    <wps:wsp>
                      <wps:cNvCnPr/>
                      <wps:spPr>
                        <a:xfrm>
                          <a:off x="0" y="0"/>
                          <a:ext cx="99758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30.55pt;margin-top:7.3pt;width:78.5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" strokecolor="black [3200]" strokeweight="1pt">
                <v:stroke endarrow="block" joinstyle="miter"/>
              </v:shape>
            </w:pict>
          </mc:Fallback>
        </mc:AlternateContent>
      </w:r>
      <w:r w:rsidR="00282E8F">
        <w:rPr>
          <w:rFonts w:ascii="Times New Roman" w:hAnsi="Times New Roman"/>
          <w:b/>
          <w:bCs/>
          <w:noProof/>
          <w:lang w:val="en-IN" w:eastAsia="en-IN"/>
        </w:rPr>
        <mc:AlternateContent>
          <mc:Choice Requires="wps">
            <w:drawing>
              <wp:anchor distT="0" distB="0" distL="114300" distR="114300" simplePos="0" relativeHeight="251677696" behindDoc="0" locked="0" layoutInCell="1" allowOverlap="1" wp14:anchorId="571FDD48" wp14:editId="7A9C39C0">
                <wp:simplePos x="0" y="0"/>
                <wp:positionH relativeFrom="column">
                  <wp:posOffset>2648197</wp:posOffset>
                </wp:positionH>
                <wp:positionV relativeFrom="paragraph">
                  <wp:posOffset>42240</wp:posOffset>
                </wp:positionV>
                <wp:extent cx="3176270" cy="975413"/>
                <wp:effectExtent l="0" t="0" r="24130" b="15240"/>
                <wp:wrapNone/>
                <wp:docPr id="1952757595" name="Text Box 1"/>
                <wp:cNvGraphicFramePr/>
                <a:graphic xmlns:a="http://schemas.openxmlformats.org/drawingml/2006/main">
                  <a:graphicData uri="http://schemas.microsoft.com/office/word/2010/wordprocessingShape">
                    <wps:wsp>
                      <wps:cNvSpPr txBox="1"/>
                      <wps:spPr>
                        <a:xfrm>
                          <a:off x="0" y="0"/>
                          <a:ext cx="3176270" cy="975413"/>
                        </a:xfrm>
                        <a:prstGeom prst="rect">
                          <a:avLst/>
                        </a:prstGeom>
                        <a:solidFill>
                          <a:schemeClr val="accent5">
                            <a:lumMod val="20000"/>
                            <a:lumOff val="80000"/>
                          </a:schemeClr>
                        </a:solidFill>
                        <a:ln w="6350">
                          <a:solidFill>
                            <a:prstClr val="black"/>
                          </a:solidFill>
                        </a:ln>
                      </wps:spPr>
                      <wps:txbx>
                        <w:txbxContent>
                          <w:p w14:paraId="125CDE16" w14:textId="61C55742" w:rsidR="00750834" w:rsidRDefault="00750834" w:rsidP="00CE0431">
                            <w:pPr>
                              <w:spacing w:after="0" w:line="240" w:lineRule="auto"/>
                              <w:rPr>
                                <w:rFonts w:ascii="Times New Roman" w:hAnsi="Times New Roman"/>
                                <w:sz w:val="20"/>
                                <w:szCs w:val="20"/>
                              </w:rPr>
                            </w:pPr>
                            <w:r>
                              <w:rPr>
                                <w:rFonts w:ascii="Times New Roman" w:hAnsi="Times New Roman"/>
                                <w:sz w:val="20"/>
                                <w:szCs w:val="20"/>
                              </w:rPr>
                              <w:t xml:space="preserve">1206 </w:t>
                            </w:r>
                            <w:r w:rsidRPr="00BA4808">
                              <w:rPr>
                                <w:rFonts w:ascii="Times New Roman" w:hAnsi="Times New Roman"/>
                                <w:sz w:val="20"/>
                                <w:szCs w:val="20"/>
                              </w:rPr>
                              <w:t xml:space="preserve">articles were excluded </w:t>
                            </w:r>
                            <w:r>
                              <w:rPr>
                                <w:rFonts w:ascii="Times New Roman" w:hAnsi="Times New Roman"/>
                                <w:sz w:val="20"/>
                                <w:szCs w:val="20"/>
                              </w:rPr>
                              <w:t>based on the full text for eligibility with the following reasons:</w:t>
                            </w:r>
                          </w:p>
                          <w:p w14:paraId="0FC0A5C5" w14:textId="77777777"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sidRPr="00210324">
                              <w:rPr>
                                <w:rFonts w:ascii="Times New Roman" w:hAnsi="Times New Roman"/>
                                <w:sz w:val="18"/>
                                <w:szCs w:val="18"/>
                              </w:rPr>
                              <w:t xml:space="preserve">Not full text </w:t>
                            </w:r>
                          </w:p>
                          <w:p w14:paraId="6CA43DBF" w14:textId="532F76E7"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examining global Oil price shocks</w:t>
                            </w:r>
                          </w:p>
                          <w:p w14:paraId="73E1B7A7" w14:textId="0388BA9B"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Outcomes related to the stability of Developing countries not report nor derived in the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08.5pt;margin-top:3.35pt;width:250.1pt;height:7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" fillcolor="#deeaf6 [664]" strokeweight=".5pt">
                <v:textbox>
                  <w:txbxContent>
                    <w:p w14:paraId="125CDE16" w14:textId="61C55742" w:rsidR="00750834" w:rsidRDefault="00750834" w:rsidP="00CE0431">
                      <w:pPr>
                        <w:spacing w:after="0" w:line="240" w:lineRule="auto"/>
                        <w:rPr>
                          <w:rFonts w:ascii="Times New Roman" w:hAnsi="Times New Roman"/>
                          <w:sz w:val="20"/>
                          <w:szCs w:val="20"/>
                        </w:rPr>
                      </w:pPr>
                      <w:r>
                        <w:rPr>
                          <w:rFonts w:ascii="Times New Roman" w:hAnsi="Times New Roman"/>
                          <w:sz w:val="20"/>
                          <w:szCs w:val="20"/>
                        </w:rPr>
                        <w:t xml:space="preserve">1206 </w:t>
                      </w:r>
                      <w:r w:rsidRPr="00BA4808">
                        <w:rPr>
                          <w:rFonts w:ascii="Times New Roman" w:hAnsi="Times New Roman"/>
                          <w:sz w:val="20"/>
                          <w:szCs w:val="20"/>
                        </w:rPr>
                        <w:t xml:space="preserve">articles were excluded </w:t>
                      </w:r>
                      <w:r>
                        <w:rPr>
                          <w:rFonts w:ascii="Times New Roman" w:hAnsi="Times New Roman"/>
                          <w:sz w:val="20"/>
                          <w:szCs w:val="20"/>
                        </w:rPr>
                        <w:t>based on the full text for eligibility with the following reasons:</w:t>
                      </w:r>
                    </w:p>
                    <w:p w14:paraId="0FC0A5C5" w14:textId="77777777"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sidRPr="00210324">
                        <w:rPr>
                          <w:rFonts w:ascii="Times New Roman" w:hAnsi="Times New Roman"/>
                          <w:sz w:val="18"/>
                          <w:szCs w:val="18"/>
                        </w:rPr>
                        <w:t xml:space="preserve">Not full text </w:t>
                      </w:r>
                    </w:p>
                    <w:p w14:paraId="6CA43DBF" w14:textId="532F76E7"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Not examining global Oil price shocks</w:t>
                      </w:r>
                    </w:p>
                    <w:p w14:paraId="73E1B7A7" w14:textId="0388BA9B" w:rsidR="00750834" w:rsidRPr="00210324" w:rsidRDefault="00750834" w:rsidP="00CE0431">
                      <w:pPr>
                        <w:pStyle w:val="ListParagraph"/>
                        <w:numPr>
                          <w:ilvl w:val="0"/>
                          <w:numId w:val="4"/>
                        </w:numPr>
                        <w:spacing w:after="0" w:line="240" w:lineRule="auto"/>
                        <w:ind w:hanging="203"/>
                        <w:rPr>
                          <w:rFonts w:ascii="Times New Roman" w:hAnsi="Times New Roman"/>
                          <w:sz w:val="18"/>
                          <w:szCs w:val="18"/>
                        </w:rPr>
                      </w:pPr>
                      <w:r>
                        <w:rPr>
                          <w:rFonts w:ascii="Times New Roman" w:hAnsi="Times New Roman"/>
                          <w:sz w:val="18"/>
                          <w:szCs w:val="18"/>
                        </w:rPr>
                        <w:t>Outcomes related to the stability of Developing countries not report nor derived in the study</w:t>
                      </w:r>
                    </w:p>
                  </w:txbxContent>
                </v:textbox>
              </v:shape>
            </w:pict>
          </mc:Fallback>
        </mc:AlternateContent>
      </w:r>
    </w:p>
    <w:p w14:paraId="2BB9009A" w14:textId="360861C9" w:rsidR="00CE0431" w:rsidRDefault="00375BF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3600" behindDoc="0" locked="0" layoutInCell="1" allowOverlap="1" wp14:anchorId="2E7E0DA7" wp14:editId="566083DE">
                <wp:simplePos x="0" y="0"/>
                <wp:positionH relativeFrom="column">
                  <wp:posOffset>861060</wp:posOffset>
                </wp:positionH>
                <wp:positionV relativeFrom="paragraph">
                  <wp:posOffset>56515</wp:posOffset>
                </wp:positionV>
                <wp:extent cx="1594485" cy="701675"/>
                <wp:effectExtent l="0" t="0" r="24765" b="22225"/>
                <wp:wrapNone/>
                <wp:docPr id="431704842" name="Text Box 1"/>
                <wp:cNvGraphicFramePr/>
                <a:graphic xmlns:a="http://schemas.openxmlformats.org/drawingml/2006/main">
                  <a:graphicData uri="http://schemas.microsoft.com/office/word/2010/wordprocessingShape">
                    <wps:wsp>
                      <wps:cNvSpPr txBox="1"/>
                      <wps:spPr>
                        <a:xfrm>
                          <a:off x="0" y="0"/>
                          <a:ext cx="1594485" cy="701675"/>
                        </a:xfrm>
                        <a:prstGeom prst="rect">
                          <a:avLst/>
                        </a:prstGeom>
                        <a:solidFill>
                          <a:schemeClr val="accent5">
                            <a:lumMod val="20000"/>
                            <a:lumOff val="80000"/>
                          </a:schemeClr>
                        </a:solidFill>
                        <a:ln w="6350">
                          <a:solidFill>
                            <a:prstClr val="black"/>
                          </a:solidFill>
                        </a:ln>
                      </wps:spPr>
                      <wps:txbx>
                        <w:txbxContent>
                          <w:p w14:paraId="354F77D5" w14:textId="4F203BED"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Full text articles assessed for eligibility (n = 15)</w:t>
                            </w:r>
                          </w:p>
                          <w:p w14:paraId="6BAB9A7C" w14:textId="6DBFAA84" w:rsidR="00750834" w:rsidRPr="00B56E74" w:rsidRDefault="00750834" w:rsidP="00375BF1">
                            <w:pPr>
                              <w:spacing w:after="0" w:line="240" w:lineRule="auto"/>
                              <w:jc w:val="center"/>
                              <w:rPr>
                                <w:rFonts w:ascii="Times New Roman" w:hAnsi="Times New Roman"/>
                                <w:sz w:val="20"/>
                                <w:szCs w:val="20"/>
                              </w:rPr>
                            </w:pPr>
                            <w:r>
                              <w:rPr>
                                <w:rFonts w:ascii="Times New Roman" w:hAnsi="Times New Roman"/>
                                <w:sz w:val="20"/>
                                <w:szCs w:val="20"/>
                              </w:rPr>
                              <w:t>Article assessed from reference list (n =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67.8pt;margin-top:4.45pt;width:125.55pt;height:5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" fillcolor="#deeaf6 [664]" strokeweight=".5pt">
                <v:textbox>
                  <w:txbxContent>
                    <w:p w14:paraId="354F77D5" w14:textId="4F203BED"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Full text articles assessed for eligibility (n = 15)</w:t>
                      </w:r>
                    </w:p>
                    <w:p w14:paraId="6BAB9A7C" w14:textId="6DBFAA84" w:rsidR="00750834" w:rsidRPr="00B56E74" w:rsidRDefault="00750834" w:rsidP="00375BF1">
                      <w:pPr>
                        <w:spacing w:after="0" w:line="240" w:lineRule="auto"/>
                        <w:jc w:val="center"/>
                        <w:rPr>
                          <w:rFonts w:ascii="Times New Roman" w:hAnsi="Times New Roman"/>
                          <w:sz w:val="20"/>
                          <w:szCs w:val="20"/>
                        </w:rPr>
                      </w:pPr>
                      <w:r>
                        <w:rPr>
                          <w:rFonts w:ascii="Times New Roman" w:hAnsi="Times New Roman"/>
                          <w:sz w:val="20"/>
                          <w:szCs w:val="20"/>
                        </w:rPr>
                        <w:t>Article assessed from reference list (n = 13)</w:t>
                      </w:r>
                    </w:p>
                  </w:txbxContent>
                </v:textbox>
              </v:shape>
            </w:pict>
          </mc:Fallback>
        </mc:AlternateContent>
      </w:r>
    </w:p>
    <w:p w14:paraId="7358E8B0"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1312" behindDoc="0" locked="0" layoutInCell="1" allowOverlap="1" wp14:anchorId="572D4A81" wp14:editId="164A3371">
                <wp:simplePos x="0" y="0"/>
                <wp:positionH relativeFrom="column">
                  <wp:posOffset>-50727</wp:posOffset>
                </wp:positionH>
                <wp:positionV relativeFrom="paragraph">
                  <wp:posOffset>27564</wp:posOffset>
                </wp:positionV>
                <wp:extent cx="814530" cy="328295"/>
                <wp:effectExtent l="0" t="4763" r="19368" b="19367"/>
                <wp:wrapNone/>
                <wp:docPr id="1571131163" name="Text Box 1"/>
                <wp:cNvGraphicFramePr/>
                <a:graphic xmlns:a="http://schemas.openxmlformats.org/drawingml/2006/main">
                  <a:graphicData uri="http://schemas.microsoft.com/office/word/2010/wordprocessingShape">
                    <wps:wsp>
                      <wps:cNvSpPr txBox="1"/>
                      <wps:spPr>
                        <a:xfrm rot="16200000">
                          <a:off x="0" y="0"/>
                          <a:ext cx="814530" cy="328295"/>
                        </a:xfrm>
                        <a:prstGeom prst="rect">
                          <a:avLst/>
                        </a:prstGeom>
                        <a:solidFill>
                          <a:schemeClr val="accent5">
                            <a:lumMod val="20000"/>
                            <a:lumOff val="80000"/>
                          </a:schemeClr>
                        </a:solidFill>
                        <a:ln w="6350">
                          <a:solidFill>
                            <a:prstClr val="black"/>
                          </a:solidFill>
                        </a:ln>
                      </wps:spPr>
                      <wps:txbx>
                        <w:txbxContent>
                          <w:p w14:paraId="31526BAD" w14:textId="77777777" w:rsidR="00750834" w:rsidRPr="00365873" w:rsidRDefault="00750834" w:rsidP="00CE0431">
                            <w:pPr>
                              <w:jc w:val="center"/>
                              <w:rPr>
                                <w:rFonts w:ascii="Times New Roman" w:hAnsi="Times New Roman" w:cs="Times New Roman"/>
                              </w:rPr>
                            </w:pPr>
                            <w:r>
                              <w:rPr>
                                <w:rFonts w:ascii="Times New Roman" w:hAnsi="Times New Roman" w:cs="Times New Roman"/>
                              </w:rPr>
                              <w:t>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36" type="#_x0000_t202" style="position:absolute;left:0;text-align:left;margin-left:-4pt;margin-top:2.15pt;width:64.15pt;height:25.8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" fillcolor="#deeaf6 [664]" strokeweight=".5pt">
                <v:textbox>
                  <w:txbxContent>
                    <w:p w14:paraId="31526BAD" w14:textId="77777777" w:rsidR="00750834" w:rsidRPr="00365873" w:rsidRDefault="00750834" w:rsidP="00CE0431">
                      <w:pPr>
                        <w:jc w:val="center"/>
                        <w:rPr>
                          <w:rFonts w:ascii="Times New Roman" w:hAnsi="Times New Roman" w:cs="Times New Roman"/>
                        </w:rPr>
                      </w:pPr>
                      <w:r>
                        <w:rPr>
                          <w:rFonts w:ascii="Times New Roman" w:hAnsi="Times New Roman" w:cs="Times New Roman"/>
                        </w:rPr>
                        <w:t>Eligibility</w:t>
                      </w:r>
                    </w:p>
                  </w:txbxContent>
                </v:textbox>
              </v:shape>
            </w:pict>
          </mc:Fallback>
        </mc:AlternateContent>
      </w:r>
    </w:p>
    <w:p w14:paraId="34E3927D" w14:textId="77777777" w:rsidR="00CE0431" w:rsidRDefault="00CE0431" w:rsidP="00CE0431">
      <w:pPr>
        <w:spacing w:after="0" w:line="240" w:lineRule="auto"/>
        <w:ind w:left="-180" w:firstLine="180"/>
        <w:jc w:val="center"/>
        <w:rPr>
          <w:rFonts w:ascii="Times New Roman" w:hAnsi="Times New Roman"/>
          <w:b/>
          <w:bCs/>
        </w:rPr>
      </w:pPr>
    </w:p>
    <w:p w14:paraId="19778447" w14:textId="77777777" w:rsidR="00CE0431" w:rsidRDefault="00CE0431" w:rsidP="00CE0431">
      <w:pPr>
        <w:spacing w:after="0" w:line="240" w:lineRule="auto"/>
        <w:ind w:left="-180" w:firstLine="180"/>
        <w:jc w:val="center"/>
        <w:rPr>
          <w:rFonts w:ascii="Times New Roman" w:hAnsi="Times New Roman"/>
          <w:b/>
          <w:bCs/>
        </w:rPr>
      </w:pPr>
    </w:p>
    <w:p w14:paraId="191A5A7B" w14:textId="77777777" w:rsidR="00CE0431" w:rsidRDefault="00CE0431"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6672" behindDoc="0" locked="0" layoutInCell="1" allowOverlap="1" wp14:anchorId="58FF6B78" wp14:editId="7C3E9364">
                <wp:simplePos x="0" y="0"/>
                <wp:positionH relativeFrom="column">
                  <wp:posOffset>1650670</wp:posOffset>
                </wp:positionH>
                <wp:positionV relativeFrom="paragraph">
                  <wp:posOffset>129614</wp:posOffset>
                </wp:positionV>
                <wp:extent cx="11875" cy="522515"/>
                <wp:effectExtent l="38100" t="0" r="64770" b="49530"/>
                <wp:wrapNone/>
                <wp:docPr id="1840096753" name="Straight Arrow Connector 7"/>
                <wp:cNvGraphicFramePr/>
                <a:graphic xmlns:a="http://schemas.openxmlformats.org/drawingml/2006/main">
                  <a:graphicData uri="http://schemas.microsoft.com/office/word/2010/wordprocessingShape">
                    <wps:wsp>
                      <wps:cNvCnPr/>
                      <wps:spPr>
                        <a:xfrm>
                          <a:off x="0" y="0"/>
                          <a:ext cx="11875" cy="52251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29.95pt;margin-top:10.2pt;width:.95pt;height:4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" strokecolor="black [3200]" strokeweight="1pt">
                <v:stroke endarrow="block" joinstyle="miter"/>
              </v:shape>
            </w:pict>
          </mc:Fallback>
        </mc:AlternateContent>
      </w:r>
    </w:p>
    <w:p w14:paraId="230DED7D" w14:textId="74A1EB74" w:rsidR="00CE0431" w:rsidRDefault="003D0F83"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8720" behindDoc="0" locked="0" layoutInCell="1" allowOverlap="1" wp14:anchorId="531F3979" wp14:editId="68060DDF">
                <wp:simplePos x="0" y="0"/>
                <wp:positionH relativeFrom="column">
                  <wp:posOffset>2664460</wp:posOffset>
                </wp:positionH>
                <wp:positionV relativeFrom="paragraph">
                  <wp:posOffset>139890</wp:posOffset>
                </wp:positionV>
                <wp:extent cx="3176270" cy="570230"/>
                <wp:effectExtent l="0" t="0" r="24130" b="20320"/>
                <wp:wrapNone/>
                <wp:docPr id="484220174" name="Text Box 1"/>
                <wp:cNvGraphicFramePr/>
                <a:graphic xmlns:a="http://schemas.openxmlformats.org/drawingml/2006/main">
                  <a:graphicData uri="http://schemas.microsoft.com/office/word/2010/wordprocessingShape">
                    <wps:wsp>
                      <wps:cNvSpPr txBox="1"/>
                      <wps:spPr>
                        <a:xfrm>
                          <a:off x="0" y="0"/>
                          <a:ext cx="3176270" cy="570230"/>
                        </a:xfrm>
                        <a:prstGeom prst="rect">
                          <a:avLst/>
                        </a:prstGeom>
                        <a:solidFill>
                          <a:schemeClr val="accent4">
                            <a:lumMod val="20000"/>
                            <a:lumOff val="80000"/>
                          </a:schemeClr>
                        </a:solidFill>
                        <a:ln w="6350">
                          <a:solidFill>
                            <a:prstClr val="black"/>
                          </a:solidFill>
                        </a:ln>
                      </wps:spPr>
                      <wps:txbx>
                        <w:txbxContent>
                          <w:p w14:paraId="41F9A397" w14:textId="76892FD2" w:rsidR="00750834" w:rsidRPr="00B56E74" w:rsidRDefault="00750834" w:rsidP="00CE0431">
                            <w:pPr>
                              <w:spacing w:after="0" w:line="240" w:lineRule="auto"/>
                              <w:rPr>
                                <w:rFonts w:ascii="Times New Roman" w:hAnsi="Times New Roman"/>
                                <w:sz w:val="20"/>
                                <w:szCs w:val="20"/>
                              </w:rPr>
                            </w:pPr>
                            <w:r>
                              <w:rPr>
                                <w:rFonts w:ascii="Times New Roman" w:hAnsi="Times New Roman"/>
                                <w:sz w:val="20"/>
                                <w:szCs w:val="20"/>
                              </w:rPr>
                              <w:t>8</w:t>
                            </w:r>
                            <w:r w:rsidRPr="00BA4808">
                              <w:rPr>
                                <w:rFonts w:ascii="Times New Roman" w:hAnsi="Times New Roman"/>
                                <w:sz w:val="20"/>
                                <w:szCs w:val="20"/>
                              </w:rPr>
                              <w:t xml:space="preserve"> articles were excluded </w:t>
                            </w:r>
                            <w:r>
                              <w:rPr>
                                <w:rFonts w:ascii="Times New Roman" w:hAnsi="Times New Roman"/>
                                <w:sz w:val="20"/>
                                <w:szCs w:val="20"/>
                              </w:rPr>
                              <w:t>because of low quality in methodology, findings focused on the checklist, and feasibility of the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09.8pt;margin-top:11pt;width:250.1pt;height:4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" fillcolor="#fff2cc [663]" strokeweight=".5pt">
                <v:textbox>
                  <w:txbxContent>
                    <w:p w14:paraId="41F9A397" w14:textId="76892FD2" w:rsidR="00750834" w:rsidRPr="00B56E74" w:rsidRDefault="00750834" w:rsidP="00CE0431">
                      <w:pPr>
                        <w:spacing w:after="0" w:line="240" w:lineRule="auto"/>
                        <w:rPr>
                          <w:rFonts w:ascii="Times New Roman" w:hAnsi="Times New Roman"/>
                          <w:sz w:val="20"/>
                          <w:szCs w:val="20"/>
                        </w:rPr>
                      </w:pPr>
                      <w:r>
                        <w:rPr>
                          <w:rFonts w:ascii="Times New Roman" w:hAnsi="Times New Roman"/>
                          <w:sz w:val="20"/>
                          <w:szCs w:val="20"/>
                        </w:rPr>
                        <w:t>8</w:t>
                      </w:r>
                      <w:r w:rsidRPr="00BA4808">
                        <w:rPr>
                          <w:rFonts w:ascii="Times New Roman" w:hAnsi="Times New Roman"/>
                          <w:sz w:val="20"/>
                          <w:szCs w:val="20"/>
                        </w:rPr>
                        <w:t xml:space="preserve"> articles were excluded </w:t>
                      </w:r>
                      <w:r>
                        <w:rPr>
                          <w:rFonts w:ascii="Times New Roman" w:hAnsi="Times New Roman"/>
                          <w:sz w:val="20"/>
                          <w:szCs w:val="20"/>
                        </w:rPr>
                        <w:t>because of low quality in methodology, findings focused on the checklist, and feasibility of the study.</w:t>
                      </w:r>
                    </w:p>
                  </w:txbxContent>
                </v:textbox>
              </v:shape>
            </w:pict>
          </mc:Fallback>
        </mc:AlternateContent>
      </w:r>
    </w:p>
    <w:p w14:paraId="685C8EDA" w14:textId="7659F892" w:rsidR="00CE0431" w:rsidRDefault="00B4440A"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60288" behindDoc="0" locked="0" layoutInCell="1" allowOverlap="1" wp14:anchorId="7632A570" wp14:editId="74D19120">
                <wp:simplePos x="0" y="0"/>
                <wp:positionH relativeFrom="column">
                  <wp:posOffset>-66858</wp:posOffset>
                </wp:positionH>
                <wp:positionV relativeFrom="paragraph">
                  <wp:posOffset>139062</wp:posOffset>
                </wp:positionV>
                <wp:extent cx="836198" cy="328295"/>
                <wp:effectExtent l="6032" t="0" r="27623" b="27622"/>
                <wp:wrapNone/>
                <wp:docPr id="1081111299" name="Text Box 1"/>
                <wp:cNvGraphicFramePr/>
                <a:graphic xmlns:a="http://schemas.openxmlformats.org/drawingml/2006/main">
                  <a:graphicData uri="http://schemas.microsoft.com/office/word/2010/wordprocessingShape">
                    <wps:wsp>
                      <wps:cNvSpPr txBox="1"/>
                      <wps:spPr>
                        <a:xfrm rot="16200000">
                          <a:off x="0" y="0"/>
                          <a:ext cx="836198" cy="328295"/>
                        </a:xfrm>
                        <a:prstGeom prst="rect">
                          <a:avLst/>
                        </a:prstGeom>
                        <a:solidFill>
                          <a:schemeClr val="accent1">
                            <a:lumMod val="60000"/>
                            <a:lumOff val="40000"/>
                          </a:schemeClr>
                        </a:solidFill>
                        <a:ln w="6350">
                          <a:solidFill>
                            <a:prstClr val="black"/>
                          </a:solidFill>
                        </a:ln>
                      </wps:spPr>
                      <wps:txbx>
                        <w:txbxContent>
                          <w:p w14:paraId="4336D50E" w14:textId="77777777" w:rsidR="00750834" w:rsidRPr="00365873" w:rsidRDefault="00750834" w:rsidP="00CE0431">
                            <w:pPr>
                              <w:jc w:val="center"/>
                              <w:rPr>
                                <w:rFonts w:ascii="Times New Roman" w:hAnsi="Times New Roman" w:cs="Times New Roman"/>
                              </w:rPr>
                            </w:pPr>
                            <w:r w:rsidRPr="00365873">
                              <w:rPr>
                                <w:rFonts w:ascii="Times New Roman" w:hAnsi="Times New Roman" w:cs="Times New Roman"/>
                              </w:rPr>
                              <w:t>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38" type="#_x0000_t202" style="position:absolute;left:0;text-align:left;margin-left:-5.25pt;margin-top:10.95pt;width:65.85pt;height:25.85pt;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" fillcolor="#8eaadb [1940]" strokeweight=".5pt">
                <v:textbox>
                  <w:txbxContent>
                    <w:p w14:paraId="4336D50E" w14:textId="77777777" w:rsidR="00750834" w:rsidRPr="00365873" w:rsidRDefault="00750834" w:rsidP="00CE0431">
                      <w:pPr>
                        <w:jc w:val="center"/>
                        <w:rPr>
                          <w:rFonts w:ascii="Times New Roman" w:hAnsi="Times New Roman" w:cs="Times New Roman"/>
                        </w:rPr>
                      </w:pPr>
                      <w:r w:rsidRPr="00365873">
                        <w:rPr>
                          <w:rFonts w:ascii="Times New Roman" w:hAnsi="Times New Roman" w:cs="Times New Roman"/>
                        </w:rPr>
                        <w:t>Included</w:t>
                      </w:r>
                    </w:p>
                  </w:txbxContent>
                </v:textbox>
              </v:shape>
            </w:pict>
          </mc:Fallback>
        </mc:AlternateContent>
      </w:r>
    </w:p>
    <w:p w14:paraId="41E1351C" w14:textId="03BE0E5A" w:rsidR="00CE0431" w:rsidRDefault="00282E8F"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80768" behindDoc="0" locked="0" layoutInCell="1" allowOverlap="1" wp14:anchorId="69F0699E" wp14:editId="0AF22464">
                <wp:simplePos x="0" y="0"/>
                <wp:positionH relativeFrom="column">
                  <wp:posOffset>1658620</wp:posOffset>
                </wp:positionH>
                <wp:positionV relativeFrom="paragraph">
                  <wp:posOffset>34735</wp:posOffset>
                </wp:positionV>
                <wp:extent cx="997585" cy="0"/>
                <wp:effectExtent l="0" t="76200" r="12065" b="95250"/>
                <wp:wrapNone/>
                <wp:docPr id="1598517842" name="Straight Arrow Connector 6"/>
                <wp:cNvGraphicFramePr/>
                <a:graphic xmlns:a="http://schemas.openxmlformats.org/drawingml/2006/main">
                  <a:graphicData uri="http://schemas.microsoft.com/office/word/2010/wordprocessingShape">
                    <wps:wsp>
                      <wps:cNvCnPr/>
                      <wps:spPr>
                        <a:xfrm>
                          <a:off x="0" y="0"/>
                          <a:ext cx="99758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30.6pt;margin-top:2.75pt;width:78.5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" strokecolor="black [3200]" strokeweight="1pt">
                <v:stroke endarrow="block" joinstyle="miter"/>
              </v:shape>
            </w:pict>
          </mc:Fallback>
        </mc:AlternateContent>
      </w:r>
    </w:p>
    <w:p w14:paraId="77BF4CEF" w14:textId="21CA2ECB" w:rsidR="00CE0431" w:rsidRDefault="00282E8F" w:rsidP="00CE0431">
      <w:pPr>
        <w:spacing w:after="0" w:line="240" w:lineRule="auto"/>
        <w:ind w:left="-180" w:firstLine="180"/>
        <w:jc w:val="center"/>
        <w:rPr>
          <w:rFonts w:ascii="Times New Roman" w:hAnsi="Times New Roman"/>
          <w:b/>
          <w:bCs/>
        </w:rPr>
      </w:pPr>
      <w:r>
        <w:rPr>
          <w:rFonts w:ascii="Times New Roman" w:hAnsi="Times New Roman"/>
          <w:b/>
          <w:bCs/>
          <w:noProof/>
          <w:lang w:val="en-IN" w:eastAsia="en-IN"/>
        </w:rPr>
        <mc:AlternateContent>
          <mc:Choice Requires="wps">
            <w:drawing>
              <wp:anchor distT="0" distB="0" distL="114300" distR="114300" simplePos="0" relativeHeight="251674624" behindDoc="0" locked="0" layoutInCell="1" allowOverlap="1" wp14:anchorId="6B3E31AF" wp14:editId="750BFD6C">
                <wp:simplePos x="0" y="0"/>
                <wp:positionH relativeFrom="column">
                  <wp:posOffset>869315</wp:posOffset>
                </wp:positionH>
                <wp:positionV relativeFrom="paragraph">
                  <wp:posOffset>8255</wp:posOffset>
                </wp:positionV>
                <wp:extent cx="1594485" cy="409575"/>
                <wp:effectExtent l="0" t="0" r="24765" b="28575"/>
                <wp:wrapNone/>
                <wp:docPr id="231005375" name="Text Box 1"/>
                <wp:cNvGraphicFramePr/>
                <a:graphic xmlns:a="http://schemas.openxmlformats.org/drawingml/2006/main">
                  <a:graphicData uri="http://schemas.microsoft.com/office/word/2010/wordprocessingShape">
                    <wps:wsp>
                      <wps:cNvSpPr txBox="1"/>
                      <wps:spPr>
                        <a:xfrm>
                          <a:off x="0" y="0"/>
                          <a:ext cx="1594485" cy="409575"/>
                        </a:xfrm>
                        <a:prstGeom prst="rect">
                          <a:avLst/>
                        </a:prstGeom>
                        <a:solidFill>
                          <a:schemeClr val="accent1">
                            <a:lumMod val="60000"/>
                            <a:lumOff val="40000"/>
                          </a:schemeClr>
                        </a:solidFill>
                        <a:ln w="6350">
                          <a:solidFill>
                            <a:prstClr val="black"/>
                          </a:solidFill>
                        </a:ln>
                      </wps:spPr>
                      <wps:txbx>
                        <w:txbxContent>
                          <w:p w14:paraId="2105A63C" w14:textId="77777777"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Studies included</w:t>
                            </w:r>
                          </w:p>
                          <w:p w14:paraId="70C6FF1F" w14:textId="0ECA6C34"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(n = 28)</w:t>
                            </w:r>
                          </w:p>
                          <w:p w14:paraId="1D36325D" w14:textId="77777777" w:rsidR="00750834" w:rsidRPr="00B56E74" w:rsidRDefault="00750834" w:rsidP="00CE0431">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68.45pt;margin-top:.65pt;width:125.5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" fillcolor="#8eaadb [1940]" strokeweight=".5pt">
                <v:textbox>
                  <w:txbxContent>
                    <w:p w14:paraId="2105A63C" w14:textId="77777777" w:rsidR="0075083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Studies included</w:t>
                      </w:r>
                    </w:p>
                    <w:p w14:paraId="70C6FF1F" w14:textId="0ECA6C34" w:rsidR="00750834" w:rsidRPr="00B56E74" w:rsidRDefault="00750834" w:rsidP="00CE0431">
                      <w:pPr>
                        <w:spacing w:after="0" w:line="240" w:lineRule="auto"/>
                        <w:jc w:val="center"/>
                        <w:rPr>
                          <w:rFonts w:ascii="Times New Roman" w:hAnsi="Times New Roman"/>
                          <w:sz w:val="20"/>
                          <w:szCs w:val="20"/>
                        </w:rPr>
                      </w:pPr>
                      <w:r>
                        <w:rPr>
                          <w:rFonts w:ascii="Times New Roman" w:hAnsi="Times New Roman"/>
                          <w:sz w:val="20"/>
                          <w:szCs w:val="20"/>
                        </w:rPr>
                        <w:t>(n = 28)</w:t>
                      </w:r>
                    </w:p>
                    <w:p w14:paraId="1D36325D" w14:textId="77777777" w:rsidR="00750834" w:rsidRPr="00B56E74" w:rsidRDefault="00750834" w:rsidP="00CE0431">
                      <w:pPr>
                        <w:spacing w:after="0" w:line="240" w:lineRule="auto"/>
                        <w:jc w:val="center"/>
                        <w:rPr>
                          <w:rFonts w:ascii="Times New Roman" w:hAnsi="Times New Roman"/>
                          <w:sz w:val="20"/>
                          <w:szCs w:val="20"/>
                        </w:rPr>
                      </w:pPr>
                    </w:p>
                  </w:txbxContent>
                </v:textbox>
              </v:shape>
            </w:pict>
          </mc:Fallback>
        </mc:AlternateContent>
      </w:r>
    </w:p>
    <w:p w14:paraId="00F75DE5" w14:textId="77777777" w:rsidR="00CE0431" w:rsidRDefault="00CE0431" w:rsidP="00CE0431">
      <w:pPr>
        <w:spacing w:after="0" w:line="240" w:lineRule="auto"/>
        <w:ind w:left="-180" w:firstLine="180"/>
        <w:jc w:val="center"/>
        <w:rPr>
          <w:rFonts w:ascii="Times New Roman" w:hAnsi="Times New Roman"/>
          <w:b/>
          <w:bCs/>
        </w:rPr>
      </w:pPr>
    </w:p>
    <w:p w14:paraId="2CD9D16A" w14:textId="77777777" w:rsidR="00CE0431" w:rsidRDefault="00CE0431" w:rsidP="00CE0431">
      <w:pPr>
        <w:spacing w:after="0" w:line="240" w:lineRule="auto"/>
        <w:rPr>
          <w:rFonts w:ascii="Times New Roman" w:hAnsi="Times New Roman"/>
          <w:b/>
          <w:bCs/>
        </w:rPr>
      </w:pPr>
    </w:p>
    <w:p w14:paraId="3B43A454" w14:textId="77777777" w:rsidR="00CE0431" w:rsidRDefault="00CE0431" w:rsidP="00CE0431">
      <w:pPr>
        <w:spacing w:after="0" w:line="240" w:lineRule="auto"/>
        <w:rPr>
          <w:rFonts w:ascii="Times New Roman" w:hAnsi="Times New Roman"/>
          <w:b/>
          <w:bCs/>
        </w:rPr>
      </w:pPr>
    </w:p>
    <w:p w14:paraId="04AC918B" w14:textId="6F689CB2" w:rsidR="00CE0431" w:rsidRDefault="00CE0431" w:rsidP="00294E6E">
      <w:pPr>
        <w:spacing w:after="0" w:line="240" w:lineRule="auto"/>
        <w:ind w:left="-180" w:firstLine="180"/>
        <w:jc w:val="center"/>
        <w:rPr>
          <w:rFonts w:ascii="Times New Roman" w:hAnsi="Times New Roman"/>
        </w:rPr>
      </w:pPr>
      <w:r w:rsidRPr="005047E9">
        <w:rPr>
          <w:rFonts w:ascii="Times New Roman" w:hAnsi="Times New Roman"/>
          <w:b/>
          <w:bCs/>
        </w:rPr>
        <w:t>Figure 1</w:t>
      </w:r>
      <w:r w:rsidRPr="00EF0F7E">
        <w:rPr>
          <w:rFonts w:ascii="Times New Roman" w:hAnsi="Times New Roman"/>
        </w:rPr>
        <w:t>. PRISMA flowchart</w:t>
      </w:r>
      <w:bookmarkEnd w:id="3"/>
    </w:p>
    <w:p w14:paraId="520039E0" w14:textId="77777777" w:rsidR="00B4440A" w:rsidRDefault="00B4440A" w:rsidP="00294E6E">
      <w:pPr>
        <w:spacing w:after="0" w:line="240" w:lineRule="auto"/>
        <w:ind w:left="-180" w:firstLine="180"/>
        <w:jc w:val="center"/>
        <w:rPr>
          <w:rFonts w:ascii="Times New Roman" w:hAnsi="Times New Roman"/>
        </w:rPr>
      </w:pPr>
    </w:p>
    <w:p w14:paraId="0D4F75A4" w14:textId="77777777" w:rsidR="00B4440A" w:rsidRDefault="00EF0F7E" w:rsidP="00B4440A">
      <w:pPr>
        <w:spacing w:after="0" w:line="240" w:lineRule="auto"/>
        <w:jc w:val="both"/>
        <w:rPr>
          <w:rFonts w:ascii="Times New Roman" w:hAnsi="Times New Roman"/>
        </w:rPr>
      </w:pPr>
      <w:r w:rsidRPr="00EF0F7E">
        <w:rPr>
          <w:rFonts w:ascii="Times New Roman" w:hAnsi="Times New Roman"/>
        </w:rPr>
        <w:t>3.2</w:t>
      </w:r>
      <w:r w:rsidRPr="00EF0F7E">
        <w:rPr>
          <w:rFonts w:ascii="Times New Roman" w:hAnsi="Times New Roman"/>
        </w:rPr>
        <w:tab/>
        <w:t>Participants</w:t>
      </w:r>
      <w:r w:rsidR="009B698C">
        <w:rPr>
          <w:rFonts w:ascii="Times New Roman" w:hAnsi="Times New Roman"/>
        </w:rPr>
        <w:t xml:space="preserve"> and study setting</w:t>
      </w:r>
      <w:r w:rsidR="00B4440A">
        <w:rPr>
          <w:rFonts w:ascii="Times New Roman" w:hAnsi="Times New Roman"/>
        </w:rPr>
        <w:t>s</w:t>
      </w:r>
    </w:p>
    <w:p w14:paraId="68FE6636" w14:textId="77777777" w:rsidR="00B4440A" w:rsidRDefault="00B4440A" w:rsidP="00B4440A">
      <w:pPr>
        <w:spacing w:after="0" w:line="240" w:lineRule="auto"/>
        <w:jc w:val="both"/>
        <w:rPr>
          <w:rFonts w:ascii="Times New Roman" w:hAnsi="Times New Roman"/>
        </w:rPr>
      </w:pPr>
    </w:p>
    <w:p w14:paraId="76CCF63B" w14:textId="006D3FD8"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071450">
        <w:rPr>
          <w:rFonts w:ascii="Times New Roman" w:eastAsia="Times New Roman" w:hAnsi="Times New Roman" w:cs="Times New Roman"/>
          <w:kern w:val="0"/>
          <w:szCs w:val="24"/>
          <w:lang w:eastAsia="en-PH"/>
          <w14:ligatures w14:val="none"/>
        </w:rPr>
        <w:t>The “participants” in the included studies were not individuals in the traditional sense, but rather countries, regions, or economic systems analyzed using macroeconomic and panel datasets. Across the nine studies, the units of analysis primarily consisted of developing economies, including both oil-exporting and oil-importing countries. Several studies focused on single-country contexts such as Nigeria, Jordan, and Saudi Arabia, while others examined broader samples including multiple developing countries or global panels comprising both emerging and developed economies (see Appendix 1, Table 2).</w:t>
      </w:r>
    </w:p>
    <w:p w14:paraId="300F2ED2" w14:textId="2BB87E8F"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lastRenderedPageBreak/>
        <w:t xml:space="preserve">  </w:t>
      </w:r>
      <w:r w:rsidRPr="00071450">
        <w:rPr>
          <w:rFonts w:ascii="Times New Roman" w:eastAsia="Times New Roman" w:hAnsi="Times New Roman" w:cs="Times New Roman"/>
          <w:kern w:val="0"/>
          <w:szCs w:val="24"/>
          <w:lang w:eastAsia="en-PH"/>
          <w14:ligatures w14:val="none"/>
        </w:rPr>
        <w:t>Multi-country studies involved large datasets, such as panels of oil-exporting developing countries and global samples exceeding 100 countries, allowing for cross-country comparisons of how oil price shocks influence economic stability. In contrast, country-specific studies provided more in-depth insights into national economic dynamics, particularly in economies heavily dependent on oil imports or exports. These differences in analytical scope contributed to variations in findings, especially in relation to macroeconomic responses and policy implications.</w:t>
      </w:r>
    </w:p>
    <w:p w14:paraId="5183EBA8" w14:textId="171E1AAA"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071450">
        <w:rPr>
          <w:rFonts w:ascii="Times New Roman" w:eastAsia="Times New Roman" w:hAnsi="Times New Roman" w:cs="Times New Roman"/>
          <w:kern w:val="0"/>
          <w:szCs w:val="24"/>
          <w:lang w:eastAsia="en-PH"/>
          <w14:ligatures w14:val="none"/>
        </w:rPr>
        <w:t>The study settings were predominantly macroeconomic and policy-oriented environments rather than institutional or classroom-based contexts. Most analyses were conducted using national-level or international datasets obtained from global financial and economic databases, reflecting indicators such as GDP, inflation, exchange rates, trade flows, and financial stability indices. One study extended beyond national-level analysis by examining firm-level data in the energy sector, while another focused on industry-specific dynamics within the global maritime sector, highlighting the broader economic transmission channels of oil price shocks.</w:t>
      </w:r>
    </w:p>
    <w:p w14:paraId="4CF45CCE" w14:textId="674B9FEB"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071450">
        <w:rPr>
          <w:rFonts w:ascii="Times New Roman" w:eastAsia="Times New Roman" w:hAnsi="Times New Roman" w:cs="Times New Roman"/>
          <w:kern w:val="0"/>
          <w:szCs w:val="24"/>
          <w:lang w:eastAsia="en-PH"/>
          <w14:ligatures w14:val="none"/>
        </w:rPr>
        <w:t>In terms of temporal settings, the studies covered varying time horizons, with several spanning multiple decades (e.g., late 1980s to early 2020s), enabling the examination of both short-term volatility and long-term structural effects. Other studies focused on more recent periods to capture contemporary economic conditions and policy responses. A few studies did not explicitly report their timeframes, indicating minor inconsistencies in methodological reporting.</w:t>
      </w:r>
    </w:p>
    <w:p w14:paraId="410AE8B2" w14:textId="2EC5626D" w:rsidR="00EF0F7E" w:rsidRDefault="00071450" w:rsidP="00071450">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071450">
        <w:rPr>
          <w:rFonts w:ascii="Times New Roman" w:eastAsia="Times New Roman" w:hAnsi="Times New Roman" w:cs="Times New Roman"/>
          <w:kern w:val="0"/>
          <w:szCs w:val="24"/>
          <w:lang w:eastAsia="en-PH"/>
          <w14:ligatures w14:val="none"/>
        </w:rPr>
        <w:t>Overall, the participants and study settings demonstrate considerable diversity, ranging from single-country case studies to large-scale cross-national analyses. This variation enhances the comprehensiveness of the review by capturing the effects of oil price shocks across different economic contexts, while also emphasizing the importance of structural characteristics—such as oil dependency, trade openness, and governance—in shaping stability outcomes in developing countries.</w:t>
      </w:r>
    </w:p>
    <w:p w14:paraId="655DC816" w14:textId="77777777" w:rsidR="00071450" w:rsidRPr="00071450" w:rsidRDefault="00071450" w:rsidP="00071450">
      <w:pPr>
        <w:spacing w:after="0" w:line="240" w:lineRule="auto"/>
        <w:jc w:val="both"/>
        <w:rPr>
          <w:rFonts w:ascii="Times New Roman" w:eastAsia="Times New Roman" w:hAnsi="Times New Roman" w:cs="Times New Roman"/>
          <w:kern w:val="0"/>
          <w:szCs w:val="24"/>
          <w:lang w:eastAsia="en-PH"/>
          <w14:ligatures w14:val="none"/>
        </w:rPr>
      </w:pPr>
    </w:p>
    <w:p w14:paraId="06A1EB30" w14:textId="31359807" w:rsidR="00294E6E" w:rsidRDefault="00EF0F7E" w:rsidP="00294E6E">
      <w:pPr>
        <w:spacing w:after="0" w:line="240" w:lineRule="auto"/>
        <w:ind w:left="-180" w:firstLine="180"/>
        <w:jc w:val="both"/>
        <w:rPr>
          <w:rFonts w:ascii="Times New Roman" w:hAnsi="Times New Roman"/>
        </w:rPr>
      </w:pPr>
      <w:r w:rsidRPr="00EF0F7E">
        <w:rPr>
          <w:rFonts w:ascii="Times New Roman" w:hAnsi="Times New Roman"/>
        </w:rPr>
        <w:t>3.3</w:t>
      </w:r>
      <w:r w:rsidRPr="00EF0F7E">
        <w:rPr>
          <w:rFonts w:ascii="Times New Roman" w:hAnsi="Times New Roman"/>
        </w:rPr>
        <w:tab/>
      </w:r>
      <w:r w:rsidR="00C11F9E">
        <w:rPr>
          <w:rFonts w:ascii="Times New Roman" w:hAnsi="Times New Roman"/>
        </w:rPr>
        <w:t>Synthesis of Findings</w:t>
      </w:r>
      <w:r w:rsidR="00D23DF2">
        <w:rPr>
          <w:rFonts w:ascii="Times New Roman" w:hAnsi="Times New Roman"/>
        </w:rPr>
        <w:t xml:space="preserve"> on oil price shocks and Economic Outcomes</w:t>
      </w:r>
    </w:p>
    <w:p w14:paraId="77A3538B" w14:textId="77777777" w:rsidR="00294E6E" w:rsidRDefault="00294E6E" w:rsidP="00C11F9E">
      <w:pPr>
        <w:spacing w:after="0" w:line="240" w:lineRule="auto"/>
        <w:ind w:left="-180" w:firstLine="180"/>
        <w:jc w:val="both"/>
        <w:rPr>
          <w:rFonts w:ascii="Times New Roman" w:hAnsi="Times New Roman"/>
        </w:rPr>
      </w:pPr>
    </w:p>
    <w:p w14:paraId="13C28761" w14:textId="77777777" w:rsidR="00D23DF2" w:rsidRPr="00D23DF2" w:rsidRDefault="00C11F9E" w:rsidP="00D23DF2">
      <w:pPr>
        <w:pStyle w:val="NormalWeb"/>
        <w:spacing w:before="0" w:beforeAutospacing="0" w:after="0" w:afterAutospacing="0"/>
        <w:jc w:val="both"/>
        <w:rPr>
          <w:sz w:val="22"/>
        </w:rPr>
      </w:pPr>
      <w:r w:rsidRPr="00D23DF2">
        <w:rPr>
          <w:sz w:val="22"/>
        </w:rPr>
        <w:t xml:space="preserve">  </w:t>
      </w:r>
      <w:r w:rsidR="00D23DF2" w:rsidRPr="00D23DF2">
        <w:rPr>
          <w:sz w:val="22"/>
        </w:rPr>
        <w:t>The synthesis of the fourteen included studies reveals that oil price fluctuations and oil shocks have significant and multidimensional effects on macroeconomic stability, financial systems, trade performance, and broader economic resilience. Overall, the evidence consistently shows that the impacts of oil price movements are heterogeneous and depend on country characteristics, economic structure, institutional quality, and whether an economy is oil-exporting or oil-importing.</w:t>
      </w:r>
    </w:p>
    <w:p w14:paraId="28D0405F" w14:textId="7975EC1A"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Across the studies, oil price shocks are strongly linked to key macroeconomic outcomes such as GDP growth, inflation, and unemployment. In oil-exporting economies, several studies indicate that increases in oil prices can have stabilizing or growth-enhancing effects by improving fiscal revenues, strengthening external balances, and supporting economic activity. In contrast, oil-importing economies generally experience adverse effects, including higher inflation, reduced GDP growth, and widening fiscal deficits, as oil price increases raise production and import costs and weaken overall economic performance. Inflationary effects are particularly consistent in time-series and VAR-based studies, which show that oil shocks are rapidly transmitted into domestic price levels through cost-push mechanisms and exchange rate pass-through effects.</w:t>
      </w:r>
    </w:p>
    <w:p w14:paraId="584255D3" w14:textId="748EDE3C"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In addition to macroeconomic performance, a substantial number of studies highlight the importance of oil prices in shaping financial stability and banking system resilience. Evidence suggests that oil price increases can improve financial stability in oil-dependent exporting countries by strengthening fiscal positions and reducing banking sector fragility. However, oil price volatility is frequently associated with increased financial uncertainty, particularly in economies with weaker institutional frameworks. Cross-country evidence further indicates that governance quality and institutional strength play a critical role in moderating the financial impacts of oil shocks, with stronger institutions reducing vulnerability to external price fluctuations.</w:t>
      </w:r>
    </w:p>
    <w:p w14:paraId="03E36D47" w14:textId="56FE3817"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 xml:space="preserve">Oil price movements are also shown to significantly influence external sector performance, particularly exchange rates and trade dynamics. Several studies report that oil price shocks contribute to exchange rate instability and reduced trade volumes, especially in African and North African economies where external </w:t>
      </w:r>
      <w:r w:rsidR="00D23DF2" w:rsidRPr="00D23DF2">
        <w:rPr>
          <w:rFonts w:ascii="Times New Roman" w:eastAsia="Times New Roman" w:hAnsi="Times New Roman" w:cs="Times New Roman"/>
          <w:kern w:val="0"/>
          <w:szCs w:val="24"/>
          <w:lang w:eastAsia="en-PH"/>
          <w14:ligatures w14:val="none"/>
        </w:rPr>
        <w:lastRenderedPageBreak/>
        <w:t>dependence is high. At the same time, structural economic factors such as GDP growth and trade composition can shape the degree of vulnerability to oil-related shocks. Beyond domestic trade, global evidence also demonstrates that oil prices affect international shipping costs, particularly freight rates measured by the Baltic Dry Index, highlighting the interconnectedness of energy markets and global trade systems.</w:t>
      </w:r>
    </w:p>
    <w:p w14:paraId="46E3E64E" w14:textId="244D54E5"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Emerging evidence further extends the impact of oil price fluctuations to financial markets and energy transition instruments. For instance, oil shocks have been found to influence green bond performance, particularly in contexts where institutional quality is strong, suggesting an increasing linkage between traditional energy markets and sustainable finance systems. In the energy sector, qualitative findings also show that governance structures significantly shape corporate energy resilience, influencing how firms respond to oil price volatility through coping, adaptive, and transformative capacities.</w:t>
      </w:r>
    </w:p>
    <w:p w14:paraId="300709F1" w14:textId="39881A0D" w:rsidR="00D23DF2"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Across all studies, multiple transmission mechanisms are identified, including inflationary cost-push effects, exchange rate pass-through, fiscal revenue dependence, and trade competitiveness channels. Several studies also report nonlinear and asymmetric effects, indicating that increases and decreases in oil prices do not necessarily produce symmetrical economic responses. This reinforces the complexity of oil price dynamics and the importance of using advanced econometric models to capture their true effects.</w:t>
      </w:r>
    </w:p>
    <w:p w14:paraId="55583519" w14:textId="3003DE89" w:rsidR="005B6ECF" w:rsidRDefault="00220038" w:rsidP="00D23DF2">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00D23DF2" w:rsidRPr="00D23DF2">
        <w:rPr>
          <w:rFonts w:ascii="Times New Roman" w:eastAsia="Times New Roman" w:hAnsi="Times New Roman" w:cs="Times New Roman"/>
          <w:kern w:val="0"/>
          <w:szCs w:val="24"/>
          <w:lang w:eastAsia="en-PH"/>
          <w14:ligatures w14:val="none"/>
        </w:rPr>
        <w:t>Overall, the synthesized evidence highlights that oil price shocks remain a central driver of macroeconomic and financial fluctuations across global economies. While oil-exporting countries may experience short-term benefits from rising oil prices, oil-importing countries are generally more vulnerable to negative spillovers. The findings also emphasize that institutional quality, governance, and macroeconomic policy frameworks are crucial in mitigating adverse effects and enhancing economic resilience. The diversity of methodologies and contexts further underscores the complexity of oil price transmission mechanisms and the need for context-specific policy responses.</w:t>
      </w:r>
    </w:p>
    <w:p w14:paraId="198B8981" w14:textId="77777777" w:rsidR="00220038" w:rsidRPr="00D23DF2" w:rsidRDefault="00220038" w:rsidP="00D23DF2">
      <w:pPr>
        <w:spacing w:after="0" w:line="240" w:lineRule="auto"/>
        <w:jc w:val="both"/>
        <w:rPr>
          <w:rFonts w:ascii="Times New Roman" w:eastAsia="Times New Roman" w:hAnsi="Times New Roman" w:cs="Times New Roman"/>
          <w:kern w:val="0"/>
          <w:szCs w:val="24"/>
          <w:lang w:eastAsia="en-PH"/>
          <w14:ligatures w14:val="none"/>
        </w:rPr>
      </w:pPr>
    </w:p>
    <w:p w14:paraId="31B81FFA" w14:textId="5007FFDC" w:rsidR="00933B58" w:rsidRDefault="00EF0F7E" w:rsidP="00933B58">
      <w:pPr>
        <w:spacing w:after="0" w:line="240" w:lineRule="auto"/>
        <w:ind w:left="-180" w:firstLine="180"/>
        <w:jc w:val="both"/>
        <w:rPr>
          <w:rFonts w:ascii="Times New Roman" w:hAnsi="Times New Roman"/>
        </w:rPr>
      </w:pPr>
      <w:r w:rsidRPr="00EF0F7E">
        <w:rPr>
          <w:rFonts w:ascii="Times New Roman" w:hAnsi="Times New Roman"/>
        </w:rPr>
        <w:t>3.4</w:t>
      </w:r>
      <w:r w:rsidRPr="00EF0F7E">
        <w:rPr>
          <w:rFonts w:ascii="Times New Roman" w:hAnsi="Times New Roman"/>
        </w:rPr>
        <w:tab/>
      </w:r>
      <w:r w:rsidR="00220038">
        <w:rPr>
          <w:rFonts w:ascii="Times New Roman" w:hAnsi="Times New Roman"/>
        </w:rPr>
        <w:t>Thematic Synthesis</w:t>
      </w:r>
    </w:p>
    <w:p w14:paraId="09625E61" w14:textId="77777777" w:rsidR="00933B58" w:rsidRDefault="00933B58" w:rsidP="00220038">
      <w:pPr>
        <w:spacing w:after="0" w:line="240" w:lineRule="auto"/>
        <w:jc w:val="both"/>
        <w:rPr>
          <w:rFonts w:ascii="Times New Roman" w:hAnsi="Times New Roman"/>
        </w:rPr>
      </w:pPr>
    </w:p>
    <w:p w14:paraId="046E3AFC" w14:textId="2A5103ED"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kern w:val="0"/>
          <w:szCs w:val="24"/>
          <w:lang w:eastAsia="en-PH"/>
          <w14:ligatures w14:val="none"/>
        </w:rPr>
        <w:t xml:space="preserve">  </w:t>
      </w:r>
      <w:r w:rsidRPr="00220038">
        <w:rPr>
          <w:rFonts w:ascii="Times New Roman" w:eastAsia="Times New Roman" w:hAnsi="Times New Roman" w:cs="Times New Roman"/>
          <w:kern w:val="0"/>
          <w:szCs w:val="24"/>
          <w:lang w:eastAsia="en-PH"/>
          <w14:ligatures w14:val="none"/>
        </w:rPr>
        <w:t>The synthesis of the included studies identifies four major themes in the literature on oil price shocks: inflation, economic growth, trade and external sector performance, and financial stability. Overall, the findings show that oil price effects are heterogeneous and depend on economic structure, institutional quality, and whether countries are oil exporters or importers.</w:t>
      </w:r>
    </w:p>
    <w:p w14:paraId="13D99AB5" w14:textId="5C6F297F"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Cs/>
          <w:kern w:val="0"/>
          <w:szCs w:val="24"/>
          <w:lang w:eastAsia="en-PH"/>
          <w14:ligatures w14:val="none"/>
        </w:rPr>
        <w:t xml:space="preserve">  </w:t>
      </w:r>
      <w:r w:rsidRPr="00220038">
        <w:rPr>
          <w:rFonts w:ascii="Times New Roman" w:eastAsia="Times New Roman" w:hAnsi="Times New Roman" w:cs="Times New Roman"/>
          <w:bCs/>
          <w:kern w:val="0"/>
          <w:szCs w:val="24"/>
          <w:lang w:eastAsia="en-PH"/>
          <w14:ligatures w14:val="none"/>
        </w:rPr>
        <w:t>Inflation dynamics</w:t>
      </w:r>
      <w:r w:rsidRPr="00220038">
        <w:rPr>
          <w:rFonts w:ascii="Times New Roman" w:eastAsia="Times New Roman" w:hAnsi="Times New Roman" w:cs="Times New Roman"/>
          <w:kern w:val="0"/>
          <w:szCs w:val="24"/>
          <w:lang w:eastAsia="en-PH"/>
          <w14:ligatures w14:val="none"/>
        </w:rPr>
        <w:t xml:space="preserve"> consistently emerge as a primary channel of oil price transmission. Oil price shocks increase inflationary pressures through cost-push mechanisms and exchange rate pass-through effects, particularly in oil-importing economies such as OAPEC member states and Jordan </w:t>
      </w:r>
      <w:r w:rsidR="00D83E44">
        <w:rPr>
          <w:rFonts w:ascii="Times New Roman" w:eastAsia="Times New Roman" w:hAnsi="Times New Roman" w:cs="Times New Roman"/>
          <w:kern w:val="0"/>
          <w:szCs w:val="24"/>
          <w:lang w:eastAsia="en-PH"/>
          <w14:ligatures w14:val="none"/>
        </w:rPr>
        <w:fldChar w:fldCharType="begin"/>
      </w:r>
      <w:r w:rsidR="00D83E44">
        <w:rPr>
          <w:rFonts w:ascii="Times New Roman" w:eastAsia="Times New Roman" w:hAnsi="Times New Roman" w:cs="Times New Roman"/>
          <w:kern w:val="0"/>
          <w:szCs w:val="24"/>
          <w:lang w:eastAsia="en-PH"/>
          <w14:ligatures w14:val="none"/>
        </w:rPr>
        <w:instrText xml:space="preserve"> ADDIN EN.CITE &lt;EndNote&gt;&lt;Cite&gt;&lt;Author&gt;Sadeghi&lt;/Author&gt;&lt;Year&gt;2025&lt;/Year&gt;&lt;RecNum&gt;31&lt;/RecNum&gt;&lt;DisplayText&gt;(Sadeghi et al., 2025)&lt;/DisplayText&gt;&lt;record&gt;&lt;rec-number&gt;31&lt;/rec-number&gt;&lt;foreign-keys&gt;&lt;key app="EN" db-id="vfdv2szx2wdrtne99esvzsrjd5ep9ws522pp" timestamp="1775985547"&gt;31&lt;/key&gt;&lt;/foreign-keys&gt;&lt;ref-type name="Journal Article"&gt;17&lt;/ref-type&gt;&lt;contributors&gt;&lt;authors&gt;&lt;author&gt;Sadeghi, Abdorasoul&lt;/author&gt;&lt;author&gt;Roudari, Soheil&lt;/author&gt;&lt;author&gt;Nammouri, Hela&lt;/author&gt;&lt;/authors&gt;&lt;/contributors&gt;&lt;titles&gt;&lt;title&gt;Green finance, fossil energy, and institutional factors in the context of sustainable development&lt;/title&gt;&lt;secondary-title&gt;Social Sciences &amp;amp; Humanities Open&lt;/secondary-title&gt;&lt;/titles&gt;&lt;periodical&gt;&lt;full-title&gt;Social Sciences &amp;amp; Humanities Open&lt;/full-title&gt;&lt;/periodical&gt;&lt;pages&gt;101939&lt;/pages&gt;&lt;volume&gt;12&lt;/volume&gt;&lt;keywords&gt;&lt;keyword&gt;Green bonds&lt;/keyword&gt;&lt;keyword&gt;Institutional quality&lt;/keyword&gt;&lt;keyword&gt;Oil&lt;/keyword&gt;&lt;keyword&gt;Sustainable development&lt;/keyword&gt;&lt;keyword&gt;TSVAR&lt;/keyword&gt;&lt;/keywords&gt;&lt;dates&gt;&lt;year&gt;2025&lt;/year&gt;&lt;pub-dates&gt;&lt;date&gt;2025/01/01/&lt;/date&gt;&lt;/pub-dates&gt;&lt;/dates&gt;&lt;isbn&gt;2590-2911&lt;/isbn&gt;&lt;urls&gt;&lt;related-urls&gt;&lt;url&gt;https://www.sciencedirect.com/science/article/pii/S2590291125006679&lt;/url&gt;&lt;/related-urls&gt;&lt;/urls&gt;&lt;electronic-resource-num&gt;https://doi.org/10.1016/j.ssaho.2025.101939&lt;/electronic-resource-num&gt;&lt;/record&gt;&lt;/Cite&gt;&lt;/EndNote&gt;</w:instrText>
      </w:r>
      <w:r w:rsidR="00D83E44">
        <w:rPr>
          <w:rFonts w:ascii="Times New Roman" w:eastAsia="Times New Roman" w:hAnsi="Times New Roman" w:cs="Times New Roman"/>
          <w:kern w:val="0"/>
          <w:szCs w:val="24"/>
          <w:lang w:eastAsia="en-PH"/>
          <w14:ligatures w14:val="none"/>
        </w:rPr>
        <w:fldChar w:fldCharType="separate"/>
      </w:r>
      <w:r w:rsidR="00D83E44">
        <w:rPr>
          <w:rFonts w:ascii="Times New Roman" w:eastAsia="Times New Roman" w:hAnsi="Times New Roman" w:cs="Times New Roman"/>
          <w:noProof/>
          <w:kern w:val="0"/>
          <w:szCs w:val="24"/>
          <w:lang w:eastAsia="en-PH"/>
          <w14:ligatures w14:val="none"/>
        </w:rPr>
        <w:t>(Sadeghi et al., 2025)</w:t>
      </w:r>
      <w:r w:rsidR="00D83E44">
        <w:rPr>
          <w:rFonts w:ascii="Times New Roman" w:eastAsia="Times New Roman" w:hAnsi="Times New Roman" w:cs="Times New Roman"/>
          <w:kern w:val="0"/>
          <w:szCs w:val="24"/>
          <w:lang w:eastAsia="en-PH"/>
          <w14:ligatures w14:val="none"/>
        </w:rPr>
        <w:fldChar w:fldCharType="end"/>
      </w:r>
      <w:r w:rsidRPr="00220038">
        <w:rPr>
          <w:rFonts w:ascii="Times New Roman" w:eastAsia="Times New Roman" w:hAnsi="Times New Roman" w:cs="Times New Roman"/>
          <w:kern w:val="0"/>
          <w:szCs w:val="24"/>
          <w:lang w:eastAsia="en-PH"/>
          <w14:ligatures w14:val="none"/>
        </w:rPr>
        <w:t>. These effects vary depending on macroeconomic openness and policy conditions.</w:t>
      </w:r>
    </w:p>
    <w:p w14:paraId="1E10DE55" w14:textId="7D08C37E"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Cs/>
          <w:kern w:val="0"/>
          <w:szCs w:val="24"/>
          <w:lang w:eastAsia="en-PH"/>
          <w14:ligatures w14:val="none"/>
        </w:rPr>
        <w:t xml:space="preserve">  </w:t>
      </w:r>
      <w:r w:rsidRPr="00220038">
        <w:rPr>
          <w:rFonts w:ascii="Times New Roman" w:eastAsia="Times New Roman" w:hAnsi="Times New Roman" w:cs="Times New Roman"/>
          <w:bCs/>
          <w:kern w:val="0"/>
          <w:szCs w:val="24"/>
          <w:lang w:eastAsia="en-PH"/>
          <w14:ligatures w14:val="none"/>
        </w:rPr>
        <w:t>Economic growth effects</w:t>
      </w:r>
      <w:r w:rsidRPr="00220038">
        <w:rPr>
          <w:rFonts w:ascii="Times New Roman" w:eastAsia="Times New Roman" w:hAnsi="Times New Roman" w:cs="Times New Roman"/>
          <w:kern w:val="0"/>
          <w:szCs w:val="24"/>
          <w:lang w:eastAsia="en-PH"/>
          <w14:ligatures w14:val="none"/>
        </w:rPr>
        <w:t xml:space="preserve"> are mixed across contexts. In oil-exporting economies, rising oil prices are associated with higher GDP growth and improved fiscal capacity due to increased revenues</w:t>
      </w:r>
      <w:r w:rsidR="00D83E44">
        <w:rPr>
          <w:rFonts w:ascii="Times New Roman" w:eastAsia="Times New Roman" w:hAnsi="Times New Roman" w:cs="Times New Roman"/>
          <w:kern w:val="0"/>
          <w:szCs w:val="24"/>
          <w:lang w:eastAsia="en-PH"/>
          <w14:ligatures w14:val="none"/>
        </w:rPr>
        <w:fldChar w:fldCharType="begin"/>
      </w:r>
      <w:r w:rsidR="00D83E44">
        <w:rPr>
          <w:rFonts w:ascii="Times New Roman" w:eastAsia="Times New Roman" w:hAnsi="Times New Roman" w:cs="Times New Roman"/>
          <w:kern w:val="0"/>
          <w:szCs w:val="24"/>
          <w:lang w:eastAsia="en-PH"/>
          <w14:ligatures w14:val="none"/>
        </w:rPr>
        <w:instrText xml:space="preserve"> ADDIN EN.CITE &lt;EndNote&gt;&lt;Cite&gt;&lt;Author&gt;Alfalih&lt;/Author&gt;&lt;Year&gt;2024&lt;/Year&gt;&lt;RecNum&gt;30&lt;/RecNum&gt;&lt;DisplayText&gt;(Alfalih, 2024)&lt;/DisplayText&gt;&lt;record&gt;&lt;rec-number&gt;30&lt;/rec-number&gt;&lt;foreign-keys&gt;&lt;key app="EN" db-id="vfdv2szx2wdrtne99esvzsrjd5ep9ws522pp" timestamp="1775985425"&gt;30&lt;/key&gt;&lt;/foreign-keys&gt;&lt;ref-type name="Journal Article"&gt;17&lt;/ref-type&gt;&lt;contributors&gt;&lt;authors&gt;&lt;author&gt;Alfalih, Abdulaziz Abdulmohsen&lt;/author&gt;&lt;/authors&gt;&lt;/contributors&gt;&lt;titles&gt;&lt;title&gt;The impact of oil prices, foreign direct investment and trade openness on unemployment rates in an oil-exporting country: The case of Saudi Arabia&lt;/title&gt;&lt;secondary-title&gt;Heliyon&lt;/secondary-title&gt;&lt;/titles&gt;&lt;periodical&gt;&lt;full-title&gt;Heliyon&lt;/full-title&gt;&lt;/periodical&gt;&lt;volume&gt;10&lt;/volume&gt;&lt;number&gt;3&lt;/number&gt;&lt;dates&gt;&lt;year&gt;2024&lt;/year&gt;&lt;/dates&gt;&lt;publisher&gt;Elsevier&lt;/publisher&gt;&lt;isbn&gt;2405-8440&lt;/isbn&gt;&lt;urls&gt;&lt;related-urls&gt;&lt;url&gt;https://doi.org/10.1016/j.heliyon.2024.e25094&lt;/url&gt;&lt;/related-urls&gt;&lt;/urls&gt;&lt;electronic-resource-num&gt;10.1016/j.heliyon.2024.e25094&lt;/electronic-resource-num&gt;&lt;access-date&gt;2026/04/12&lt;/access-date&gt;&lt;/record&gt;&lt;/Cite&gt;&lt;/EndNote&gt;</w:instrText>
      </w:r>
      <w:r w:rsidR="00D83E44">
        <w:rPr>
          <w:rFonts w:ascii="Times New Roman" w:eastAsia="Times New Roman" w:hAnsi="Times New Roman" w:cs="Times New Roman"/>
          <w:kern w:val="0"/>
          <w:szCs w:val="24"/>
          <w:lang w:eastAsia="en-PH"/>
          <w14:ligatures w14:val="none"/>
        </w:rPr>
        <w:fldChar w:fldCharType="separate"/>
      </w:r>
      <w:r w:rsidR="00D83E44">
        <w:rPr>
          <w:rFonts w:ascii="Times New Roman" w:eastAsia="Times New Roman" w:hAnsi="Times New Roman" w:cs="Times New Roman"/>
          <w:noProof/>
          <w:kern w:val="0"/>
          <w:szCs w:val="24"/>
          <w:lang w:eastAsia="en-PH"/>
          <w14:ligatures w14:val="none"/>
        </w:rPr>
        <w:t>(Alfalih, 2024)</w:t>
      </w:r>
      <w:r w:rsidR="00D83E44">
        <w:rPr>
          <w:rFonts w:ascii="Times New Roman" w:eastAsia="Times New Roman" w:hAnsi="Times New Roman" w:cs="Times New Roman"/>
          <w:kern w:val="0"/>
          <w:szCs w:val="24"/>
          <w:lang w:eastAsia="en-PH"/>
          <w14:ligatures w14:val="none"/>
        </w:rPr>
        <w:fldChar w:fldCharType="end"/>
      </w:r>
      <w:r w:rsidRPr="00220038">
        <w:rPr>
          <w:rFonts w:ascii="Times New Roman" w:eastAsia="Times New Roman" w:hAnsi="Times New Roman" w:cs="Times New Roman"/>
          <w:kern w:val="0"/>
          <w:szCs w:val="24"/>
          <w:lang w:eastAsia="en-PH"/>
          <w14:ligatures w14:val="none"/>
        </w:rPr>
        <w:t xml:space="preserve">. In contrast, oil-importing countries experience growth slowdowns due to higher production costs and constrained investment </w:t>
      </w:r>
      <w:r w:rsidR="00D83E44">
        <w:rPr>
          <w:rFonts w:ascii="Times New Roman" w:eastAsia="Times New Roman" w:hAnsi="Times New Roman" w:cs="Times New Roman"/>
          <w:kern w:val="0"/>
          <w:szCs w:val="24"/>
          <w:lang w:eastAsia="en-PH"/>
          <w14:ligatures w14:val="none"/>
        </w:rPr>
        <w:fldChar w:fldCharType="begin"/>
      </w:r>
      <w:r w:rsidR="00D83E44">
        <w:rPr>
          <w:rFonts w:ascii="Times New Roman" w:eastAsia="Times New Roman" w:hAnsi="Times New Roman" w:cs="Times New Roman"/>
          <w:kern w:val="0"/>
          <w:szCs w:val="24"/>
          <w:lang w:eastAsia="en-PH"/>
          <w14:ligatures w14:val="none"/>
        </w:rPr>
        <w:instrText xml:space="preserve"> ADDIN EN.CITE &lt;EndNote&gt;&lt;Cite&gt;&lt;Author&gt;Anusha Chari&lt;/Author&gt;&lt;Year&gt;2021&lt;/Year&gt;&lt;RecNum&gt;29&lt;/RecNum&gt;&lt;DisplayText&gt;(Anusha Chari, 2021)&lt;/DisplayText&gt;&lt;record&gt;&lt;rec-number&gt;29&lt;/rec-number&gt;&lt;foreign-keys&gt;&lt;key app="EN" db-id="vfdv2szx2wdrtne99esvzsrjd5ep9ws522pp" timestamp="1775985236"&gt;29&lt;/key&gt;&lt;/foreign-keys&gt;&lt;ref-type name="Journal Article"&gt;17&lt;/ref-type&gt;&lt;contributors&gt;&lt;authors&gt;&lt;author&gt;Anusha Chari, Peter Blair Henry, and Hector Reyes&lt;/author&gt;&lt;/authors&gt;&lt;/contributors&gt;&lt;titles&gt;&lt;title&gt;The Baker Hypothesis: Stabilization,&amp;#xD;Structural Reforms, and Economic&amp;#xD;Growth&lt;/title&gt;&lt;/titles&gt;&lt;dates&gt;&lt;year&gt;2021&lt;/year&gt;&lt;/dates&gt;&lt;urls&gt;&lt;related-urls&gt;&lt;url&gt;https://www.google.com/url?sa=t&amp;amp;source=web&amp;amp;rct=j&amp;amp;opi=89978449&amp;amp;url=https://ideas.repec.org/a/aea/jecper/v35y2021i3p83-108.html&lt;/url&gt;&lt;/related-urls&gt;&lt;/urls&gt;&lt;/record&gt;&lt;/Cite&gt;&lt;/EndNote&gt;</w:instrText>
      </w:r>
      <w:r w:rsidR="00D83E44">
        <w:rPr>
          <w:rFonts w:ascii="Times New Roman" w:eastAsia="Times New Roman" w:hAnsi="Times New Roman" w:cs="Times New Roman"/>
          <w:kern w:val="0"/>
          <w:szCs w:val="24"/>
          <w:lang w:eastAsia="en-PH"/>
          <w14:ligatures w14:val="none"/>
        </w:rPr>
        <w:fldChar w:fldCharType="separate"/>
      </w:r>
      <w:r w:rsidR="00D83E44">
        <w:rPr>
          <w:rFonts w:ascii="Times New Roman" w:eastAsia="Times New Roman" w:hAnsi="Times New Roman" w:cs="Times New Roman"/>
          <w:noProof/>
          <w:kern w:val="0"/>
          <w:szCs w:val="24"/>
          <w:lang w:eastAsia="en-PH"/>
          <w14:ligatures w14:val="none"/>
        </w:rPr>
        <w:t>(Anusha Chari, 2021)</w:t>
      </w:r>
      <w:r w:rsidR="00D83E44">
        <w:rPr>
          <w:rFonts w:ascii="Times New Roman" w:eastAsia="Times New Roman" w:hAnsi="Times New Roman" w:cs="Times New Roman"/>
          <w:kern w:val="0"/>
          <w:szCs w:val="24"/>
          <w:lang w:eastAsia="en-PH"/>
          <w14:ligatures w14:val="none"/>
        </w:rPr>
        <w:fldChar w:fldCharType="end"/>
      </w:r>
      <w:r w:rsidRPr="00220038">
        <w:rPr>
          <w:rFonts w:ascii="Times New Roman" w:eastAsia="Times New Roman" w:hAnsi="Times New Roman" w:cs="Times New Roman"/>
          <w:kern w:val="0"/>
          <w:szCs w:val="24"/>
          <w:lang w:eastAsia="en-PH"/>
          <w14:ligatures w14:val="none"/>
        </w:rPr>
        <w:t>. Evidence also suggests nonlinear relationships between oil prices and growth outcomes</w:t>
      </w:r>
      <w:r w:rsidR="00750834">
        <w:rPr>
          <w:rFonts w:ascii="Times New Roman" w:eastAsia="Times New Roman" w:hAnsi="Times New Roman" w:cs="Times New Roman"/>
          <w:kern w:val="0"/>
          <w:szCs w:val="24"/>
          <w:lang w:eastAsia="en-PH"/>
          <w14:ligatures w14:val="none"/>
        </w:rPr>
        <w:fldChar w:fldCharType="begin"/>
      </w:r>
      <w:r w:rsidR="00750834">
        <w:rPr>
          <w:rFonts w:ascii="Times New Roman" w:eastAsia="Times New Roman" w:hAnsi="Times New Roman" w:cs="Times New Roman"/>
          <w:kern w:val="0"/>
          <w:szCs w:val="24"/>
          <w:lang w:eastAsia="en-PH"/>
          <w14:ligatures w14:val="none"/>
        </w:rPr>
        <w:instrText xml:space="preserve"> ADDIN EN.CITE &lt;EndNote&gt;&lt;Cite&gt;&lt;Author&gt;Mohaddes&lt;/Author&gt;&lt;Year&gt;2017&lt;/Year&gt;&lt;RecNum&gt;1&lt;/RecNum&gt;&lt;DisplayText&gt;(Mohaddes &amp;amp; Pesaran, 2017)&lt;/DisplayText&gt;&lt;record&gt;&lt;rec-number&gt;1&lt;/rec-number&gt;&lt;foreign-keys&gt;&lt;key app="EN" db-id="vfdv2szx2wdrtne99esvzsrjd5ep9ws522pp" timestamp="1775810466"&gt;1&lt;/key&gt;&lt;/foreign-keys&gt;&lt;ref-type name="Journal Article"&gt;17&lt;/ref-type&gt;&lt;contributors&gt;&lt;authors&gt;&lt;author&gt;Mohaddes, Kamiar&lt;/author&gt;&lt;author&gt;Pesaran, M Hashem&lt;/author&gt;&lt;/authors&gt;&lt;/contributors&gt;&lt;titles&gt;&lt;title&gt;Oil prices and the global economy: Is it different this time around?&lt;/title&gt;&lt;secondary-title&gt;Energy Economics&lt;/secondary-title&gt;&lt;/titles&gt;&lt;periodical&gt;&lt;full-title&gt;Energy Economics&lt;/full-title&gt;&lt;/periodical&gt;&lt;pages&gt;315-325&lt;/pages&gt;&lt;volume&gt;65&lt;/volume&gt;&lt;dates&gt;&lt;year&gt;2017&lt;/year&gt;&lt;/dates&gt;&lt;isbn&gt;0140-9883&lt;/isbn&gt;&lt;urls&gt;&lt;/urls&gt;&lt;/record&gt;&lt;/Cite&gt;&lt;/EndNote&gt;</w:instrText>
      </w:r>
      <w:r w:rsidR="00750834">
        <w:rPr>
          <w:rFonts w:ascii="Times New Roman" w:eastAsia="Times New Roman" w:hAnsi="Times New Roman" w:cs="Times New Roman"/>
          <w:kern w:val="0"/>
          <w:szCs w:val="24"/>
          <w:lang w:eastAsia="en-PH"/>
          <w14:ligatures w14:val="none"/>
        </w:rPr>
        <w:fldChar w:fldCharType="separate"/>
      </w:r>
      <w:r w:rsidR="00750834">
        <w:rPr>
          <w:rFonts w:ascii="Times New Roman" w:eastAsia="Times New Roman" w:hAnsi="Times New Roman" w:cs="Times New Roman"/>
          <w:noProof/>
          <w:kern w:val="0"/>
          <w:szCs w:val="24"/>
          <w:lang w:eastAsia="en-PH"/>
          <w14:ligatures w14:val="none"/>
        </w:rPr>
        <w:t>(Mohaddes &amp; Pesaran, 2017)</w:t>
      </w:r>
      <w:r w:rsidR="00750834">
        <w:rPr>
          <w:rFonts w:ascii="Times New Roman" w:eastAsia="Times New Roman" w:hAnsi="Times New Roman" w:cs="Times New Roman"/>
          <w:kern w:val="0"/>
          <w:szCs w:val="24"/>
          <w:lang w:eastAsia="en-PH"/>
          <w14:ligatures w14:val="none"/>
        </w:rPr>
        <w:fldChar w:fldCharType="end"/>
      </w:r>
      <w:r w:rsidR="00750834">
        <w:rPr>
          <w:rFonts w:ascii="Times New Roman" w:eastAsia="Times New Roman" w:hAnsi="Times New Roman" w:cs="Times New Roman"/>
          <w:kern w:val="0"/>
          <w:szCs w:val="24"/>
          <w:lang w:eastAsia="en-PH"/>
          <w14:ligatures w14:val="none"/>
        </w:rPr>
        <w:t>.</w:t>
      </w:r>
    </w:p>
    <w:p w14:paraId="082E2EC9" w14:textId="5DB0AFA1"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Cs/>
          <w:kern w:val="0"/>
          <w:szCs w:val="24"/>
          <w:lang w:eastAsia="en-PH"/>
          <w14:ligatures w14:val="none"/>
        </w:rPr>
        <w:t xml:space="preserve">  </w:t>
      </w:r>
      <w:r w:rsidRPr="00220038">
        <w:rPr>
          <w:rFonts w:ascii="Times New Roman" w:eastAsia="Times New Roman" w:hAnsi="Times New Roman" w:cs="Times New Roman"/>
          <w:bCs/>
          <w:kern w:val="0"/>
          <w:szCs w:val="24"/>
          <w:lang w:eastAsia="en-PH"/>
          <w14:ligatures w14:val="none"/>
        </w:rPr>
        <w:t>Trade and external sector performance</w:t>
      </w:r>
      <w:r w:rsidRPr="00220038">
        <w:rPr>
          <w:rFonts w:ascii="Times New Roman" w:eastAsia="Times New Roman" w:hAnsi="Times New Roman" w:cs="Times New Roman"/>
          <w:kern w:val="0"/>
          <w:szCs w:val="24"/>
          <w:lang w:eastAsia="en-PH"/>
          <w14:ligatures w14:val="none"/>
        </w:rPr>
        <w:t xml:space="preserve"> are significantly affected by oil price fluctuations. Several studies show that oil shocks influence exchange rates and reduce trade volumes in developing economies, particularly in Africa and North Africa</w:t>
      </w:r>
      <w:r w:rsidR="00BC6BD0">
        <w:rPr>
          <w:rFonts w:ascii="Times New Roman" w:eastAsia="Times New Roman" w:hAnsi="Times New Roman" w:cs="Times New Roman"/>
          <w:kern w:val="0"/>
          <w:szCs w:val="24"/>
          <w:lang w:eastAsia="en-PH"/>
          <w14:ligatures w14:val="none"/>
        </w:rPr>
        <w:fldChar w:fldCharType="begin"/>
      </w:r>
      <w:r w:rsidR="00BC6BD0">
        <w:rPr>
          <w:rFonts w:ascii="Times New Roman" w:eastAsia="Times New Roman" w:hAnsi="Times New Roman" w:cs="Times New Roman"/>
          <w:kern w:val="0"/>
          <w:szCs w:val="24"/>
          <w:lang w:eastAsia="en-PH"/>
          <w14:ligatures w14:val="none"/>
        </w:rPr>
        <w:instrText xml:space="preserve"> ADDIN EN.CITE &lt;EndNote&gt;&lt;Cite&gt;&lt;Author&gt;Nagro&lt;/Author&gt;&lt;Year&gt;2025&lt;/Year&gt;&lt;RecNum&gt;27&lt;/RecNum&gt;&lt;DisplayText&gt;(Nagro, 2025)&lt;/DisplayText&gt;&lt;record&gt;&lt;rec-number&gt;27&lt;/rec-number&gt;&lt;foreign-keys&gt;&lt;key app="EN" db-id="vfdv2szx2wdrtne99esvzsrjd5ep9ws522pp" timestamp="1775984841"&gt;27&lt;/key&gt;&lt;/foreign-keys&gt;&lt;ref-type name="Journal Article"&gt;17&lt;/ref-type&gt;&lt;contributors&gt;&lt;authors&gt;&lt;author&gt;Mohammed Nagro&lt;/author&gt;&lt;/authors&gt;&lt;secondary-authors&gt;&lt;author&gt;Rozina Shaheen&lt;/author&gt;&lt;/secondary-authors&gt;&lt;/contributors&gt;&lt;titles&gt;&lt;title&gt;Economic growth and currency dynamics&amp;#xD;as determinants of trade in North African&amp;#xD;economies&lt;/title&gt;&lt;/titles&gt;&lt;dates&gt;&lt;year&gt;2025&lt;/year&gt;&lt;/dates&gt;&lt;urls&gt;&lt;related-urls&gt;&lt;url&gt;https://www.google.com/url?sa=t&amp;amp;source=web&amp;amp;rct=j&amp;amp;opi=89978449&amp;amp;url=https://link.springer.com/article/10.1007/s43621-025-02498-7&lt;/url&gt;&lt;/related-urls&gt;&lt;/urls&gt;&lt;/record&gt;&lt;/Cite&gt;&lt;/EndNote&gt;</w:instrText>
      </w:r>
      <w:r w:rsidR="00BC6BD0">
        <w:rPr>
          <w:rFonts w:ascii="Times New Roman" w:eastAsia="Times New Roman" w:hAnsi="Times New Roman" w:cs="Times New Roman"/>
          <w:kern w:val="0"/>
          <w:szCs w:val="24"/>
          <w:lang w:eastAsia="en-PH"/>
          <w14:ligatures w14:val="none"/>
        </w:rPr>
        <w:fldChar w:fldCharType="separate"/>
      </w:r>
      <w:r w:rsidR="00BC6BD0">
        <w:rPr>
          <w:rFonts w:ascii="Times New Roman" w:eastAsia="Times New Roman" w:hAnsi="Times New Roman" w:cs="Times New Roman"/>
          <w:noProof/>
          <w:kern w:val="0"/>
          <w:szCs w:val="24"/>
          <w:lang w:eastAsia="en-PH"/>
          <w14:ligatures w14:val="none"/>
        </w:rPr>
        <w:t>(Nagro, 2025)</w:t>
      </w:r>
      <w:r w:rsidR="00BC6BD0">
        <w:rPr>
          <w:rFonts w:ascii="Times New Roman" w:eastAsia="Times New Roman" w:hAnsi="Times New Roman" w:cs="Times New Roman"/>
          <w:kern w:val="0"/>
          <w:szCs w:val="24"/>
          <w:lang w:eastAsia="en-PH"/>
          <w14:ligatures w14:val="none"/>
        </w:rPr>
        <w:fldChar w:fldCharType="end"/>
      </w:r>
      <w:r w:rsidRPr="00220038">
        <w:rPr>
          <w:rFonts w:ascii="Times New Roman" w:eastAsia="Times New Roman" w:hAnsi="Times New Roman" w:cs="Times New Roman"/>
          <w:kern w:val="0"/>
          <w:szCs w:val="24"/>
          <w:lang w:eastAsia="en-PH"/>
          <w14:ligatures w14:val="none"/>
        </w:rPr>
        <w:t>. In addition, oil prices affect global freight rates and shipping costs, indicating spillover effects on international trade systems</w:t>
      </w:r>
      <w:r w:rsidR="00D83E44">
        <w:rPr>
          <w:rFonts w:ascii="Times New Roman" w:eastAsia="Times New Roman" w:hAnsi="Times New Roman" w:cs="Times New Roman"/>
          <w:kern w:val="0"/>
          <w:szCs w:val="24"/>
          <w:lang w:eastAsia="en-PH"/>
          <w14:ligatures w14:val="none"/>
        </w:rPr>
        <w:fldChar w:fldCharType="begin"/>
      </w:r>
      <w:r w:rsidR="00D83E44">
        <w:rPr>
          <w:rFonts w:ascii="Times New Roman" w:eastAsia="Times New Roman" w:hAnsi="Times New Roman" w:cs="Times New Roman"/>
          <w:kern w:val="0"/>
          <w:szCs w:val="24"/>
          <w:lang w:eastAsia="en-PH"/>
          <w14:ligatures w14:val="none"/>
        </w:rPr>
        <w:instrText xml:space="preserve"> ADDIN EN.CITE &lt;EndNote&gt;&lt;Cite&gt;&lt;Author&gt;Karanfil&lt;/Author&gt;&lt;Year&gt;2024&lt;/Year&gt;&lt;RecNum&gt;32&lt;/RecNum&gt;&lt;DisplayText&gt;(Karanfil, 2024)&lt;/DisplayText&gt;&lt;record&gt;&lt;rec-number&gt;32&lt;/rec-number&gt;&lt;foreign-keys&gt;&lt;key app="EN" db-id="vfdv2szx2wdrtne99esvzsrjd5ep9ws522pp" timestamp="1775985735"&gt;32&lt;/key&gt;&lt;/foreign-keys&gt;&lt;ref-type name="Journal Article"&gt;17&lt;/ref-type&gt;&lt;contributors&gt;&lt;authors&gt;&lt;author&gt;Fatih Karanfil&lt;/author&gt;&lt;/authors&gt;&lt;secondary-authors&gt;&lt;author&gt;Axel Pierru&lt;/author&gt;&lt;/secondary-authors&gt;&lt;/contributors&gt;&lt;titles&gt;&lt;title&gt;Energy Transition in Oil-Dependent Economies: Public Discount&amp;#xD;Rates for Investment Project Evaluation&lt;/title&gt;&lt;/titles&gt;&lt;dates&gt;&lt;year&gt;2024&lt;/year&gt;&lt;/dates&gt;&lt;urls&gt;&lt;/urls&gt;&lt;/record&gt;&lt;/Cite&gt;&lt;/EndNote&gt;</w:instrText>
      </w:r>
      <w:r w:rsidR="00D83E44">
        <w:rPr>
          <w:rFonts w:ascii="Times New Roman" w:eastAsia="Times New Roman" w:hAnsi="Times New Roman" w:cs="Times New Roman"/>
          <w:kern w:val="0"/>
          <w:szCs w:val="24"/>
          <w:lang w:eastAsia="en-PH"/>
          <w14:ligatures w14:val="none"/>
        </w:rPr>
        <w:fldChar w:fldCharType="separate"/>
      </w:r>
      <w:r w:rsidR="00D83E44">
        <w:rPr>
          <w:rFonts w:ascii="Times New Roman" w:eastAsia="Times New Roman" w:hAnsi="Times New Roman" w:cs="Times New Roman"/>
          <w:noProof/>
          <w:kern w:val="0"/>
          <w:szCs w:val="24"/>
          <w:lang w:eastAsia="en-PH"/>
          <w14:ligatures w14:val="none"/>
        </w:rPr>
        <w:t>(Karanfil, 2024)</w:t>
      </w:r>
      <w:r w:rsidR="00D83E44">
        <w:rPr>
          <w:rFonts w:ascii="Times New Roman" w:eastAsia="Times New Roman" w:hAnsi="Times New Roman" w:cs="Times New Roman"/>
          <w:kern w:val="0"/>
          <w:szCs w:val="24"/>
          <w:lang w:eastAsia="en-PH"/>
          <w14:ligatures w14:val="none"/>
        </w:rPr>
        <w:fldChar w:fldCharType="end"/>
      </w:r>
      <w:r w:rsidR="00D83E44">
        <w:rPr>
          <w:rFonts w:ascii="Times New Roman" w:eastAsia="Times New Roman" w:hAnsi="Times New Roman" w:cs="Times New Roman"/>
          <w:kern w:val="0"/>
          <w:szCs w:val="24"/>
          <w:lang w:eastAsia="en-PH"/>
          <w14:ligatures w14:val="none"/>
        </w:rPr>
        <w:t>.</w:t>
      </w:r>
    </w:p>
    <w:p w14:paraId="6EC58891" w14:textId="1F826AC0" w:rsid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r>
        <w:rPr>
          <w:rFonts w:ascii="Times New Roman" w:eastAsia="Times New Roman" w:hAnsi="Times New Roman" w:cs="Times New Roman"/>
          <w:bCs/>
          <w:kern w:val="0"/>
          <w:szCs w:val="24"/>
          <w:lang w:eastAsia="en-PH"/>
          <w14:ligatures w14:val="none"/>
        </w:rPr>
        <w:t xml:space="preserve">  </w:t>
      </w:r>
      <w:r w:rsidRPr="00220038">
        <w:rPr>
          <w:rFonts w:ascii="Times New Roman" w:eastAsia="Times New Roman" w:hAnsi="Times New Roman" w:cs="Times New Roman"/>
          <w:bCs/>
          <w:kern w:val="0"/>
          <w:szCs w:val="24"/>
          <w:lang w:eastAsia="en-PH"/>
          <w14:ligatures w14:val="none"/>
        </w:rPr>
        <w:t>Financial stability</w:t>
      </w:r>
      <w:r w:rsidRPr="00220038">
        <w:rPr>
          <w:rFonts w:ascii="Times New Roman" w:eastAsia="Times New Roman" w:hAnsi="Times New Roman" w:cs="Times New Roman"/>
          <w:kern w:val="0"/>
          <w:szCs w:val="24"/>
          <w:lang w:eastAsia="en-PH"/>
          <w14:ligatures w14:val="none"/>
        </w:rPr>
        <w:t xml:space="preserve"> is another key theme, with evidence showing that oil price increases can improve financial stability in oil-exporting countries by strengthening fiscal and banking systems</w:t>
      </w:r>
      <w:r w:rsidR="00BC6BD0">
        <w:rPr>
          <w:rFonts w:ascii="Times New Roman" w:eastAsia="Times New Roman" w:hAnsi="Times New Roman" w:cs="Times New Roman"/>
          <w:kern w:val="0"/>
          <w:szCs w:val="24"/>
          <w:lang w:eastAsia="en-PH"/>
          <w14:ligatures w14:val="none"/>
        </w:rPr>
        <w:fldChar w:fldCharType="begin"/>
      </w:r>
      <w:r w:rsidR="00BC6BD0">
        <w:rPr>
          <w:rFonts w:ascii="Times New Roman" w:eastAsia="Times New Roman" w:hAnsi="Times New Roman" w:cs="Times New Roman"/>
          <w:kern w:val="0"/>
          <w:szCs w:val="24"/>
          <w:lang w:eastAsia="en-PH"/>
          <w14:ligatures w14:val="none"/>
        </w:rPr>
        <w:instrText xml:space="preserve"> ADDIN EN.CITE &lt;EndNote&gt;&lt;Cite&gt;&lt;Author&gt;Brahim Gaies*&lt;/Author&gt;&lt;Year&gt;2020&lt;/Year&gt;&lt;RecNum&gt;24&lt;/RecNum&gt;&lt;DisplayText&gt;(Brahim Gaies*, 2020)&lt;/DisplayText&gt;&lt;record&gt;&lt;rec-number&gt;24&lt;/rec-number&gt;&lt;foreign-keys&gt;&lt;key app="EN" db-id="vfdv2szx2wdrtne99esvzsrjd5ep9ws522pp" timestamp="1775983799"&gt;24&lt;/key&gt;&lt;/foreign-keys&gt;&lt;ref-type name="Journal Article"&gt;17&lt;/ref-type&gt;&lt;contributors&gt;&lt;authors&gt;&lt;author&gt;Brahim Gaies*, Khaled Guesmi**, Thomas Porcher***, Raphael Boroumand&lt;/author&gt;&lt;/authors&gt;&lt;/contributors&gt;&lt;titles&gt;&lt;title&gt;Financial instability and oil price fluctuations:&amp;#xD;evidence from oil exporting developing countries&lt;/title&gt;&lt;/titles&gt;&lt;dates&gt;&lt;year&gt;2020&lt;/year&gt;&lt;/dates&gt;&lt;urls&gt;&lt;related-urls&gt;&lt;url&gt;https://www.google.com/url?sa=t&amp;amp;source=web&amp;amp;rct=j&amp;amp;opi=89978449&amp;amp;url=https://ejce.liuc.it/18242979202001/182429792020170104.pdf&lt;/url&gt;&lt;/related-urls&gt;&lt;/urls&gt;&lt;/record&gt;&lt;/Cite&gt;&lt;/EndNote&gt;</w:instrText>
      </w:r>
      <w:r w:rsidR="00BC6BD0">
        <w:rPr>
          <w:rFonts w:ascii="Times New Roman" w:eastAsia="Times New Roman" w:hAnsi="Times New Roman" w:cs="Times New Roman"/>
          <w:kern w:val="0"/>
          <w:szCs w:val="24"/>
          <w:lang w:eastAsia="en-PH"/>
          <w14:ligatures w14:val="none"/>
        </w:rPr>
        <w:fldChar w:fldCharType="separate"/>
      </w:r>
      <w:r w:rsidR="00BC6BD0">
        <w:rPr>
          <w:rFonts w:ascii="Times New Roman" w:eastAsia="Times New Roman" w:hAnsi="Times New Roman" w:cs="Times New Roman"/>
          <w:noProof/>
          <w:kern w:val="0"/>
          <w:szCs w:val="24"/>
          <w:lang w:eastAsia="en-PH"/>
          <w14:ligatures w14:val="none"/>
        </w:rPr>
        <w:t>(Brahim Gaies*, 2020)</w:t>
      </w:r>
      <w:r w:rsidR="00BC6BD0">
        <w:rPr>
          <w:rFonts w:ascii="Times New Roman" w:eastAsia="Times New Roman" w:hAnsi="Times New Roman" w:cs="Times New Roman"/>
          <w:kern w:val="0"/>
          <w:szCs w:val="24"/>
          <w:lang w:eastAsia="en-PH"/>
          <w14:ligatures w14:val="none"/>
        </w:rPr>
        <w:fldChar w:fldCharType="end"/>
      </w:r>
      <w:r w:rsidR="00BC6BD0">
        <w:rPr>
          <w:rFonts w:ascii="Times New Roman" w:eastAsia="Times New Roman" w:hAnsi="Times New Roman" w:cs="Times New Roman"/>
          <w:kern w:val="0"/>
          <w:szCs w:val="24"/>
          <w:lang w:eastAsia="en-PH"/>
          <w14:ligatures w14:val="none"/>
        </w:rPr>
        <w:t xml:space="preserve"> </w:t>
      </w:r>
      <w:r w:rsidRPr="00220038">
        <w:rPr>
          <w:rFonts w:ascii="Times New Roman" w:eastAsia="Times New Roman" w:hAnsi="Times New Roman" w:cs="Times New Roman"/>
          <w:kern w:val="0"/>
          <w:szCs w:val="24"/>
          <w:lang w:eastAsia="en-PH"/>
          <w14:ligatures w14:val="none"/>
        </w:rPr>
        <w:t>However, volatility in oil markets increases financial risk, especially in economies with weaker institutional quality. Governance and institutional strength are found to mitigate adverse financial effects</w:t>
      </w:r>
      <w:r w:rsidR="00BC6BD0">
        <w:rPr>
          <w:rFonts w:ascii="Times New Roman" w:eastAsia="Times New Roman" w:hAnsi="Times New Roman" w:cs="Times New Roman"/>
          <w:kern w:val="0"/>
          <w:szCs w:val="24"/>
          <w:lang w:eastAsia="en-PH"/>
          <w14:ligatures w14:val="none"/>
        </w:rPr>
        <w:fldChar w:fldCharType="begin"/>
      </w:r>
      <w:r w:rsidR="00BC6BD0">
        <w:rPr>
          <w:rFonts w:ascii="Times New Roman" w:eastAsia="Times New Roman" w:hAnsi="Times New Roman" w:cs="Times New Roman"/>
          <w:kern w:val="0"/>
          <w:szCs w:val="24"/>
          <w:lang w:eastAsia="en-PH"/>
          <w14:ligatures w14:val="none"/>
        </w:rPr>
        <w:instrText xml:space="preserve"> ADDIN EN.CITE &lt;EndNote&gt;&lt;Cite&gt;&lt;Author&gt;Ullah&lt;/Author&gt;&lt;Year&gt;2023&lt;/Year&gt;&lt;RecNum&gt;28&lt;/RecNum&gt;&lt;DisplayText&gt;(Ullah, 2023)&lt;/DisplayText&gt;&lt;record&gt;&lt;rec-number&gt;28&lt;/rec-number&gt;&lt;foreign-keys&gt;&lt;key app="EN" db-id="vfdv2szx2wdrtne99esvzsrjd5ep9ws522pp" timestamp="1775985010"&gt;28&lt;/key&gt;&lt;/foreign-keys&gt;&lt;ref-type name="Journal Article"&gt;17&lt;/ref-type&gt;&lt;contributors&gt;&lt;authors&gt;&lt;author&gt;Saif Ullah&lt;/author&gt;&lt;/authors&gt;&lt;secondary-authors&gt;&lt;author&gt;Atta Ullah2 and Mubasher Zaman&lt;/author&gt;&lt;/secondary-authors&gt;&lt;/contributors&gt;&lt;titles&gt;&lt;title&gt;Nexus of governance, macroeconomic&amp;#xD;conditions, and financial stability of banks:&amp;#xD;a comparison of developed and emerging&amp;#xD;countries&lt;/title&gt;&lt;/titles&gt;&lt;dates&gt;&lt;year&gt;2023&lt;/year&gt;&lt;/dates&gt;&lt;urls&gt;&lt;related-urls&gt;&lt;url&gt;https://www.google.com/url?sa=t&amp;amp;source=web&amp;amp;rct=j&amp;amp;opi=89978449&amp;amp;url=https://link.springer.com/article/10.1186/s40854-023-00542-x&lt;/url&gt;&lt;/related-urls&gt;&lt;/urls&gt;&lt;/record&gt;&lt;/Cite&gt;&lt;/EndNote&gt;</w:instrText>
      </w:r>
      <w:r w:rsidR="00BC6BD0">
        <w:rPr>
          <w:rFonts w:ascii="Times New Roman" w:eastAsia="Times New Roman" w:hAnsi="Times New Roman" w:cs="Times New Roman"/>
          <w:kern w:val="0"/>
          <w:szCs w:val="24"/>
          <w:lang w:eastAsia="en-PH"/>
          <w14:ligatures w14:val="none"/>
        </w:rPr>
        <w:fldChar w:fldCharType="separate"/>
      </w:r>
      <w:r w:rsidR="00BC6BD0">
        <w:rPr>
          <w:rFonts w:ascii="Times New Roman" w:eastAsia="Times New Roman" w:hAnsi="Times New Roman" w:cs="Times New Roman"/>
          <w:noProof/>
          <w:kern w:val="0"/>
          <w:szCs w:val="24"/>
          <w:lang w:eastAsia="en-PH"/>
          <w14:ligatures w14:val="none"/>
        </w:rPr>
        <w:t>(Ullah, 2023)</w:t>
      </w:r>
      <w:r w:rsidR="00BC6BD0">
        <w:rPr>
          <w:rFonts w:ascii="Times New Roman" w:eastAsia="Times New Roman" w:hAnsi="Times New Roman" w:cs="Times New Roman"/>
          <w:kern w:val="0"/>
          <w:szCs w:val="24"/>
          <w:lang w:eastAsia="en-PH"/>
          <w14:ligatures w14:val="none"/>
        </w:rPr>
        <w:fldChar w:fldCharType="end"/>
      </w:r>
      <w:r w:rsidR="00BC6BD0">
        <w:rPr>
          <w:rFonts w:ascii="Times New Roman" w:eastAsia="Times New Roman" w:hAnsi="Times New Roman" w:cs="Times New Roman"/>
          <w:kern w:val="0"/>
          <w:szCs w:val="24"/>
          <w:lang w:eastAsia="en-PH"/>
          <w14:ligatures w14:val="none"/>
        </w:rPr>
        <w:t>.</w:t>
      </w:r>
    </w:p>
    <w:p w14:paraId="25CA65C7" w14:textId="77777777" w:rsidR="00220038" w:rsidRPr="00220038" w:rsidRDefault="00220038" w:rsidP="00220038">
      <w:pPr>
        <w:spacing w:after="0" w:line="240" w:lineRule="auto"/>
        <w:jc w:val="both"/>
        <w:rPr>
          <w:rFonts w:ascii="Times New Roman" w:eastAsia="Times New Roman" w:hAnsi="Times New Roman" w:cs="Times New Roman"/>
          <w:kern w:val="0"/>
          <w:szCs w:val="24"/>
          <w:lang w:eastAsia="en-PH"/>
          <w14:ligatures w14:val="none"/>
        </w:rPr>
      </w:pPr>
    </w:p>
    <w:p w14:paraId="61AFC9D2" w14:textId="77777777" w:rsidR="00220038" w:rsidRDefault="000A27DA" w:rsidP="00220038">
      <w:pPr>
        <w:tabs>
          <w:tab w:val="left" w:pos="2880"/>
        </w:tabs>
        <w:spacing w:after="0" w:line="240" w:lineRule="auto"/>
        <w:ind w:left="-180"/>
        <w:rPr>
          <w:rFonts w:ascii="Times New Roman" w:hAnsi="Times New Roman"/>
          <w:b/>
          <w:bCs/>
        </w:rPr>
      </w:pPr>
      <w:r w:rsidRPr="00957906">
        <w:rPr>
          <w:rFonts w:ascii="Times New Roman" w:hAnsi="Times New Roman"/>
          <w:b/>
          <w:bCs/>
        </w:rPr>
        <w:t>DISCUSSION</w:t>
      </w:r>
    </w:p>
    <w:p w14:paraId="74974239" w14:textId="2FDE6152" w:rsidR="000A27DA" w:rsidRPr="00174C03" w:rsidRDefault="00220038" w:rsidP="00220038">
      <w:pPr>
        <w:tabs>
          <w:tab w:val="left" w:pos="2880"/>
        </w:tabs>
        <w:spacing w:after="0" w:line="240" w:lineRule="auto"/>
        <w:ind w:left="-180"/>
        <w:rPr>
          <w:rFonts w:ascii="Times New Roman" w:hAnsi="Times New Roman"/>
          <w:b/>
          <w:bCs/>
        </w:rPr>
      </w:pPr>
      <w:r>
        <w:rPr>
          <w:rFonts w:ascii="Times New Roman" w:hAnsi="Times New Roman"/>
          <w:b/>
          <w:bCs/>
        </w:rPr>
        <w:tab/>
      </w:r>
    </w:p>
    <w:p w14:paraId="027B0DF0" w14:textId="1FEBE4D2" w:rsidR="00220038" w:rsidRPr="00220038" w:rsidRDefault="00220038" w:rsidP="00220038">
      <w:pPr>
        <w:pStyle w:val="NormalWeb"/>
        <w:spacing w:before="0" w:beforeAutospacing="0" w:after="0" w:afterAutospacing="0"/>
        <w:jc w:val="both"/>
        <w:rPr>
          <w:sz w:val="22"/>
          <w:szCs w:val="22"/>
        </w:rPr>
      </w:pPr>
      <w:r>
        <w:lastRenderedPageBreak/>
        <w:t xml:space="preserve">  </w:t>
      </w:r>
      <w:r w:rsidR="00EB46FF">
        <w:rPr>
          <w:sz w:val="22"/>
          <w:szCs w:val="22"/>
        </w:rPr>
        <w:t>T</w:t>
      </w:r>
      <w:r w:rsidRPr="00220038">
        <w:rPr>
          <w:sz w:val="22"/>
          <w:szCs w:val="22"/>
        </w:rPr>
        <w:t>rade performance, and broader economic resilience. Across the included studies, oil price fluctuations consistently emerge as a critical external determinant shaping inflation, economic growth, exchange rate stability, and financial system performance</w:t>
      </w:r>
      <w:r w:rsidR="00050B72">
        <w:rPr>
          <w:sz w:val="22"/>
          <w:szCs w:val="22"/>
        </w:rPr>
        <w:fldChar w:fldCharType="begin"/>
      </w:r>
      <w:r w:rsidR="00050B72">
        <w:rPr>
          <w:sz w:val="22"/>
          <w:szCs w:val="22"/>
        </w:rPr>
        <w:instrText xml:space="preserve"> ADDIN EN.CITE &lt;EndNote&gt;&lt;Cite&gt;&lt;Author&gt;Gnangnon&lt;/Author&gt;&lt;Year&gt;2021&lt;/Year&gt;&lt;RecNum&gt;9&lt;/RecNum&gt;&lt;DisplayText&gt;(Gnangnon, 2021)&lt;/DisplayText&gt;&lt;record&gt;&lt;rec-number&gt;9&lt;/rec-number&gt;&lt;foreign-keys&gt;&lt;key app="EN" db-id="vfdv2szx2wdrtne99esvzsrjd5ep9ws522pp" timestamp="1775981456"&gt;9&lt;/key&gt;&lt;/foreign-keys&gt;&lt;ref-type name="Generic"&gt;13&lt;/ref-type&gt;&lt;contributors&gt;&lt;authors&gt;&lt;author&gt;Gnangnon, Sena Kimm&lt;/author&gt;&lt;/authors&gt;&lt;/contributors&gt;&lt;titles&gt;&lt;title&gt;Development Aid and Export Resilience in Developing Countries: A Reference to Aid for Trade&lt;/title&gt;&lt;secondary-title&gt;Preprints&lt;/secondary-title&gt;&lt;/titles&gt;&lt;dates&gt;&lt;year&gt;2021&lt;/year&gt;&lt;pub-dates&gt;&lt;date&gt;2021/06/08&lt;/date&gt;&lt;/pub-dates&gt;&lt;/dates&gt;&lt;publisher&gt;Preprints&lt;/publisher&gt;&lt;urls&gt;&lt;related-urls&gt;&lt;url&gt;http://dx.doi.org/10.20944/preprints202106.0225.v1&lt;/url&gt;&lt;/related-urls&gt;&lt;/urls&gt;&lt;electronic-resource-num&gt;10.20944/preprints202106.0225.v1&lt;/electronic-resource-num&gt;&lt;/record&gt;&lt;/Cite&gt;&lt;/EndNote&gt;</w:instrText>
      </w:r>
      <w:r w:rsidR="00050B72">
        <w:rPr>
          <w:sz w:val="22"/>
          <w:szCs w:val="22"/>
        </w:rPr>
        <w:fldChar w:fldCharType="separate"/>
      </w:r>
      <w:r w:rsidR="00050B72">
        <w:rPr>
          <w:noProof/>
          <w:sz w:val="22"/>
          <w:szCs w:val="22"/>
        </w:rPr>
        <w:t>(Gnangnon, 2021)</w:t>
      </w:r>
      <w:r w:rsidR="00050B72">
        <w:rPr>
          <w:sz w:val="22"/>
          <w:szCs w:val="22"/>
        </w:rPr>
        <w:fldChar w:fldCharType="end"/>
      </w:r>
      <w:r w:rsidRPr="00220038">
        <w:rPr>
          <w:sz w:val="22"/>
          <w:szCs w:val="22"/>
        </w:rPr>
        <w:t>. The synthesis indicates that these effects are highly context-dependent, varying significantly between oil-exporting and oil-importing economies, as well as across institutional and structural conditions.</w:t>
      </w:r>
    </w:p>
    <w:p w14:paraId="45D257AD" w14:textId="08D04A1D"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A key finding of this review is the asymmetric effect of oil price shocks on economic growth. In oil-exporting countries, rising oil prices generally enhance GDP growth, fiscal revenues, and financial stability by strengthening external balances and government spending capacity</w:t>
      </w:r>
      <w:r w:rsidR="00050B72">
        <w:rPr>
          <w:rFonts w:ascii="Times New Roman" w:eastAsia="Times New Roman" w:hAnsi="Times New Roman" w:cs="Times New Roman"/>
          <w:kern w:val="0"/>
          <w:lang w:eastAsia="en-PH"/>
          <w14:ligatures w14:val="none"/>
        </w:rPr>
        <w:fldChar w:fldCharType="begin"/>
      </w:r>
      <w:r w:rsidR="00050B72">
        <w:rPr>
          <w:rFonts w:ascii="Times New Roman" w:eastAsia="Times New Roman" w:hAnsi="Times New Roman" w:cs="Times New Roman"/>
          <w:kern w:val="0"/>
          <w:lang w:eastAsia="en-PH"/>
          <w14:ligatures w14:val="none"/>
        </w:rPr>
        <w:instrText xml:space="preserve"> ADDIN EN.CITE &lt;EndNote&gt;&lt;Cite&gt;&lt;Author&gt;Moshiri&lt;/Author&gt;&lt;Year&gt;2015&lt;/Year&gt;&lt;RecNum&gt;10&lt;/RecNum&gt;&lt;DisplayText&gt;(Moshiri, 2015)&lt;/DisplayText&gt;&lt;record&gt;&lt;rec-number&gt;10&lt;/rec-number&gt;&lt;foreign-keys&gt;&lt;key app="EN" db-id="vfdv2szx2wdrtne99esvzsrjd5ep9ws522pp" timestamp="1775981740"&gt;10&lt;/key&gt;&lt;/foreign-keys&gt;&lt;ref-type name="Journal Article"&gt;17&lt;/ref-type&gt;&lt;contributors&gt;&lt;authors&gt;&lt;author&gt;Moshiri, Saeed&lt;/author&gt;&lt;/authors&gt;&lt;/contributors&gt;&lt;titles&gt;&lt;title&gt;Asymmetric effects of oil price shocks in oil-exporting countries: the role of institutions&lt;/title&gt;&lt;secondary-title&gt;OPEC Energy Review&lt;/secondary-title&gt;&lt;/titles&gt;&lt;periodical&gt;&lt;full-title&gt;OPEC Energy Review&lt;/full-title&gt;&lt;/periodical&gt;&lt;pages&gt;222-246&lt;/pages&gt;&lt;volume&gt;39&lt;/volume&gt;&lt;number&gt;2&lt;/number&gt;&lt;dates&gt;&lt;year&gt;2015&lt;/year&gt;&lt;/dates&gt;&lt;isbn&gt;1753-0229&lt;/isbn&gt;&lt;urls&gt;&lt;related-urls&gt;&lt;url&gt;https://onlinelibrary.wiley.com/doi/abs/10.1111/opec.12050&lt;/url&gt;&lt;/related-urls&gt;&lt;/urls&gt;&lt;electronic-resource-num&gt;https://doi.org/10.1111/opec.12050&lt;/electronic-resource-num&gt;&lt;/record&gt;&lt;/Cite&gt;&lt;/EndNote&gt;</w:instrText>
      </w:r>
      <w:r w:rsidR="00050B72">
        <w:rPr>
          <w:rFonts w:ascii="Times New Roman" w:eastAsia="Times New Roman" w:hAnsi="Times New Roman" w:cs="Times New Roman"/>
          <w:kern w:val="0"/>
          <w:lang w:eastAsia="en-PH"/>
          <w14:ligatures w14:val="none"/>
        </w:rPr>
        <w:fldChar w:fldCharType="separate"/>
      </w:r>
      <w:r w:rsidR="00050B72">
        <w:rPr>
          <w:rFonts w:ascii="Times New Roman" w:eastAsia="Times New Roman" w:hAnsi="Times New Roman" w:cs="Times New Roman"/>
          <w:noProof/>
          <w:kern w:val="0"/>
          <w:lang w:eastAsia="en-PH"/>
          <w14:ligatures w14:val="none"/>
        </w:rPr>
        <w:t>(Moshiri, 2015)</w:t>
      </w:r>
      <w:r w:rsidR="00050B72">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However, this growth-enhancing effect is often accompanied by increased macroeconomic vulnerability due to overreliance on volatile oil revenues. In contrast, oil-importing economies consistently experience contractionary effects, including reduced output growth and increased fiscal pressure, due to higher production and import costs</w:t>
      </w:r>
      <w:r w:rsidR="00050B72">
        <w:rPr>
          <w:rFonts w:ascii="Times New Roman" w:eastAsia="Times New Roman" w:hAnsi="Times New Roman" w:cs="Times New Roman"/>
          <w:kern w:val="0"/>
          <w:lang w:eastAsia="en-PH"/>
          <w14:ligatures w14:val="none"/>
        </w:rPr>
        <w:fldChar w:fldCharType="begin"/>
      </w:r>
      <w:r w:rsidR="00050B72">
        <w:rPr>
          <w:rFonts w:ascii="Times New Roman" w:eastAsia="Times New Roman" w:hAnsi="Times New Roman" w:cs="Times New Roman"/>
          <w:kern w:val="0"/>
          <w:lang w:eastAsia="en-PH"/>
          <w14:ligatures w14:val="none"/>
        </w:rPr>
        <w:instrText xml:space="preserve"> ADDIN EN.CITE &lt;EndNote&gt;&lt;Cite&gt;&lt;Author&gt;Taghizadeh-Hesary&lt;/Author&gt;&lt;Year&gt;2019&lt;/Year&gt;&lt;RecNum&gt;11&lt;/RecNum&gt;&lt;DisplayText&gt;(Taghizadeh-Hesary et al., 2019)&lt;/DisplayText&gt;&lt;record&gt;&lt;rec-number&gt;11&lt;/rec-number&gt;&lt;foreign-keys&gt;&lt;key app="EN" db-id="vfdv2szx2wdrtne99esvzsrjd5ep9ws522pp" timestamp="1775981856"&gt;11&lt;/key&gt;&lt;/foreign-keys&gt;&lt;ref-type name="Journal Article"&gt;17&lt;/ref-type&gt;&lt;contributors&gt;&lt;authors&gt;&lt;author&gt;Taghizadeh-Hesary, Farhad&lt;/author&gt;&lt;author&gt;Yoshino, Naoyuki&lt;/author&gt;&lt;author&gt;Rasoulinezhad, Ehsan&lt;/author&gt;&lt;author&gt;Chang, Youngho&lt;/author&gt;&lt;/authors&gt;&lt;/contributors&gt;&lt;titles&gt;&lt;title&gt;Trade linkages and transmission of oil price fluctuations&lt;/title&gt;&lt;secondary-title&gt;Energy Policy&lt;/secondary-title&gt;&lt;/titles&gt;&lt;periodical&gt;&lt;full-title&gt;Energy Policy&lt;/full-title&gt;&lt;/periodical&gt;&lt;pages&gt;110872&lt;/pages&gt;&lt;volume&gt;133&lt;/volume&gt;&lt;keywords&gt;&lt;keyword&gt;Crude oil price&lt;/keyword&gt;&lt;keyword&gt;Trade linkage&lt;/keyword&gt;&lt;keyword&gt;Direct and indirect effect of oil shocks&lt;/keyword&gt;&lt;/keywords&gt;&lt;dates&gt;&lt;year&gt;2019&lt;/year&gt;&lt;pub-dates&gt;&lt;date&gt;2019/10/01/&lt;/date&gt;&lt;/pub-dates&gt;&lt;/dates&gt;&lt;isbn&gt;0301-4215&lt;/isbn&gt;&lt;urls&gt;&lt;related-urls&gt;&lt;url&gt;https://www.sciencedirect.com/science/article/pii/S0301421519304501&lt;/url&gt;&lt;/related-urls&gt;&lt;/urls&gt;&lt;electronic-resource-num&gt;https://doi.org/10.1016/j.enpol.2019.07.008&lt;/electronic-resource-num&gt;&lt;/record&gt;&lt;/Cite&gt;&lt;/EndNote&gt;</w:instrText>
      </w:r>
      <w:r w:rsidR="00050B72">
        <w:rPr>
          <w:rFonts w:ascii="Times New Roman" w:eastAsia="Times New Roman" w:hAnsi="Times New Roman" w:cs="Times New Roman"/>
          <w:kern w:val="0"/>
          <w:lang w:eastAsia="en-PH"/>
          <w14:ligatures w14:val="none"/>
        </w:rPr>
        <w:fldChar w:fldCharType="separate"/>
      </w:r>
      <w:r w:rsidR="00050B72">
        <w:rPr>
          <w:rFonts w:ascii="Times New Roman" w:eastAsia="Times New Roman" w:hAnsi="Times New Roman" w:cs="Times New Roman"/>
          <w:noProof/>
          <w:kern w:val="0"/>
          <w:lang w:eastAsia="en-PH"/>
          <w14:ligatures w14:val="none"/>
        </w:rPr>
        <w:t>(Taghizadeh-Hesary et al., 2019)</w:t>
      </w:r>
      <w:r w:rsidR="00050B72">
        <w:rPr>
          <w:rFonts w:ascii="Times New Roman" w:eastAsia="Times New Roman" w:hAnsi="Times New Roman" w:cs="Times New Roman"/>
          <w:kern w:val="0"/>
          <w:lang w:eastAsia="en-PH"/>
          <w14:ligatures w14:val="none"/>
        </w:rPr>
        <w:fldChar w:fldCharType="end"/>
      </w:r>
      <w:r w:rsidR="00D56A2A">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These findings are consistent with recent empirical evidence showing that oil price shocks tend to amplify output volatility in net oil-importing economies</w:t>
      </w:r>
      <w:r w:rsidR="00050B72">
        <w:rPr>
          <w:rFonts w:ascii="Times New Roman" w:eastAsia="Times New Roman" w:hAnsi="Times New Roman" w:cs="Times New Roman"/>
          <w:kern w:val="0"/>
          <w:lang w:eastAsia="en-PH"/>
          <w14:ligatures w14:val="none"/>
        </w:rPr>
        <w:fldChar w:fldCharType="begin"/>
      </w:r>
      <w:r w:rsidR="00050B72">
        <w:rPr>
          <w:rFonts w:ascii="Times New Roman" w:eastAsia="Times New Roman" w:hAnsi="Times New Roman" w:cs="Times New Roman"/>
          <w:kern w:val="0"/>
          <w:lang w:eastAsia="en-PH"/>
          <w14:ligatures w14:val="none"/>
        </w:rPr>
        <w:instrText xml:space="preserve"> ADDIN EN.CITE &lt;EndNote&gt;&lt;Cite&gt;&lt;Author&gt;Hollander&lt;/Author&gt;&lt;Year&gt;2019&lt;/Year&gt;&lt;RecNum&gt;8&lt;/RecNum&gt;&lt;DisplayText&gt;(Hollander, 2019)&lt;/DisplayText&gt;&lt;record&gt;&lt;rec-number&gt;8&lt;/rec-number&gt;&lt;foreign-keys&gt;&lt;key app="EN" db-id="vfdv2szx2wdrtne99esvzsrjd5ep9ws522pp" timestamp="1775981071"&gt;8&lt;/key&gt;&lt;/foreign-keys&gt;&lt;ref-type name="Journal Article"&gt;17&lt;/ref-type&gt;&lt;contributors&gt;&lt;authors&gt;&lt;author&gt;Hollander, H., Gupta, R., &amp;amp; Wohar, M. E. &lt;/author&gt;&lt;/authors&gt;&lt;/contributors&gt;&lt;titles&gt;&lt;title&gt;The Impact of Oil Shocks in a Small Open Economy New-Keynesian Dynamic Stochastic General Equilibrium Model for an Oil-Importing Country: The Case of South Africa. &lt;/title&gt;&lt;/titles&gt;&lt;dates&gt;&lt;year&gt;2019&lt;/year&gt;&lt;/dates&gt;&lt;urls&gt;&lt;/urls&gt;&lt;electronic-resource-num&gt;&amp;#xD;. https://doi.org/10.1080/1540496X.2018.1474346&lt;/electronic-resource-num&gt;&lt;/record&gt;&lt;/Cite&gt;&lt;/EndNote&gt;</w:instrText>
      </w:r>
      <w:r w:rsidR="00050B72">
        <w:rPr>
          <w:rFonts w:ascii="Times New Roman" w:eastAsia="Times New Roman" w:hAnsi="Times New Roman" w:cs="Times New Roman"/>
          <w:kern w:val="0"/>
          <w:lang w:eastAsia="en-PH"/>
          <w14:ligatures w14:val="none"/>
        </w:rPr>
        <w:fldChar w:fldCharType="separate"/>
      </w:r>
      <w:r w:rsidR="00050B72">
        <w:rPr>
          <w:rFonts w:ascii="Times New Roman" w:eastAsia="Times New Roman" w:hAnsi="Times New Roman" w:cs="Times New Roman"/>
          <w:noProof/>
          <w:kern w:val="0"/>
          <w:lang w:eastAsia="en-PH"/>
          <w14:ligatures w14:val="none"/>
        </w:rPr>
        <w:t>(Hollander, 2019)</w:t>
      </w:r>
      <w:r w:rsidR="00050B72">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xml:space="preserve">, </w:t>
      </w:r>
    </w:p>
    <w:p w14:paraId="515C0803" w14:textId="77777777" w:rsidR="00D56A2A"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 xml:space="preserve">Inflation emerged as one of the most immediate and consistent transmission channels identified in the reviewed studies. Oil price increases were found to rapidly transmit into domestic price levels through cost-push inflation and exchange rate pass-through mechanisms, particularly in developing and emerging economies </w:t>
      </w:r>
      <w:r w:rsidR="00D56A2A">
        <w:rPr>
          <w:rFonts w:ascii="Times New Roman" w:eastAsia="Times New Roman" w:hAnsi="Times New Roman" w:cs="Times New Roman"/>
          <w:kern w:val="0"/>
          <w:lang w:eastAsia="en-PH"/>
          <w14:ligatures w14:val="none"/>
        </w:rPr>
        <w:fldChar w:fldCharType="begin"/>
      </w:r>
      <w:r w:rsidR="00D56A2A">
        <w:rPr>
          <w:rFonts w:ascii="Times New Roman" w:eastAsia="Times New Roman" w:hAnsi="Times New Roman" w:cs="Times New Roman"/>
          <w:kern w:val="0"/>
          <w:lang w:eastAsia="en-PH"/>
          <w14:ligatures w14:val="none"/>
        </w:rPr>
        <w:instrText xml:space="preserve"> ADDIN EN.CITE &lt;EndNote&gt;&lt;Cite&gt;&lt;Author&gt;Al-Nassar&lt;/Author&gt;&lt;Year&gt;2023&lt;/Year&gt;&lt;RecNum&gt;12&lt;/RecNum&gt;&lt;DisplayText&gt;(Al-Nassar &amp;amp; Albahouth, 2023)&lt;/DisplayText&gt;&lt;record&gt;&lt;rec-number&gt;12&lt;/rec-number&gt;&lt;foreign-keys&gt;&lt;key app="EN" db-id="vfdv2szx2wdrtne99esvzsrjd5ep9ws522pp" timestamp="1775982142"&gt;12&lt;/key&gt;&lt;/foreign-keys&gt;&lt;ref-type name="Journal Article"&gt;17&lt;/ref-type&gt;&lt;contributors&gt;&lt;authors&gt;&lt;author&gt;Al-Nassar, Nassar S.&lt;/author&gt;&lt;author&gt;Albahouth, Abdulrahman A.&lt;/author&gt;&lt;/authors&gt;&lt;/contributors&gt;&lt;titles&gt;&lt;title&gt;Inflation Spillovers among Advanced and Emerging Economies: Evidence from the G20 Group&lt;/title&gt;&lt;secondary-title&gt;Economies&lt;/secondary-title&gt;&lt;/titles&gt;&lt;periodical&gt;&lt;full-title&gt;Economies&lt;/full-title&gt;&lt;/periodical&gt;&lt;pages&gt;126&lt;/pages&gt;&lt;volume&gt;11&lt;/volume&gt;&lt;number&gt;4&lt;/number&gt;&lt;dates&gt;&lt;year&gt;2023&lt;/year&gt;&lt;/dates&gt;&lt;isbn&gt;2227-7099&lt;/isbn&gt;&lt;accession-num&gt;doi:10.3390/economies11040126&lt;/accession-num&gt;&lt;urls&gt;&lt;related-urls&gt;&lt;url&gt;https://www.mdpi.com/2227-7099/11/4/126&lt;/url&gt;&lt;/related-urls&gt;&lt;/urls&gt;&lt;/record&gt;&lt;/Cite&gt;&lt;/EndNote&gt;</w:instrText>
      </w:r>
      <w:r w:rsidR="00D56A2A">
        <w:rPr>
          <w:rFonts w:ascii="Times New Roman" w:eastAsia="Times New Roman" w:hAnsi="Times New Roman" w:cs="Times New Roman"/>
          <w:kern w:val="0"/>
          <w:lang w:eastAsia="en-PH"/>
          <w14:ligatures w14:val="none"/>
        </w:rPr>
        <w:fldChar w:fldCharType="separate"/>
      </w:r>
      <w:r w:rsidR="00D56A2A">
        <w:rPr>
          <w:rFonts w:ascii="Times New Roman" w:eastAsia="Times New Roman" w:hAnsi="Times New Roman" w:cs="Times New Roman"/>
          <w:noProof/>
          <w:kern w:val="0"/>
          <w:lang w:eastAsia="en-PH"/>
          <w14:ligatures w14:val="none"/>
        </w:rPr>
        <w:t>(Al-Nassar &amp; Albahouth, 2023)</w:t>
      </w:r>
      <w:r w:rsidR="00D56A2A">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This aligns with recent global evidence indicating that energy price shocks significantly contribute to inflation persistence, especially in economies with weak monetary buffers and high import dependence</w:t>
      </w:r>
      <w:r w:rsidR="00D56A2A">
        <w:rPr>
          <w:rFonts w:ascii="Times New Roman" w:eastAsia="Times New Roman" w:hAnsi="Times New Roman" w:cs="Times New Roman"/>
          <w:kern w:val="0"/>
          <w:lang w:eastAsia="en-PH"/>
          <w14:ligatures w14:val="none"/>
        </w:rPr>
        <w:t xml:space="preserve"> </w:t>
      </w:r>
      <w:r w:rsidR="00D56A2A">
        <w:rPr>
          <w:rFonts w:ascii="Times New Roman" w:eastAsia="Times New Roman" w:hAnsi="Times New Roman" w:cs="Times New Roman"/>
          <w:kern w:val="0"/>
          <w:lang w:eastAsia="en-PH"/>
          <w14:ligatures w14:val="none"/>
        </w:rPr>
        <w:fldChar w:fldCharType="begin"/>
      </w:r>
      <w:r w:rsidR="00D56A2A">
        <w:rPr>
          <w:rFonts w:ascii="Times New Roman" w:eastAsia="Times New Roman" w:hAnsi="Times New Roman" w:cs="Times New Roman"/>
          <w:kern w:val="0"/>
          <w:lang w:eastAsia="en-PH"/>
          <w14:ligatures w14:val="none"/>
        </w:rPr>
        <w:instrText xml:space="preserve"> ADDIN EN.CITE &lt;EndNote&gt;&lt;Cite&gt;&lt;Author&gt;Alvarez&lt;/Author&gt;&lt;Year&gt;2025&lt;/Year&gt;&lt;RecNum&gt;13&lt;/RecNum&gt;&lt;DisplayText&gt;(Alvarez &amp;amp; Kroen, 2025)&lt;/DisplayText&gt;&lt;record&gt;&lt;rec-number&gt;13&lt;/rec-number&gt;&lt;foreign-keys&gt;&lt;key app="EN" db-id="vfdv2szx2wdrtne99esvzsrjd5ep9ws522pp" timestamp="1775982291"&gt;13&lt;/key&gt;&lt;/foreign-keys&gt;&lt;ref-type name="Generic"&gt;13&lt;/ref-type&gt;&lt;contributors&gt;&lt;authors&gt;&lt;author&gt;Alvarez, Jorge A&lt;/author&gt;&lt;author&gt;Kroen, Thomas&lt;/author&gt;&lt;/authors&gt;&lt;/contributors&gt;&lt;titles&gt;&lt;title&gt;The Energy Origins of the Global Inflation Surge&lt;/title&gt;&lt;/titles&gt;&lt;volume&gt;2025&lt;/volume&gt;&lt;number&gt;091&lt;/number&gt;&lt;dates&gt;&lt;year&gt;2025&lt;/year&gt;&lt;pub-dates&gt;&lt;date&gt;09 May. 2025&lt;/date&gt;&lt;/pub-dates&gt;&lt;/dates&gt;&lt;publisher&gt;International Monetary Fund&lt;/publisher&gt;&lt;isbn&gt;9798229008310&amp;#xD;1018-5941&lt;/isbn&gt;&lt;urls&gt;&lt;related-urls&gt;&lt;url&gt;https://www.elibrary.imf.org/view/journals/001/2025/091/001.2025.issue-091-en.xml&lt;/url&gt;&lt;/related-urls&gt;&lt;/urls&gt;&lt;electronic-resource-num&gt;10.5089/9798229008310.001&lt;/electronic-resource-num&gt;&lt;language&gt;English&lt;/language&gt;&lt;/record&gt;&lt;/Cite&gt;&lt;/EndNote&gt;</w:instrText>
      </w:r>
      <w:r w:rsidR="00D56A2A">
        <w:rPr>
          <w:rFonts w:ascii="Times New Roman" w:eastAsia="Times New Roman" w:hAnsi="Times New Roman" w:cs="Times New Roman"/>
          <w:kern w:val="0"/>
          <w:lang w:eastAsia="en-PH"/>
          <w14:ligatures w14:val="none"/>
        </w:rPr>
        <w:fldChar w:fldCharType="separate"/>
      </w:r>
      <w:r w:rsidR="00D56A2A">
        <w:rPr>
          <w:rFonts w:ascii="Times New Roman" w:eastAsia="Times New Roman" w:hAnsi="Times New Roman" w:cs="Times New Roman"/>
          <w:noProof/>
          <w:kern w:val="0"/>
          <w:lang w:eastAsia="en-PH"/>
          <w14:ligatures w14:val="none"/>
        </w:rPr>
        <w:t>(Alvarez &amp; Kroen, 2025)</w:t>
      </w:r>
      <w:r w:rsidR="00D56A2A">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xml:space="preserve">. </w:t>
      </w:r>
    </w:p>
    <w:p w14:paraId="3D6D37D9" w14:textId="69454E4E" w:rsidR="00220038" w:rsidRPr="00220038" w:rsidRDefault="00D56A2A"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00220038" w:rsidRPr="00220038">
        <w:rPr>
          <w:rFonts w:ascii="Times New Roman" w:eastAsia="Times New Roman" w:hAnsi="Times New Roman" w:cs="Times New Roman"/>
          <w:kern w:val="0"/>
          <w:lang w:eastAsia="en-PH"/>
          <w14:ligatures w14:val="none"/>
        </w:rPr>
        <w:t>The heterogeneity in inflation responses further highlights the role of macroeconomic policy frameworks and exchange rate regimes in moderating oil-driven price instability.</w:t>
      </w:r>
      <w:r w:rsidR="00220038">
        <w:rPr>
          <w:rFonts w:ascii="Times New Roman" w:eastAsia="Times New Roman" w:hAnsi="Times New Roman" w:cs="Times New Roman"/>
          <w:kern w:val="0"/>
          <w:lang w:eastAsia="en-PH"/>
          <w14:ligatures w14:val="none"/>
        </w:rPr>
        <w:t xml:space="preserve"> </w:t>
      </w:r>
      <w:r w:rsidR="00220038" w:rsidRPr="00220038">
        <w:rPr>
          <w:rFonts w:ascii="Times New Roman" w:eastAsia="Times New Roman" w:hAnsi="Times New Roman" w:cs="Times New Roman"/>
          <w:kern w:val="0"/>
          <w:lang w:eastAsia="en-PH"/>
          <w14:ligatures w14:val="none"/>
        </w:rPr>
        <w:t>In terms of external sector performance, the review reveals that oil price shocks significantly influence exchange rates, trade balances, and international freight costs. Depreciation of domestic currencies following oil price increases contributes to reduced trade volumes and heightened external vulnerability in African and North African economies</w:t>
      </w:r>
      <w:r>
        <w:rPr>
          <w:rFonts w:ascii="Times New Roman" w:eastAsia="Times New Roman" w:hAnsi="Times New Roman" w:cs="Times New Roman"/>
          <w:kern w:val="0"/>
          <w:lang w:eastAsia="en-PH"/>
          <w14:ligatures w14:val="none"/>
        </w:rPr>
        <w:fldChar w:fldCharType="begin"/>
      </w:r>
      <w:r>
        <w:rPr>
          <w:rFonts w:ascii="Times New Roman" w:eastAsia="Times New Roman" w:hAnsi="Times New Roman" w:cs="Times New Roman"/>
          <w:kern w:val="0"/>
          <w:lang w:eastAsia="en-PH"/>
          <w14:ligatures w14:val="none"/>
        </w:rPr>
        <w:instrText xml:space="preserve"> ADDIN EN.CITE &lt;EndNote&gt;&lt;Cite&gt;&lt;Author&gt;Ayeni&lt;/Author&gt;&lt;Year&gt;2025&lt;/Year&gt;&lt;RecNum&gt;14&lt;/RecNum&gt;&lt;DisplayText&gt;(Ayeni et al., 2025)&lt;/DisplayText&gt;&lt;record&gt;&lt;rec-number&gt;14&lt;/rec-number&gt;&lt;foreign-keys&gt;&lt;key app="EN" db-id="vfdv2szx2wdrtne99esvzsrjd5ep9ws522pp" timestamp="1775982412"&gt;14&lt;/key&gt;&lt;/foreign-keys&gt;&lt;ref-type name="Journal Article"&gt;17&lt;/ref-type&gt;&lt;contributors&gt;&lt;authors&gt;&lt;author&gt;Ayeni, Emmanuel&lt;/author&gt;&lt;author&gt;Ohikhuare, Obaika M.&lt;/author&gt;&lt;author&gt;Ibrahim, Kayode Muhammed&lt;/author&gt;&lt;author&gt;wright, Olatunde&lt;/author&gt;&lt;/authors&gt;&lt;/contributors&gt;&lt;titles&gt;&lt;title&gt;Exchange rate misalignment, oil prices and macroeconomic condition in Nigeria&lt;/title&gt;&lt;secondary-title&gt;Social Sciences &amp;amp; Humanities Open&lt;/secondary-title&gt;&lt;/titles&gt;&lt;periodical&gt;&lt;full-title&gt;Social Sciences &amp;amp; Humanities Open&lt;/full-title&gt;&lt;/periodical&gt;&lt;pages&gt;101788&lt;/pages&gt;&lt;volume&gt;12&lt;/volume&gt;&lt;keywords&gt;&lt;keyword&gt;Exchange rate misalignment&lt;/keyword&gt;&lt;keyword&gt;Real exchange rate (REER)&lt;/keyword&gt;&lt;keyword&gt;Domestic currency and behavioral exchange rate&lt;/keyword&gt;&lt;/keywords&gt;&lt;dates&gt;&lt;year&gt;2025&lt;/year&gt;&lt;pub-dates&gt;&lt;date&gt;2025/01/01/&lt;/date&gt;&lt;/pub-dates&gt;&lt;/dates&gt;&lt;isbn&gt;2590-2911&lt;/isbn&gt;&lt;urls&gt;&lt;related-urls&gt;&lt;url&gt;https://www.sciencedirect.com/science/article/pii/S2590291125005169&lt;/url&gt;&lt;/related-urls&gt;&lt;/urls&gt;&lt;electronic-resource-num&gt;https://doi.org/10.1016/j.ssaho.2025.101788&lt;/electronic-resource-num&gt;&lt;/record&gt;&lt;/Cite&gt;&lt;/EndNote&gt;</w:instrText>
      </w:r>
      <w:r>
        <w:rPr>
          <w:rFonts w:ascii="Times New Roman" w:eastAsia="Times New Roman" w:hAnsi="Times New Roman" w:cs="Times New Roman"/>
          <w:kern w:val="0"/>
          <w:lang w:eastAsia="en-PH"/>
          <w14:ligatures w14:val="none"/>
        </w:rPr>
        <w:fldChar w:fldCharType="separate"/>
      </w:r>
      <w:r>
        <w:rPr>
          <w:rFonts w:ascii="Times New Roman" w:eastAsia="Times New Roman" w:hAnsi="Times New Roman" w:cs="Times New Roman"/>
          <w:noProof/>
          <w:kern w:val="0"/>
          <w:lang w:eastAsia="en-PH"/>
          <w14:ligatures w14:val="none"/>
        </w:rPr>
        <w:t>(Ayeni et al., 2025)</w:t>
      </w:r>
      <w:r>
        <w:rPr>
          <w:rFonts w:ascii="Times New Roman" w:eastAsia="Times New Roman" w:hAnsi="Times New Roman" w:cs="Times New Roman"/>
          <w:kern w:val="0"/>
          <w:lang w:eastAsia="en-PH"/>
          <w14:ligatures w14:val="none"/>
        </w:rPr>
        <w:fldChar w:fldCharType="end"/>
      </w:r>
      <w:r w:rsidR="00220038" w:rsidRPr="00220038">
        <w:rPr>
          <w:rFonts w:ascii="Times New Roman" w:eastAsia="Times New Roman" w:hAnsi="Times New Roman" w:cs="Times New Roman"/>
          <w:kern w:val="0"/>
          <w:lang w:eastAsia="en-PH"/>
          <w14:ligatures w14:val="none"/>
        </w:rPr>
        <w:t>. Moreover, global evidence indicates that oil price movements strongly affect shipping freight rates and trade logistics, reinforcing the systemic nature of oil shocks in global supply chains</w:t>
      </w:r>
      <w:r>
        <w:rPr>
          <w:rFonts w:ascii="Times New Roman" w:eastAsia="Times New Roman" w:hAnsi="Times New Roman" w:cs="Times New Roman"/>
          <w:kern w:val="0"/>
          <w:lang w:eastAsia="en-PH"/>
          <w14:ligatures w14:val="none"/>
        </w:rPr>
        <w:fldChar w:fldCharType="begin"/>
      </w:r>
      <w:r>
        <w:rPr>
          <w:rFonts w:ascii="Times New Roman" w:eastAsia="Times New Roman" w:hAnsi="Times New Roman" w:cs="Times New Roman"/>
          <w:kern w:val="0"/>
          <w:lang w:eastAsia="en-PH"/>
          <w14:ligatures w14:val="none"/>
        </w:rPr>
        <w:instrText xml:space="preserve"> ADDIN EN.CITE &lt;EndNote&gt;&lt;Cite&gt;&lt;Author&gt;Khan&lt;/Author&gt;&lt;Year&gt;2021&lt;/Year&gt;&lt;RecNum&gt;15&lt;/RecNum&gt;&lt;DisplayText&gt;(Khan et al., 2021)&lt;/DisplayText&gt;&lt;record&gt;&lt;rec-number&gt;15&lt;/rec-number&gt;&lt;foreign-keys&gt;&lt;key app="EN" db-id="vfdv2szx2wdrtne99esvzsrjd5ep9ws522pp" timestamp="1775982468"&gt;15&lt;/key&gt;&lt;/foreign-keys&gt;&lt;ref-type name="Journal Article"&gt;17&lt;/ref-type&gt;&lt;contributors&gt;&lt;authors&gt;&lt;author&gt;Khan, Khalid&lt;/author&gt;&lt;author&gt;Su, Chi-Wei&lt;/author&gt;&lt;author&gt;Tao, Ran&lt;/author&gt;&lt;author&gt;Umar, Muhammad&lt;/author&gt;&lt;/authors&gt;&lt;/contributors&gt;&lt;titles&gt;&lt;title&gt;How often do oil prices and tanker freight rates depend on global uncertainty?&lt;/title&gt;&lt;secondary-title&gt;Regional Studies in Marine Science&lt;/secondary-title&gt;&lt;/titles&gt;&lt;periodical&gt;&lt;full-title&gt;Regional Studies in Marine Science&lt;/full-title&gt;&lt;/periodical&gt;&lt;pages&gt;102043&lt;/pages&gt;&lt;volume&gt;48&lt;/volume&gt;&lt;keywords&gt;&lt;keyword&gt;Oil prices&lt;/keyword&gt;&lt;keyword&gt;Baltic Dirty Tanker Index&lt;/keyword&gt;&lt;keyword&gt;Shipping industry&lt;/keyword&gt;&lt;keyword&gt;Global economic policy uncertainty&lt;/keyword&gt;&lt;keyword&gt;Wavelet analysis&lt;/keyword&gt;&lt;/keywords&gt;&lt;dates&gt;&lt;year&gt;2021&lt;/year&gt;&lt;pub-dates&gt;&lt;date&gt;2021/11/01/&lt;/date&gt;&lt;/pub-dates&gt;&lt;/dates&gt;&lt;isbn&gt;2352-4855&lt;/isbn&gt;&lt;urls&gt;&lt;related-urls&gt;&lt;url&gt;https://www.sciencedirect.com/science/article/pii/S2352485521004357&lt;/url&gt;&lt;/related-urls&gt;&lt;/urls&gt;&lt;electronic-resource-num&gt;https://doi.org/10.1016/j.rsma.2021.102043&lt;/electronic-resource-num&gt;&lt;/record&gt;&lt;/Cite&gt;&lt;/EndNote&gt;</w:instrText>
      </w:r>
      <w:r>
        <w:rPr>
          <w:rFonts w:ascii="Times New Roman" w:eastAsia="Times New Roman" w:hAnsi="Times New Roman" w:cs="Times New Roman"/>
          <w:kern w:val="0"/>
          <w:lang w:eastAsia="en-PH"/>
          <w14:ligatures w14:val="none"/>
        </w:rPr>
        <w:fldChar w:fldCharType="separate"/>
      </w:r>
      <w:r>
        <w:rPr>
          <w:rFonts w:ascii="Times New Roman" w:eastAsia="Times New Roman" w:hAnsi="Times New Roman" w:cs="Times New Roman"/>
          <w:noProof/>
          <w:kern w:val="0"/>
          <w:lang w:eastAsia="en-PH"/>
          <w14:ligatures w14:val="none"/>
        </w:rPr>
        <w:t>(Khan et al., 2021)</w:t>
      </w:r>
      <w:r>
        <w:rPr>
          <w:rFonts w:ascii="Times New Roman" w:eastAsia="Times New Roman" w:hAnsi="Times New Roman" w:cs="Times New Roman"/>
          <w:kern w:val="0"/>
          <w:lang w:eastAsia="en-PH"/>
          <w14:ligatures w14:val="none"/>
        </w:rPr>
        <w:fldChar w:fldCharType="end"/>
      </w:r>
      <w:r w:rsidR="00220038" w:rsidRPr="00220038">
        <w:rPr>
          <w:rFonts w:ascii="Times New Roman" w:eastAsia="Times New Roman" w:hAnsi="Times New Roman" w:cs="Times New Roman"/>
          <w:kern w:val="0"/>
          <w:lang w:eastAsia="en-PH"/>
          <w14:ligatures w14:val="none"/>
        </w:rPr>
        <w:t>. These findings are consistent with recent empirical research showing that energy price volatility significantly disrupts global trade networks and transportation costs</w:t>
      </w:r>
      <w:r w:rsidR="003C4293">
        <w:rPr>
          <w:rFonts w:ascii="Times New Roman" w:eastAsia="Times New Roman" w:hAnsi="Times New Roman" w:cs="Times New Roman"/>
          <w:kern w:val="0"/>
          <w:lang w:eastAsia="en-PH"/>
          <w14:ligatures w14:val="none"/>
        </w:rPr>
        <w:fldChar w:fldCharType="begin"/>
      </w:r>
      <w:r w:rsidR="003C4293">
        <w:rPr>
          <w:rFonts w:ascii="Times New Roman" w:eastAsia="Times New Roman" w:hAnsi="Times New Roman" w:cs="Times New Roman"/>
          <w:kern w:val="0"/>
          <w:lang w:eastAsia="en-PH"/>
          <w14:ligatures w14:val="none"/>
        </w:rPr>
        <w:instrText xml:space="preserve"> ADDIN EN.CITE &lt;EndNote&gt;&lt;Cite&gt;&lt;Author&gt;Shepard&lt;/Author&gt;&lt;Year&gt;2022&lt;/Year&gt;&lt;RecNum&gt;16&lt;/RecNum&gt;&lt;DisplayText&gt;(Shepard et al., 2022)&lt;/DisplayText&gt;&lt;record&gt;&lt;rec-number&gt;16&lt;/rec-number&gt;&lt;foreign-keys&gt;&lt;key app="EN" db-id="vfdv2szx2wdrtne99esvzsrjd5ep9ws522pp" timestamp="1775982633"&gt;16&lt;/key&gt;&lt;/foreign-keys&gt;&lt;ref-type name="Journal Article"&gt;17&lt;/ref-type&gt;&lt;contributors&gt;&lt;authors&gt;&lt;author&gt;Shepard, Jun U.&lt;/author&gt;&lt;author&gt;van Ruijven, Bas J.&lt;/author&gt;&lt;author&gt;Zakeri, Behnam&lt;/author&gt;&lt;/authors&gt;&lt;/contributors&gt;&lt;titles&gt;&lt;title&gt;Impacts of Trade Friction and Climate Policy on Global Energy Trade Network&lt;/title&gt;&lt;secondary-title&gt;Energies&lt;/secondary-title&gt;&lt;/titles&gt;&lt;periodical&gt;&lt;full-title&gt;Energies&lt;/full-title&gt;&lt;/periodical&gt;&lt;pages&gt;6171&lt;/pages&gt;&lt;volume&gt;15&lt;/volume&gt;&lt;number&gt;17&lt;/number&gt;&lt;dates&gt;&lt;year&gt;2022&lt;/year&gt;&lt;/dates&gt;&lt;isbn&gt;1996-1073&lt;/isbn&gt;&lt;accession-num&gt;doi:10.3390/en15176171&lt;/accession-num&gt;&lt;urls&gt;&lt;related-urls&gt;&lt;url&gt;https://www.mdpi.com/1996-1073/15/17/6171&lt;/url&gt;&lt;/related-urls&gt;&lt;/urls&gt;&lt;/record&gt;&lt;/Cite&gt;&lt;/EndNote&gt;</w:instrText>
      </w:r>
      <w:r w:rsidR="003C4293">
        <w:rPr>
          <w:rFonts w:ascii="Times New Roman" w:eastAsia="Times New Roman" w:hAnsi="Times New Roman" w:cs="Times New Roman"/>
          <w:kern w:val="0"/>
          <w:lang w:eastAsia="en-PH"/>
          <w14:ligatures w14:val="none"/>
        </w:rPr>
        <w:fldChar w:fldCharType="separate"/>
      </w:r>
      <w:r w:rsidR="003C4293">
        <w:rPr>
          <w:rFonts w:ascii="Times New Roman" w:eastAsia="Times New Roman" w:hAnsi="Times New Roman" w:cs="Times New Roman"/>
          <w:noProof/>
          <w:kern w:val="0"/>
          <w:lang w:eastAsia="en-PH"/>
          <w14:ligatures w14:val="none"/>
        </w:rPr>
        <w:t>(Shepard et al., 2022)</w:t>
      </w:r>
      <w:r w:rsidR="003C4293">
        <w:rPr>
          <w:rFonts w:ascii="Times New Roman" w:eastAsia="Times New Roman" w:hAnsi="Times New Roman" w:cs="Times New Roman"/>
          <w:kern w:val="0"/>
          <w:lang w:eastAsia="en-PH"/>
          <w14:ligatures w14:val="none"/>
        </w:rPr>
        <w:fldChar w:fldCharType="end"/>
      </w:r>
      <w:r w:rsidR="003C4293">
        <w:rPr>
          <w:rFonts w:ascii="Times New Roman" w:eastAsia="Times New Roman" w:hAnsi="Times New Roman" w:cs="Times New Roman"/>
          <w:kern w:val="0"/>
          <w:lang w:eastAsia="en-PH"/>
          <w14:ligatures w14:val="none"/>
        </w:rPr>
        <w:t xml:space="preserve"> .</w:t>
      </w:r>
    </w:p>
    <w:p w14:paraId="220455C7" w14:textId="03BE0DE3"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Financial stability was also identified as a central outcome affected by oil price fluctuations. Several studies show that oil price increases can improve financial stability in oil-exporting economies by strengthening fiscal positions and banking sector resilience</w:t>
      </w:r>
      <w:r w:rsidR="003C4293">
        <w:rPr>
          <w:rFonts w:ascii="Times New Roman" w:eastAsia="Times New Roman" w:hAnsi="Times New Roman" w:cs="Times New Roman"/>
          <w:kern w:val="0"/>
          <w:lang w:eastAsia="en-PH"/>
          <w14:ligatures w14:val="none"/>
        </w:rPr>
        <w:fldChar w:fldCharType="begin"/>
      </w:r>
      <w:r w:rsidR="003C4293">
        <w:rPr>
          <w:rFonts w:ascii="Times New Roman" w:eastAsia="Times New Roman" w:hAnsi="Times New Roman" w:cs="Times New Roman"/>
          <w:kern w:val="0"/>
          <w:lang w:eastAsia="en-PH"/>
          <w14:ligatures w14:val="none"/>
        </w:rPr>
        <w:instrText xml:space="preserve"> ADDIN EN.CITE &lt;EndNote&gt;&lt;Cite&gt;&lt;Author&gt;Bouzidi&lt;/Author&gt;&lt;Year&gt;2024&lt;/Year&gt;&lt;RecNum&gt;17&lt;/RecNum&gt;&lt;DisplayText&gt;(Bouzidi et al., 2024)&lt;/DisplayText&gt;&lt;record&gt;&lt;rec-number&gt;17&lt;/rec-number&gt;&lt;foreign-keys&gt;&lt;key app="EN" db-id="vfdv2szx2wdrtne99esvzsrjd5ep9ws522pp" timestamp="1775982989"&gt;17&lt;/key&gt;&lt;/foreign-keys&gt;&lt;ref-type name="Journal Article"&gt;17&lt;/ref-type&gt;&lt;contributors&gt;&lt;authors&gt;&lt;author&gt;Bouzidi, Fathi Mohamed&lt;/author&gt;&lt;author&gt;Nefzi, Aida Arbi&lt;/author&gt;&lt;author&gt;Al Yousif, Mohammed&lt;/author&gt;&lt;/authors&gt;&lt;/contributors&gt;&lt;titles&gt;&lt;title&gt;Impact of International Oil Price Shocks and Inflation on Bank Efficiency and Financial Stability: Evidence from Saudi Arabian Banking Sector&lt;/title&gt;&lt;secondary-title&gt;Journal of Risk and Financial Management&lt;/secondary-title&gt;&lt;/titles&gt;&lt;periodical&gt;&lt;full-title&gt;Journal of Risk and Financial Management&lt;/full-title&gt;&lt;/periodical&gt;&lt;pages&gt;543&lt;/pages&gt;&lt;volume&gt;17&lt;/volume&gt;&lt;number&gt;12&lt;/number&gt;&lt;dates&gt;&lt;year&gt;2024&lt;/year&gt;&lt;/dates&gt;&lt;isbn&gt;1911-8074&lt;/isbn&gt;&lt;accession-num&gt;doi:10.3390/jrfm17120543&lt;/accession-num&gt;&lt;urls&gt;&lt;related-urls&gt;&lt;url&gt;https://www.mdpi.com/1911-8074/17/12/543&lt;/url&gt;&lt;/related-urls&gt;&lt;/urls&gt;&lt;/record&gt;&lt;/Cite&gt;&lt;/EndNote&gt;</w:instrText>
      </w:r>
      <w:r w:rsidR="003C4293">
        <w:rPr>
          <w:rFonts w:ascii="Times New Roman" w:eastAsia="Times New Roman" w:hAnsi="Times New Roman" w:cs="Times New Roman"/>
          <w:kern w:val="0"/>
          <w:lang w:eastAsia="en-PH"/>
          <w14:ligatures w14:val="none"/>
        </w:rPr>
        <w:fldChar w:fldCharType="separate"/>
      </w:r>
      <w:r w:rsidR="003C4293">
        <w:rPr>
          <w:rFonts w:ascii="Times New Roman" w:eastAsia="Times New Roman" w:hAnsi="Times New Roman" w:cs="Times New Roman"/>
          <w:noProof/>
          <w:kern w:val="0"/>
          <w:lang w:eastAsia="en-PH"/>
          <w14:ligatures w14:val="none"/>
        </w:rPr>
        <w:t>(Bouzidi et al., 2024)</w:t>
      </w:r>
      <w:r w:rsidR="003C4293">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However, oil price volatility increases systemic risk, particularly in economies with weaker institutional frameworks. Importantly, governance quality and institutional strength consistently emerge as moderating factors that reduce vulnerability to external shocks</w:t>
      </w:r>
      <w:r w:rsidR="00EB005A">
        <w:rPr>
          <w:rFonts w:ascii="Times New Roman" w:eastAsia="Times New Roman" w:hAnsi="Times New Roman" w:cs="Times New Roman"/>
          <w:kern w:val="0"/>
          <w:lang w:eastAsia="en-PH"/>
          <w14:ligatures w14:val="none"/>
        </w:rPr>
        <w:fldChar w:fldCharType="begin"/>
      </w:r>
      <w:r w:rsidR="00EB005A">
        <w:rPr>
          <w:rFonts w:ascii="Times New Roman" w:eastAsia="Times New Roman" w:hAnsi="Times New Roman" w:cs="Times New Roman"/>
          <w:kern w:val="0"/>
          <w:lang w:eastAsia="en-PH"/>
          <w14:ligatures w14:val="none"/>
        </w:rPr>
        <w:instrText xml:space="preserve"> ADDIN EN.CITE &lt;EndNote&gt;&lt;Cite&gt;&lt;Author&gt;Wang&lt;/Author&gt;&lt;Year&gt;2024&lt;/Year&gt;&lt;RecNum&gt;18&lt;/RecNum&gt;&lt;DisplayText&gt;(Wang et al., 2024)&lt;/DisplayText&gt;&lt;record&gt;&lt;rec-number&gt;18&lt;/rec-number&gt;&lt;foreign-keys&gt;&lt;key app="EN" db-id="vfdv2szx2wdrtne99esvzsrjd5ep9ws522pp" timestamp="1775983093"&gt;18&lt;/key&gt;&lt;/foreign-keys&gt;&lt;ref-type name="Journal Article"&gt;17&lt;/ref-type&gt;&lt;contributors&gt;&lt;authors&gt;&lt;author&gt;Wang, Kangsheng&lt;/author&gt;&lt;author&gt;Wen, Fenghua&lt;/author&gt;&lt;author&gt;Gong, Xu&lt;/author&gt;&lt;/authors&gt;&lt;/contributors&gt;&lt;titles&gt;&lt;title&gt;Oil prices and systemic financial risk: A complex network analysis&lt;/title&gt;&lt;secondary-title&gt;Energy&lt;/secondary-title&gt;&lt;/titles&gt;&lt;periodical&gt;&lt;full-title&gt;Energy&lt;/full-title&gt;&lt;/periodical&gt;&lt;pages&gt;130672&lt;/pages&gt;&lt;volume&gt;293&lt;/volume&gt;&lt;keywords&gt;&lt;keyword&gt;Systemic financial risk&lt;/keyword&gt;&lt;keyword&gt;Oil prices&lt;/keyword&gt;&lt;keyword&gt;Risk contagion&lt;/keyword&gt;&lt;keyword&gt;Complex network&lt;/keyword&gt;&lt;/keywords&gt;&lt;dates&gt;&lt;year&gt;2024&lt;/year&gt;&lt;pub-dates&gt;&lt;date&gt;2024/04/15/&lt;/date&gt;&lt;/pub-dates&gt;&lt;/dates&gt;&lt;isbn&gt;0360-5442&lt;/isbn&gt;&lt;urls&gt;&lt;related-urls&gt;&lt;url&gt;https://www.sciencedirect.com/science/article/pii/S0360544224004444&lt;/url&gt;&lt;/related-urls&gt;&lt;/urls&gt;&lt;electronic-resource-num&gt;https://doi.org/10.1016/j.energy.2024.130672&lt;/electronic-resource-num&gt;&lt;/record&gt;&lt;/Cite&gt;&lt;/EndNote&gt;</w:instrText>
      </w:r>
      <w:r w:rsidR="00EB005A">
        <w:rPr>
          <w:rFonts w:ascii="Times New Roman" w:eastAsia="Times New Roman" w:hAnsi="Times New Roman" w:cs="Times New Roman"/>
          <w:kern w:val="0"/>
          <w:lang w:eastAsia="en-PH"/>
          <w14:ligatures w14:val="none"/>
        </w:rPr>
        <w:fldChar w:fldCharType="separate"/>
      </w:r>
      <w:r w:rsidR="00EB005A">
        <w:rPr>
          <w:rFonts w:ascii="Times New Roman" w:eastAsia="Times New Roman" w:hAnsi="Times New Roman" w:cs="Times New Roman"/>
          <w:noProof/>
          <w:kern w:val="0"/>
          <w:lang w:eastAsia="en-PH"/>
          <w14:ligatures w14:val="none"/>
        </w:rPr>
        <w:t>(Wang et al., 2024)</w:t>
      </w:r>
      <w:r w:rsidR="00EB005A">
        <w:rPr>
          <w:rFonts w:ascii="Times New Roman" w:eastAsia="Times New Roman" w:hAnsi="Times New Roman" w:cs="Times New Roman"/>
          <w:kern w:val="0"/>
          <w:lang w:eastAsia="en-PH"/>
          <w14:ligatures w14:val="none"/>
        </w:rPr>
        <w:fldChar w:fldCharType="end"/>
      </w:r>
      <w:r w:rsidR="00EB005A">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This is supported by recent evidence suggesting that institutional quality significantly dampens the adverse financial effects of commodity price volatility</w:t>
      </w:r>
      <w:r w:rsidR="00EB005A">
        <w:rPr>
          <w:rFonts w:ascii="Times New Roman" w:eastAsia="Times New Roman" w:hAnsi="Times New Roman" w:cs="Times New Roman"/>
          <w:kern w:val="0"/>
          <w:lang w:eastAsia="en-PH"/>
          <w14:ligatures w14:val="none"/>
        </w:rPr>
        <w:fldChar w:fldCharType="begin"/>
      </w:r>
      <w:r w:rsidR="00EB005A">
        <w:rPr>
          <w:rFonts w:ascii="Times New Roman" w:eastAsia="Times New Roman" w:hAnsi="Times New Roman" w:cs="Times New Roman"/>
          <w:kern w:val="0"/>
          <w:lang w:eastAsia="en-PH"/>
          <w14:ligatures w14:val="none"/>
        </w:rPr>
        <w:instrText xml:space="preserve"> ADDIN EN.CITE &lt;EndNote&gt;&lt;Cite&gt;&lt;Author&gt;Abaidoo&lt;/Author&gt;&lt;Year&gt;2023&lt;/Year&gt;&lt;RecNum&gt;19&lt;/RecNum&gt;&lt;DisplayText&gt;(Abaidoo &amp;amp; Agyapong, 2023)&lt;/DisplayText&gt;&lt;record&gt;&lt;rec-number&gt;19&lt;/rec-number&gt;&lt;foreign-keys&gt;&lt;key app="EN" db-id="vfdv2szx2wdrtne99esvzsrjd5ep9ws522pp" timestamp="1775983211"&gt;19&lt;/key&gt;&lt;/foreign-keys&gt;&lt;ref-type name="Journal Article"&gt;17&lt;/ref-type&gt;&lt;contributors&gt;&lt;authors&gt;&lt;author&gt;Abaidoo, Rexford&lt;/author&gt;&lt;author&gt;Agyapong, Elvis Kwame&lt;/author&gt;&lt;/authors&gt;&lt;/contributors&gt;&lt;titles&gt;&lt;title&gt;Commodity price volatility, risk exposure and development of financial institutions&lt;/title&gt;&lt;secondary-title&gt;International Journal of Emerging Markets&lt;/secondary-title&gt;&lt;/titles&gt;&lt;periodical&gt;&lt;full-title&gt;International Journal of Emerging Markets&lt;/full-title&gt;&lt;/periodical&gt;&lt;pages&gt;4132-4154&lt;/pages&gt;&lt;volume&gt;19&lt;/volume&gt;&lt;number&gt;11&lt;/number&gt;&lt;dates&gt;&lt;year&gt;2023&lt;/year&gt;&lt;/dates&gt;&lt;isbn&gt;1746-8809&lt;/isbn&gt;&lt;urls&gt;&lt;related-urls&gt;&lt;url&gt;https://doi.org/10.1108/IJOEM-10-2021-1629&lt;/url&gt;&lt;/related-urls&gt;&lt;/urls&gt;&lt;electronic-resource-num&gt;10.1108/ijoem-10-2021-1629&lt;/electronic-resource-num&gt;&lt;access-date&gt;4/12/2026&lt;/access-date&gt;&lt;/record&gt;&lt;/Cite&gt;&lt;/EndNote&gt;</w:instrText>
      </w:r>
      <w:r w:rsidR="00EB005A">
        <w:rPr>
          <w:rFonts w:ascii="Times New Roman" w:eastAsia="Times New Roman" w:hAnsi="Times New Roman" w:cs="Times New Roman"/>
          <w:kern w:val="0"/>
          <w:lang w:eastAsia="en-PH"/>
          <w14:ligatures w14:val="none"/>
        </w:rPr>
        <w:fldChar w:fldCharType="separate"/>
      </w:r>
      <w:r w:rsidR="00EB005A">
        <w:rPr>
          <w:rFonts w:ascii="Times New Roman" w:eastAsia="Times New Roman" w:hAnsi="Times New Roman" w:cs="Times New Roman"/>
          <w:noProof/>
          <w:kern w:val="0"/>
          <w:lang w:eastAsia="en-PH"/>
          <w14:ligatures w14:val="none"/>
        </w:rPr>
        <w:t>(Abaidoo &amp; Agyapong, 2023)</w:t>
      </w:r>
      <w:r w:rsidR="00EB005A">
        <w:rPr>
          <w:rFonts w:ascii="Times New Roman" w:eastAsia="Times New Roman" w:hAnsi="Times New Roman" w:cs="Times New Roman"/>
          <w:kern w:val="0"/>
          <w:lang w:eastAsia="en-PH"/>
          <w14:ligatures w14:val="none"/>
        </w:rPr>
        <w:fldChar w:fldCharType="end"/>
      </w:r>
      <w:r w:rsidR="00EB005A">
        <w:rPr>
          <w:rFonts w:ascii="Times New Roman" w:eastAsia="Times New Roman" w:hAnsi="Times New Roman" w:cs="Times New Roman"/>
          <w:kern w:val="0"/>
          <w:lang w:eastAsia="en-PH"/>
          <w14:ligatures w14:val="none"/>
        </w:rPr>
        <w:t>.</w:t>
      </w:r>
    </w:p>
    <w:p w14:paraId="1B5B73E2" w14:textId="12AC0663"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 xml:space="preserve">Another important insight from this review is the presence of nonlinear and asymmetric effects of oil price shocks. Several studies report that positive and negative oil price changes do not produce symmetrical macroeconomic responses, highlighting the limitations of linear modeling approaches </w:t>
      </w:r>
      <w:r w:rsidR="00EB005A">
        <w:rPr>
          <w:rFonts w:ascii="Times New Roman" w:eastAsia="Times New Roman" w:hAnsi="Times New Roman" w:cs="Times New Roman"/>
          <w:kern w:val="0"/>
          <w:lang w:eastAsia="en-PH"/>
          <w14:ligatures w14:val="none"/>
        </w:rPr>
        <w:fldChar w:fldCharType="begin"/>
      </w:r>
      <w:r w:rsidR="00EB005A">
        <w:rPr>
          <w:rFonts w:ascii="Times New Roman" w:eastAsia="Times New Roman" w:hAnsi="Times New Roman" w:cs="Times New Roman"/>
          <w:kern w:val="0"/>
          <w:lang w:eastAsia="en-PH"/>
          <w14:ligatures w14:val="none"/>
        </w:rPr>
        <w:instrText xml:space="preserve"> ADDIN EN.CITE &lt;EndNote&gt;&lt;Cite&gt;&lt;Author&gt;Moshiri&lt;/Author&gt;&lt;Year&gt;2015&lt;/Year&gt;&lt;RecNum&gt;20&lt;/RecNum&gt;&lt;DisplayText&gt;(Moshiri, 2015)&lt;/DisplayText&gt;&lt;record&gt;&lt;rec-number&gt;20&lt;/rec-number&gt;&lt;foreign-keys&gt;&lt;key app="EN" db-id="vfdv2szx2wdrtne99esvzsrjd5ep9ws522pp" timestamp="1775983311"&gt;20&lt;/key&gt;&lt;/foreign-keys&gt;&lt;ref-type name="Journal Article"&gt;17&lt;/ref-type&gt;&lt;contributors&gt;&lt;authors&gt;&lt;author&gt;Moshiri, Saeed&lt;/author&gt;&lt;/authors&gt;&lt;/contributors&gt;&lt;titles&gt;&lt;title&gt;Asymmetric effects of oil price shocks in oil-exporting countries: the role of institutions&lt;/title&gt;&lt;secondary-title&gt;OPEC Energy Review&lt;/secondary-title&gt;&lt;/titles&gt;&lt;periodical&gt;&lt;full-title&gt;OPEC Energy Review&lt;/full-title&gt;&lt;/periodical&gt;&lt;pages&gt;222-246&lt;/pages&gt;&lt;volume&gt;39&lt;/volume&gt;&lt;number&gt;2&lt;/number&gt;&lt;dates&gt;&lt;year&gt;2015&lt;/year&gt;&lt;/dates&gt;&lt;isbn&gt;1753-0229&lt;/isbn&gt;&lt;urls&gt;&lt;related-urls&gt;&lt;url&gt;https://onlinelibrary.wiley.com/doi/abs/10.1111/opec.12050&lt;/url&gt;&lt;/related-urls&gt;&lt;/urls&gt;&lt;electronic-resource-num&gt;https://doi.org/10.1111/opec.12050&lt;/electronic-resource-num&gt;&lt;/record&gt;&lt;/Cite&gt;&lt;/EndNote&gt;</w:instrText>
      </w:r>
      <w:r w:rsidR="00EB005A">
        <w:rPr>
          <w:rFonts w:ascii="Times New Roman" w:eastAsia="Times New Roman" w:hAnsi="Times New Roman" w:cs="Times New Roman"/>
          <w:kern w:val="0"/>
          <w:lang w:eastAsia="en-PH"/>
          <w14:ligatures w14:val="none"/>
        </w:rPr>
        <w:fldChar w:fldCharType="separate"/>
      </w:r>
      <w:r w:rsidR="00EB005A">
        <w:rPr>
          <w:rFonts w:ascii="Times New Roman" w:eastAsia="Times New Roman" w:hAnsi="Times New Roman" w:cs="Times New Roman"/>
          <w:noProof/>
          <w:kern w:val="0"/>
          <w:lang w:eastAsia="en-PH"/>
          <w14:ligatures w14:val="none"/>
        </w:rPr>
        <w:t>(Moshiri, 2015)</w:t>
      </w:r>
      <w:r w:rsidR="00EB005A">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This finding is consistent with recent literature emphasizing that energy price transmission is inherently nonlinear, with threshold effects and structural breaks shaping macroeconomic responses</w:t>
      </w:r>
      <w:r w:rsidR="00EB005A">
        <w:rPr>
          <w:rFonts w:ascii="Times New Roman" w:eastAsia="Times New Roman" w:hAnsi="Times New Roman" w:cs="Times New Roman"/>
          <w:kern w:val="0"/>
          <w:lang w:eastAsia="en-PH"/>
          <w14:ligatures w14:val="none"/>
        </w:rPr>
        <w:fldChar w:fldCharType="begin"/>
      </w:r>
      <w:r w:rsidR="00EB005A">
        <w:rPr>
          <w:rFonts w:ascii="Times New Roman" w:eastAsia="Times New Roman" w:hAnsi="Times New Roman" w:cs="Times New Roman"/>
          <w:kern w:val="0"/>
          <w:lang w:eastAsia="en-PH"/>
          <w14:ligatures w14:val="none"/>
        </w:rPr>
        <w:instrText xml:space="preserve"> ADDIN EN.CITE &lt;EndNote&gt;&lt;Cite&gt;&lt;Author&gt;Yahya&lt;/Author&gt;&lt;Year&gt;2021&lt;/Year&gt;&lt;RecNum&gt;23&lt;/RecNum&gt;&lt;DisplayText&gt;(Yahya et al., 2021)&lt;/DisplayText&gt;&lt;record&gt;&lt;rec-number&gt;23&lt;/rec-number&gt;&lt;foreign-keys&gt;&lt;key app="EN" db-id="vfdv2szx2wdrtne99esvzsrjd5ep9ws522pp" timestamp="1775983442"&gt;23&lt;/key&gt;&lt;/foreign-keys&gt;&lt;ref-type name="Journal Article"&gt;17&lt;/ref-type&gt;&lt;contributors&gt;&lt;authors&gt;&lt;author&gt;Yahya, Muhammad&lt;/author&gt;&lt;author&gt;Kanjilal, Kakali&lt;/author&gt;&lt;author&gt;Dutta, Anupam&lt;/author&gt;&lt;author&gt;Uddin, Gazi Salah&lt;/author&gt;&lt;author&gt;Ghosh, Sajal&lt;/author&gt;&lt;/authors&gt;&lt;/contributors&gt;&lt;titles&gt;&lt;title&gt;Can clean energy stock price rule oil price? New evidences from a regime-switching model at first and second moments&lt;/title&gt;&lt;secondary-title&gt;Energy Economics&lt;/secondary-title&gt;&lt;/titles&gt;&lt;periodical&gt;&lt;full-title&gt;Energy Economics&lt;/full-title&gt;&lt;/periodical&gt;&lt;pages&gt;105116&lt;/pages&gt;&lt;volume&gt;95&lt;/volume&gt;&lt;keywords&gt;&lt;keyword&gt;Clean energy stocks&lt;/keyword&gt;&lt;keyword&gt;Oil Price&lt;/keyword&gt;&lt;keyword&gt;Threshold Cointegration&lt;/keyword&gt;&lt;keyword&gt;TVECM&lt;/keyword&gt;&lt;keyword&gt;DCC-GARCH&lt;/keyword&gt;&lt;keyword&gt;Wavelet&lt;/keyword&gt;&lt;keyword&gt;Hedging strategy&lt;/keyword&gt;&lt;/keywords&gt;&lt;dates&gt;&lt;year&gt;2021&lt;/year&gt;&lt;pub-dates&gt;&lt;date&gt;2021/03/01/&lt;/date&gt;&lt;/pub-dates&gt;&lt;/dates&gt;&lt;isbn&gt;0140-9883&lt;/isbn&gt;&lt;urls&gt;&lt;related-urls&gt;&lt;url&gt;https://www.sciencedirect.com/science/article/pii/S0140988321000219&lt;/url&gt;&lt;/related-urls&gt;&lt;/urls&gt;&lt;electronic-resource-num&gt;https://doi.org/10.1016/j.eneco.2021.105116&lt;/electronic-resource-num&gt;&lt;/record&gt;&lt;/Cite&gt;&lt;/EndNote&gt;</w:instrText>
      </w:r>
      <w:r w:rsidR="00EB005A">
        <w:rPr>
          <w:rFonts w:ascii="Times New Roman" w:eastAsia="Times New Roman" w:hAnsi="Times New Roman" w:cs="Times New Roman"/>
          <w:kern w:val="0"/>
          <w:lang w:eastAsia="en-PH"/>
          <w14:ligatures w14:val="none"/>
        </w:rPr>
        <w:fldChar w:fldCharType="separate"/>
      </w:r>
      <w:r w:rsidR="00EB005A">
        <w:rPr>
          <w:rFonts w:ascii="Times New Roman" w:eastAsia="Times New Roman" w:hAnsi="Times New Roman" w:cs="Times New Roman"/>
          <w:noProof/>
          <w:kern w:val="0"/>
          <w:lang w:eastAsia="en-PH"/>
          <w14:ligatures w14:val="none"/>
        </w:rPr>
        <w:t>(Yahya et al., 2021)</w:t>
      </w:r>
      <w:r w:rsidR="00EB005A">
        <w:rPr>
          <w:rFonts w:ascii="Times New Roman" w:eastAsia="Times New Roman" w:hAnsi="Times New Roman" w:cs="Times New Roman"/>
          <w:kern w:val="0"/>
          <w:lang w:eastAsia="en-PH"/>
          <w14:ligatures w14:val="none"/>
        </w:rPr>
        <w:fldChar w:fldCharType="end"/>
      </w:r>
      <w:r w:rsidRPr="00220038">
        <w:rPr>
          <w:rFonts w:ascii="Times New Roman" w:eastAsia="Times New Roman" w:hAnsi="Times New Roman" w:cs="Times New Roman"/>
          <w:kern w:val="0"/>
          <w:lang w:eastAsia="en-PH"/>
          <w14:ligatures w14:val="none"/>
        </w:rPr>
        <w:t>. These nonlinearities reinforce the importance of using advanced econometric frameworks such as SVAR, TVP-VAR, and nonlinear ARDL models to accurately capture dynamic relationships.</w:t>
      </w:r>
    </w:p>
    <w:p w14:paraId="1E796E9C" w14:textId="3FA4DCE2" w:rsid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 xml:space="preserve">Overall, the findings of this review contribute to the growing body of literature emphasizing that oil price shocks remain a dominant source of macroeconomic and financial instability across global economies. While oil-exporting countries may benefit from short-term revenue gains during price increases, long-term exposure to volatility introduces structural risks. Conversely, oil-importing </w:t>
      </w:r>
      <w:r w:rsidRPr="00220038">
        <w:rPr>
          <w:rFonts w:ascii="Times New Roman" w:eastAsia="Times New Roman" w:hAnsi="Times New Roman" w:cs="Times New Roman"/>
          <w:kern w:val="0"/>
          <w:lang w:eastAsia="en-PH"/>
          <w14:ligatures w14:val="none"/>
        </w:rPr>
        <w:lastRenderedPageBreak/>
        <w:t>economies face persistent inflationary and growth constraints, reinforcing global asymmetries in energy dependence.</w:t>
      </w:r>
    </w:p>
    <w:p w14:paraId="32BA91A9" w14:textId="77777777"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p>
    <w:p w14:paraId="4B39521C" w14:textId="5504B3C6" w:rsidR="005812F1" w:rsidRDefault="005812F1" w:rsidP="00220038">
      <w:pPr>
        <w:spacing w:after="0" w:line="240" w:lineRule="auto"/>
        <w:ind w:left="-180"/>
        <w:jc w:val="both"/>
        <w:rPr>
          <w:rFonts w:ascii="Times New Roman" w:hAnsi="Times New Roman"/>
          <w:b/>
          <w:bCs/>
        </w:rPr>
      </w:pPr>
      <w:r w:rsidRPr="00220038">
        <w:rPr>
          <w:rFonts w:ascii="Times New Roman" w:hAnsi="Times New Roman"/>
          <w:b/>
          <w:bCs/>
        </w:rPr>
        <w:t xml:space="preserve">Implications </w:t>
      </w:r>
      <w:r w:rsidR="006D5E15" w:rsidRPr="00220038">
        <w:rPr>
          <w:rFonts w:ascii="Times New Roman" w:hAnsi="Times New Roman"/>
          <w:b/>
          <w:bCs/>
        </w:rPr>
        <w:t>for Future Research and Practice</w:t>
      </w:r>
    </w:p>
    <w:p w14:paraId="5FFCD76A" w14:textId="77777777" w:rsidR="00220038" w:rsidRDefault="00220038" w:rsidP="00220038">
      <w:pPr>
        <w:spacing w:after="0" w:line="240" w:lineRule="auto"/>
        <w:jc w:val="both"/>
        <w:rPr>
          <w:rFonts w:ascii="Times New Roman" w:hAnsi="Times New Roman"/>
          <w:b/>
          <w:bCs/>
        </w:rPr>
      </w:pPr>
    </w:p>
    <w:p w14:paraId="32E51690" w14:textId="2DB194F7"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hAnsi="Times New Roman"/>
          <w:b/>
          <w:bCs/>
        </w:rPr>
        <w:t xml:space="preserve">  </w:t>
      </w:r>
      <w:r w:rsidRPr="00220038">
        <w:rPr>
          <w:rFonts w:ascii="Times New Roman" w:eastAsia="Times New Roman" w:hAnsi="Times New Roman" w:cs="Times New Roman"/>
          <w:kern w:val="0"/>
          <w:lang w:eastAsia="en-PH"/>
          <w14:ligatures w14:val="none"/>
        </w:rPr>
        <w:t>The findings of this study highlight the need for more nuanced and context-specific approaches in understanding and managing the effects of oil price shocks. While the reviewed literature confirms the significant macroeconomic impact of oil price volatility, future research should further explore the role of institutional quality, policy frameworks, and structural diversification in moderating these effects.</w:t>
      </w:r>
    </w:p>
    <w:p w14:paraId="199F5A06" w14:textId="1CCCB587"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Future studies should focus on integrating nonlinear and high-frequency econometric approaches to better capture the dynamic nature of oil price transmission. In particular, comparative cross-country studies could provide deeper insights into why certain economies are more resilient to oil shocks than others. Additionally, further research is needed to examine the interaction between oil price volatility and emerging global factors such as energy transition policies, renewable energy adoption, and geopolitical risks.</w:t>
      </w:r>
    </w:p>
    <w:p w14:paraId="114D4524" w14:textId="48499787" w:rsidR="00220038" w:rsidRPr="00220038" w:rsidRDefault="00220038"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Pr="00220038">
        <w:rPr>
          <w:rFonts w:ascii="Times New Roman" w:eastAsia="Times New Roman" w:hAnsi="Times New Roman" w:cs="Times New Roman"/>
          <w:kern w:val="0"/>
          <w:lang w:eastAsia="en-PH"/>
          <w14:ligatures w14:val="none"/>
        </w:rPr>
        <w:t>From a policy perspective, governments should prioritize macroeconomic diversification strategies to reduce dependency on oil revenues, particularly in oil-exporting countries. Strengthening monetary and fiscal policy coordination is also essential to mitigate inflationary pressures arising from external shocks. Policymakers in oil-importing economies should focus on enhancing energy efficiency and stabilizing exchange rate mechanisms to reduce vulnerability to global oil price fluctuations.</w:t>
      </w:r>
    </w:p>
    <w:p w14:paraId="5C6228F4" w14:textId="1FBA74AB" w:rsidR="00220038" w:rsidRPr="00220038" w:rsidRDefault="004A5F30"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00220038" w:rsidRPr="00220038">
        <w:rPr>
          <w:rFonts w:ascii="Times New Roman" w:eastAsia="Times New Roman" w:hAnsi="Times New Roman" w:cs="Times New Roman"/>
          <w:kern w:val="0"/>
          <w:lang w:eastAsia="en-PH"/>
          <w14:ligatures w14:val="none"/>
        </w:rPr>
        <w:t>Moreover, institutional frameworks should be strengthened to improve resilience against external shocks. As evidence from the reviewed studies suggests, governance quality significantly moderates the impact of oil price volatility on financial stability and economic performance. Therefore, transparent fiscal management, strong regulatory institutions, and effective economic planning are critical for reducing exposure to oil-driven instability.</w:t>
      </w:r>
    </w:p>
    <w:p w14:paraId="195553D8" w14:textId="45F7D3EB" w:rsidR="005812F1" w:rsidRDefault="004A5F30" w:rsidP="00220038">
      <w:pPr>
        <w:spacing w:after="0" w:line="240" w:lineRule="auto"/>
        <w:jc w:val="both"/>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 xml:space="preserve">  </w:t>
      </w:r>
      <w:r w:rsidR="00220038" w:rsidRPr="00220038">
        <w:rPr>
          <w:rFonts w:ascii="Times New Roman" w:eastAsia="Times New Roman" w:hAnsi="Times New Roman" w:cs="Times New Roman"/>
          <w:kern w:val="0"/>
          <w:lang w:eastAsia="en-PH"/>
          <w14:ligatures w14:val="none"/>
        </w:rPr>
        <w:t>In educational and research contexts, future studies should also explore the integration of machine learning and hybrid econometric models to improve forecasting accuracy of oil price impacts. Finally, interdisciplinary research combining economics, energy policy, and environmental sustainability is strongly recommended to better understand the long-term implications of global oil dependence.</w:t>
      </w:r>
    </w:p>
    <w:p w14:paraId="4F89ADA5" w14:textId="77777777" w:rsidR="004A5F30" w:rsidRPr="00220038" w:rsidRDefault="004A5F30" w:rsidP="00220038">
      <w:pPr>
        <w:spacing w:after="0" w:line="240" w:lineRule="auto"/>
        <w:jc w:val="both"/>
        <w:rPr>
          <w:rFonts w:ascii="Times New Roman" w:eastAsia="Times New Roman" w:hAnsi="Times New Roman" w:cs="Times New Roman"/>
          <w:kern w:val="0"/>
          <w:lang w:eastAsia="en-PH"/>
          <w14:ligatures w14:val="none"/>
        </w:rPr>
      </w:pPr>
    </w:p>
    <w:p w14:paraId="40A21099" w14:textId="77777777" w:rsidR="006D5E15" w:rsidRDefault="000A27DA" w:rsidP="006D5E15">
      <w:pPr>
        <w:spacing w:after="0" w:line="240" w:lineRule="auto"/>
        <w:ind w:left="-180"/>
        <w:rPr>
          <w:rFonts w:ascii="Times New Roman" w:hAnsi="Times New Roman"/>
          <w:b/>
          <w:bCs/>
          <w:color w:val="000000" w:themeColor="text1"/>
        </w:rPr>
      </w:pPr>
      <w:r w:rsidRPr="00FA1534">
        <w:rPr>
          <w:rFonts w:ascii="Times New Roman" w:hAnsi="Times New Roman"/>
          <w:b/>
          <w:bCs/>
          <w:color w:val="000000" w:themeColor="text1"/>
        </w:rPr>
        <w:t>CONCLUSION</w:t>
      </w:r>
    </w:p>
    <w:p w14:paraId="12F1C9D2" w14:textId="77777777" w:rsidR="004325EE" w:rsidRDefault="004325EE" w:rsidP="006D5E15">
      <w:pPr>
        <w:spacing w:after="0" w:line="240" w:lineRule="auto"/>
        <w:ind w:left="-180"/>
        <w:rPr>
          <w:rFonts w:ascii="Times New Roman" w:hAnsi="Times New Roman"/>
          <w:b/>
          <w:bCs/>
          <w:color w:val="000000" w:themeColor="text1"/>
        </w:rPr>
      </w:pPr>
    </w:p>
    <w:p w14:paraId="70E80581" w14:textId="5F2F85AD" w:rsidR="004325EE" w:rsidRPr="00750834" w:rsidRDefault="004325EE" w:rsidP="004325EE">
      <w:pPr>
        <w:pStyle w:val="NormalWeb"/>
        <w:spacing w:before="0" w:beforeAutospacing="0" w:after="0" w:afterAutospacing="0"/>
        <w:jc w:val="both"/>
        <w:rPr>
          <w:sz w:val="22"/>
        </w:rPr>
      </w:pPr>
      <w:r>
        <w:t xml:space="preserve">  </w:t>
      </w:r>
      <w:r w:rsidRPr="00750834">
        <w:rPr>
          <w:sz w:val="22"/>
        </w:rPr>
        <w:t>This systematic review examined the effects of oil price shocks on macroeconomic stability, financial systems, and external sector performance across diverse economic contexts. The findings demonstrate that oil price fluctuations remain a critical determinant of inflation, economic growth, trade dynamics, and financial stability, with effects varying significantly between oil-exporting and oil-importing economies. While oil-exporting countries may benefit from increased revenues and improved financial conditions during periods of rising oil prices, these gains are often offset by heightened exposure to volatility and structural dependence. In contrast, oil-importing economies consistently face adverse outcomes, including inflationary pressures, reduced growth, and external imbalances.</w:t>
      </w:r>
    </w:p>
    <w:p w14:paraId="10281582" w14:textId="5F66914C" w:rsidR="004325EE" w:rsidRPr="00750834" w:rsidRDefault="004325EE" w:rsidP="004325EE">
      <w:pPr>
        <w:pStyle w:val="NormalWeb"/>
        <w:spacing w:before="0" w:beforeAutospacing="0" w:after="0" w:afterAutospacing="0"/>
        <w:jc w:val="both"/>
        <w:rPr>
          <w:sz w:val="22"/>
        </w:rPr>
      </w:pPr>
      <w:r w:rsidRPr="00750834">
        <w:rPr>
          <w:sz w:val="22"/>
        </w:rPr>
        <w:t xml:space="preserve">  Overall, the study highlights that the impact of oil price shocks is shaped by institutional quality, economic structure, and policy responsiveness. Strong governance frameworks and diversified economies are better positioned to mitigate the negative effects of oil price volatility and enhance resilience. The presence of nonlinear and asymmetric effects further underscores the complexity of oil price transmission mechanisms across different contexts. These findings emphasize the need for targeted policy interventions and continued research to better understand and manage the macroeconomic implications of global energy price fluctuations.</w:t>
      </w:r>
    </w:p>
    <w:p w14:paraId="68B252FB" w14:textId="77777777" w:rsidR="000A27DA" w:rsidRPr="003633A9" w:rsidRDefault="000A27DA" w:rsidP="000A27DA">
      <w:pPr>
        <w:spacing w:after="0" w:line="240" w:lineRule="auto"/>
        <w:jc w:val="both"/>
        <w:rPr>
          <w:rFonts w:ascii="Times New Roman" w:hAnsi="Times New Roman"/>
          <w:color w:val="000000" w:themeColor="text1"/>
        </w:rPr>
      </w:pPr>
    </w:p>
    <w:p w14:paraId="1C265601" w14:textId="77777777" w:rsidR="000A27DA" w:rsidRDefault="000A27DA" w:rsidP="000A27DA">
      <w:pPr>
        <w:spacing w:after="0" w:line="240" w:lineRule="auto"/>
        <w:ind w:left="-180"/>
        <w:rPr>
          <w:rFonts w:ascii="Times New Roman" w:hAnsi="Times New Roman"/>
          <w:b/>
          <w:bCs/>
        </w:rPr>
      </w:pPr>
      <w:r w:rsidRPr="00957906">
        <w:rPr>
          <w:rFonts w:ascii="Times New Roman" w:hAnsi="Times New Roman"/>
          <w:b/>
          <w:bCs/>
        </w:rPr>
        <w:t>ACKNOWLEDGEMENT</w:t>
      </w:r>
    </w:p>
    <w:p w14:paraId="05BE30A5" w14:textId="4F4387DF" w:rsidR="000A27DA" w:rsidRDefault="000A27DA" w:rsidP="000A27DA">
      <w:pPr>
        <w:spacing w:after="0" w:line="240" w:lineRule="auto"/>
        <w:ind w:left="-180" w:firstLine="180"/>
        <w:jc w:val="both"/>
        <w:rPr>
          <w:rFonts w:ascii="Times New Roman" w:hAnsi="Times New Roman"/>
        </w:rPr>
      </w:pPr>
      <w:r w:rsidRPr="00DB2B8C">
        <w:rPr>
          <w:rFonts w:ascii="Times New Roman" w:hAnsi="Times New Roman"/>
        </w:rPr>
        <w:t xml:space="preserve">The authors </w:t>
      </w:r>
      <w:r w:rsidR="00C54790">
        <w:rPr>
          <w:rFonts w:ascii="Times New Roman" w:hAnsi="Times New Roman"/>
        </w:rPr>
        <w:t>acknowledge</w:t>
      </w:r>
      <w:r w:rsidR="002C783D">
        <w:rPr>
          <w:rFonts w:ascii="Times New Roman" w:hAnsi="Times New Roman"/>
        </w:rPr>
        <w:t xml:space="preserve"> the time and effort of the team members and their immediate superior for the support.</w:t>
      </w:r>
    </w:p>
    <w:p w14:paraId="4122E97E" w14:textId="77777777" w:rsidR="000A27DA" w:rsidRPr="00957906" w:rsidRDefault="000A27DA" w:rsidP="004A0D52">
      <w:pPr>
        <w:spacing w:after="0" w:line="240" w:lineRule="auto"/>
        <w:rPr>
          <w:rFonts w:ascii="Times New Roman" w:hAnsi="Times New Roman"/>
          <w:b/>
          <w:bCs/>
        </w:rPr>
      </w:pPr>
    </w:p>
    <w:p w14:paraId="73645DEA" w14:textId="77777777" w:rsidR="000A27DA" w:rsidRPr="00957906" w:rsidRDefault="000A27DA" w:rsidP="000A27DA">
      <w:pPr>
        <w:spacing w:after="0" w:line="240" w:lineRule="auto"/>
        <w:ind w:left="-180"/>
        <w:rPr>
          <w:rFonts w:ascii="Times New Roman" w:hAnsi="Times New Roman"/>
          <w:b/>
          <w:bCs/>
        </w:rPr>
      </w:pPr>
      <w:r>
        <w:rPr>
          <w:rFonts w:ascii="Times New Roman" w:hAnsi="Times New Roman"/>
          <w:b/>
          <w:bCs/>
        </w:rPr>
        <w:t>Conflict of</w:t>
      </w:r>
      <w:r w:rsidRPr="00957906">
        <w:rPr>
          <w:rFonts w:ascii="Times New Roman" w:hAnsi="Times New Roman"/>
          <w:b/>
          <w:bCs/>
        </w:rPr>
        <w:t xml:space="preserve"> I</w:t>
      </w:r>
      <w:r>
        <w:rPr>
          <w:rFonts w:ascii="Times New Roman" w:hAnsi="Times New Roman"/>
          <w:b/>
          <w:bCs/>
        </w:rPr>
        <w:t>nterest</w:t>
      </w:r>
    </w:p>
    <w:p w14:paraId="6C73BD5C" w14:textId="73DD777E" w:rsidR="000A27DA" w:rsidRDefault="000A27DA" w:rsidP="000A27DA">
      <w:pPr>
        <w:spacing w:after="0" w:line="240" w:lineRule="auto"/>
        <w:ind w:left="-180" w:firstLine="180"/>
        <w:jc w:val="both"/>
        <w:rPr>
          <w:rFonts w:ascii="Times New Roman" w:hAnsi="Times New Roman"/>
        </w:rPr>
      </w:pPr>
      <w:r w:rsidRPr="00DB2B8C">
        <w:rPr>
          <w:rFonts w:ascii="Times New Roman" w:hAnsi="Times New Roman"/>
        </w:rPr>
        <w:t xml:space="preserve">The authors </w:t>
      </w:r>
      <w:r w:rsidR="004A0D52">
        <w:rPr>
          <w:rFonts w:ascii="Times New Roman" w:hAnsi="Times New Roman"/>
        </w:rPr>
        <w:t>declare</w:t>
      </w:r>
      <w:r w:rsidR="002C783D">
        <w:rPr>
          <w:rFonts w:ascii="Times New Roman" w:hAnsi="Times New Roman"/>
        </w:rPr>
        <w:t xml:space="preserve"> no conflict of interest.</w:t>
      </w:r>
    </w:p>
    <w:p w14:paraId="2F346D3B" w14:textId="77777777" w:rsidR="000A27DA" w:rsidRDefault="000A27DA" w:rsidP="000A27DA">
      <w:pPr>
        <w:spacing w:after="0" w:line="240" w:lineRule="auto"/>
        <w:ind w:left="-180"/>
        <w:rPr>
          <w:rFonts w:ascii="Times New Roman" w:hAnsi="Times New Roman"/>
          <w:b/>
          <w:bCs/>
        </w:rPr>
      </w:pPr>
    </w:p>
    <w:p w14:paraId="35B18131" w14:textId="77777777" w:rsidR="00D27755" w:rsidRDefault="00D27755" w:rsidP="002C783D">
      <w:pPr>
        <w:spacing w:after="0" w:line="240" w:lineRule="auto"/>
        <w:ind w:left="-180"/>
        <w:rPr>
          <w:rFonts w:ascii="Times New Roman" w:hAnsi="Times New Roman"/>
          <w:b/>
          <w:bCs/>
        </w:rPr>
      </w:pPr>
    </w:p>
    <w:p w14:paraId="2604764E" w14:textId="496B553A" w:rsidR="00AB779D" w:rsidRPr="00D168E3" w:rsidRDefault="000A27DA" w:rsidP="002C783D">
      <w:pPr>
        <w:spacing w:after="0" w:line="240" w:lineRule="auto"/>
        <w:ind w:left="-180"/>
        <w:rPr>
          <w:rFonts w:ascii="Times New Roman" w:hAnsi="Times New Roman" w:cs="Times New Roman"/>
          <w:b/>
          <w:bCs/>
          <w:sz w:val="20"/>
          <w:szCs w:val="20"/>
        </w:rPr>
      </w:pPr>
      <w:r w:rsidRPr="00957906">
        <w:rPr>
          <w:rFonts w:ascii="Times New Roman" w:hAnsi="Times New Roman"/>
          <w:b/>
          <w:bCs/>
        </w:rPr>
        <w:t>REFERENCE</w:t>
      </w:r>
      <w:r>
        <w:rPr>
          <w:rFonts w:ascii="Times New Roman" w:hAnsi="Times New Roman"/>
          <w:b/>
          <w:bCs/>
        </w:rPr>
        <w:t>S</w:t>
      </w:r>
    </w:p>
    <w:p w14:paraId="2D6B2250" w14:textId="77777777" w:rsidR="002C783D" w:rsidRPr="00D168E3" w:rsidRDefault="002C783D" w:rsidP="002C783D">
      <w:pPr>
        <w:spacing w:after="0" w:line="240" w:lineRule="auto"/>
        <w:ind w:left="-180"/>
        <w:rPr>
          <w:rFonts w:ascii="Times New Roman" w:hAnsi="Times New Roman" w:cs="Times New Roman"/>
          <w:b/>
          <w:bCs/>
          <w:sz w:val="20"/>
          <w:szCs w:val="20"/>
        </w:rPr>
      </w:pPr>
    </w:p>
    <w:p w14:paraId="76A89834" w14:textId="74FF7089" w:rsidR="00750834" w:rsidRPr="00404F9D" w:rsidRDefault="00AB779D"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fldChar w:fldCharType="begin"/>
      </w:r>
      <w:r w:rsidRPr="00404F9D">
        <w:rPr>
          <w:rFonts w:ascii="Times New Roman" w:hAnsi="Times New Roman" w:cs="Times New Roman"/>
        </w:rPr>
        <w:instrText xml:space="preserve"> ADDIN EN.REFLIST </w:instrText>
      </w:r>
      <w:r w:rsidRPr="00404F9D">
        <w:rPr>
          <w:rFonts w:ascii="Times New Roman" w:hAnsi="Times New Roman" w:cs="Times New Roman"/>
        </w:rPr>
        <w:fldChar w:fldCharType="separate"/>
      </w:r>
      <w:r w:rsidR="00750834" w:rsidRPr="00404F9D">
        <w:rPr>
          <w:rFonts w:ascii="Times New Roman" w:hAnsi="Times New Roman" w:cs="Times New Roman"/>
        </w:rPr>
        <w:t xml:space="preserve">Abaidoo, R., &amp; Agyapong, E. K. (2023). Commodity price volatility, risk exposure and development of financial institutions. </w:t>
      </w:r>
      <w:r w:rsidR="00750834" w:rsidRPr="00404F9D">
        <w:rPr>
          <w:rFonts w:ascii="Times New Roman" w:hAnsi="Times New Roman" w:cs="Times New Roman"/>
          <w:i/>
        </w:rPr>
        <w:t>International Journal of Emerging Markets</w:t>
      </w:r>
      <w:r w:rsidR="00750834" w:rsidRPr="00404F9D">
        <w:rPr>
          <w:rFonts w:ascii="Times New Roman" w:hAnsi="Times New Roman" w:cs="Times New Roman"/>
        </w:rPr>
        <w:t>,</w:t>
      </w:r>
      <w:r w:rsidR="00750834" w:rsidRPr="00404F9D">
        <w:rPr>
          <w:rFonts w:ascii="Times New Roman" w:hAnsi="Times New Roman" w:cs="Times New Roman"/>
          <w:i/>
        </w:rPr>
        <w:t xml:space="preserve"> 19</w:t>
      </w:r>
      <w:r w:rsidR="00750834" w:rsidRPr="00404F9D">
        <w:rPr>
          <w:rFonts w:ascii="Times New Roman" w:hAnsi="Times New Roman" w:cs="Times New Roman"/>
        </w:rPr>
        <w:t xml:space="preserve">(11), 4132-4154. </w:t>
      </w:r>
      <w:hyperlink r:id="rId9" w:history="1">
        <w:r w:rsidR="00750834" w:rsidRPr="00404F9D">
          <w:rPr>
            <w:rStyle w:val="Hyperlink"/>
            <w:rFonts w:ascii="Times New Roman" w:hAnsi="Times New Roman" w:cs="Times New Roman"/>
          </w:rPr>
          <w:t>https://doi.org/10.1108/ijoem-10-2021-1629</w:t>
        </w:r>
      </w:hyperlink>
      <w:r w:rsidR="00750834" w:rsidRPr="00404F9D">
        <w:rPr>
          <w:rFonts w:ascii="Times New Roman" w:hAnsi="Times New Roman" w:cs="Times New Roman"/>
        </w:rPr>
        <w:t xml:space="preserve"> </w:t>
      </w:r>
    </w:p>
    <w:p w14:paraId="65438497" w14:textId="06A45DC1"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Al-Nassar, N. S., &amp; Albahouth, A. A. (2023). Inflation Spillovers among Advanced and Emerging Economies: Evidence from the G20 Group. </w:t>
      </w:r>
      <w:r w:rsidRPr="00404F9D">
        <w:rPr>
          <w:rFonts w:ascii="Times New Roman" w:hAnsi="Times New Roman" w:cs="Times New Roman"/>
          <w:i/>
        </w:rPr>
        <w:t>Economies</w:t>
      </w:r>
      <w:r w:rsidRPr="00404F9D">
        <w:rPr>
          <w:rFonts w:ascii="Times New Roman" w:hAnsi="Times New Roman" w:cs="Times New Roman"/>
        </w:rPr>
        <w:t>,</w:t>
      </w:r>
      <w:r w:rsidRPr="00404F9D">
        <w:rPr>
          <w:rFonts w:ascii="Times New Roman" w:hAnsi="Times New Roman" w:cs="Times New Roman"/>
          <w:i/>
        </w:rPr>
        <w:t xml:space="preserve"> 11</w:t>
      </w:r>
      <w:r w:rsidRPr="00404F9D">
        <w:rPr>
          <w:rFonts w:ascii="Times New Roman" w:hAnsi="Times New Roman" w:cs="Times New Roman"/>
        </w:rPr>
        <w:t xml:space="preserve">(4), 126. </w:t>
      </w:r>
      <w:hyperlink r:id="rId10" w:history="1">
        <w:r w:rsidRPr="00404F9D">
          <w:rPr>
            <w:rStyle w:val="Hyperlink"/>
            <w:rFonts w:ascii="Times New Roman" w:hAnsi="Times New Roman" w:cs="Times New Roman"/>
          </w:rPr>
          <w:t>https://www.mdpi.com/2227-7099/11/4/126</w:t>
        </w:r>
      </w:hyperlink>
      <w:r w:rsidRPr="00404F9D">
        <w:rPr>
          <w:rFonts w:ascii="Times New Roman" w:hAnsi="Times New Roman" w:cs="Times New Roman"/>
        </w:rPr>
        <w:t xml:space="preserve"> </w:t>
      </w:r>
    </w:p>
    <w:p w14:paraId="1ACABD9F" w14:textId="07C762A5"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Al-Sawaie, K. M. (2025). Oil Price Volatility and its Effects on Macroeconomic Stability in Jordan: A Structural VAR Approach. </w:t>
      </w:r>
      <w:hyperlink r:id="rId11" w:history="1">
        <w:r w:rsidRPr="00404F9D">
          <w:rPr>
            <w:rStyle w:val="Hyperlink"/>
            <w:rFonts w:ascii="Times New Roman" w:hAnsi="Times New Roman" w:cs="Times New Roman"/>
          </w:rPr>
          <w:t>https://doi.org/</w:t>
        </w:r>
      </w:hyperlink>
      <w:r w:rsidRPr="00404F9D">
        <w:rPr>
          <w:rFonts w:ascii="Times New Roman" w:hAnsi="Times New Roman" w:cs="Times New Roman"/>
        </w:rPr>
        <w:t xml:space="preserve"> </w:t>
      </w:r>
      <w:hyperlink r:id="rId12" w:history="1">
        <w:r w:rsidRPr="00404F9D">
          <w:rPr>
            <w:rStyle w:val="Hyperlink"/>
            <w:rFonts w:ascii="Times New Roman" w:hAnsi="Times New Roman" w:cs="Times New Roman"/>
          </w:rPr>
          <w:t>https://doi.org/10.32479/ijeep.19908</w:t>
        </w:r>
      </w:hyperlink>
      <w:r w:rsidRPr="00404F9D">
        <w:rPr>
          <w:rFonts w:ascii="Times New Roman" w:hAnsi="Times New Roman" w:cs="Times New Roman"/>
        </w:rPr>
        <w:t xml:space="preserve"> </w:t>
      </w:r>
    </w:p>
    <w:p w14:paraId="10E789A4" w14:textId="44F73898"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Alfalih, A. A. (2024). The impact of oil prices, foreign direct investment and trade openness on unemployment rates in an oil-exporting country: The case of Saudi Arabia. </w:t>
      </w:r>
      <w:r w:rsidRPr="00404F9D">
        <w:rPr>
          <w:rFonts w:ascii="Times New Roman" w:hAnsi="Times New Roman" w:cs="Times New Roman"/>
          <w:i/>
        </w:rPr>
        <w:t>Heliyon</w:t>
      </w:r>
      <w:r w:rsidRPr="00404F9D">
        <w:rPr>
          <w:rFonts w:ascii="Times New Roman" w:hAnsi="Times New Roman" w:cs="Times New Roman"/>
        </w:rPr>
        <w:t>,</w:t>
      </w:r>
      <w:r w:rsidRPr="00404F9D">
        <w:rPr>
          <w:rFonts w:ascii="Times New Roman" w:hAnsi="Times New Roman" w:cs="Times New Roman"/>
          <w:i/>
        </w:rPr>
        <w:t xml:space="preserve"> 10</w:t>
      </w:r>
      <w:r w:rsidRPr="00404F9D">
        <w:rPr>
          <w:rFonts w:ascii="Times New Roman" w:hAnsi="Times New Roman" w:cs="Times New Roman"/>
        </w:rPr>
        <w:t xml:space="preserve">(3). </w:t>
      </w:r>
      <w:hyperlink r:id="rId13" w:history="1">
        <w:r w:rsidRPr="00404F9D">
          <w:rPr>
            <w:rStyle w:val="Hyperlink"/>
            <w:rFonts w:ascii="Times New Roman" w:hAnsi="Times New Roman" w:cs="Times New Roman"/>
          </w:rPr>
          <w:t>https://doi.org/10.1016/j.heliyon.2024.e25094</w:t>
        </w:r>
      </w:hyperlink>
      <w:r w:rsidRPr="00404F9D">
        <w:rPr>
          <w:rFonts w:ascii="Times New Roman" w:hAnsi="Times New Roman" w:cs="Times New Roman"/>
        </w:rPr>
        <w:t xml:space="preserve"> </w:t>
      </w:r>
    </w:p>
    <w:p w14:paraId="6F270ED4" w14:textId="77777777"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Alvarez, J. A., &amp; Kroen, T. (2025). The Energy Origins of the Global Inflation Surge. In (Vol. 2025): International Monetary Fund.</w:t>
      </w:r>
    </w:p>
    <w:p w14:paraId="19512B23"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Anusha Chari, P. B. H., and Hector Reyes. (2021). The Baker Hypothesis: Stabilization,</w:t>
      </w:r>
    </w:p>
    <w:p w14:paraId="7D551297"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Structural Reforms, and Economic</w:t>
      </w:r>
    </w:p>
    <w:p w14:paraId="63A2BFB7" w14:textId="7A4E4282"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Growth. </w:t>
      </w:r>
      <w:hyperlink r:id="rId14" w:history="1">
        <w:r w:rsidRPr="00404F9D">
          <w:rPr>
            <w:rStyle w:val="Hyperlink"/>
            <w:rFonts w:ascii="Times New Roman" w:hAnsi="Times New Roman" w:cs="Times New Roman"/>
          </w:rPr>
          <w:t>https://www.google.com/url?sa=t&amp;source=web&amp;rct=j&amp;opi=89978449&amp;url=https://ideas.repec.org/a/aea/jecper/v35y2021i3p83-108.html</w:t>
        </w:r>
      </w:hyperlink>
      <w:r w:rsidRPr="00404F9D">
        <w:rPr>
          <w:rFonts w:ascii="Times New Roman" w:hAnsi="Times New Roman" w:cs="Times New Roman"/>
        </w:rPr>
        <w:t xml:space="preserve"> </w:t>
      </w:r>
    </w:p>
    <w:p w14:paraId="5478DAF1" w14:textId="5C6CAD15"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Ayeni, E., Ohikhuare, O. M., Ibrahim, K. M., &amp; wright, O. (2025). Exchange rate misalignment, oil prices and macroeconomic condition in Nigeria. </w:t>
      </w:r>
      <w:r w:rsidRPr="00404F9D">
        <w:rPr>
          <w:rFonts w:ascii="Times New Roman" w:hAnsi="Times New Roman" w:cs="Times New Roman"/>
          <w:i/>
        </w:rPr>
        <w:t>Social Sciences &amp; Humanities Open</w:t>
      </w:r>
      <w:r w:rsidRPr="00404F9D">
        <w:rPr>
          <w:rFonts w:ascii="Times New Roman" w:hAnsi="Times New Roman" w:cs="Times New Roman"/>
        </w:rPr>
        <w:t>,</w:t>
      </w:r>
      <w:r w:rsidRPr="00404F9D">
        <w:rPr>
          <w:rFonts w:ascii="Times New Roman" w:hAnsi="Times New Roman" w:cs="Times New Roman"/>
          <w:i/>
        </w:rPr>
        <w:t xml:space="preserve"> 12</w:t>
      </w:r>
      <w:r w:rsidRPr="00404F9D">
        <w:rPr>
          <w:rFonts w:ascii="Times New Roman" w:hAnsi="Times New Roman" w:cs="Times New Roman"/>
        </w:rPr>
        <w:t xml:space="preserve">, 101788. </w:t>
      </w:r>
      <w:hyperlink r:id="rId15" w:history="1">
        <w:r w:rsidRPr="00404F9D">
          <w:rPr>
            <w:rStyle w:val="Hyperlink"/>
            <w:rFonts w:ascii="Times New Roman" w:hAnsi="Times New Roman" w:cs="Times New Roman"/>
          </w:rPr>
          <w:t>https://doi.org/https://doi.org/10.1016/j.ssaho.2025.101788</w:t>
        </w:r>
      </w:hyperlink>
      <w:r w:rsidRPr="00404F9D">
        <w:rPr>
          <w:rFonts w:ascii="Times New Roman" w:hAnsi="Times New Roman" w:cs="Times New Roman"/>
        </w:rPr>
        <w:t xml:space="preserve"> </w:t>
      </w:r>
    </w:p>
    <w:p w14:paraId="3FED4D90" w14:textId="7D849B51"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Barker, T. H., Stone, J. C., Sears, K., Klugar, M., Leonardi-Bee, J., Tufanaru, C., Aromataris, E., &amp; Munn, Z. (2023). Revising the JBI quantitative critical appraisal tools to improve their applicability: an overview of methods and the development process. </w:t>
      </w:r>
      <w:r w:rsidRPr="00404F9D">
        <w:rPr>
          <w:rFonts w:ascii="Times New Roman" w:hAnsi="Times New Roman" w:cs="Times New Roman"/>
          <w:i/>
        </w:rPr>
        <w:t>JBI Evidence Synthesis</w:t>
      </w:r>
      <w:r w:rsidRPr="00404F9D">
        <w:rPr>
          <w:rFonts w:ascii="Times New Roman" w:hAnsi="Times New Roman" w:cs="Times New Roman"/>
        </w:rPr>
        <w:t>,</w:t>
      </w:r>
      <w:r w:rsidRPr="00404F9D">
        <w:rPr>
          <w:rFonts w:ascii="Times New Roman" w:hAnsi="Times New Roman" w:cs="Times New Roman"/>
          <w:i/>
        </w:rPr>
        <w:t xml:space="preserve"> 21</w:t>
      </w:r>
      <w:r w:rsidRPr="00404F9D">
        <w:rPr>
          <w:rFonts w:ascii="Times New Roman" w:hAnsi="Times New Roman" w:cs="Times New Roman"/>
        </w:rPr>
        <w:t xml:space="preserve">(3), 478-493. </w:t>
      </w:r>
      <w:hyperlink r:id="rId16" w:history="1">
        <w:r w:rsidRPr="00404F9D">
          <w:rPr>
            <w:rStyle w:val="Hyperlink"/>
            <w:rFonts w:ascii="Times New Roman" w:hAnsi="Times New Roman" w:cs="Times New Roman"/>
          </w:rPr>
          <w:t>https://doi.org/10.11124/jbies-22-00125</w:t>
        </w:r>
      </w:hyperlink>
      <w:r w:rsidRPr="00404F9D">
        <w:rPr>
          <w:rFonts w:ascii="Times New Roman" w:hAnsi="Times New Roman" w:cs="Times New Roman"/>
        </w:rPr>
        <w:t xml:space="preserve"> </w:t>
      </w:r>
    </w:p>
    <w:p w14:paraId="49E2C1C8" w14:textId="58346E9C"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Bouzidi, F. M., Nefzi, A. A., &amp; Al Yousif, M. (2024). Impact of International Oil Price Shocks and Inflation on Bank Efficiency and Financial Stability: Evidence from Saudi Arabian Banking Sector. </w:t>
      </w:r>
      <w:r w:rsidRPr="00404F9D">
        <w:rPr>
          <w:rFonts w:ascii="Times New Roman" w:hAnsi="Times New Roman" w:cs="Times New Roman"/>
          <w:i/>
        </w:rPr>
        <w:t>Journal of Risk and Financial Management</w:t>
      </w:r>
      <w:r w:rsidRPr="00404F9D">
        <w:rPr>
          <w:rFonts w:ascii="Times New Roman" w:hAnsi="Times New Roman" w:cs="Times New Roman"/>
        </w:rPr>
        <w:t>,</w:t>
      </w:r>
      <w:r w:rsidRPr="00404F9D">
        <w:rPr>
          <w:rFonts w:ascii="Times New Roman" w:hAnsi="Times New Roman" w:cs="Times New Roman"/>
          <w:i/>
        </w:rPr>
        <w:t xml:space="preserve"> 17</w:t>
      </w:r>
      <w:r w:rsidRPr="00404F9D">
        <w:rPr>
          <w:rFonts w:ascii="Times New Roman" w:hAnsi="Times New Roman" w:cs="Times New Roman"/>
        </w:rPr>
        <w:t xml:space="preserve">(12), 543. </w:t>
      </w:r>
      <w:hyperlink r:id="rId17" w:history="1">
        <w:r w:rsidRPr="00404F9D">
          <w:rPr>
            <w:rStyle w:val="Hyperlink"/>
            <w:rFonts w:ascii="Times New Roman" w:hAnsi="Times New Roman" w:cs="Times New Roman"/>
          </w:rPr>
          <w:t>https://www.mdpi.com/1911-8074/17/12/543</w:t>
        </w:r>
      </w:hyperlink>
      <w:r w:rsidRPr="00404F9D">
        <w:rPr>
          <w:rFonts w:ascii="Times New Roman" w:hAnsi="Times New Roman" w:cs="Times New Roman"/>
        </w:rPr>
        <w:t xml:space="preserve"> </w:t>
      </w:r>
    </w:p>
    <w:p w14:paraId="3F552D54"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Brahim Gaies*, K. G., Thomas Porcher***, Raphael Boroumand. (2020). Financial instability and oil price fluctuations:</w:t>
      </w:r>
    </w:p>
    <w:p w14:paraId="008090E9" w14:textId="0DDAC5B1"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evidence from oil exporting developing countries. </w:t>
      </w:r>
      <w:hyperlink r:id="rId18" w:history="1">
        <w:r w:rsidRPr="00404F9D">
          <w:rPr>
            <w:rStyle w:val="Hyperlink"/>
            <w:rFonts w:ascii="Times New Roman" w:hAnsi="Times New Roman" w:cs="Times New Roman"/>
          </w:rPr>
          <w:t>https://www.google.com/url?sa=t&amp;source=web&amp;rct=j&amp;opi=89978449&amp;url=https://ejce.liuc.it/18242979202001/182429792020170104.pdf</w:t>
        </w:r>
      </w:hyperlink>
      <w:r w:rsidRPr="00404F9D">
        <w:rPr>
          <w:rFonts w:ascii="Times New Roman" w:hAnsi="Times New Roman" w:cs="Times New Roman"/>
        </w:rPr>
        <w:t xml:space="preserve"> </w:t>
      </w:r>
    </w:p>
    <w:p w14:paraId="4AD99B08"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Elsherif, M. (2024). Modelling Inflation Dynamics and Global Oil Price Shocks in</w:t>
      </w:r>
    </w:p>
    <w:p w14:paraId="0C91C510" w14:textId="12977FE4"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OAPEC Countries: TVP-VAR. </w:t>
      </w:r>
      <w:hyperlink r:id="rId19" w:history="1">
        <w:r w:rsidRPr="00404F9D">
          <w:rPr>
            <w:rStyle w:val="Hyperlink"/>
            <w:rFonts w:ascii="Times New Roman" w:hAnsi="Times New Roman" w:cs="Times New Roman"/>
          </w:rPr>
          <w:t>https://doi.org/</w:t>
        </w:r>
      </w:hyperlink>
      <w:r w:rsidRPr="00404F9D">
        <w:rPr>
          <w:rFonts w:ascii="Times New Roman" w:hAnsi="Times New Roman" w:cs="Times New Roman"/>
        </w:rPr>
        <w:t xml:space="preserve"> </w:t>
      </w:r>
      <w:hyperlink r:id="rId20" w:history="1">
        <w:r w:rsidRPr="00404F9D">
          <w:rPr>
            <w:rStyle w:val="Hyperlink"/>
            <w:rFonts w:ascii="Times New Roman" w:hAnsi="Times New Roman" w:cs="Times New Roman"/>
          </w:rPr>
          <w:t>https://doi.org/10.32479/ijeep.15686</w:t>
        </w:r>
      </w:hyperlink>
      <w:r w:rsidRPr="00404F9D">
        <w:rPr>
          <w:rFonts w:ascii="Times New Roman" w:hAnsi="Times New Roman" w:cs="Times New Roman"/>
        </w:rPr>
        <w:t xml:space="preserve"> </w:t>
      </w:r>
    </w:p>
    <w:p w14:paraId="23545FE5" w14:textId="77777777"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Gnangnon, S. K. (2021). Development Aid and Export Resilience in Developing Countries: A Reference to Aid for Trade. In </w:t>
      </w:r>
      <w:r w:rsidRPr="00404F9D">
        <w:rPr>
          <w:rFonts w:ascii="Times New Roman" w:hAnsi="Times New Roman" w:cs="Times New Roman"/>
          <w:i/>
        </w:rPr>
        <w:t>Preprints</w:t>
      </w:r>
      <w:r w:rsidRPr="00404F9D">
        <w:rPr>
          <w:rFonts w:ascii="Times New Roman" w:hAnsi="Times New Roman" w:cs="Times New Roman"/>
        </w:rPr>
        <w:t>: Preprints.</w:t>
      </w:r>
    </w:p>
    <w:p w14:paraId="59094B4D" w14:textId="0757A701"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 xml:space="preserve">Hollander, H., Gupta, R., &amp; Wohar, M. E. . (2019). The Impact of Oil Shocks in a Small Open Economy New-Keynesian Dynamic Stochastic General Equilibrium Model for an Oil-Importing Country: The Case of South Africa. . </w:t>
      </w:r>
      <w:hyperlink r:id="rId21" w:history="1">
        <w:r w:rsidRPr="00404F9D">
          <w:rPr>
            <w:rStyle w:val="Hyperlink"/>
            <w:rFonts w:ascii="Times New Roman" w:hAnsi="Times New Roman" w:cs="Times New Roman"/>
          </w:rPr>
          <w:t>https://doi.org/</w:t>
        </w:r>
      </w:hyperlink>
    </w:p>
    <w:p w14:paraId="4DF159E0" w14:textId="6AF010C5"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lastRenderedPageBreak/>
        <w:t xml:space="preserve">. </w:t>
      </w:r>
      <w:hyperlink r:id="rId22" w:history="1">
        <w:r w:rsidRPr="00404F9D">
          <w:rPr>
            <w:rStyle w:val="Hyperlink"/>
            <w:rFonts w:ascii="Times New Roman" w:hAnsi="Times New Roman" w:cs="Times New Roman"/>
          </w:rPr>
          <w:t>https://doi.org/10.1080/1540496X.2018.1474346</w:t>
        </w:r>
      </w:hyperlink>
      <w:r w:rsidRPr="00404F9D">
        <w:rPr>
          <w:rFonts w:ascii="Times New Roman" w:hAnsi="Times New Roman" w:cs="Times New Roman"/>
        </w:rPr>
        <w:t xml:space="preserve"> </w:t>
      </w:r>
    </w:p>
    <w:p w14:paraId="0CB3E347"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Karanfil, F. (2024). Energy Transition in Oil-Dependent Economies: Public Discount</w:t>
      </w:r>
    </w:p>
    <w:p w14:paraId="0CAC51A0" w14:textId="77777777"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Rates for Investment Project Evaluation. </w:t>
      </w:r>
    </w:p>
    <w:p w14:paraId="0521A429" w14:textId="35233D2D"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Khan, K., Su, C.-W., Tao, R., &amp; Umar, M. (2021). How often do oil prices and tanker freight rates depend on global uncertainty? </w:t>
      </w:r>
      <w:r w:rsidRPr="00404F9D">
        <w:rPr>
          <w:rFonts w:ascii="Times New Roman" w:hAnsi="Times New Roman" w:cs="Times New Roman"/>
          <w:i/>
        </w:rPr>
        <w:t>Regional Studies in Marine Science</w:t>
      </w:r>
      <w:r w:rsidRPr="00404F9D">
        <w:rPr>
          <w:rFonts w:ascii="Times New Roman" w:hAnsi="Times New Roman" w:cs="Times New Roman"/>
        </w:rPr>
        <w:t>,</w:t>
      </w:r>
      <w:r w:rsidRPr="00404F9D">
        <w:rPr>
          <w:rFonts w:ascii="Times New Roman" w:hAnsi="Times New Roman" w:cs="Times New Roman"/>
          <w:i/>
        </w:rPr>
        <w:t xml:space="preserve"> 48</w:t>
      </w:r>
      <w:r w:rsidRPr="00404F9D">
        <w:rPr>
          <w:rFonts w:ascii="Times New Roman" w:hAnsi="Times New Roman" w:cs="Times New Roman"/>
        </w:rPr>
        <w:t xml:space="preserve">, 102043. </w:t>
      </w:r>
      <w:hyperlink r:id="rId23" w:history="1">
        <w:r w:rsidRPr="00404F9D">
          <w:rPr>
            <w:rStyle w:val="Hyperlink"/>
            <w:rFonts w:ascii="Times New Roman" w:hAnsi="Times New Roman" w:cs="Times New Roman"/>
          </w:rPr>
          <w:t>https://doi.org/https://doi.org/10.1016/j.rsma.2021.102043</w:t>
        </w:r>
      </w:hyperlink>
      <w:r w:rsidRPr="00404F9D">
        <w:rPr>
          <w:rFonts w:ascii="Times New Roman" w:hAnsi="Times New Roman" w:cs="Times New Roman"/>
        </w:rPr>
        <w:t xml:space="preserve"> </w:t>
      </w:r>
    </w:p>
    <w:p w14:paraId="58BAD38C" w14:textId="13D9B11E"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Martin, M., Steele, B., Spreckelsen, T. F., Lachman, J. M., Gardner, F., &amp; Shenderovich, Y. (2023). The Association Between Facilitator Competent Adherence and Outcomes in Parenting Programs: a Systematic Review and SWiM Analysis. </w:t>
      </w:r>
      <w:r w:rsidRPr="00404F9D">
        <w:rPr>
          <w:rFonts w:ascii="Times New Roman" w:hAnsi="Times New Roman" w:cs="Times New Roman"/>
          <w:i/>
        </w:rPr>
        <w:t>Prevention Science</w:t>
      </w:r>
      <w:r w:rsidRPr="00404F9D">
        <w:rPr>
          <w:rFonts w:ascii="Times New Roman" w:hAnsi="Times New Roman" w:cs="Times New Roman"/>
        </w:rPr>
        <w:t>,</w:t>
      </w:r>
      <w:r w:rsidRPr="00404F9D">
        <w:rPr>
          <w:rFonts w:ascii="Times New Roman" w:hAnsi="Times New Roman" w:cs="Times New Roman"/>
          <w:i/>
        </w:rPr>
        <w:t xml:space="preserve"> 24</w:t>
      </w:r>
      <w:r w:rsidRPr="00404F9D">
        <w:rPr>
          <w:rFonts w:ascii="Times New Roman" w:hAnsi="Times New Roman" w:cs="Times New Roman"/>
        </w:rPr>
        <w:t xml:space="preserve">(7), 1314-1326. </w:t>
      </w:r>
      <w:hyperlink r:id="rId24" w:history="1">
        <w:r w:rsidRPr="00404F9D">
          <w:rPr>
            <w:rStyle w:val="Hyperlink"/>
            <w:rFonts w:ascii="Times New Roman" w:hAnsi="Times New Roman" w:cs="Times New Roman"/>
          </w:rPr>
          <w:t>https://doi.org/10.1007/s11121-023-01515-3</w:t>
        </w:r>
      </w:hyperlink>
      <w:r w:rsidRPr="00404F9D">
        <w:rPr>
          <w:rFonts w:ascii="Times New Roman" w:hAnsi="Times New Roman" w:cs="Times New Roman"/>
        </w:rPr>
        <w:t xml:space="preserve"> </w:t>
      </w:r>
    </w:p>
    <w:p w14:paraId="02BF03ED" w14:textId="77777777"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Mohaddes, K., &amp; Pesaran, M. H. (2017). Oil prices and the global economy: Is it different this time around? </w:t>
      </w:r>
      <w:r w:rsidRPr="00404F9D">
        <w:rPr>
          <w:rFonts w:ascii="Times New Roman" w:hAnsi="Times New Roman" w:cs="Times New Roman"/>
          <w:i/>
        </w:rPr>
        <w:t>Energy Economics</w:t>
      </w:r>
      <w:r w:rsidRPr="00404F9D">
        <w:rPr>
          <w:rFonts w:ascii="Times New Roman" w:hAnsi="Times New Roman" w:cs="Times New Roman"/>
        </w:rPr>
        <w:t>,</w:t>
      </w:r>
      <w:r w:rsidRPr="00404F9D">
        <w:rPr>
          <w:rFonts w:ascii="Times New Roman" w:hAnsi="Times New Roman" w:cs="Times New Roman"/>
          <w:i/>
        </w:rPr>
        <w:t xml:space="preserve"> 65</w:t>
      </w:r>
      <w:r w:rsidRPr="00404F9D">
        <w:rPr>
          <w:rFonts w:ascii="Times New Roman" w:hAnsi="Times New Roman" w:cs="Times New Roman"/>
        </w:rPr>
        <w:t xml:space="preserve">, 315-325. </w:t>
      </w:r>
    </w:p>
    <w:p w14:paraId="05F70AEF" w14:textId="238A7334"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Moshiri, S. (2015). Asymmetric effects of oil price shocks in oil-exporting countries: the role of institutions. </w:t>
      </w:r>
      <w:r w:rsidRPr="00404F9D">
        <w:rPr>
          <w:rFonts w:ascii="Times New Roman" w:hAnsi="Times New Roman" w:cs="Times New Roman"/>
          <w:i/>
        </w:rPr>
        <w:t>OPEC Energy Review</w:t>
      </w:r>
      <w:r w:rsidRPr="00404F9D">
        <w:rPr>
          <w:rFonts w:ascii="Times New Roman" w:hAnsi="Times New Roman" w:cs="Times New Roman"/>
        </w:rPr>
        <w:t>,</w:t>
      </w:r>
      <w:r w:rsidRPr="00404F9D">
        <w:rPr>
          <w:rFonts w:ascii="Times New Roman" w:hAnsi="Times New Roman" w:cs="Times New Roman"/>
          <w:i/>
        </w:rPr>
        <w:t xml:space="preserve"> 39</w:t>
      </w:r>
      <w:r w:rsidRPr="00404F9D">
        <w:rPr>
          <w:rFonts w:ascii="Times New Roman" w:hAnsi="Times New Roman" w:cs="Times New Roman"/>
        </w:rPr>
        <w:t xml:space="preserve">(2), 222-246. </w:t>
      </w:r>
      <w:hyperlink r:id="rId25" w:history="1">
        <w:r w:rsidRPr="00404F9D">
          <w:rPr>
            <w:rStyle w:val="Hyperlink"/>
            <w:rFonts w:ascii="Times New Roman" w:hAnsi="Times New Roman" w:cs="Times New Roman"/>
          </w:rPr>
          <w:t>https://doi.org/https://doi.org/10.1111/opec.12050</w:t>
        </w:r>
      </w:hyperlink>
      <w:r w:rsidRPr="00404F9D">
        <w:rPr>
          <w:rFonts w:ascii="Times New Roman" w:hAnsi="Times New Roman" w:cs="Times New Roman"/>
        </w:rPr>
        <w:t xml:space="preserve"> </w:t>
      </w:r>
    </w:p>
    <w:p w14:paraId="36FC85E5"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Nagro, M. (2025). Economic growth and currency dynamics</w:t>
      </w:r>
    </w:p>
    <w:p w14:paraId="2BD65E27"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as determinants of trade in North African</w:t>
      </w:r>
    </w:p>
    <w:p w14:paraId="0863F19E" w14:textId="14F5D356"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economies. </w:t>
      </w:r>
      <w:hyperlink r:id="rId26" w:history="1">
        <w:r w:rsidRPr="00404F9D">
          <w:rPr>
            <w:rStyle w:val="Hyperlink"/>
            <w:rFonts w:ascii="Times New Roman" w:hAnsi="Times New Roman" w:cs="Times New Roman"/>
          </w:rPr>
          <w:t>https://www.google.com/url?sa=t&amp;source=web&amp;rct=j&amp;opi=89978449&amp;url=https://link.springer.com/article/10.1007/s43621-025-02498-7</w:t>
        </w:r>
      </w:hyperlink>
      <w:r w:rsidRPr="00404F9D">
        <w:rPr>
          <w:rFonts w:ascii="Times New Roman" w:hAnsi="Times New Roman" w:cs="Times New Roman"/>
        </w:rPr>
        <w:t xml:space="preserve"> </w:t>
      </w:r>
    </w:p>
    <w:p w14:paraId="0D329710" w14:textId="397DA299"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Sadeghi, A., Roudari, S., &amp; Nammouri, H. (2025). Green finance, fossil energy, and institutional factors in the context of sustainable development. </w:t>
      </w:r>
      <w:r w:rsidRPr="00404F9D">
        <w:rPr>
          <w:rFonts w:ascii="Times New Roman" w:hAnsi="Times New Roman" w:cs="Times New Roman"/>
          <w:i/>
        </w:rPr>
        <w:t>Social Sciences &amp; Humanities Open</w:t>
      </w:r>
      <w:r w:rsidRPr="00404F9D">
        <w:rPr>
          <w:rFonts w:ascii="Times New Roman" w:hAnsi="Times New Roman" w:cs="Times New Roman"/>
        </w:rPr>
        <w:t>,</w:t>
      </w:r>
      <w:r w:rsidRPr="00404F9D">
        <w:rPr>
          <w:rFonts w:ascii="Times New Roman" w:hAnsi="Times New Roman" w:cs="Times New Roman"/>
          <w:i/>
        </w:rPr>
        <w:t xml:space="preserve"> 12</w:t>
      </w:r>
      <w:r w:rsidRPr="00404F9D">
        <w:rPr>
          <w:rFonts w:ascii="Times New Roman" w:hAnsi="Times New Roman" w:cs="Times New Roman"/>
        </w:rPr>
        <w:t xml:space="preserve">, 101939. </w:t>
      </w:r>
      <w:hyperlink r:id="rId27" w:history="1">
        <w:r w:rsidRPr="00404F9D">
          <w:rPr>
            <w:rStyle w:val="Hyperlink"/>
            <w:rFonts w:ascii="Times New Roman" w:hAnsi="Times New Roman" w:cs="Times New Roman"/>
          </w:rPr>
          <w:t>https://doi.org/https://doi.org/10.1016/j.ssaho.2025.101939</w:t>
        </w:r>
      </w:hyperlink>
      <w:r w:rsidRPr="00404F9D">
        <w:rPr>
          <w:rFonts w:ascii="Times New Roman" w:hAnsi="Times New Roman" w:cs="Times New Roman"/>
        </w:rPr>
        <w:t xml:space="preserve"> </w:t>
      </w:r>
    </w:p>
    <w:p w14:paraId="2618D1EE" w14:textId="2CB80760"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Shepard, J. U., van Ruijven, B. J., &amp; Zakeri, B. (2022). Impacts of Trade Friction and Climate Policy on Global Energy Trade Network. </w:t>
      </w:r>
      <w:r w:rsidRPr="00404F9D">
        <w:rPr>
          <w:rFonts w:ascii="Times New Roman" w:hAnsi="Times New Roman" w:cs="Times New Roman"/>
          <w:i/>
        </w:rPr>
        <w:t>Energies</w:t>
      </w:r>
      <w:r w:rsidRPr="00404F9D">
        <w:rPr>
          <w:rFonts w:ascii="Times New Roman" w:hAnsi="Times New Roman" w:cs="Times New Roman"/>
        </w:rPr>
        <w:t>,</w:t>
      </w:r>
      <w:r w:rsidRPr="00404F9D">
        <w:rPr>
          <w:rFonts w:ascii="Times New Roman" w:hAnsi="Times New Roman" w:cs="Times New Roman"/>
          <w:i/>
        </w:rPr>
        <w:t xml:space="preserve"> 15</w:t>
      </w:r>
      <w:r w:rsidRPr="00404F9D">
        <w:rPr>
          <w:rFonts w:ascii="Times New Roman" w:hAnsi="Times New Roman" w:cs="Times New Roman"/>
        </w:rPr>
        <w:t xml:space="preserve">(17), 6171. </w:t>
      </w:r>
      <w:hyperlink r:id="rId28" w:history="1">
        <w:r w:rsidRPr="00404F9D">
          <w:rPr>
            <w:rStyle w:val="Hyperlink"/>
            <w:rFonts w:ascii="Times New Roman" w:hAnsi="Times New Roman" w:cs="Times New Roman"/>
          </w:rPr>
          <w:t>https://www.mdpi.com/1996-1073/15/17/6171</w:t>
        </w:r>
      </w:hyperlink>
      <w:r w:rsidRPr="00404F9D">
        <w:rPr>
          <w:rFonts w:ascii="Times New Roman" w:hAnsi="Times New Roman" w:cs="Times New Roman"/>
        </w:rPr>
        <w:t xml:space="preserve"> </w:t>
      </w:r>
    </w:p>
    <w:p w14:paraId="300C670A" w14:textId="7044EADA"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Taghizadeh-Hesary, F., Yoshino, N., Rasoulinezhad, E., &amp; Chang, Y. (2019). Trade linkages and transmission of oil price fluctuations. </w:t>
      </w:r>
      <w:r w:rsidRPr="00404F9D">
        <w:rPr>
          <w:rFonts w:ascii="Times New Roman" w:hAnsi="Times New Roman" w:cs="Times New Roman"/>
          <w:i/>
        </w:rPr>
        <w:t>Energy Policy</w:t>
      </w:r>
      <w:r w:rsidRPr="00404F9D">
        <w:rPr>
          <w:rFonts w:ascii="Times New Roman" w:hAnsi="Times New Roman" w:cs="Times New Roman"/>
        </w:rPr>
        <w:t>,</w:t>
      </w:r>
      <w:r w:rsidRPr="00404F9D">
        <w:rPr>
          <w:rFonts w:ascii="Times New Roman" w:hAnsi="Times New Roman" w:cs="Times New Roman"/>
          <w:i/>
        </w:rPr>
        <w:t xml:space="preserve"> 133</w:t>
      </w:r>
      <w:r w:rsidRPr="00404F9D">
        <w:rPr>
          <w:rFonts w:ascii="Times New Roman" w:hAnsi="Times New Roman" w:cs="Times New Roman"/>
        </w:rPr>
        <w:t xml:space="preserve">, 110872. </w:t>
      </w:r>
      <w:hyperlink r:id="rId29" w:history="1">
        <w:r w:rsidRPr="00404F9D">
          <w:rPr>
            <w:rStyle w:val="Hyperlink"/>
            <w:rFonts w:ascii="Times New Roman" w:hAnsi="Times New Roman" w:cs="Times New Roman"/>
          </w:rPr>
          <w:t>https://doi.org/https://doi.org/10.1016/j.enpol.2019.07.008</w:t>
        </w:r>
      </w:hyperlink>
      <w:r w:rsidRPr="00404F9D">
        <w:rPr>
          <w:rFonts w:ascii="Times New Roman" w:hAnsi="Times New Roman" w:cs="Times New Roman"/>
        </w:rPr>
        <w:t xml:space="preserve"> </w:t>
      </w:r>
    </w:p>
    <w:p w14:paraId="4A8CD08D"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Ullah, S. (2023). Nexus of governance, macroeconomic</w:t>
      </w:r>
    </w:p>
    <w:p w14:paraId="3215FBF9"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conditions, and financial stability of banks:</w:t>
      </w:r>
    </w:p>
    <w:p w14:paraId="40EDAC7B" w14:textId="77777777"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a comparison of developed and emerging</w:t>
      </w:r>
    </w:p>
    <w:p w14:paraId="3ECC7C8C" w14:textId="68B3E571"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countries. </w:t>
      </w:r>
      <w:hyperlink r:id="rId30" w:history="1">
        <w:r w:rsidRPr="00404F9D">
          <w:rPr>
            <w:rStyle w:val="Hyperlink"/>
            <w:rFonts w:ascii="Times New Roman" w:hAnsi="Times New Roman" w:cs="Times New Roman"/>
          </w:rPr>
          <w:t>https://www.google.com/url?sa=t&amp;source=web&amp;rct=j&amp;opi=89978449&amp;url=https://link.springer.com/article/10.1186/s40854-023-00542-x</w:t>
        </w:r>
      </w:hyperlink>
      <w:r w:rsidRPr="00404F9D">
        <w:rPr>
          <w:rFonts w:ascii="Times New Roman" w:hAnsi="Times New Roman" w:cs="Times New Roman"/>
        </w:rPr>
        <w:t xml:space="preserve"> </w:t>
      </w:r>
    </w:p>
    <w:p w14:paraId="37F7C927" w14:textId="08318AA8" w:rsidR="00750834" w:rsidRPr="00404F9D" w:rsidRDefault="00750834" w:rsidP="00750834">
      <w:pPr>
        <w:pStyle w:val="EndNoteBibliography"/>
        <w:spacing w:after="0"/>
        <w:ind w:left="720" w:hanging="720"/>
        <w:rPr>
          <w:rFonts w:ascii="Times New Roman" w:hAnsi="Times New Roman" w:cs="Times New Roman"/>
        </w:rPr>
      </w:pPr>
      <w:r w:rsidRPr="00404F9D">
        <w:rPr>
          <w:rFonts w:ascii="Times New Roman" w:hAnsi="Times New Roman" w:cs="Times New Roman"/>
        </w:rPr>
        <w:t xml:space="preserve">Wang, K., Wen, F., &amp; Gong, X. (2024). Oil prices and systemic financial risk: A complex network analysis. </w:t>
      </w:r>
      <w:r w:rsidRPr="00404F9D">
        <w:rPr>
          <w:rFonts w:ascii="Times New Roman" w:hAnsi="Times New Roman" w:cs="Times New Roman"/>
          <w:i/>
        </w:rPr>
        <w:t>Energy</w:t>
      </w:r>
      <w:r w:rsidRPr="00404F9D">
        <w:rPr>
          <w:rFonts w:ascii="Times New Roman" w:hAnsi="Times New Roman" w:cs="Times New Roman"/>
        </w:rPr>
        <w:t>,</w:t>
      </w:r>
      <w:r w:rsidRPr="00404F9D">
        <w:rPr>
          <w:rFonts w:ascii="Times New Roman" w:hAnsi="Times New Roman" w:cs="Times New Roman"/>
          <w:i/>
        </w:rPr>
        <w:t xml:space="preserve"> 293</w:t>
      </w:r>
      <w:r w:rsidRPr="00404F9D">
        <w:rPr>
          <w:rFonts w:ascii="Times New Roman" w:hAnsi="Times New Roman" w:cs="Times New Roman"/>
        </w:rPr>
        <w:t xml:space="preserve">, 130672. </w:t>
      </w:r>
      <w:hyperlink r:id="rId31" w:history="1">
        <w:r w:rsidRPr="00404F9D">
          <w:rPr>
            <w:rStyle w:val="Hyperlink"/>
            <w:rFonts w:ascii="Times New Roman" w:hAnsi="Times New Roman" w:cs="Times New Roman"/>
          </w:rPr>
          <w:t>https://doi.org/https://doi.org/10.1016/j.energy.2024.130672</w:t>
        </w:r>
      </w:hyperlink>
      <w:r w:rsidRPr="00404F9D">
        <w:rPr>
          <w:rFonts w:ascii="Times New Roman" w:hAnsi="Times New Roman" w:cs="Times New Roman"/>
        </w:rPr>
        <w:t xml:space="preserve"> </w:t>
      </w:r>
    </w:p>
    <w:p w14:paraId="7946E60E" w14:textId="13E78B13" w:rsidR="00750834" w:rsidRPr="00404F9D" w:rsidRDefault="00750834" w:rsidP="00750834">
      <w:pPr>
        <w:pStyle w:val="EndNoteBibliography"/>
        <w:ind w:left="720" w:hanging="720"/>
        <w:rPr>
          <w:rFonts w:ascii="Times New Roman" w:hAnsi="Times New Roman" w:cs="Times New Roman"/>
        </w:rPr>
      </w:pPr>
      <w:r w:rsidRPr="00404F9D">
        <w:rPr>
          <w:rFonts w:ascii="Times New Roman" w:hAnsi="Times New Roman" w:cs="Times New Roman"/>
        </w:rPr>
        <w:t xml:space="preserve">Yahya, M., Kanjilal, K., Dutta, A., Uddin, G. S., &amp; Ghosh, S. (2021). Can clean energy stock price rule oil price? New evidences from a regime-switching model at first and second moments. </w:t>
      </w:r>
      <w:r w:rsidRPr="00404F9D">
        <w:rPr>
          <w:rFonts w:ascii="Times New Roman" w:hAnsi="Times New Roman" w:cs="Times New Roman"/>
          <w:i/>
        </w:rPr>
        <w:t>Energy Economics</w:t>
      </w:r>
      <w:r w:rsidRPr="00404F9D">
        <w:rPr>
          <w:rFonts w:ascii="Times New Roman" w:hAnsi="Times New Roman" w:cs="Times New Roman"/>
        </w:rPr>
        <w:t>,</w:t>
      </w:r>
      <w:r w:rsidRPr="00404F9D">
        <w:rPr>
          <w:rFonts w:ascii="Times New Roman" w:hAnsi="Times New Roman" w:cs="Times New Roman"/>
          <w:i/>
        </w:rPr>
        <w:t xml:space="preserve"> 95</w:t>
      </w:r>
      <w:r w:rsidRPr="00404F9D">
        <w:rPr>
          <w:rFonts w:ascii="Times New Roman" w:hAnsi="Times New Roman" w:cs="Times New Roman"/>
        </w:rPr>
        <w:t xml:space="preserve">, 105116. </w:t>
      </w:r>
      <w:hyperlink r:id="rId32" w:history="1">
        <w:r w:rsidRPr="00404F9D">
          <w:rPr>
            <w:rStyle w:val="Hyperlink"/>
            <w:rFonts w:ascii="Times New Roman" w:hAnsi="Times New Roman" w:cs="Times New Roman"/>
          </w:rPr>
          <w:t>https://doi.org/https://doi.org/10.1016/j.eneco.2021.105116</w:t>
        </w:r>
      </w:hyperlink>
      <w:r w:rsidRPr="00404F9D">
        <w:rPr>
          <w:rFonts w:ascii="Times New Roman" w:hAnsi="Times New Roman" w:cs="Times New Roman"/>
        </w:rPr>
        <w:t xml:space="preserve"> </w:t>
      </w:r>
    </w:p>
    <w:p w14:paraId="44A595A7" w14:textId="0C10BD9D" w:rsidR="000A27DA" w:rsidRPr="00404F9D" w:rsidRDefault="00AB779D" w:rsidP="00DC77C0">
      <w:pPr>
        <w:rPr>
          <w:rFonts w:ascii="Times New Roman" w:hAnsi="Times New Roman" w:cs="Times New Roman"/>
        </w:rPr>
      </w:pPr>
      <w:r w:rsidRPr="00404F9D">
        <w:rPr>
          <w:rFonts w:ascii="Times New Roman" w:hAnsi="Times New Roman" w:cs="Times New Roman"/>
        </w:rPr>
        <w:fldChar w:fldCharType="end"/>
      </w:r>
    </w:p>
    <w:p w14:paraId="4CE610D6" w14:textId="77777777" w:rsidR="003E1422" w:rsidRDefault="003E1422" w:rsidP="00903847">
      <w:pPr>
        <w:jc w:val="center"/>
        <w:rPr>
          <w:rFonts w:ascii="Times New Roman" w:hAnsi="Times New Roman" w:cs="Times New Roman"/>
        </w:rPr>
      </w:pPr>
    </w:p>
    <w:p w14:paraId="21A6448E" w14:textId="77777777" w:rsidR="00404F9D" w:rsidRPr="00750834" w:rsidRDefault="00404F9D" w:rsidP="00903847">
      <w:pPr>
        <w:jc w:val="center"/>
        <w:rPr>
          <w:rFonts w:ascii="Times New Roman" w:hAnsi="Times New Roman" w:cs="Times New Roman"/>
        </w:rPr>
      </w:pPr>
    </w:p>
    <w:p w14:paraId="4FCBF4AC" w14:textId="77777777" w:rsidR="003E1422" w:rsidRDefault="003E1422" w:rsidP="00903847">
      <w:pPr>
        <w:jc w:val="center"/>
        <w:rPr>
          <w:rFonts w:ascii="Times New Roman" w:hAnsi="Times New Roman" w:cs="Times New Roman"/>
          <w:sz w:val="20"/>
          <w:szCs w:val="20"/>
        </w:rPr>
      </w:pPr>
    </w:p>
    <w:p w14:paraId="79789DB6" w14:textId="77777777" w:rsidR="003E1422" w:rsidRDefault="003E1422" w:rsidP="00903847">
      <w:pPr>
        <w:jc w:val="center"/>
        <w:rPr>
          <w:rFonts w:ascii="Times New Roman" w:hAnsi="Times New Roman" w:cs="Times New Roman"/>
          <w:sz w:val="20"/>
          <w:szCs w:val="20"/>
        </w:rPr>
      </w:pPr>
    </w:p>
    <w:p w14:paraId="7F174CD9" w14:textId="77777777" w:rsidR="003E1422" w:rsidRDefault="003E1422" w:rsidP="00903847">
      <w:pPr>
        <w:jc w:val="center"/>
        <w:rPr>
          <w:rFonts w:ascii="Times New Roman" w:hAnsi="Times New Roman" w:cs="Times New Roman"/>
          <w:sz w:val="20"/>
          <w:szCs w:val="20"/>
        </w:rPr>
      </w:pPr>
    </w:p>
    <w:p w14:paraId="6E1238B3" w14:textId="77777777" w:rsidR="003E1422" w:rsidRDefault="003E1422" w:rsidP="00903847">
      <w:pPr>
        <w:jc w:val="center"/>
        <w:rPr>
          <w:rFonts w:ascii="Times New Roman" w:hAnsi="Times New Roman" w:cs="Times New Roman"/>
          <w:sz w:val="20"/>
          <w:szCs w:val="20"/>
        </w:rPr>
      </w:pPr>
    </w:p>
    <w:p w14:paraId="070A04D7" w14:textId="77777777" w:rsidR="003E1422" w:rsidRDefault="003E1422" w:rsidP="00903847">
      <w:pPr>
        <w:jc w:val="center"/>
        <w:rPr>
          <w:rFonts w:ascii="Times New Roman" w:hAnsi="Times New Roman" w:cs="Times New Roman"/>
          <w:sz w:val="20"/>
          <w:szCs w:val="20"/>
        </w:rPr>
      </w:pPr>
    </w:p>
    <w:p w14:paraId="0DAEC2BA" w14:textId="77777777" w:rsidR="003E1422" w:rsidRDefault="003E1422" w:rsidP="00903847">
      <w:pPr>
        <w:jc w:val="center"/>
        <w:rPr>
          <w:rFonts w:ascii="Times New Roman" w:hAnsi="Times New Roman" w:cs="Times New Roman"/>
          <w:sz w:val="20"/>
          <w:szCs w:val="20"/>
        </w:rPr>
      </w:pPr>
    </w:p>
    <w:p w14:paraId="7FB53B09" w14:textId="77777777" w:rsidR="003E1422" w:rsidRDefault="003E1422" w:rsidP="00903847">
      <w:pPr>
        <w:jc w:val="center"/>
        <w:rPr>
          <w:rFonts w:ascii="Times New Roman" w:hAnsi="Times New Roman" w:cs="Times New Roman"/>
          <w:sz w:val="20"/>
          <w:szCs w:val="20"/>
        </w:rPr>
      </w:pPr>
    </w:p>
    <w:p w14:paraId="293A26B3" w14:textId="77777777" w:rsidR="003E1422" w:rsidRDefault="003E1422" w:rsidP="00903847">
      <w:pPr>
        <w:jc w:val="center"/>
        <w:rPr>
          <w:rFonts w:ascii="Times New Roman" w:hAnsi="Times New Roman" w:cs="Times New Roman"/>
          <w:sz w:val="20"/>
          <w:szCs w:val="20"/>
        </w:rPr>
      </w:pPr>
    </w:p>
    <w:p w14:paraId="01EC92CD" w14:textId="77777777" w:rsidR="003E1422" w:rsidRDefault="003E1422" w:rsidP="00903847">
      <w:pPr>
        <w:jc w:val="center"/>
        <w:rPr>
          <w:rFonts w:ascii="Times New Roman" w:hAnsi="Times New Roman" w:cs="Times New Roman"/>
          <w:sz w:val="20"/>
          <w:szCs w:val="20"/>
        </w:rPr>
      </w:pPr>
    </w:p>
    <w:p w14:paraId="66DCAED9" w14:textId="77777777" w:rsidR="003E1422" w:rsidRDefault="003E1422" w:rsidP="00903847">
      <w:pPr>
        <w:jc w:val="center"/>
        <w:rPr>
          <w:rFonts w:ascii="Times New Roman" w:hAnsi="Times New Roman" w:cs="Times New Roman"/>
          <w:sz w:val="20"/>
          <w:szCs w:val="20"/>
        </w:rPr>
        <w:sectPr w:rsidR="003E1422">
          <w:pgSz w:w="12240" w:h="15840"/>
          <w:pgMar w:top="1440" w:right="1440" w:bottom="1440" w:left="1440" w:header="708" w:footer="708" w:gutter="0"/>
          <w:cols w:space="708"/>
          <w:docGrid w:linePitch="360"/>
        </w:sectPr>
      </w:pPr>
    </w:p>
    <w:p w14:paraId="6854798B" w14:textId="77777777" w:rsidR="003E1422" w:rsidRPr="003E1422" w:rsidRDefault="003E1422" w:rsidP="003E1422">
      <w:pPr>
        <w:jc w:val="center"/>
        <w:rPr>
          <w:rFonts w:ascii="Times New Roman" w:hAnsi="Times New Roman" w:cs="Times New Roman"/>
          <w:b/>
          <w:bCs/>
          <w:sz w:val="24"/>
          <w:szCs w:val="24"/>
        </w:rPr>
      </w:pPr>
      <w:r w:rsidRPr="003E1422">
        <w:rPr>
          <w:rFonts w:ascii="Times New Roman" w:hAnsi="Times New Roman" w:cs="Times New Roman"/>
          <w:b/>
          <w:bCs/>
          <w:sz w:val="24"/>
          <w:szCs w:val="24"/>
        </w:rPr>
        <w:lastRenderedPageBreak/>
        <w:t>Appendix 1</w:t>
      </w:r>
    </w:p>
    <w:p w14:paraId="230741A9" w14:textId="1E084D60" w:rsidR="00A27D1C" w:rsidRPr="00931E8C" w:rsidRDefault="00AB7437" w:rsidP="00A27D1C">
      <w:pPr>
        <w:jc w:val="center"/>
        <w:rPr>
          <w:rFonts w:ascii="Times New Roman" w:hAnsi="Times New Roman" w:cs="Times New Roman"/>
          <w:sz w:val="24"/>
          <w:szCs w:val="24"/>
        </w:rPr>
      </w:pPr>
      <w:r>
        <w:rPr>
          <w:rFonts w:ascii="Times New Roman" w:hAnsi="Times New Roman" w:cs="Times New Roman"/>
          <w:b/>
          <w:bCs/>
          <w:sz w:val="24"/>
          <w:szCs w:val="24"/>
        </w:rPr>
        <w:t>Table 3</w:t>
      </w:r>
      <w:r w:rsidR="003E1422" w:rsidRPr="003E1422">
        <w:rPr>
          <w:rFonts w:ascii="Times New Roman" w:hAnsi="Times New Roman" w:cs="Times New Roman"/>
          <w:sz w:val="24"/>
          <w:szCs w:val="24"/>
        </w:rPr>
        <w:t>. Data extraction of the selected studies</w:t>
      </w:r>
    </w:p>
    <w:tbl>
      <w:tblPr>
        <w:tblStyle w:val="TableGrid"/>
        <w:tblW w:w="0" w:type="auto"/>
        <w:tblLayout w:type="fixed"/>
        <w:tblLook w:val="04A0" w:firstRow="1" w:lastRow="0" w:firstColumn="1" w:lastColumn="0" w:noHBand="0" w:noVBand="1"/>
      </w:tblPr>
      <w:tblGrid>
        <w:gridCol w:w="675"/>
        <w:gridCol w:w="1700"/>
        <w:gridCol w:w="1702"/>
        <w:gridCol w:w="1276"/>
        <w:gridCol w:w="2126"/>
        <w:gridCol w:w="1276"/>
        <w:gridCol w:w="2268"/>
        <w:gridCol w:w="3593"/>
      </w:tblGrid>
      <w:tr w:rsidR="00A27D1C" w:rsidRPr="00CF62F7" w14:paraId="7739C287" w14:textId="77777777" w:rsidTr="004D13C2">
        <w:tc>
          <w:tcPr>
            <w:tcW w:w="675" w:type="dxa"/>
          </w:tcPr>
          <w:p w14:paraId="686EB4BA" w14:textId="77777777" w:rsidR="00A27D1C" w:rsidRPr="00CF62F7" w:rsidRDefault="00A27D1C" w:rsidP="004D13C2">
            <w:pPr>
              <w:jc w:val="center"/>
              <w:rPr>
                <w:rFonts w:ascii="Times New Roman" w:eastAsia="Times New Roman" w:hAnsi="Times New Roman" w:cs="Times New Roman"/>
                <w:b/>
                <w:bCs/>
                <w:lang w:eastAsia="en-PH"/>
              </w:rPr>
            </w:pPr>
          </w:p>
          <w:p w14:paraId="7A183695" w14:textId="77777777" w:rsidR="00A27D1C" w:rsidRPr="00CF62F7" w:rsidRDefault="00A27D1C" w:rsidP="004D13C2">
            <w:pPr>
              <w:jc w:val="center"/>
              <w:rPr>
                <w:rFonts w:ascii="Times New Roman" w:eastAsia="Times New Roman" w:hAnsi="Times New Roman" w:cs="Times New Roman"/>
                <w:b/>
                <w:bCs/>
                <w:lang w:eastAsia="en-PH"/>
              </w:rPr>
            </w:pPr>
          </w:p>
          <w:p w14:paraId="0DF2EB5E" w14:textId="77777777" w:rsidR="00A27D1C" w:rsidRPr="00CF62F7" w:rsidRDefault="00A27D1C" w:rsidP="004D13C2">
            <w:pPr>
              <w:rPr>
                <w:rFonts w:ascii="Times New Roman" w:eastAsia="Times New Roman" w:hAnsi="Times New Roman" w:cs="Times New Roman"/>
                <w:b/>
                <w:bCs/>
                <w:lang w:eastAsia="en-PH"/>
              </w:rPr>
            </w:pPr>
            <w:r>
              <w:rPr>
                <w:rFonts w:ascii="Times New Roman" w:eastAsia="Times New Roman" w:hAnsi="Times New Roman" w:cs="Times New Roman"/>
                <w:b/>
                <w:bCs/>
                <w:lang w:eastAsia="en-PH"/>
              </w:rPr>
              <w:t>N</w:t>
            </w:r>
            <w:r w:rsidRPr="00CF62F7">
              <w:rPr>
                <w:rFonts w:ascii="Times New Roman" w:eastAsia="Times New Roman" w:hAnsi="Times New Roman" w:cs="Times New Roman"/>
                <w:b/>
                <w:bCs/>
                <w:lang w:eastAsia="en-PH"/>
              </w:rPr>
              <w:t>O</w:t>
            </w:r>
          </w:p>
        </w:tc>
        <w:tc>
          <w:tcPr>
            <w:tcW w:w="1700" w:type="dxa"/>
            <w:hideMark/>
          </w:tcPr>
          <w:p w14:paraId="3B3C24BB"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Authors, Year, Country</w:t>
            </w:r>
          </w:p>
        </w:tc>
        <w:tc>
          <w:tcPr>
            <w:tcW w:w="1702" w:type="dxa"/>
            <w:hideMark/>
          </w:tcPr>
          <w:p w14:paraId="0D59DA86"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Design</w:t>
            </w:r>
          </w:p>
        </w:tc>
        <w:tc>
          <w:tcPr>
            <w:tcW w:w="1276" w:type="dxa"/>
            <w:hideMark/>
          </w:tcPr>
          <w:p w14:paraId="4B21102F"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Setting</w:t>
            </w:r>
          </w:p>
        </w:tc>
        <w:tc>
          <w:tcPr>
            <w:tcW w:w="2126" w:type="dxa"/>
            <w:hideMark/>
          </w:tcPr>
          <w:p w14:paraId="4E76BC2E"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Intervention / Model</w:t>
            </w:r>
          </w:p>
        </w:tc>
        <w:tc>
          <w:tcPr>
            <w:tcW w:w="1276" w:type="dxa"/>
            <w:hideMark/>
          </w:tcPr>
          <w:p w14:paraId="3C1E1A23"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Duration</w:t>
            </w:r>
          </w:p>
        </w:tc>
        <w:tc>
          <w:tcPr>
            <w:tcW w:w="2268" w:type="dxa"/>
            <w:hideMark/>
          </w:tcPr>
          <w:p w14:paraId="69DD79FE"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Results</w:t>
            </w:r>
          </w:p>
        </w:tc>
        <w:tc>
          <w:tcPr>
            <w:tcW w:w="3593" w:type="dxa"/>
            <w:hideMark/>
          </w:tcPr>
          <w:p w14:paraId="709DF7D6" w14:textId="77777777" w:rsidR="00A27D1C" w:rsidRPr="00294E92" w:rsidRDefault="00A27D1C" w:rsidP="004D13C2">
            <w:pPr>
              <w:jc w:val="center"/>
              <w:rPr>
                <w:rFonts w:ascii="Times New Roman" w:eastAsia="Times New Roman" w:hAnsi="Times New Roman" w:cs="Times New Roman"/>
                <w:b/>
                <w:bCs/>
                <w:lang w:eastAsia="en-PH"/>
              </w:rPr>
            </w:pPr>
            <w:r w:rsidRPr="00294E92">
              <w:rPr>
                <w:rFonts w:ascii="Times New Roman" w:eastAsia="Times New Roman" w:hAnsi="Times New Roman" w:cs="Times New Roman"/>
                <w:b/>
                <w:bCs/>
                <w:lang w:eastAsia="en-PH"/>
              </w:rPr>
              <w:t>Components of Outcome</w:t>
            </w:r>
          </w:p>
        </w:tc>
      </w:tr>
      <w:tr w:rsidR="00A27D1C" w:rsidRPr="00CF62F7" w14:paraId="161B4C56" w14:textId="77777777" w:rsidTr="004D13C2">
        <w:tc>
          <w:tcPr>
            <w:tcW w:w="675" w:type="dxa"/>
          </w:tcPr>
          <w:p w14:paraId="7DE8A38F" w14:textId="77777777" w:rsidR="00A27D1C" w:rsidRPr="00CF62F7" w:rsidRDefault="00A27D1C" w:rsidP="004D13C2">
            <w:pPr>
              <w:rPr>
                <w:rFonts w:ascii="Times New Roman" w:eastAsia="Times New Roman" w:hAnsi="Times New Roman" w:cs="Times New Roman"/>
                <w:bCs/>
                <w:lang w:eastAsia="en-PH"/>
              </w:rPr>
            </w:pPr>
          </w:p>
          <w:p w14:paraId="60D7A227" w14:textId="77777777" w:rsidR="00A27D1C" w:rsidRPr="00CF62F7" w:rsidRDefault="00A27D1C" w:rsidP="004D13C2">
            <w:pPr>
              <w:rPr>
                <w:rFonts w:ascii="Times New Roman" w:eastAsia="Times New Roman" w:hAnsi="Times New Roman" w:cs="Times New Roman"/>
                <w:bCs/>
                <w:lang w:eastAsia="en-PH"/>
              </w:rPr>
            </w:pPr>
          </w:p>
          <w:p w14:paraId="4B74A016" w14:textId="77777777" w:rsidR="00A27D1C" w:rsidRPr="00CF62F7" w:rsidRDefault="00A27D1C" w:rsidP="004D13C2">
            <w:pPr>
              <w:rPr>
                <w:rFonts w:ascii="Times New Roman" w:eastAsia="Times New Roman" w:hAnsi="Times New Roman" w:cs="Times New Roman"/>
                <w:bCs/>
                <w:lang w:eastAsia="en-PH"/>
              </w:rPr>
            </w:pPr>
          </w:p>
          <w:p w14:paraId="542E57BD" w14:textId="77777777" w:rsidR="00A27D1C" w:rsidRPr="00CF62F7" w:rsidRDefault="00A27D1C" w:rsidP="004D13C2">
            <w:pPr>
              <w:rPr>
                <w:rFonts w:ascii="Times New Roman" w:eastAsia="Times New Roman" w:hAnsi="Times New Roman" w:cs="Times New Roman"/>
                <w:bCs/>
                <w:lang w:eastAsia="en-PH"/>
              </w:rPr>
            </w:pPr>
          </w:p>
          <w:p w14:paraId="10E8CF25" w14:textId="77777777" w:rsidR="00A27D1C" w:rsidRPr="00CF62F7" w:rsidRDefault="00A27D1C" w:rsidP="004D13C2">
            <w:pPr>
              <w:rPr>
                <w:rFonts w:ascii="Times New Roman" w:eastAsia="Times New Roman" w:hAnsi="Times New Roman" w:cs="Times New Roman"/>
                <w:bCs/>
                <w:lang w:eastAsia="en-PH"/>
              </w:rPr>
            </w:pPr>
          </w:p>
          <w:p w14:paraId="4E5F7DFB"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w:t>
            </w:r>
          </w:p>
        </w:tc>
        <w:tc>
          <w:tcPr>
            <w:tcW w:w="1700" w:type="dxa"/>
            <w:hideMark/>
          </w:tcPr>
          <w:p w14:paraId="4070E139"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Gaies et al. (N/A, multi-country oil-exporting developing countries)</w:t>
            </w:r>
          </w:p>
        </w:tc>
        <w:tc>
          <w:tcPr>
            <w:tcW w:w="1702" w:type="dxa"/>
            <w:hideMark/>
          </w:tcPr>
          <w:p w14:paraId="457D15C8" w14:textId="77777777" w:rsidR="00A27D1C" w:rsidRPr="00CF62F7" w:rsidRDefault="00A27D1C" w:rsidP="004D13C2">
            <w:pPr>
              <w:rPr>
                <w:rFonts w:ascii="Times New Roman" w:eastAsia="Times New Roman" w:hAnsi="Times New Roman" w:cs="Times New Roman"/>
                <w:lang w:eastAsia="en-PH"/>
              </w:rPr>
            </w:pPr>
          </w:p>
          <w:p w14:paraId="6AB97DD5" w14:textId="77777777" w:rsidR="00A27D1C" w:rsidRPr="00CF62F7" w:rsidRDefault="00A27D1C" w:rsidP="004D13C2">
            <w:pPr>
              <w:rPr>
                <w:rFonts w:ascii="Times New Roman" w:eastAsia="Times New Roman" w:hAnsi="Times New Roman" w:cs="Times New Roman"/>
                <w:lang w:eastAsia="en-PH"/>
              </w:rPr>
            </w:pPr>
          </w:p>
          <w:p w14:paraId="691D4EF6" w14:textId="77777777" w:rsidR="00A27D1C" w:rsidRPr="00CF62F7" w:rsidRDefault="00A27D1C" w:rsidP="004D13C2">
            <w:pPr>
              <w:rPr>
                <w:rFonts w:ascii="Times New Roman" w:eastAsia="Times New Roman" w:hAnsi="Times New Roman" w:cs="Times New Roman"/>
                <w:lang w:eastAsia="en-PH"/>
              </w:rPr>
            </w:pPr>
          </w:p>
          <w:p w14:paraId="246B1381"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(panel, logistic models)</w:t>
            </w:r>
          </w:p>
        </w:tc>
        <w:tc>
          <w:tcPr>
            <w:tcW w:w="1276" w:type="dxa"/>
            <w:hideMark/>
          </w:tcPr>
          <w:p w14:paraId="3AD7F110" w14:textId="77777777" w:rsidR="00A27D1C" w:rsidRPr="00CF62F7" w:rsidRDefault="00A27D1C" w:rsidP="004D13C2">
            <w:pPr>
              <w:rPr>
                <w:rFonts w:ascii="Times New Roman" w:eastAsia="Times New Roman" w:hAnsi="Times New Roman" w:cs="Times New Roman"/>
                <w:lang w:eastAsia="en-PH"/>
              </w:rPr>
            </w:pPr>
          </w:p>
          <w:p w14:paraId="0947CB4E" w14:textId="77777777" w:rsidR="00A27D1C" w:rsidRPr="00CF62F7" w:rsidRDefault="00A27D1C" w:rsidP="004D13C2">
            <w:pPr>
              <w:rPr>
                <w:rFonts w:ascii="Times New Roman" w:eastAsia="Times New Roman" w:hAnsi="Times New Roman" w:cs="Times New Roman"/>
                <w:lang w:eastAsia="en-PH"/>
              </w:rPr>
            </w:pPr>
          </w:p>
          <w:p w14:paraId="224F36AB"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35 oil-exporting developing countries</w:t>
            </w:r>
          </w:p>
        </w:tc>
        <w:tc>
          <w:tcPr>
            <w:tcW w:w="2126" w:type="dxa"/>
            <w:hideMark/>
          </w:tcPr>
          <w:p w14:paraId="53F114F6" w14:textId="77777777" w:rsidR="00A27D1C" w:rsidRPr="00CF62F7" w:rsidRDefault="00A27D1C" w:rsidP="004D13C2">
            <w:pPr>
              <w:rPr>
                <w:rFonts w:ascii="Times New Roman" w:eastAsia="Times New Roman" w:hAnsi="Times New Roman" w:cs="Times New Roman"/>
                <w:lang w:eastAsia="en-PH"/>
              </w:rPr>
            </w:pPr>
          </w:p>
          <w:p w14:paraId="62BE0F36" w14:textId="77777777" w:rsidR="00A27D1C" w:rsidRDefault="00A27D1C" w:rsidP="004D13C2">
            <w:pPr>
              <w:rPr>
                <w:rFonts w:ascii="Times New Roman" w:eastAsia="Times New Roman" w:hAnsi="Times New Roman" w:cs="Times New Roman"/>
                <w:lang w:eastAsia="en-PH"/>
              </w:rPr>
            </w:pPr>
          </w:p>
          <w:p w14:paraId="305A6F6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Random-effects, fixed-effects, population-averaged logit models</w:t>
            </w:r>
          </w:p>
        </w:tc>
        <w:tc>
          <w:tcPr>
            <w:tcW w:w="1276" w:type="dxa"/>
            <w:hideMark/>
          </w:tcPr>
          <w:p w14:paraId="18705B4C" w14:textId="77777777" w:rsidR="00A27D1C" w:rsidRPr="00CF62F7" w:rsidRDefault="00A27D1C" w:rsidP="004D13C2">
            <w:pPr>
              <w:rPr>
                <w:rFonts w:ascii="Times New Roman" w:eastAsia="Times New Roman" w:hAnsi="Times New Roman" w:cs="Times New Roman"/>
                <w:lang w:eastAsia="en-PH"/>
              </w:rPr>
            </w:pPr>
          </w:p>
          <w:p w14:paraId="296B31C7" w14:textId="77777777" w:rsidR="00A27D1C" w:rsidRPr="00CF62F7" w:rsidRDefault="00A27D1C" w:rsidP="004D13C2">
            <w:pPr>
              <w:rPr>
                <w:rFonts w:ascii="Times New Roman" w:eastAsia="Times New Roman" w:hAnsi="Times New Roman" w:cs="Times New Roman"/>
                <w:lang w:eastAsia="en-PH"/>
              </w:rPr>
            </w:pPr>
          </w:p>
          <w:p w14:paraId="1061577E" w14:textId="77777777" w:rsidR="00A27D1C" w:rsidRPr="00CF62F7" w:rsidRDefault="00A27D1C" w:rsidP="004D13C2">
            <w:pPr>
              <w:rPr>
                <w:rFonts w:ascii="Times New Roman" w:eastAsia="Times New Roman" w:hAnsi="Times New Roman" w:cs="Times New Roman"/>
                <w:lang w:eastAsia="en-PH"/>
              </w:rPr>
            </w:pPr>
          </w:p>
          <w:p w14:paraId="01663918" w14:textId="77777777" w:rsidR="00A27D1C" w:rsidRPr="00CF62F7" w:rsidRDefault="00A27D1C" w:rsidP="004D13C2">
            <w:pPr>
              <w:rPr>
                <w:rFonts w:ascii="Times New Roman" w:eastAsia="Times New Roman" w:hAnsi="Times New Roman" w:cs="Times New Roman"/>
                <w:lang w:eastAsia="en-PH"/>
              </w:rPr>
            </w:pPr>
          </w:p>
          <w:p w14:paraId="49A909A9" w14:textId="77777777" w:rsidR="00A27D1C" w:rsidRDefault="00A27D1C" w:rsidP="004D13C2">
            <w:pPr>
              <w:rPr>
                <w:rFonts w:ascii="Times New Roman" w:eastAsia="Times New Roman" w:hAnsi="Times New Roman" w:cs="Times New Roman"/>
                <w:lang w:eastAsia="en-PH"/>
              </w:rPr>
            </w:pPr>
          </w:p>
          <w:p w14:paraId="74E47E3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1987–2011</w:t>
            </w:r>
          </w:p>
        </w:tc>
        <w:tc>
          <w:tcPr>
            <w:tcW w:w="2268" w:type="dxa"/>
            <w:hideMark/>
          </w:tcPr>
          <w:p w14:paraId="7CCB303D" w14:textId="77777777" w:rsidR="00A27D1C" w:rsidRPr="00CF62F7" w:rsidRDefault="00A27D1C" w:rsidP="004D13C2">
            <w:pPr>
              <w:rPr>
                <w:rFonts w:ascii="Times New Roman" w:eastAsia="Times New Roman" w:hAnsi="Times New Roman" w:cs="Times New Roman"/>
                <w:lang w:eastAsia="en-PH"/>
              </w:rPr>
            </w:pPr>
          </w:p>
          <w:p w14:paraId="1A0684C8" w14:textId="77777777" w:rsidR="00A27D1C" w:rsidRPr="00CF62F7" w:rsidRDefault="00A27D1C" w:rsidP="004D13C2">
            <w:pPr>
              <w:rPr>
                <w:rFonts w:ascii="Times New Roman" w:eastAsia="Times New Roman" w:hAnsi="Times New Roman" w:cs="Times New Roman"/>
                <w:lang w:eastAsia="en-PH"/>
              </w:rPr>
            </w:pPr>
          </w:p>
          <w:p w14:paraId="0720A06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 increase improves financial stability and reduces banking crises</w:t>
            </w:r>
          </w:p>
        </w:tc>
        <w:tc>
          <w:tcPr>
            <w:tcW w:w="3593" w:type="dxa"/>
            <w:hideMark/>
          </w:tcPr>
          <w:p w14:paraId="09B78982" w14:textId="77777777" w:rsidR="00A27D1C" w:rsidRPr="00CF62F7" w:rsidRDefault="00A27D1C" w:rsidP="004D13C2">
            <w:pPr>
              <w:rPr>
                <w:rFonts w:ascii="Times New Roman" w:eastAsia="Times New Roman" w:hAnsi="Times New Roman" w:cs="Times New Roman"/>
                <w:lang w:eastAsia="en-PH"/>
              </w:rPr>
            </w:pPr>
          </w:p>
          <w:p w14:paraId="61230921" w14:textId="77777777" w:rsidR="00A27D1C" w:rsidRPr="00CF62F7" w:rsidRDefault="00A27D1C" w:rsidP="004D13C2">
            <w:pPr>
              <w:rPr>
                <w:rFonts w:ascii="Times New Roman" w:eastAsia="Times New Roman" w:hAnsi="Times New Roman" w:cs="Times New Roman"/>
                <w:lang w:eastAsia="en-PH"/>
              </w:rPr>
            </w:pPr>
          </w:p>
          <w:p w14:paraId="18222D14" w14:textId="77777777" w:rsidR="00A27D1C" w:rsidRDefault="00A27D1C" w:rsidP="004D13C2">
            <w:pPr>
              <w:rPr>
                <w:rFonts w:ascii="Times New Roman" w:eastAsia="Times New Roman" w:hAnsi="Times New Roman" w:cs="Times New Roman"/>
                <w:lang w:eastAsia="en-PH"/>
              </w:rPr>
            </w:pPr>
          </w:p>
          <w:p w14:paraId="722815EE" w14:textId="77777777" w:rsidR="00A27D1C" w:rsidRDefault="00A27D1C" w:rsidP="004D13C2">
            <w:pPr>
              <w:rPr>
                <w:rFonts w:ascii="Times New Roman" w:eastAsia="Times New Roman" w:hAnsi="Times New Roman" w:cs="Times New Roman"/>
                <w:lang w:eastAsia="en-PH"/>
              </w:rPr>
            </w:pPr>
          </w:p>
          <w:p w14:paraId="06DE381C"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Financial stability, banking fragility, systemic crisis likelihood</w:t>
            </w:r>
          </w:p>
        </w:tc>
      </w:tr>
      <w:tr w:rsidR="00A27D1C" w:rsidRPr="00CF62F7" w14:paraId="443EADE8" w14:textId="77777777" w:rsidTr="004D13C2">
        <w:tc>
          <w:tcPr>
            <w:tcW w:w="675" w:type="dxa"/>
          </w:tcPr>
          <w:p w14:paraId="304C41A1" w14:textId="77777777" w:rsidR="00A27D1C" w:rsidRPr="00CF62F7" w:rsidRDefault="00A27D1C" w:rsidP="004D13C2">
            <w:pPr>
              <w:rPr>
                <w:rFonts w:ascii="Times New Roman" w:eastAsia="Times New Roman" w:hAnsi="Times New Roman" w:cs="Times New Roman"/>
                <w:bCs/>
                <w:lang w:eastAsia="en-PH"/>
              </w:rPr>
            </w:pPr>
          </w:p>
          <w:p w14:paraId="787E94C7" w14:textId="77777777" w:rsidR="00A27D1C" w:rsidRPr="00CF62F7" w:rsidRDefault="00A27D1C" w:rsidP="004D13C2">
            <w:pPr>
              <w:rPr>
                <w:rFonts w:ascii="Times New Roman" w:eastAsia="Times New Roman" w:hAnsi="Times New Roman" w:cs="Times New Roman"/>
                <w:bCs/>
                <w:lang w:eastAsia="en-PH"/>
              </w:rPr>
            </w:pPr>
          </w:p>
          <w:p w14:paraId="2B1E8796" w14:textId="77777777" w:rsidR="00A27D1C" w:rsidRPr="00CF62F7" w:rsidRDefault="00A27D1C" w:rsidP="004D13C2">
            <w:pPr>
              <w:rPr>
                <w:rFonts w:ascii="Times New Roman" w:eastAsia="Times New Roman" w:hAnsi="Times New Roman" w:cs="Times New Roman"/>
                <w:bCs/>
                <w:lang w:eastAsia="en-PH"/>
              </w:rPr>
            </w:pPr>
          </w:p>
          <w:p w14:paraId="4D44518B"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2.</w:t>
            </w:r>
          </w:p>
        </w:tc>
        <w:tc>
          <w:tcPr>
            <w:tcW w:w="1700" w:type="dxa"/>
            <w:hideMark/>
          </w:tcPr>
          <w:p w14:paraId="50F92959" w14:textId="77777777" w:rsidR="00A27D1C" w:rsidRDefault="00A27D1C" w:rsidP="004D13C2">
            <w:pPr>
              <w:rPr>
                <w:rFonts w:ascii="Times New Roman" w:eastAsia="Times New Roman" w:hAnsi="Times New Roman" w:cs="Times New Roman"/>
                <w:bCs/>
                <w:lang w:eastAsia="en-PH"/>
              </w:rPr>
            </w:pPr>
          </w:p>
          <w:p w14:paraId="01B40BBC"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Elsherif (2024, OAPEC countries)</w:t>
            </w:r>
          </w:p>
        </w:tc>
        <w:tc>
          <w:tcPr>
            <w:tcW w:w="1702" w:type="dxa"/>
            <w:hideMark/>
          </w:tcPr>
          <w:p w14:paraId="7332DAF3" w14:textId="77777777" w:rsidR="00A27D1C" w:rsidRDefault="00A27D1C" w:rsidP="004D13C2">
            <w:pPr>
              <w:rPr>
                <w:rFonts w:ascii="Times New Roman" w:eastAsia="Times New Roman" w:hAnsi="Times New Roman" w:cs="Times New Roman"/>
                <w:lang w:eastAsia="en-PH"/>
              </w:rPr>
            </w:pPr>
          </w:p>
          <w:p w14:paraId="01068A3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(time-series econometrics)</w:t>
            </w:r>
          </w:p>
        </w:tc>
        <w:tc>
          <w:tcPr>
            <w:tcW w:w="1276" w:type="dxa"/>
            <w:hideMark/>
          </w:tcPr>
          <w:p w14:paraId="72F0A2E9" w14:textId="77777777" w:rsidR="00A27D1C" w:rsidRDefault="00A27D1C" w:rsidP="004D13C2">
            <w:pPr>
              <w:rPr>
                <w:rFonts w:ascii="Times New Roman" w:eastAsia="Times New Roman" w:hAnsi="Times New Roman" w:cs="Times New Roman"/>
                <w:lang w:eastAsia="en-PH"/>
              </w:rPr>
            </w:pPr>
          </w:p>
          <w:p w14:paraId="14A6C36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OAPEC member states</w:t>
            </w:r>
          </w:p>
        </w:tc>
        <w:tc>
          <w:tcPr>
            <w:tcW w:w="2126" w:type="dxa"/>
            <w:hideMark/>
          </w:tcPr>
          <w:p w14:paraId="5CA3F880" w14:textId="77777777" w:rsidR="00A27D1C" w:rsidRDefault="00A27D1C" w:rsidP="004D13C2">
            <w:pPr>
              <w:rPr>
                <w:rFonts w:ascii="Times New Roman" w:eastAsia="Times New Roman" w:hAnsi="Times New Roman" w:cs="Times New Roman"/>
                <w:lang w:eastAsia="en-PH"/>
              </w:rPr>
            </w:pPr>
          </w:p>
          <w:p w14:paraId="1981206B"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TVP-VAR + MCMC + Impulse Response Function</w:t>
            </w:r>
          </w:p>
        </w:tc>
        <w:tc>
          <w:tcPr>
            <w:tcW w:w="1276" w:type="dxa"/>
            <w:hideMark/>
          </w:tcPr>
          <w:p w14:paraId="09C55B27" w14:textId="77777777" w:rsidR="00A27D1C" w:rsidRPr="00CF62F7" w:rsidRDefault="00A27D1C" w:rsidP="004D13C2">
            <w:pPr>
              <w:rPr>
                <w:rFonts w:ascii="Times New Roman" w:eastAsia="Times New Roman" w:hAnsi="Times New Roman" w:cs="Times New Roman"/>
                <w:lang w:eastAsia="en-PH"/>
              </w:rPr>
            </w:pPr>
          </w:p>
          <w:p w14:paraId="73469612" w14:textId="77777777" w:rsidR="00A27D1C" w:rsidRDefault="00A27D1C" w:rsidP="004D13C2">
            <w:pPr>
              <w:rPr>
                <w:rFonts w:ascii="Times New Roman" w:eastAsia="Times New Roman" w:hAnsi="Times New Roman" w:cs="Times New Roman"/>
                <w:lang w:eastAsia="en-PH"/>
              </w:rPr>
            </w:pPr>
          </w:p>
          <w:p w14:paraId="75F82580" w14:textId="77777777" w:rsidR="00A27D1C" w:rsidRDefault="00A27D1C" w:rsidP="004D13C2">
            <w:pPr>
              <w:rPr>
                <w:rFonts w:ascii="Times New Roman" w:eastAsia="Times New Roman" w:hAnsi="Times New Roman" w:cs="Times New Roman"/>
                <w:lang w:eastAsia="en-PH"/>
              </w:rPr>
            </w:pPr>
          </w:p>
          <w:p w14:paraId="4BC38E2B"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lang w:eastAsia="en-PH"/>
              </w:rPr>
              <w:t>1990–2022</w:t>
            </w:r>
          </w:p>
        </w:tc>
        <w:tc>
          <w:tcPr>
            <w:tcW w:w="2268" w:type="dxa"/>
            <w:hideMark/>
          </w:tcPr>
          <w:p w14:paraId="2831EC6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 shocks increase inflation (heterogeneous effects)</w:t>
            </w:r>
          </w:p>
        </w:tc>
        <w:tc>
          <w:tcPr>
            <w:tcW w:w="3593" w:type="dxa"/>
            <w:hideMark/>
          </w:tcPr>
          <w:p w14:paraId="1E46EAA9" w14:textId="77777777" w:rsidR="00A27D1C" w:rsidRPr="00CF62F7" w:rsidRDefault="00A27D1C" w:rsidP="004D13C2">
            <w:pPr>
              <w:rPr>
                <w:rFonts w:ascii="Times New Roman" w:eastAsia="Times New Roman" w:hAnsi="Times New Roman" w:cs="Times New Roman"/>
                <w:lang w:eastAsia="en-PH"/>
              </w:rPr>
            </w:pPr>
          </w:p>
          <w:p w14:paraId="21A51490" w14:textId="77777777" w:rsidR="00A27D1C" w:rsidRDefault="00A27D1C" w:rsidP="004D13C2">
            <w:pPr>
              <w:rPr>
                <w:rFonts w:ascii="Times New Roman" w:eastAsia="Times New Roman" w:hAnsi="Times New Roman" w:cs="Times New Roman"/>
                <w:lang w:eastAsia="en-PH"/>
              </w:rPr>
            </w:pPr>
          </w:p>
          <w:p w14:paraId="5512908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Inflation dynamics, policy response, exchange rate, openness</w:t>
            </w:r>
          </w:p>
        </w:tc>
      </w:tr>
      <w:tr w:rsidR="00A27D1C" w:rsidRPr="00CF62F7" w14:paraId="492C64CA" w14:textId="77777777" w:rsidTr="004D13C2">
        <w:tc>
          <w:tcPr>
            <w:tcW w:w="675" w:type="dxa"/>
          </w:tcPr>
          <w:p w14:paraId="33A27F97" w14:textId="77777777" w:rsidR="00A27D1C" w:rsidRPr="00CF62F7" w:rsidRDefault="00A27D1C" w:rsidP="004D13C2">
            <w:pPr>
              <w:rPr>
                <w:rFonts w:ascii="Times New Roman" w:eastAsia="Times New Roman" w:hAnsi="Times New Roman" w:cs="Times New Roman"/>
                <w:bCs/>
                <w:lang w:eastAsia="en-PH"/>
              </w:rPr>
            </w:pPr>
          </w:p>
          <w:p w14:paraId="7C058351" w14:textId="77777777" w:rsidR="00A27D1C" w:rsidRPr="00CF62F7" w:rsidRDefault="00A27D1C" w:rsidP="004D13C2">
            <w:pPr>
              <w:rPr>
                <w:rFonts w:ascii="Times New Roman" w:eastAsia="Times New Roman" w:hAnsi="Times New Roman" w:cs="Times New Roman"/>
                <w:bCs/>
                <w:lang w:eastAsia="en-PH"/>
              </w:rPr>
            </w:pPr>
          </w:p>
          <w:p w14:paraId="7A8BB4DB"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3.</w:t>
            </w:r>
          </w:p>
        </w:tc>
        <w:tc>
          <w:tcPr>
            <w:tcW w:w="1700" w:type="dxa"/>
            <w:hideMark/>
          </w:tcPr>
          <w:p w14:paraId="5CA62E44" w14:textId="77777777" w:rsidR="00A27D1C" w:rsidRPr="00CF62F7" w:rsidRDefault="00A27D1C" w:rsidP="004D13C2">
            <w:pPr>
              <w:rPr>
                <w:rFonts w:ascii="Times New Roman" w:eastAsia="Times New Roman" w:hAnsi="Times New Roman" w:cs="Times New Roman"/>
                <w:bCs/>
                <w:lang w:eastAsia="en-PH"/>
              </w:rPr>
            </w:pPr>
          </w:p>
          <w:p w14:paraId="6E49D884"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Adekunle (2025, Nigeria)</w:t>
            </w:r>
          </w:p>
        </w:tc>
        <w:tc>
          <w:tcPr>
            <w:tcW w:w="1702" w:type="dxa"/>
            <w:hideMark/>
          </w:tcPr>
          <w:p w14:paraId="22043CC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(ARDL, Toda-Yamamoto)</w:t>
            </w:r>
          </w:p>
        </w:tc>
        <w:tc>
          <w:tcPr>
            <w:tcW w:w="1276" w:type="dxa"/>
            <w:hideMark/>
          </w:tcPr>
          <w:p w14:paraId="179CB62D" w14:textId="77777777" w:rsidR="00A27D1C" w:rsidRPr="00CF62F7" w:rsidRDefault="00A27D1C" w:rsidP="004D13C2">
            <w:pPr>
              <w:rPr>
                <w:rFonts w:ascii="Times New Roman" w:eastAsia="Times New Roman" w:hAnsi="Times New Roman" w:cs="Times New Roman"/>
                <w:lang w:eastAsia="en-PH"/>
              </w:rPr>
            </w:pPr>
          </w:p>
          <w:p w14:paraId="720596F0" w14:textId="77777777" w:rsidR="00A27D1C" w:rsidRPr="00CF62F7" w:rsidRDefault="00A27D1C" w:rsidP="004D13C2">
            <w:pPr>
              <w:rPr>
                <w:rFonts w:ascii="Times New Roman" w:eastAsia="Times New Roman" w:hAnsi="Times New Roman" w:cs="Times New Roman"/>
                <w:lang w:eastAsia="en-PH"/>
              </w:rPr>
            </w:pPr>
          </w:p>
          <w:p w14:paraId="5B7C770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Nigeria</w:t>
            </w:r>
          </w:p>
        </w:tc>
        <w:tc>
          <w:tcPr>
            <w:tcW w:w="2126" w:type="dxa"/>
            <w:hideMark/>
          </w:tcPr>
          <w:p w14:paraId="50EF8C3B" w14:textId="77777777" w:rsidR="00A27D1C" w:rsidRPr="00CF62F7" w:rsidRDefault="00A27D1C" w:rsidP="004D13C2">
            <w:pPr>
              <w:rPr>
                <w:rFonts w:ascii="Times New Roman" w:eastAsia="Times New Roman" w:hAnsi="Times New Roman" w:cs="Times New Roman"/>
                <w:lang w:eastAsia="en-PH"/>
              </w:rPr>
            </w:pPr>
          </w:p>
          <w:p w14:paraId="10E385DC"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ARDL &amp; causality analysis</w:t>
            </w:r>
          </w:p>
        </w:tc>
        <w:tc>
          <w:tcPr>
            <w:tcW w:w="1276" w:type="dxa"/>
            <w:hideMark/>
          </w:tcPr>
          <w:p w14:paraId="0392F4E9" w14:textId="77777777" w:rsidR="00A27D1C" w:rsidRDefault="00A27D1C" w:rsidP="004D13C2">
            <w:pPr>
              <w:rPr>
                <w:rFonts w:ascii="Times New Roman" w:eastAsia="Times New Roman" w:hAnsi="Times New Roman" w:cs="Times New Roman"/>
                <w:lang w:eastAsia="en-PH"/>
              </w:rPr>
            </w:pPr>
          </w:p>
          <w:p w14:paraId="37CA33A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Not specified</w:t>
            </w:r>
          </w:p>
        </w:tc>
        <w:tc>
          <w:tcPr>
            <w:tcW w:w="2268" w:type="dxa"/>
            <w:hideMark/>
          </w:tcPr>
          <w:p w14:paraId="632CA9E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Exports increase growth; imports reduce growth</w:t>
            </w:r>
          </w:p>
        </w:tc>
        <w:tc>
          <w:tcPr>
            <w:tcW w:w="3593" w:type="dxa"/>
            <w:hideMark/>
          </w:tcPr>
          <w:p w14:paraId="437E8551" w14:textId="77777777" w:rsidR="00A27D1C" w:rsidRDefault="00A27D1C" w:rsidP="004D13C2">
            <w:pPr>
              <w:rPr>
                <w:rFonts w:ascii="Times New Roman" w:eastAsia="Times New Roman" w:hAnsi="Times New Roman" w:cs="Times New Roman"/>
                <w:lang w:eastAsia="en-PH"/>
              </w:rPr>
            </w:pPr>
          </w:p>
          <w:p w14:paraId="67CD471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Economic growth, trade components, causality</w:t>
            </w:r>
          </w:p>
        </w:tc>
      </w:tr>
      <w:tr w:rsidR="00A27D1C" w:rsidRPr="00CF62F7" w14:paraId="7B3D39E7" w14:textId="77777777" w:rsidTr="004D13C2">
        <w:tc>
          <w:tcPr>
            <w:tcW w:w="675" w:type="dxa"/>
          </w:tcPr>
          <w:p w14:paraId="47237EC3" w14:textId="77777777" w:rsidR="00A27D1C" w:rsidRPr="00CF62F7" w:rsidRDefault="00A27D1C" w:rsidP="004D13C2">
            <w:pPr>
              <w:rPr>
                <w:rFonts w:ascii="Times New Roman" w:eastAsia="Times New Roman" w:hAnsi="Times New Roman" w:cs="Times New Roman"/>
                <w:bCs/>
                <w:lang w:eastAsia="en-PH"/>
              </w:rPr>
            </w:pPr>
          </w:p>
          <w:p w14:paraId="37C2CF77" w14:textId="77777777" w:rsidR="00A27D1C" w:rsidRPr="00CF62F7" w:rsidRDefault="00A27D1C" w:rsidP="004D13C2">
            <w:pPr>
              <w:rPr>
                <w:rFonts w:ascii="Times New Roman" w:eastAsia="Times New Roman" w:hAnsi="Times New Roman" w:cs="Times New Roman"/>
                <w:bCs/>
                <w:lang w:eastAsia="en-PH"/>
              </w:rPr>
            </w:pPr>
          </w:p>
          <w:p w14:paraId="479DCCCA"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4.</w:t>
            </w:r>
          </w:p>
        </w:tc>
        <w:tc>
          <w:tcPr>
            <w:tcW w:w="1700" w:type="dxa"/>
            <w:hideMark/>
          </w:tcPr>
          <w:p w14:paraId="0BC642F1" w14:textId="77777777" w:rsidR="00A27D1C" w:rsidRDefault="00A27D1C" w:rsidP="004D13C2">
            <w:pPr>
              <w:rPr>
                <w:rFonts w:ascii="Times New Roman" w:eastAsia="Times New Roman" w:hAnsi="Times New Roman" w:cs="Times New Roman"/>
                <w:bCs/>
                <w:lang w:eastAsia="en-PH"/>
              </w:rPr>
            </w:pPr>
          </w:p>
          <w:p w14:paraId="5002DE0F" w14:textId="77777777" w:rsidR="00A27D1C" w:rsidRDefault="00A27D1C" w:rsidP="004D13C2">
            <w:pPr>
              <w:rPr>
                <w:rFonts w:ascii="Times New Roman" w:eastAsia="Times New Roman" w:hAnsi="Times New Roman" w:cs="Times New Roman"/>
                <w:bCs/>
                <w:lang w:eastAsia="en-PH"/>
              </w:rPr>
            </w:pPr>
          </w:p>
          <w:p w14:paraId="190DBC5E"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Al-Sawaie et al. (2025, Jordan)</w:t>
            </w:r>
          </w:p>
        </w:tc>
        <w:tc>
          <w:tcPr>
            <w:tcW w:w="1702" w:type="dxa"/>
            <w:hideMark/>
          </w:tcPr>
          <w:p w14:paraId="3F003099" w14:textId="77777777" w:rsidR="00A27D1C" w:rsidRDefault="00A27D1C" w:rsidP="004D13C2">
            <w:pPr>
              <w:rPr>
                <w:rFonts w:ascii="Times New Roman" w:eastAsia="Times New Roman" w:hAnsi="Times New Roman" w:cs="Times New Roman"/>
                <w:lang w:eastAsia="en-PH"/>
              </w:rPr>
            </w:pPr>
          </w:p>
          <w:p w14:paraId="05553E3E" w14:textId="77777777" w:rsidR="00A27D1C" w:rsidRDefault="00A27D1C" w:rsidP="004D13C2">
            <w:pPr>
              <w:rPr>
                <w:rFonts w:ascii="Times New Roman" w:eastAsia="Times New Roman" w:hAnsi="Times New Roman" w:cs="Times New Roman"/>
                <w:lang w:eastAsia="en-PH"/>
              </w:rPr>
            </w:pPr>
          </w:p>
          <w:p w14:paraId="3241902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(SVAR)</w:t>
            </w:r>
          </w:p>
        </w:tc>
        <w:tc>
          <w:tcPr>
            <w:tcW w:w="1276" w:type="dxa"/>
            <w:hideMark/>
          </w:tcPr>
          <w:p w14:paraId="184370B9" w14:textId="77777777" w:rsidR="00A27D1C" w:rsidRDefault="00A27D1C" w:rsidP="004D13C2">
            <w:pPr>
              <w:rPr>
                <w:rFonts w:ascii="Times New Roman" w:eastAsia="Times New Roman" w:hAnsi="Times New Roman" w:cs="Times New Roman"/>
                <w:lang w:eastAsia="en-PH"/>
              </w:rPr>
            </w:pPr>
          </w:p>
          <w:p w14:paraId="6E48332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Jordan (oil-importing economy)</w:t>
            </w:r>
          </w:p>
        </w:tc>
        <w:tc>
          <w:tcPr>
            <w:tcW w:w="2126" w:type="dxa"/>
            <w:hideMark/>
          </w:tcPr>
          <w:p w14:paraId="62DF9072" w14:textId="77777777" w:rsidR="00A27D1C" w:rsidRDefault="00A27D1C" w:rsidP="004D13C2">
            <w:pPr>
              <w:rPr>
                <w:rFonts w:ascii="Times New Roman" w:eastAsia="Times New Roman" w:hAnsi="Times New Roman" w:cs="Times New Roman"/>
                <w:lang w:eastAsia="en-PH"/>
              </w:rPr>
            </w:pPr>
          </w:p>
          <w:p w14:paraId="35B55CA0" w14:textId="77777777" w:rsidR="00A27D1C" w:rsidRDefault="00A27D1C" w:rsidP="004D13C2">
            <w:pPr>
              <w:rPr>
                <w:rFonts w:ascii="Times New Roman" w:eastAsia="Times New Roman" w:hAnsi="Times New Roman" w:cs="Times New Roman"/>
                <w:lang w:eastAsia="en-PH"/>
              </w:rPr>
            </w:pPr>
          </w:p>
          <w:p w14:paraId="09AF3F9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Structural VAR + IRF + FEVD</w:t>
            </w:r>
          </w:p>
        </w:tc>
        <w:tc>
          <w:tcPr>
            <w:tcW w:w="1276" w:type="dxa"/>
            <w:hideMark/>
          </w:tcPr>
          <w:p w14:paraId="2327590D" w14:textId="77777777" w:rsidR="00A27D1C" w:rsidRPr="00CF62F7" w:rsidRDefault="00A27D1C" w:rsidP="004D13C2">
            <w:pPr>
              <w:rPr>
                <w:rFonts w:ascii="Times New Roman" w:eastAsia="Times New Roman" w:hAnsi="Times New Roman" w:cs="Times New Roman"/>
                <w:lang w:eastAsia="en-PH"/>
              </w:rPr>
            </w:pPr>
          </w:p>
          <w:p w14:paraId="37900F5B" w14:textId="77777777" w:rsidR="00A27D1C" w:rsidRDefault="00A27D1C" w:rsidP="004D13C2">
            <w:pPr>
              <w:rPr>
                <w:rFonts w:ascii="Times New Roman" w:eastAsia="Times New Roman" w:hAnsi="Times New Roman" w:cs="Times New Roman"/>
                <w:lang w:eastAsia="en-PH"/>
              </w:rPr>
            </w:pPr>
          </w:p>
          <w:p w14:paraId="2CA9E269" w14:textId="77777777" w:rsidR="00A27D1C" w:rsidRDefault="00A27D1C" w:rsidP="004D13C2">
            <w:pPr>
              <w:rPr>
                <w:rFonts w:ascii="Times New Roman" w:eastAsia="Times New Roman" w:hAnsi="Times New Roman" w:cs="Times New Roman"/>
                <w:lang w:eastAsia="en-PH"/>
              </w:rPr>
            </w:pPr>
          </w:p>
          <w:p w14:paraId="0C5FB38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2000–2023</w:t>
            </w:r>
          </w:p>
        </w:tc>
        <w:tc>
          <w:tcPr>
            <w:tcW w:w="2268" w:type="dxa"/>
            <w:hideMark/>
          </w:tcPr>
          <w:p w14:paraId="4E76422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shocks increase inflation &amp; fiscal deficit; reduce GDP growth</w:t>
            </w:r>
          </w:p>
        </w:tc>
        <w:tc>
          <w:tcPr>
            <w:tcW w:w="3593" w:type="dxa"/>
            <w:hideMark/>
          </w:tcPr>
          <w:p w14:paraId="29D43699" w14:textId="77777777" w:rsidR="00A27D1C" w:rsidRDefault="00A27D1C" w:rsidP="004D13C2">
            <w:pPr>
              <w:rPr>
                <w:rFonts w:ascii="Times New Roman" w:eastAsia="Times New Roman" w:hAnsi="Times New Roman" w:cs="Times New Roman"/>
                <w:lang w:eastAsia="en-PH"/>
              </w:rPr>
            </w:pPr>
          </w:p>
          <w:p w14:paraId="4D3F450D" w14:textId="77777777" w:rsidR="00A27D1C" w:rsidRDefault="00A27D1C" w:rsidP="004D13C2">
            <w:pPr>
              <w:rPr>
                <w:rFonts w:ascii="Times New Roman" w:eastAsia="Times New Roman" w:hAnsi="Times New Roman" w:cs="Times New Roman"/>
                <w:lang w:eastAsia="en-PH"/>
              </w:rPr>
            </w:pPr>
          </w:p>
          <w:p w14:paraId="0F48E9C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Inflation, GDP growth, fiscal deficit, exchange rate stability</w:t>
            </w:r>
          </w:p>
        </w:tc>
      </w:tr>
      <w:tr w:rsidR="00A27D1C" w:rsidRPr="00CF62F7" w14:paraId="40597740" w14:textId="77777777" w:rsidTr="004D13C2">
        <w:tc>
          <w:tcPr>
            <w:tcW w:w="675" w:type="dxa"/>
          </w:tcPr>
          <w:p w14:paraId="76E33F1D" w14:textId="77777777" w:rsidR="00A27D1C" w:rsidRPr="00CF62F7" w:rsidRDefault="00A27D1C" w:rsidP="004D13C2">
            <w:pPr>
              <w:rPr>
                <w:rFonts w:ascii="Times New Roman" w:eastAsia="Times New Roman" w:hAnsi="Times New Roman" w:cs="Times New Roman"/>
                <w:bCs/>
                <w:lang w:eastAsia="en-PH"/>
              </w:rPr>
            </w:pPr>
          </w:p>
          <w:p w14:paraId="06F92078" w14:textId="77777777" w:rsidR="00A27D1C" w:rsidRPr="00CF62F7" w:rsidRDefault="00A27D1C" w:rsidP="004D13C2">
            <w:pPr>
              <w:rPr>
                <w:rFonts w:ascii="Times New Roman" w:eastAsia="Times New Roman" w:hAnsi="Times New Roman" w:cs="Times New Roman"/>
                <w:bCs/>
                <w:lang w:eastAsia="en-PH"/>
              </w:rPr>
            </w:pPr>
          </w:p>
          <w:p w14:paraId="1E5F427C"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5.</w:t>
            </w:r>
          </w:p>
        </w:tc>
        <w:tc>
          <w:tcPr>
            <w:tcW w:w="1700" w:type="dxa"/>
            <w:hideMark/>
          </w:tcPr>
          <w:p w14:paraId="47864CF0"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Mgbomene et al. (2025, Nigeria)</w:t>
            </w:r>
          </w:p>
        </w:tc>
        <w:tc>
          <w:tcPr>
            <w:tcW w:w="1702" w:type="dxa"/>
            <w:hideMark/>
          </w:tcPr>
          <w:p w14:paraId="06426E61" w14:textId="77777777" w:rsidR="00A27D1C" w:rsidRPr="00CF62F7" w:rsidRDefault="00A27D1C" w:rsidP="004D13C2">
            <w:pPr>
              <w:rPr>
                <w:rFonts w:ascii="Times New Roman" w:eastAsia="Times New Roman" w:hAnsi="Times New Roman" w:cs="Times New Roman"/>
                <w:lang w:eastAsia="en-PH"/>
              </w:rPr>
            </w:pPr>
          </w:p>
          <w:p w14:paraId="3D9134E3"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(GARCH)</w:t>
            </w:r>
          </w:p>
        </w:tc>
        <w:tc>
          <w:tcPr>
            <w:tcW w:w="1276" w:type="dxa"/>
            <w:hideMark/>
          </w:tcPr>
          <w:p w14:paraId="06A6C468" w14:textId="77777777" w:rsidR="00A27D1C" w:rsidRPr="00CF62F7" w:rsidRDefault="00A27D1C" w:rsidP="004D13C2">
            <w:pPr>
              <w:rPr>
                <w:rFonts w:ascii="Times New Roman" w:eastAsia="Times New Roman" w:hAnsi="Times New Roman" w:cs="Times New Roman"/>
                <w:lang w:eastAsia="en-PH"/>
              </w:rPr>
            </w:pPr>
          </w:p>
          <w:p w14:paraId="46C97863" w14:textId="77777777" w:rsidR="00A27D1C" w:rsidRPr="00CF62F7" w:rsidRDefault="00A27D1C" w:rsidP="004D13C2">
            <w:pPr>
              <w:rPr>
                <w:rFonts w:ascii="Times New Roman" w:eastAsia="Times New Roman" w:hAnsi="Times New Roman" w:cs="Times New Roman"/>
                <w:lang w:eastAsia="en-PH"/>
              </w:rPr>
            </w:pPr>
          </w:p>
          <w:p w14:paraId="3A1C470E"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Nigeria</w:t>
            </w:r>
          </w:p>
        </w:tc>
        <w:tc>
          <w:tcPr>
            <w:tcW w:w="2126" w:type="dxa"/>
            <w:hideMark/>
          </w:tcPr>
          <w:p w14:paraId="69DEBCCC" w14:textId="77777777" w:rsidR="00A27D1C" w:rsidRPr="00CF62F7" w:rsidRDefault="00A27D1C" w:rsidP="004D13C2">
            <w:pPr>
              <w:rPr>
                <w:rFonts w:ascii="Times New Roman" w:eastAsia="Times New Roman" w:hAnsi="Times New Roman" w:cs="Times New Roman"/>
                <w:lang w:eastAsia="en-PH"/>
              </w:rPr>
            </w:pPr>
          </w:p>
          <w:p w14:paraId="20FDE0B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GARCH volatility model</w:t>
            </w:r>
          </w:p>
        </w:tc>
        <w:tc>
          <w:tcPr>
            <w:tcW w:w="1276" w:type="dxa"/>
            <w:hideMark/>
          </w:tcPr>
          <w:p w14:paraId="46A27099" w14:textId="77777777" w:rsidR="00A27D1C" w:rsidRPr="00CF62F7" w:rsidRDefault="00A27D1C" w:rsidP="004D13C2">
            <w:pPr>
              <w:rPr>
                <w:rFonts w:ascii="Times New Roman" w:eastAsia="Times New Roman" w:hAnsi="Times New Roman" w:cs="Times New Roman"/>
                <w:lang w:eastAsia="en-PH"/>
              </w:rPr>
            </w:pPr>
          </w:p>
          <w:p w14:paraId="60C66630" w14:textId="77777777" w:rsidR="00A27D1C" w:rsidRDefault="00A27D1C" w:rsidP="004D13C2">
            <w:pPr>
              <w:rPr>
                <w:rFonts w:ascii="Times New Roman" w:eastAsia="Times New Roman" w:hAnsi="Times New Roman" w:cs="Times New Roman"/>
                <w:lang w:eastAsia="en-PH"/>
              </w:rPr>
            </w:pPr>
          </w:p>
          <w:p w14:paraId="364B19A7"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lang w:eastAsia="en-PH"/>
              </w:rPr>
              <w:t>1990–2023</w:t>
            </w:r>
          </w:p>
        </w:tc>
        <w:tc>
          <w:tcPr>
            <w:tcW w:w="2268" w:type="dxa"/>
            <w:hideMark/>
          </w:tcPr>
          <w:p w14:paraId="7A23E9D1"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volatility harms growth but increases revenue &amp; reserves</w:t>
            </w:r>
          </w:p>
        </w:tc>
        <w:tc>
          <w:tcPr>
            <w:tcW w:w="3593" w:type="dxa"/>
            <w:hideMark/>
          </w:tcPr>
          <w:p w14:paraId="4ECDE213" w14:textId="77777777" w:rsidR="00A27D1C" w:rsidRPr="00CF62F7" w:rsidRDefault="00A27D1C" w:rsidP="004D13C2">
            <w:pPr>
              <w:rPr>
                <w:rFonts w:ascii="Times New Roman" w:eastAsia="Times New Roman" w:hAnsi="Times New Roman" w:cs="Times New Roman"/>
                <w:lang w:eastAsia="en-PH"/>
              </w:rPr>
            </w:pPr>
          </w:p>
          <w:p w14:paraId="4B66C32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GDP, revenue, reserves, income level</w:t>
            </w:r>
          </w:p>
        </w:tc>
      </w:tr>
      <w:tr w:rsidR="00A27D1C" w:rsidRPr="00CF62F7" w14:paraId="1EBA48A4" w14:textId="77777777" w:rsidTr="004D13C2">
        <w:tc>
          <w:tcPr>
            <w:tcW w:w="675" w:type="dxa"/>
          </w:tcPr>
          <w:p w14:paraId="4340A20C" w14:textId="77777777" w:rsidR="00A27D1C" w:rsidRPr="00CF62F7" w:rsidRDefault="00A27D1C" w:rsidP="004D13C2">
            <w:pPr>
              <w:rPr>
                <w:rFonts w:ascii="Times New Roman" w:eastAsia="Times New Roman" w:hAnsi="Times New Roman" w:cs="Times New Roman"/>
                <w:bCs/>
                <w:lang w:eastAsia="en-PH"/>
              </w:rPr>
            </w:pPr>
          </w:p>
          <w:p w14:paraId="2195915C" w14:textId="77777777" w:rsidR="00A27D1C" w:rsidRPr="00CF62F7" w:rsidRDefault="00A27D1C" w:rsidP="004D13C2">
            <w:pPr>
              <w:rPr>
                <w:rFonts w:ascii="Times New Roman" w:eastAsia="Times New Roman" w:hAnsi="Times New Roman" w:cs="Times New Roman"/>
                <w:bCs/>
                <w:lang w:eastAsia="en-PH"/>
              </w:rPr>
            </w:pPr>
          </w:p>
          <w:p w14:paraId="01F63896"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6.</w:t>
            </w:r>
          </w:p>
        </w:tc>
        <w:tc>
          <w:tcPr>
            <w:tcW w:w="1700" w:type="dxa"/>
            <w:hideMark/>
          </w:tcPr>
          <w:p w14:paraId="5DE594E1"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Kharin et al. (2024, Slovakia)</w:t>
            </w:r>
          </w:p>
        </w:tc>
        <w:tc>
          <w:tcPr>
            <w:tcW w:w="1702" w:type="dxa"/>
            <w:hideMark/>
          </w:tcPr>
          <w:p w14:paraId="4B8D530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(nonlinear time-series)</w:t>
            </w:r>
          </w:p>
        </w:tc>
        <w:tc>
          <w:tcPr>
            <w:tcW w:w="1276" w:type="dxa"/>
            <w:hideMark/>
          </w:tcPr>
          <w:p w14:paraId="07B73BD7" w14:textId="77777777" w:rsidR="00A27D1C" w:rsidRPr="00CF62F7" w:rsidRDefault="00A27D1C" w:rsidP="004D13C2">
            <w:pPr>
              <w:rPr>
                <w:rFonts w:ascii="Times New Roman" w:eastAsia="Times New Roman" w:hAnsi="Times New Roman" w:cs="Times New Roman"/>
                <w:lang w:eastAsia="en-PH"/>
              </w:rPr>
            </w:pPr>
          </w:p>
          <w:p w14:paraId="1B7F6A18" w14:textId="77777777" w:rsidR="00A27D1C" w:rsidRPr="00CF62F7" w:rsidRDefault="00A27D1C" w:rsidP="004D13C2">
            <w:pPr>
              <w:rPr>
                <w:rFonts w:ascii="Times New Roman" w:eastAsia="Times New Roman" w:hAnsi="Times New Roman" w:cs="Times New Roman"/>
                <w:lang w:eastAsia="en-PH"/>
              </w:rPr>
            </w:pPr>
          </w:p>
          <w:p w14:paraId="0215DD0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Slovakia</w:t>
            </w:r>
          </w:p>
        </w:tc>
        <w:tc>
          <w:tcPr>
            <w:tcW w:w="2126" w:type="dxa"/>
            <w:hideMark/>
          </w:tcPr>
          <w:p w14:paraId="1BCD4C3B" w14:textId="77777777" w:rsidR="00A27D1C" w:rsidRPr="00CF62F7" w:rsidRDefault="00A27D1C" w:rsidP="004D13C2">
            <w:pPr>
              <w:rPr>
                <w:rFonts w:ascii="Times New Roman" w:eastAsia="Times New Roman" w:hAnsi="Times New Roman" w:cs="Times New Roman"/>
                <w:lang w:eastAsia="en-PH"/>
              </w:rPr>
            </w:pPr>
          </w:p>
          <w:p w14:paraId="2DF2427D" w14:textId="77777777" w:rsidR="00A27D1C" w:rsidRDefault="00A27D1C" w:rsidP="004D13C2">
            <w:pPr>
              <w:rPr>
                <w:rFonts w:ascii="Times New Roman" w:eastAsia="Times New Roman" w:hAnsi="Times New Roman" w:cs="Times New Roman"/>
                <w:lang w:eastAsia="en-PH"/>
              </w:rPr>
            </w:pPr>
          </w:p>
          <w:p w14:paraId="41ED71BA"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MTNARDL model</w:t>
            </w:r>
          </w:p>
        </w:tc>
        <w:tc>
          <w:tcPr>
            <w:tcW w:w="1276" w:type="dxa"/>
            <w:hideMark/>
          </w:tcPr>
          <w:p w14:paraId="4D30CEE0" w14:textId="77777777" w:rsidR="00A27D1C" w:rsidRDefault="00A27D1C" w:rsidP="004D13C2">
            <w:pPr>
              <w:rPr>
                <w:rFonts w:ascii="Times New Roman" w:eastAsia="Times New Roman" w:hAnsi="Times New Roman" w:cs="Times New Roman"/>
                <w:lang w:eastAsia="en-PH"/>
              </w:rPr>
            </w:pPr>
          </w:p>
          <w:p w14:paraId="647D4D33"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Not specified</w:t>
            </w:r>
          </w:p>
        </w:tc>
        <w:tc>
          <w:tcPr>
            <w:tcW w:w="2268" w:type="dxa"/>
            <w:hideMark/>
          </w:tcPr>
          <w:p w14:paraId="360797F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 changes affect food prices asymmetrically</w:t>
            </w:r>
          </w:p>
        </w:tc>
        <w:tc>
          <w:tcPr>
            <w:tcW w:w="3593" w:type="dxa"/>
            <w:hideMark/>
          </w:tcPr>
          <w:p w14:paraId="5C5D8A90" w14:textId="77777777" w:rsidR="00A27D1C" w:rsidRPr="00CF62F7" w:rsidRDefault="00A27D1C" w:rsidP="004D13C2">
            <w:pPr>
              <w:rPr>
                <w:rFonts w:ascii="Times New Roman" w:eastAsia="Times New Roman" w:hAnsi="Times New Roman" w:cs="Times New Roman"/>
                <w:lang w:eastAsia="en-PH"/>
              </w:rPr>
            </w:pPr>
          </w:p>
          <w:p w14:paraId="0B999A1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Food prices, exchange rate, production index</w:t>
            </w:r>
          </w:p>
        </w:tc>
      </w:tr>
      <w:tr w:rsidR="00A27D1C" w:rsidRPr="00CF62F7" w14:paraId="35041BA5" w14:textId="77777777" w:rsidTr="004D13C2">
        <w:tc>
          <w:tcPr>
            <w:tcW w:w="675" w:type="dxa"/>
          </w:tcPr>
          <w:p w14:paraId="6B8189F3" w14:textId="77777777" w:rsidR="00A27D1C" w:rsidRPr="00CF62F7" w:rsidRDefault="00A27D1C" w:rsidP="004D13C2">
            <w:pPr>
              <w:rPr>
                <w:rFonts w:ascii="Times New Roman" w:eastAsia="Times New Roman" w:hAnsi="Times New Roman" w:cs="Times New Roman"/>
                <w:bCs/>
                <w:lang w:eastAsia="en-PH"/>
              </w:rPr>
            </w:pPr>
          </w:p>
          <w:p w14:paraId="63962F54" w14:textId="77777777" w:rsidR="00A27D1C" w:rsidRPr="00CF62F7" w:rsidRDefault="00A27D1C" w:rsidP="004D13C2">
            <w:pPr>
              <w:rPr>
                <w:rFonts w:ascii="Times New Roman" w:eastAsia="Times New Roman" w:hAnsi="Times New Roman" w:cs="Times New Roman"/>
                <w:bCs/>
                <w:lang w:eastAsia="en-PH"/>
              </w:rPr>
            </w:pPr>
          </w:p>
          <w:p w14:paraId="13A293B1"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7.</w:t>
            </w:r>
          </w:p>
        </w:tc>
        <w:tc>
          <w:tcPr>
            <w:tcW w:w="1700" w:type="dxa"/>
            <w:hideMark/>
          </w:tcPr>
          <w:p w14:paraId="5F08AF89"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Ullah et al. (N/A, global – 122 countries)</w:t>
            </w:r>
          </w:p>
        </w:tc>
        <w:tc>
          <w:tcPr>
            <w:tcW w:w="1702" w:type="dxa"/>
            <w:hideMark/>
          </w:tcPr>
          <w:p w14:paraId="6B430A7C" w14:textId="77777777" w:rsidR="00A27D1C" w:rsidRPr="00CF62F7" w:rsidRDefault="00A27D1C" w:rsidP="004D13C2">
            <w:pPr>
              <w:rPr>
                <w:rFonts w:ascii="Times New Roman" w:eastAsia="Times New Roman" w:hAnsi="Times New Roman" w:cs="Times New Roman"/>
                <w:lang w:eastAsia="en-PH"/>
              </w:rPr>
            </w:pPr>
          </w:p>
          <w:p w14:paraId="05F6309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(panel GMM)</w:t>
            </w:r>
          </w:p>
        </w:tc>
        <w:tc>
          <w:tcPr>
            <w:tcW w:w="1276" w:type="dxa"/>
            <w:hideMark/>
          </w:tcPr>
          <w:p w14:paraId="50B28F9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Developed &amp; emerging countries</w:t>
            </w:r>
          </w:p>
        </w:tc>
        <w:tc>
          <w:tcPr>
            <w:tcW w:w="2126" w:type="dxa"/>
            <w:hideMark/>
          </w:tcPr>
          <w:p w14:paraId="6D3B1D98" w14:textId="77777777" w:rsidR="00A27D1C" w:rsidRDefault="00A27D1C" w:rsidP="004D13C2">
            <w:pPr>
              <w:rPr>
                <w:rFonts w:ascii="Times New Roman" w:eastAsia="Times New Roman" w:hAnsi="Times New Roman" w:cs="Times New Roman"/>
                <w:lang w:eastAsia="en-PH"/>
              </w:rPr>
            </w:pPr>
          </w:p>
          <w:p w14:paraId="0FEB419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Two-step system GMM</w:t>
            </w:r>
          </w:p>
        </w:tc>
        <w:tc>
          <w:tcPr>
            <w:tcW w:w="1276" w:type="dxa"/>
            <w:hideMark/>
          </w:tcPr>
          <w:p w14:paraId="4F3FEA96" w14:textId="77777777" w:rsidR="00A27D1C" w:rsidRDefault="00A27D1C" w:rsidP="004D13C2">
            <w:pPr>
              <w:rPr>
                <w:rFonts w:ascii="Times New Roman" w:eastAsia="Times New Roman" w:hAnsi="Times New Roman" w:cs="Times New Roman"/>
                <w:lang w:eastAsia="en-PH"/>
              </w:rPr>
            </w:pPr>
          </w:p>
          <w:p w14:paraId="62176730" w14:textId="77777777" w:rsidR="00A27D1C" w:rsidRDefault="00A27D1C" w:rsidP="004D13C2">
            <w:pPr>
              <w:rPr>
                <w:rFonts w:ascii="Times New Roman" w:eastAsia="Times New Roman" w:hAnsi="Times New Roman" w:cs="Times New Roman"/>
                <w:lang w:eastAsia="en-PH"/>
              </w:rPr>
            </w:pPr>
          </w:p>
          <w:p w14:paraId="36DE8F7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2013–2020</w:t>
            </w:r>
          </w:p>
        </w:tc>
        <w:tc>
          <w:tcPr>
            <w:tcW w:w="2268" w:type="dxa"/>
            <w:hideMark/>
          </w:tcPr>
          <w:p w14:paraId="1332280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Governance &amp; macro factors improve financial stability</w:t>
            </w:r>
          </w:p>
        </w:tc>
        <w:tc>
          <w:tcPr>
            <w:tcW w:w="3593" w:type="dxa"/>
            <w:hideMark/>
          </w:tcPr>
          <w:p w14:paraId="0635D0E3" w14:textId="77777777" w:rsidR="00A27D1C" w:rsidRDefault="00A27D1C" w:rsidP="004D13C2">
            <w:pPr>
              <w:rPr>
                <w:rFonts w:ascii="Times New Roman" w:eastAsia="Times New Roman" w:hAnsi="Times New Roman" w:cs="Times New Roman"/>
                <w:lang w:eastAsia="en-PH"/>
              </w:rPr>
            </w:pPr>
          </w:p>
          <w:p w14:paraId="599B471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Financial stability index, governance indicators</w:t>
            </w:r>
          </w:p>
        </w:tc>
      </w:tr>
      <w:tr w:rsidR="00A27D1C" w:rsidRPr="00CF62F7" w14:paraId="35C8A192" w14:textId="77777777" w:rsidTr="004D13C2">
        <w:tc>
          <w:tcPr>
            <w:tcW w:w="675" w:type="dxa"/>
          </w:tcPr>
          <w:p w14:paraId="79A5694C" w14:textId="77777777" w:rsidR="00A27D1C" w:rsidRPr="00CF62F7" w:rsidRDefault="00A27D1C" w:rsidP="004D13C2">
            <w:pPr>
              <w:rPr>
                <w:rFonts w:ascii="Times New Roman" w:eastAsia="Times New Roman" w:hAnsi="Times New Roman" w:cs="Times New Roman"/>
                <w:bCs/>
                <w:lang w:eastAsia="en-PH"/>
              </w:rPr>
            </w:pPr>
          </w:p>
          <w:p w14:paraId="59C57913" w14:textId="77777777" w:rsidR="00A27D1C" w:rsidRPr="00CF62F7" w:rsidRDefault="00A27D1C" w:rsidP="004D13C2">
            <w:pPr>
              <w:rPr>
                <w:rFonts w:ascii="Times New Roman" w:eastAsia="Times New Roman" w:hAnsi="Times New Roman" w:cs="Times New Roman"/>
                <w:bCs/>
                <w:lang w:eastAsia="en-PH"/>
              </w:rPr>
            </w:pPr>
          </w:p>
          <w:p w14:paraId="07C2C079"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8.</w:t>
            </w:r>
          </w:p>
        </w:tc>
        <w:tc>
          <w:tcPr>
            <w:tcW w:w="1700" w:type="dxa"/>
            <w:hideMark/>
          </w:tcPr>
          <w:p w14:paraId="555E8B04"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Khan et al. (N/A, global maritime)</w:t>
            </w:r>
          </w:p>
        </w:tc>
        <w:tc>
          <w:tcPr>
            <w:tcW w:w="1702" w:type="dxa"/>
            <w:hideMark/>
          </w:tcPr>
          <w:p w14:paraId="270806F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(rolling window causality)</w:t>
            </w:r>
          </w:p>
        </w:tc>
        <w:tc>
          <w:tcPr>
            <w:tcW w:w="1276" w:type="dxa"/>
            <w:hideMark/>
          </w:tcPr>
          <w:p w14:paraId="7A00553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Global shipping industry</w:t>
            </w:r>
          </w:p>
        </w:tc>
        <w:tc>
          <w:tcPr>
            <w:tcW w:w="2126" w:type="dxa"/>
            <w:hideMark/>
          </w:tcPr>
          <w:p w14:paraId="79D2529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Bootstrap rolling window, Granger causality</w:t>
            </w:r>
          </w:p>
        </w:tc>
        <w:tc>
          <w:tcPr>
            <w:tcW w:w="1276" w:type="dxa"/>
            <w:hideMark/>
          </w:tcPr>
          <w:p w14:paraId="14B7071B" w14:textId="77777777" w:rsidR="00A27D1C" w:rsidRPr="00CF62F7" w:rsidRDefault="00A27D1C" w:rsidP="004D13C2">
            <w:pPr>
              <w:rPr>
                <w:rFonts w:ascii="Times New Roman" w:eastAsia="Times New Roman" w:hAnsi="Times New Roman" w:cs="Times New Roman"/>
                <w:lang w:eastAsia="en-PH"/>
              </w:rPr>
            </w:pPr>
          </w:p>
          <w:p w14:paraId="4C985CB7" w14:textId="77777777" w:rsidR="00A27D1C" w:rsidRDefault="00A27D1C" w:rsidP="004D13C2">
            <w:pPr>
              <w:rPr>
                <w:rFonts w:ascii="Times New Roman" w:eastAsia="Times New Roman" w:hAnsi="Times New Roman" w:cs="Times New Roman"/>
                <w:lang w:eastAsia="en-PH"/>
              </w:rPr>
            </w:pPr>
          </w:p>
          <w:p w14:paraId="0C29C461"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2000–2022</w:t>
            </w:r>
          </w:p>
        </w:tc>
        <w:tc>
          <w:tcPr>
            <w:tcW w:w="2268" w:type="dxa"/>
            <w:hideMark/>
          </w:tcPr>
          <w:p w14:paraId="395F864B"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prices significantly influence freight rates (BDI)</w:t>
            </w:r>
          </w:p>
        </w:tc>
        <w:tc>
          <w:tcPr>
            <w:tcW w:w="3593" w:type="dxa"/>
            <w:hideMark/>
          </w:tcPr>
          <w:p w14:paraId="20AFC8E9" w14:textId="77777777" w:rsidR="00A27D1C" w:rsidRDefault="00A27D1C" w:rsidP="004D13C2">
            <w:pPr>
              <w:rPr>
                <w:rFonts w:ascii="Times New Roman" w:eastAsia="Times New Roman" w:hAnsi="Times New Roman" w:cs="Times New Roman"/>
                <w:lang w:eastAsia="en-PH"/>
              </w:rPr>
            </w:pPr>
          </w:p>
          <w:p w14:paraId="12BB481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Freight rates, trade stability, risk management</w:t>
            </w:r>
          </w:p>
        </w:tc>
      </w:tr>
      <w:tr w:rsidR="00A27D1C" w:rsidRPr="00CF62F7" w14:paraId="5D2B90B7" w14:textId="77777777" w:rsidTr="004D13C2">
        <w:tc>
          <w:tcPr>
            <w:tcW w:w="675" w:type="dxa"/>
          </w:tcPr>
          <w:p w14:paraId="6CEB3F5E" w14:textId="77777777" w:rsidR="00A27D1C" w:rsidRPr="00CF62F7" w:rsidRDefault="00A27D1C" w:rsidP="004D13C2">
            <w:pPr>
              <w:rPr>
                <w:rFonts w:ascii="Times New Roman" w:eastAsia="Times New Roman" w:hAnsi="Times New Roman" w:cs="Times New Roman"/>
                <w:bCs/>
                <w:lang w:eastAsia="en-PH"/>
              </w:rPr>
            </w:pPr>
          </w:p>
          <w:p w14:paraId="17EAF77B" w14:textId="77777777" w:rsidR="00A27D1C" w:rsidRPr="00CF62F7" w:rsidRDefault="00A27D1C" w:rsidP="004D13C2">
            <w:pPr>
              <w:rPr>
                <w:rFonts w:ascii="Times New Roman" w:eastAsia="Times New Roman" w:hAnsi="Times New Roman" w:cs="Times New Roman"/>
                <w:bCs/>
                <w:lang w:eastAsia="en-PH"/>
              </w:rPr>
            </w:pPr>
          </w:p>
          <w:p w14:paraId="2C24E6C0" w14:textId="77777777" w:rsidR="00A27D1C" w:rsidRDefault="00A27D1C" w:rsidP="004D13C2">
            <w:pPr>
              <w:rPr>
                <w:rFonts w:ascii="Times New Roman" w:eastAsia="Times New Roman" w:hAnsi="Times New Roman" w:cs="Times New Roman"/>
                <w:bCs/>
                <w:lang w:eastAsia="en-PH"/>
              </w:rPr>
            </w:pPr>
          </w:p>
          <w:p w14:paraId="1EB52F04"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9.</w:t>
            </w:r>
          </w:p>
        </w:tc>
        <w:tc>
          <w:tcPr>
            <w:tcW w:w="1700" w:type="dxa"/>
            <w:hideMark/>
          </w:tcPr>
          <w:p w14:paraId="27D96912"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Nagro &amp; Shaheen (N/A, North Africa)</w:t>
            </w:r>
          </w:p>
        </w:tc>
        <w:tc>
          <w:tcPr>
            <w:tcW w:w="1702" w:type="dxa"/>
            <w:hideMark/>
          </w:tcPr>
          <w:p w14:paraId="5AA0AF5B" w14:textId="77777777" w:rsidR="00A27D1C" w:rsidRPr="00CF62F7" w:rsidRDefault="00A27D1C" w:rsidP="004D13C2">
            <w:pPr>
              <w:rPr>
                <w:rFonts w:ascii="Times New Roman" w:eastAsia="Times New Roman" w:hAnsi="Times New Roman" w:cs="Times New Roman"/>
                <w:lang w:eastAsia="en-PH"/>
              </w:rPr>
            </w:pPr>
          </w:p>
          <w:p w14:paraId="61740B6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(panel GMM)</w:t>
            </w:r>
          </w:p>
        </w:tc>
        <w:tc>
          <w:tcPr>
            <w:tcW w:w="1276" w:type="dxa"/>
            <w:hideMark/>
          </w:tcPr>
          <w:p w14:paraId="3BE643FD" w14:textId="77777777" w:rsidR="00A27D1C" w:rsidRPr="00CF62F7" w:rsidRDefault="00A27D1C" w:rsidP="004D13C2">
            <w:pPr>
              <w:rPr>
                <w:rFonts w:ascii="Times New Roman" w:eastAsia="Times New Roman" w:hAnsi="Times New Roman" w:cs="Times New Roman"/>
                <w:lang w:eastAsia="en-PH"/>
              </w:rPr>
            </w:pPr>
          </w:p>
          <w:p w14:paraId="0BCB050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North African countries</w:t>
            </w:r>
          </w:p>
        </w:tc>
        <w:tc>
          <w:tcPr>
            <w:tcW w:w="2126" w:type="dxa"/>
            <w:hideMark/>
          </w:tcPr>
          <w:p w14:paraId="068C6EEE" w14:textId="77777777" w:rsidR="00A27D1C" w:rsidRPr="00CF62F7" w:rsidRDefault="00A27D1C" w:rsidP="004D13C2">
            <w:pPr>
              <w:rPr>
                <w:rFonts w:ascii="Times New Roman" w:eastAsia="Times New Roman" w:hAnsi="Times New Roman" w:cs="Times New Roman"/>
                <w:lang w:eastAsia="en-PH"/>
              </w:rPr>
            </w:pPr>
          </w:p>
          <w:p w14:paraId="5488595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Dynamic panel GMM</w:t>
            </w:r>
          </w:p>
        </w:tc>
        <w:tc>
          <w:tcPr>
            <w:tcW w:w="1276" w:type="dxa"/>
            <w:hideMark/>
          </w:tcPr>
          <w:p w14:paraId="0DD7E68D" w14:textId="77777777" w:rsidR="00A27D1C" w:rsidRPr="00CF62F7" w:rsidRDefault="00A27D1C" w:rsidP="004D13C2">
            <w:pPr>
              <w:rPr>
                <w:rFonts w:ascii="Times New Roman" w:eastAsia="Times New Roman" w:hAnsi="Times New Roman" w:cs="Times New Roman"/>
                <w:lang w:eastAsia="en-PH"/>
              </w:rPr>
            </w:pPr>
          </w:p>
          <w:p w14:paraId="2EB46C71" w14:textId="77777777" w:rsidR="00A27D1C" w:rsidRDefault="00A27D1C" w:rsidP="004D13C2">
            <w:pPr>
              <w:rPr>
                <w:rFonts w:ascii="Times New Roman" w:eastAsia="Times New Roman" w:hAnsi="Times New Roman" w:cs="Times New Roman"/>
                <w:lang w:eastAsia="en-PH"/>
              </w:rPr>
            </w:pPr>
          </w:p>
          <w:p w14:paraId="5AB0EDE3" w14:textId="77777777" w:rsidR="00A27D1C" w:rsidRDefault="00A27D1C" w:rsidP="004D13C2">
            <w:pPr>
              <w:rPr>
                <w:rFonts w:ascii="Times New Roman" w:eastAsia="Times New Roman" w:hAnsi="Times New Roman" w:cs="Times New Roman"/>
                <w:lang w:eastAsia="en-PH"/>
              </w:rPr>
            </w:pPr>
          </w:p>
          <w:p w14:paraId="50A2F83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1995–2022</w:t>
            </w:r>
          </w:p>
        </w:tc>
        <w:tc>
          <w:tcPr>
            <w:tcW w:w="2268" w:type="dxa"/>
            <w:hideMark/>
          </w:tcPr>
          <w:p w14:paraId="1718BB7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GDP reduces trade dependence; depreciation reduces trade volume</w:t>
            </w:r>
          </w:p>
        </w:tc>
        <w:tc>
          <w:tcPr>
            <w:tcW w:w="3593" w:type="dxa"/>
            <w:hideMark/>
          </w:tcPr>
          <w:p w14:paraId="2ADC45CE" w14:textId="77777777" w:rsidR="00A27D1C" w:rsidRPr="00CF62F7" w:rsidRDefault="00A27D1C" w:rsidP="004D13C2">
            <w:pPr>
              <w:rPr>
                <w:rFonts w:ascii="Times New Roman" w:eastAsia="Times New Roman" w:hAnsi="Times New Roman" w:cs="Times New Roman"/>
                <w:lang w:eastAsia="en-PH"/>
              </w:rPr>
            </w:pPr>
          </w:p>
          <w:p w14:paraId="5F6EC28E" w14:textId="77777777" w:rsidR="00A27D1C" w:rsidRDefault="00A27D1C" w:rsidP="004D13C2">
            <w:pPr>
              <w:rPr>
                <w:rFonts w:ascii="Times New Roman" w:eastAsia="Times New Roman" w:hAnsi="Times New Roman" w:cs="Times New Roman"/>
                <w:lang w:eastAsia="en-PH"/>
              </w:rPr>
            </w:pPr>
          </w:p>
          <w:p w14:paraId="372AAFCE" w14:textId="77777777" w:rsidR="00A27D1C" w:rsidRDefault="00A27D1C" w:rsidP="004D13C2">
            <w:pPr>
              <w:rPr>
                <w:rFonts w:ascii="Times New Roman" w:eastAsia="Times New Roman" w:hAnsi="Times New Roman" w:cs="Times New Roman"/>
                <w:lang w:eastAsia="en-PH"/>
              </w:rPr>
            </w:pPr>
          </w:p>
          <w:p w14:paraId="7BA7531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Trade volume, exchange rate, GDP</w:t>
            </w:r>
          </w:p>
        </w:tc>
      </w:tr>
      <w:tr w:rsidR="00A27D1C" w:rsidRPr="00CF62F7" w14:paraId="161F68FD" w14:textId="77777777" w:rsidTr="004D13C2">
        <w:tc>
          <w:tcPr>
            <w:tcW w:w="675" w:type="dxa"/>
          </w:tcPr>
          <w:p w14:paraId="6B5BA3F4" w14:textId="77777777" w:rsidR="00A27D1C" w:rsidRPr="00CF62F7" w:rsidRDefault="00A27D1C" w:rsidP="004D13C2">
            <w:pPr>
              <w:rPr>
                <w:rFonts w:ascii="Times New Roman" w:eastAsia="Times New Roman" w:hAnsi="Times New Roman" w:cs="Times New Roman"/>
                <w:bCs/>
                <w:lang w:eastAsia="en-PH"/>
              </w:rPr>
            </w:pPr>
          </w:p>
          <w:p w14:paraId="35ADC1ED" w14:textId="77777777" w:rsidR="00A27D1C" w:rsidRPr="00CF62F7" w:rsidRDefault="00A27D1C" w:rsidP="004D13C2">
            <w:pPr>
              <w:rPr>
                <w:rFonts w:ascii="Times New Roman" w:eastAsia="Times New Roman" w:hAnsi="Times New Roman" w:cs="Times New Roman"/>
                <w:bCs/>
                <w:lang w:eastAsia="en-PH"/>
              </w:rPr>
            </w:pPr>
          </w:p>
          <w:p w14:paraId="65F5655B" w14:textId="77777777" w:rsidR="00A27D1C" w:rsidRPr="00CF62F7" w:rsidRDefault="00A27D1C" w:rsidP="004D13C2">
            <w:pPr>
              <w:rPr>
                <w:rFonts w:ascii="Times New Roman" w:eastAsia="Times New Roman" w:hAnsi="Times New Roman" w:cs="Times New Roman"/>
                <w:bCs/>
                <w:lang w:eastAsia="en-PH"/>
              </w:rPr>
            </w:pPr>
          </w:p>
          <w:p w14:paraId="123E401C"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10.</w:t>
            </w:r>
          </w:p>
        </w:tc>
        <w:tc>
          <w:tcPr>
            <w:tcW w:w="1700" w:type="dxa"/>
            <w:hideMark/>
          </w:tcPr>
          <w:p w14:paraId="792E22CC" w14:textId="77777777" w:rsidR="00A27D1C" w:rsidRDefault="00A27D1C" w:rsidP="004D13C2">
            <w:pPr>
              <w:rPr>
                <w:rFonts w:ascii="Times New Roman" w:eastAsia="Times New Roman" w:hAnsi="Times New Roman" w:cs="Times New Roman"/>
                <w:bCs/>
                <w:lang w:eastAsia="en-PH"/>
              </w:rPr>
            </w:pPr>
          </w:p>
          <w:p w14:paraId="79F9E7E3"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Okere et al. (N/A, African countries)</w:t>
            </w:r>
          </w:p>
        </w:tc>
        <w:tc>
          <w:tcPr>
            <w:tcW w:w="1702" w:type="dxa"/>
            <w:hideMark/>
          </w:tcPr>
          <w:p w14:paraId="0341F25E" w14:textId="77777777" w:rsidR="00A27D1C" w:rsidRPr="00CF62F7" w:rsidRDefault="00A27D1C" w:rsidP="004D13C2">
            <w:pPr>
              <w:rPr>
                <w:rFonts w:ascii="Times New Roman" w:eastAsia="Times New Roman" w:hAnsi="Times New Roman" w:cs="Times New Roman"/>
                <w:lang w:eastAsia="en-PH"/>
              </w:rPr>
            </w:pPr>
          </w:p>
          <w:p w14:paraId="13FBC03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(MATNARDL)</w:t>
            </w:r>
          </w:p>
        </w:tc>
        <w:tc>
          <w:tcPr>
            <w:tcW w:w="1276" w:type="dxa"/>
            <w:hideMark/>
          </w:tcPr>
          <w:p w14:paraId="3C09BD13" w14:textId="77777777" w:rsidR="00A27D1C" w:rsidRPr="00CF62F7" w:rsidRDefault="00A27D1C" w:rsidP="004D13C2">
            <w:pPr>
              <w:rPr>
                <w:rFonts w:ascii="Times New Roman" w:eastAsia="Times New Roman" w:hAnsi="Times New Roman" w:cs="Times New Roman"/>
                <w:lang w:eastAsia="en-PH"/>
              </w:rPr>
            </w:pPr>
          </w:p>
          <w:p w14:paraId="5CA74A2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Selected African economies</w:t>
            </w:r>
          </w:p>
        </w:tc>
        <w:tc>
          <w:tcPr>
            <w:tcW w:w="2126" w:type="dxa"/>
            <w:hideMark/>
          </w:tcPr>
          <w:p w14:paraId="18D3D817" w14:textId="77777777" w:rsidR="00A27D1C" w:rsidRPr="00CF62F7" w:rsidRDefault="00A27D1C" w:rsidP="004D13C2">
            <w:pPr>
              <w:rPr>
                <w:rFonts w:ascii="Times New Roman" w:eastAsia="Times New Roman" w:hAnsi="Times New Roman" w:cs="Times New Roman"/>
                <w:lang w:eastAsia="en-PH"/>
              </w:rPr>
            </w:pPr>
          </w:p>
          <w:p w14:paraId="1215A6C0" w14:textId="77777777" w:rsidR="00A27D1C" w:rsidRPr="00CF62F7" w:rsidRDefault="00A27D1C" w:rsidP="004D13C2">
            <w:pPr>
              <w:rPr>
                <w:rFonts w:ascii="Times New Roman" w:eastAsia="Times New Roman" w:hAnsi="Times New Roman" w:cs="Times New Roman"/>
                <w:lang w:eastAsia="en-PH"/>
              </w:rPr>
            </w:pPr>
          </w:p>
          <w:p w14:paraId="63AAD6A9" w14:textId="77777777" w:rsidR="00A27D1C" w:rsidRDefault="00A27D1C" w:rsidP="004D13C2">
            <w:pPr>
              <w:rPr>
                <w:rFonts w:ascii="Times New Roman" w:eastAsia="Times New Roman" w:hAnsi="Times New Roman" w:cs="Times New Roman"/>
                <w:lang w:eastAsia="en-PH"/>
              </w:rPr>
            </w:pPr>
          </w:p>
          <w:p w14:paraId="2BF9F31A"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MATNARDL model</w:t>
            </w:r>
          </w:p>
        </w:tc>
        <w:tc>
          <w:tcPr>
            <w:tcW w:w="1276" w:type="dxa"/>
            <w:hideMark/>
          </w:tcPr>
          <w:p w14:paraId="2EF000E4" w14:textId="77777777" w:rsidR="00A27D1C" w:rsidRPr="00CF62F7" w:rsidRDefault="00A27D1C" w:rsidP="004D13C2">
            <w:pPr>
              <w:rPr>
                <w:rFonts w:ascii="Times New Roman" w:eastAsia="Times New Roman" w:hAnsi="Times New Roman" w:cs="Times New Roman"/>
                <w:lang w:eastAsia="en-PH"/>
              </w:rPr>
            </w:pPr>
          </w:p>
          <w:p w14:paraId="485EF981" w14:textId="77777777" w:rsidR="00A27D1C" w:rsidRPr="00CF62F7" w:rsidRDefault="00A27D1C" w:rsidP="004D13C2">
            <w:pPr>
              <w:rPr>
                <w:rFonts w:ascii="Times New Roman" w:eastAsia="Times New Roman" w:hAnsi="Times New Roman" w:cs="Times New Roman"/>
                <w:lang w:eastAsia="en-PH"/>
              </w:rPr>
            </w:pPr>
          </w:p>
          <w:p w14:paraId="7E96990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Not specified</w:t>
            </w:r>
          </w:p>
        </w:tc>
        <w:tc>
          <w:tcPr>
            <w:tcW w:w="2268" w:type="dxa"/>
            <w:hideMark/>
          </w:tcPr>
          <w:p w14:paraId="727AD46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Exchange rate asymmetry affects exports; oil price mediates</w:t>
            </w:r>
          </w:p>
        </w:tc>
        <w:tc>
          <w:tcPr>
            <w:tcW w:w="3593" w:type="dxa"/>
            <w:hideMark/>
          </w:tcPr>
          <w:p w14:paraId="6D343CBA" w14:textId="77777777" w:rsidR="00A27D1C" w:rsidRPr="00CF62F7" w:rsidRDefault="00A27D1C" w:rsidP="004D13C2">
            <w:pPr>
              <w:rPr>
                <w:rFonts w:ascii="Times New Roman" w:eastAsia="Times New Roman" w:hAnsi="Times New Roman" w:cs="Times New Roman"/>
                <w:lang w:eastAsia="en-PH"/>
              </w:rPr>
            </w:pPr>
          </w:p>
          <w:p w14:paraId="080A9167" w14:textId="77777777" w:rsidR="00A27D1C" w:rsidRPr="00CF62F7" w:rsidRDefault="00A27D1C" w:rsidP="004D13C2">
            <w:pPr>
              <w:rPr>
                <w:rFonts w:ascii="Times New Roman" w:eastAsia="Times New Roman" w:hAnsi="Times New Roman" w:cs="Times New Roman"/>
                <w:lang w:eastAsia="en-PH"/>
              </w:rPr>
            </w:pPr>
          </w:p>
          <w:p w14:paraId="1878CA34" w14:textId="77777777" w:rsidR="00A27D1C" w:rsidRDefault="00A27D1C" w:rsidP="004D13C2">
            <w:pPr>
              <w:rPr>
                <w:rFonts w:ascii="Times New Roman" w:eastAsia="Times New Roman" w:hAnsi="Times New Roman" w:cs="Times New Roman"/>
                <w:lang w:eastAsia="en-PH"/>
              </w:rPr>
            </w:pPr>
          </w:p>
          <w:p w14:paraId="6CF1DFB1"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Export trade, exchange rate regimes</w:t>
            </w:r>
          </w:p>
        </w:tc>
      </w:tr>
      <w:tr w:rsidR="00A27D1C" w:rsidRPr="00CF62F7" w14:paraId="75DCC3C7" w14:textId="77777777" w:rsidTr="004D13C2">
        <w:tc>
          <w:tcPr>
            <w:tcW w:w="675" w:type="dxa"/>
          </w:tcPr>
          <w:p w14:paraId="4E0B63BD" w14:textId="77777777" w:rsidR="00A27D1C" w:rsidRPr="00CF62F7" w:rsidRDefault="00A27D1C" w:rsidP="004D13C2">
            <w:pPr>
              <w:rPr>
                <w:rFonts w:ascii="Times New Roman" w:eastAsia="Times New Roman" w:hAnsi="Times New Roman" w:cs="Times New Roman"/>
                <w:bCs/>
                <w:lang w:eastAsia="en-PH"/>
              </w:rPr>
            </w:pPr>
          </w:p>
          <w:p w14:paraId="25FE1B7C" w14:textId="77777777" w:rsidR="00A27D1C" w:rsidRPr="00CF62F7" w:rsidRDefault="00A27D1C" w:rsidP="004D13C2">
            <w:pPr>
              <w:rPr>
                <w:rFonts w:ascii="Times New Roman" w:eastAsia="Times New Roman" w:hAnsi="Times New Roman" w:cs="Times New Roman"/>
                <w:bCs/>
                <w:lang w:eastAsia="en-PH"/>
              </w:rPr>
            </w:pPr>
          </w:p>
          <w:p w14:paraId="20712503"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11.</w:t>
            </w:r>
          </w:p>
        </w:tc>
        <w:tc>
          <w:tcPr>
            <w:tcW w:w="1700" w:type="dxa"/>
            <w:hideMark/>
          </w:tcPr>
          <w:p w14:paraId="2FA5AA13" w14:textId="77777777" w:rsidR="00A27D1C" w:rsidRPr="00CF62F7" w:rsidRDefault="00A27D1C" w:rsidP="004D13C2">
            <w:pPr>
              <w:rPr>
                <w:rFonts w:ascii="Times New Roman" w:eastAsia="Times New Roman" w:hAnsi="Times New Roman" w:cs="Times New Roman"/>
                <w:bCs/>
                <w:lang w:eastAsia="en-PH"/>
              </w:rPr>
            </w:pPr>
          </w:p>
          <w:p w14:paraId="017A6769"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Alfalih (N/A, Saudi Arabia)</w:t>
            </w:r>
          </w:p>
        </w:tc>
        <w:tc>
          <w:tcPr>
            <w:tcW w:w="1702" w:type="dxa"/>
            <w:hideMark/>
          </w:tcPr>
          <w:p w14:paraId="4FDDC5B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(ARDL, bounds test)</w:t>
            </w:r>
          </w:p>
        </w:tc>
        <w:tc>
          <w:tcPr>
            <w:tcW w:w="1276" w:type="dxa"/>
            <w:hideMark/>
          </w:tcPr>
          <w:p w14:paraId="09F6DB85" w14:textId="77777777" w:rsidR="00A27D1C" w:rsidRPr="00CF62F7" w:rsidRDefault="00A27D1C" w:rsidP="004D13C2">
            <w:pPr>
              <w:rPr>
                <w:rFonts w:ascii="Times New Roman" w:eastAsia="Times New Roman" w:hAnsi="Times New Roman" w:cs="Times New Roman"/>
                <w:lang w:eastAsia="en-PH"/>
              </w:rPr>
            </w:pPr>
          </w:p>
          <w:p w14:paraId="5E503AAE"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Saudi Arabia</w:t>
            </w:r>
          </w:p>
        </w:tc>
        <w:tc>
          <w:tcPr>
            <w:tcW w:w="2126" w:type="dxa"/>
            <w:hideMark/>
          </w:tcPr>
          <w:p w14:paraId="46E81C59" w14:textId="77777777" w:rsidR="00A27D1C" w:rsidRPr="00CF62F7" w:rsidRDefault="00A27D1C" w:rsidP="004D13C2">
            <w:pPr>
              <w:rPr>
                <w:rFonts w:ascii="Times New Roman" w:eastAsia="Times New Roman" w:hAnsi="Times New Roman" w:cs="Times New Roman"/>
                <w:lang w:eastAsia="en-PH"/>
              </w:rPr>
            </w:pPr>
          </w:p>
          <w:p w14:paraId="519454D4" w14:textId="77777777" w:rsidR="00A27D1C" w:rsidRPr="00CF62F7" w:rsidRDefault="00A27D1C" w:rsidP="004D13C2">
            <w:pPr>
              <w:rPr>
                <w:rFonts w:ascii="Times New Roman" w:eastAsia="Times New Roman" w:hAnsi="Times New Roman" w:cs="Times New Roman"/>
                <w:lang w:eastAsia="en-PH"/>
              </w:rPr>
            </w:pPr>
          </w:p>
          <w:p w14:paraId="42872255"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ARDL model</w:t>
            </w:r>
          </w:p>
        </w:tc>
        <w:tc>
          <w:tcPr>
            <w:tcW w:w="1276" w:type="dxa"/>
            <w:hideMark/>
          </w:tcPr>
          <w:p w14:paraId="553CDE22" w14:textId="77777777" w:rsidR="00A27D1C" w:rsidRPr="00CF62F7" w:rsidRDefault="00A27D1C" w:rsidP="004D13C2">
            <w:pPr>
              <w:rPr>
                <w:rFonts w:ascii="Times New Roman" w:eastAsia="Times New Roman" w:hAnsi="Times New Roman" w:cs="Times New Roman"/>
                <w:lang w:eastAsia="en-PH"/>
              </w:rPr>
            </w:pPr>
          </w:p>
          <w:p w14:paraId="1B22B497" w14:textId="77777777" w:rsidR="00A27D1C" w:rsidRDefault="00A27D1C" w:rsidP="004D13C2">
            <w:pPr>
              <w:rPr>
                <w:rFonts w:ascii="Times New Roman" w:eastAsia="Times New Roman" w:hAnsi="Times New Roman" w:cs="Times New Roman"/>
                <w:lang w:eastAsia="en-PH"/>
              </w:rPr>
            </w:pPr>
          </w:p>
          <w:p w14:paraId="1D76D07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1991–2019</w:t>
            </w:r>
          </w:p>
        </w:tc>
        <w:tc>
          <w:tcPr>
            <w:tcW w:w="2268" w:type="dxa"/>
            <w:hideMark/>
          </w:tcPr>
          <w:p w14:paraId="7227FCE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price, FDI, GDP reduce unemployment (long run)</w:t>
            </w:r>
          </w:p>
        </w:tc>
        <w:tc>
          <w:tcPr>
            <w:tcW w:w="3593" w:type="dxa"/>
            <w:hideMark/>
          </w:tcPr>
          <w:p w14:paraId="031E3969" w14:textId="77777777" w:rsidR="00A27D1C" w:rsidRPr="00CF62F7" w:rsidRDefault="00A27D1C" w:rsidP="004D13C2">
            <w:pPr>
              <w:rPr>
                <w:rFonts w:ascii="Times New Roman" w:eastAsia="Times New Roman" w:hAnsi="Times New Roman" w:cs="Times New Roman"/>
                <w:lang w:eastAsia="en-PH"/>
              </w:rPr>
            </w:pPr>
          </w:p>
          <w:p w14:paraId="398D1EA0"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Unemployment, oil price threshold effects</w:t>
            </w:r>
          </w:p>
        </w:tc>
      </w:tr>
      <w:tr w:rsidR="00A27D1C" w:rsidRPr="00CF62F7" w14:paraId="51425023" w14:textId="77777777" w:rsidTr="004D13C2">
        <w:tc>
          <w:tcPr>
            <w:tcW w:w="675" w:type="dxa"/>
          </w:tcPr>
          <w:p w14:paraId="314FB077" w14:textId="77777777" w:rsidR="00A27D1C" w:rsidRPr="00CF62F7" w:rsidRDefault="00A27D1C" w:rsidP="004D13C2">
            <w:pPr>
              <w:rPr>
                <w:rFonts w:ascii="Times New Roman" w:eastAsia="Times New Roman" w:hAnsi="Times New Roman" w:cs="Times New Roman"/>
                <w:bCs/>
                <w:lang w:eastAsia="en-PH"/>
              </w:rPr>
            </w:pPr>
          </w:p>
          <w:p w14:paraId="593192C8" w14:textId="77777777" w:rsidR="00A27D1C" w:rsidRPr="00CF62F7" w:rsidRDefault="00A27D1C" w:rsidP="004D13C2">
            <w:pPr>
              <w:rPr>
                <w:rFonts w:ascii="Times New Roman" w:eastAsia="Times New Roman" w:hAnsi="Times New Roman" w:cs="Times New Roman"/>
                <w:bCs/>
                <w:lang w:eastAsia="en-PH"/>
              </w:rPr>
            </w:pPr>
          </w:p>
          <w:p w14:paraId="5DD8DC6B" w14:textId="77777777" w:rsidR="00A27D1C" w:rsidRPr="00CF62F7" w:rsidRDefault="00A27D1C" w:rsidP="004D13C2">
            <w:pPr>
              <w:rPr>
                <w:rFonts w:ascii="Times New Roman" w:eastAsia="Times New Roman" w:hAnsi="Times New Roman" w:cs="Times New Roman"/>
                <w:bCs/>
                <w:lang w:eastAsia="en-PH"/>
              </w:rPr>
            </w:pPr>
          </w:p>
          <w:p w14:paraId="638CE5F0"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12.</w:t>
            </w:r>
          </w:p>
        </w:tc>
        <w:tc>
          <w:tcPr>
            <w:tcW w:w="1700" w:type="dxa"/>
            <w:hideMark/>
          </w:tcPr>
          <w:p w14:paraId="2F5E05B3" w14:textId="77777777" w:rsidR="00A27D1C" w:rsidRPr="00CF62F7" w:rsidRDefault="00A27D1C" w:rsidP="004D13C2">
            <w:pPr>
              <w:rPr>
                <w:rFonts w:ascii="Times New Roman" w:eastAsia="Times New Roman" w:hAnsi="Times New Roman" w:cs="Times New Roman"/>
                <w:bCs/>
                <w:lang w:eastAsia="en-PH"/>
              </w:rPr>
            </w:pPr>
          </w:p>
          <w:p w14:paraId="450D71E1" w14:textId="77777777" w:rsidR="00A27D1C" w:rsidRDefault="00A27D1C" w:rsidP="004D13C2">
            <w:pPr>
              <w:rPr>
                <w:rFonts w:ascii="Times New Roman" w:eastAsia="Times New Roman" w:hAnsi="Times New Roman" w:cs="Times New Roman"/>
                <w:bCs/>
                <w:lang w:eastAsia="en-PH"/>
              </w:rPr>
            </w:pPr>
          </w:p>
          <w:p w14:paraId="2FD69404" w14:textId="77777777" w:rsidR="00A27D1C" w:rsidRDefault="00A27D1C" w:rsidP="004D13C2">
            <w:pPr>
              <w:rPr>
                <w:rFonts w:ascii="Times New Roman" w:eastAsia="Times New Roman" w:hAnsi="Times New Roman" w:cs="Times New Roman"/>
                <w:bCs/>
                <w:lang w:eastAsia="en-PH"/>
              </w:rPr>
            </w:pPr>
          </w:p>
          <w:p w14:paraId="55F917AC" w14:textId="77777777" w:rsidR="00A27D1C" w:rsidRDefault="00A27D1C" w:rsidP="004D13C2">
            <w:pPr>
              <w:rPr>
                <w:rFonts w:ascii="Times New Roman" w:eastAsia="Times New Roman" w:hAnsi="Times New Roman" w:cs="Times New Roman"/>
                <w:bCs/>
                <w:lang w:eastAsia="en-PH"/>
              </w:rPr>
            </w:pPr>
          </w:p>
          <w:p w14:paraId="500E007E"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Ye &amp; Chaiyapa (N/A, China &amp; Norway firms)</w:t>
            </w:r>
          </w:p>
        </w:tc>
        <w:tc>
          <w:tcPr>
            <w:tcW w:w="1702" w:type="dxa"/>
            <w:hideMark/>
          </w:tcPr>
          <w:p w14:paraId="4435C7E7" w14:textId="77777777" w:rsidR="00A27D1C" w:rsidRPr="00CF62F7" w:rsidRDefault="00A27D1C" w:rsidP="004D13C2">
            <w:pPr>
              <w:rPr>
                <w:rFonts w:ascii="Times New Roman" w:eastAsia="Times New Roman" w:hAnsi="Times New Roman" w:cs="Times New Roman"/>
                <w:lang w:eastAsia="en-PH"/>
              </w:rPr>
            </w:pPr>
          </w:p>
          <w:p w14:paraId="5E42B27F" w14:textId="77777777" w:rsidR="00A27D1C" w:rsidRDefault="00A27D1C" w:rsidP="004D13C2">
            <w:pPr>
              <w:rPr>
                <w:rFonts w:ascii="Times New Roman" w:eastAsia="Times New Roman" w:hAnsi="Times New Roman" w:cs="Times New Roman"/>
                <w:lang w:eastAsia="en-PH"/>
              </w:rPr>
            </w:pPr>
          </w:p>
          <w:p w14:paraId="3FC69A36" w14:textId="77777777" w:rsidR="00A27D1C" w:rsidRDefault="00A27D1C" w:rsidP="004D13C2">
            <w:pPr>
              <w:rPr>
                <w:rFonts w:ascii="Times New Roman" w:eastAsia="Times New Roman" w:hAnsi="Times New Roman" w:cs="Times New Roman"/>
                <w:lang w:eastAsia="en-PH"/>
              </w:rPr>
            </w:pPr>
          </w:p>
          <w:p w14:paraId="4116EEEC" w14:textId="77777777" w:rsidR="00A27D1C" w:rsidRDefault="00A27D1C" w:rsidP="004D13C2">
            <w:pPr>
              <w:rPr>
                <w:rFonts w:ascii="Times New Roman" w:eastAsia="Times New Roman" w:hAnsi="Times New Roman" w:cs="Times New Roman"/>
                <w:lang w:eastAsia="en-PH"/>
              </w:rPr>
            </w:pPr>
          </w:p>
          <w:p w14:paraId="27D89D6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Qualitative (thematic analysis)</w:t>
            </w:r>
          </w:p>
        </w:tc>
        <w:tc>
          <w:tcPr>
            <w:tcW w:w="1276" w:type="dxa"/>
            <w:hideMark/>
          </w:tcPr>
          <w:p w14:paraId="3C1ACE02"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China National Offshore Oil Corporation &amp; Equinor</w:t>
            </w:r>
          </w:p>
        </w:tc>
        <w:tc>
          <w:tcPr>
            <w:tcW w:w="2126" w:type="dxa"/>
            <w:hideMark/>
          </w:tcPr>
          <w:p w14:paraId="6B5E03E8" w14:textId="77777777" w:rsidR="00A27D1C" w:rsidRPr="00CF62F7" w:rsidRDefault="00A27D1C" w:rsidP="004D13C2">
            <w:pPr>
              <w:rPr>
                <w:rFonts w:ascii="Times New Roman" w:eastAsia="Times New Roman" w:hAnsi="Times New Roman" w:cs="Times New Roman"/>
                <w:lang w:eastAsia="en-PH"/>
              </w:rPr>
            </w:pPr>
          </w:p>
          <w:p w14:paraId="10C8CBAD" w14:textId="77777777" w:rsidR="00A27D1C" w:rsidRPr="00CF62F7" w:rsidRDefault="00A27D1C" w:rsidP="004D13C2">
            <w:pPr>
              <w:rPr>
                <w:rFonts w:ascii="Times New Roman" w:eastAsia="Times New Roman" w:hAnsi="Times New Roman" w:cs="Times New Roman"/>
                <w:lang w:eastAsia="en-PH"/>
              </w:rPr>
            </w:pPr>
          </w:p>
          <w:p w14:paraId="023A7103" w14:textId="77777777" w:rsidR="00A27D1C" w:rsidRDefault="00A27D1C" w:rsidP="004D13C2">
            <w:pPr>
              <w:rPr>
                <w:rFonts w:ascii="Times New Roman" w:eastAsia="Times New Roman" w:hAnsi="Times New Roman" w:cs="Times New Roman"/>
                <w:lang w:eastAsia="en-PH"/>
              </w:rPr>
            </w:pPr>
          </w:p>
          <w:p w14:paraId="170E264E" w14:textId="77777777" w:rsidR="00A27D1C" w:rsidRDefault="00A27D1C" w:rsidP="004D13C2">
            <w:pPr>
              <w:rPr>
                <w:rFonts w:ascii="Times New Roman" w:eastAsia="Times New Roman" w:hAnsi="Times New Roman" w:cs="Times New Roman"/>
                <w:lang w:eastAsia="en-PH"/>
              </w:rPr>
            </w:pPr>
          </w:p>
          <w:p w14:paraId="14E04A3E" w14:textId="77777777" w:rsidR="00A27D1C" w:rsidRDefault="00A27D1C" w:rsidP="004D13C2">
            <w:pPr>
              <w:rPr>
                <w:rFonts w:ascii="Times New Roman" w:eastAsia="Times New Roman" w:hAnsi="Times New Roman" w:cs="Times New Roman"/>
                <w:lang w:eastAsia="en-PH"/>
              </w:rPr>
            </w:pPr>
          </w:p>
          <w:p w14:paraId="7B8CF713"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MAXQDA thematic analysis</w:t>
            </w:r>
          </w:p>
        </w:tc>
        <w:tc>
          <w:tcPr>
            <w:tcW w:w="1276" w:type="dxa"/>
            <w:hideMark/>
          </w:tcPr>
          <w:p w14:paraId="69EF89D6" w14:textId="77777777" w:rsidR="00A27D1C" w:rsidRPr="00CF62F7" w:rsidRDefault="00A27D1C" w:rsidP="004D13C2">
            <w:pPr>
              <w:rPr>
                <w:rFonts w:ascii="Times New Roman" w:eastAsia="Times New Roman" w:hAnsi="Times New Roman" w:cs="Times New Roman"/>
                <w:lang w:eastAsia="en-PH"/>
              </w:rPr>
            </w:pPr>
          </w:p>
          <w:p w14:paraId="2587D35A" w14:textId="77777777" w:rsidR="00A27D1C" w:rsidRPr="00CF62F7" w:rsidRDefault="00A27D1C" w:rsidP="004D13C2">
            <w:pPr>
              <w:rPr>
                <w:rFonts w:ascii="Times New Roman" w:eastAsia="Times New Roman" w:hAnsi="Times New Roman" w:cs="Times New Roman"/>
                <w:lang w:eastAsia="en-PH"/>
              </w:rPr>
            </w:pPr>
          </w:p>
          <w:p w14:paraId="66C3D9CB" w14:textId="77777777" w:rsidR="00A27D1C" w:rsidRDefault="00A27D1C" w:rsidP="004D13C2">
            <w:pPr>
              <w:rPr>
                <w:rFonts w:ascii="Times New Roman" w:eastAsia="Times New Roman" w:hAnsi="Times New Roman" w:cs="Times New Roman"/>
                <w:lang w:eastAsia="en-PH"/>
              </w:rPr>
            </w:pPr>
          </w:p>
          <w:p w14:paraId="02872022" w14:textId="77777777" w:rsidR="00A27D1C" w:rsidRDefault="00A27D1C" w:rsidP="004D13C2">
            <w:pPr>
              <w:rPr>
                <w:rFonts w:ascii="Times New Roman" w:eastAsia="Times New Roman" w:hAnsi="Times New Roman" w:cs="Times New Roman"/>
                <w:lang w:eastAsia="en-PH"/>
              </w:rPr>
            </w:pPr>
          </w:p>
          <w:p w14:paraId="14E87499" w14:textId="77777777" w:rsidR="00A27D1C" w:rsidRDefault="00A27D1C" w:rsidP="004D13C2">
            <w:pPr>
              <w:rPr>
                <w:rFonts w:ascii="Times New Roman" w:eastAsia="Times New Roman" w:hAnsi="Times New Roman" w:cs="Times New Roman"/>
                <w:lang w:eastAsia="en-PH"/>
              </w:rPr>
            </w:pPr>
          </w:p>
          <w:p w14:paraId="34CDC68F" w14:textId="77777777" w:rsidR="00A27D1C" w:rsidRDefault="00A27D1C" w:rsidP="004D13C2">
            <w:pPr>
              <w:rPr>
                <w:rFonts w:ascii="Times New Roman" w:eastAsia="Times New Roman" w:hAnsi="Times New Roman" w:cs="Times New Roman"/>
                <w:lang w:eastAsia="en-PH"/>
              </w:rPr>
            </w:pPr>
          </w:p>
          <w:p w14:paraId="55473689"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2019–2022</w:t>
            </w:r>
          </w:p>
        </w:tc>
        <w:tc>
          <w:tcPr>
            <w:tcW w:w="2268" w:type="dxa"/>
            <w:hideMark/>
          </w:tcPr>
          <w:p w14:paraId="280416C3" w14:textId="77777777" w:rsidR="00A27D1C" w:rsidRPr="00CF62F7" w:rsidRDefault="00A27D1C" w:rsidP="004D13C2">
            <w:pPr>
              <w:rPr>
                <w:rFonts w:ascii="Times New Roman" w:eastAsia="Times New Roman" w:hAnsi="Times New Roman" w:cs="Times New Roman"/>
                <w:lang w:eastAsia="en-PH"/>
              </w:rPr>
            </w:pPr>
          </w:p>
          <w:p w14:paraId="3FEA0D62" w14:textId="77777777" w:rsidR="00A27D1C" w:rsidRDefault="00A27D1C" w:rsidP="004D13C2">
            <w:pPr>
              <w:rPr>
                <w:rFonts w:ascii="Times New Roman" w:eastAsia="Times New Roman" w:hAnsi="Times New Roman" w:cs="Times New Roman"/>
                <w:lang w:eastAsia="en-PH"/>
              </w:rPr>
            </w:pPr>
          </w:p>
          <w:p w14:paraId="11103A94" w14:textId="77777777" w:rsidR="00A27D1C" w:rsidRDefault="00A27D1C" w:rsidP="004D13C2">
            <w:pPr>
              <w:rPr>
                <w:rFonts w:ascii="Times New Roman" w:eastAsia="Times New Roman" w:hAnsi="Times New Roman" w:cs="Times New Roman"/>
                <w:lang w:eastAsia="en-PH"/>
              </w:rPr>
            </w:pPr>
          </w:p>
          <w:p w14:paraId="36A3E84D" w14:textId="77777777" w:rsidR="00A27D1C" w:rsidRDefault="00A27D1C" w:rsidP="004D13C2">
            <w:pPr>
              <w:rPr>
                <w:rFonts w:ascii="Times New Roman" w:eastAsia="Times New Roman" w:hAnsi="Times New Roman" w:cs="Times New Roman"/>
                <w:lang w:eastAsia="en-PH"/>
              </w:rPr>
            </w:pPr>
          </w:p>
          <w:p w14:paraId="4913B61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Governance affects energy resilience differently</w:t>
            </w:r>
          </w:p>
        </w:tc>
        <w:tc>
          <w:tcPr>
            <w:tcW w:w="3593" w:type="dxa"/>
            <w:hideMark/>
          </w:tcPr>
          <w:p w14:paraId="143CEA85" w14:textId="77777777" w:rsidR="00A27D1C" w:rsidRDefault="00A27D1C" w:rsidP="004D13C2">
            <w:pPr>
              <w:rPr>
                <w:rFonts w:ascii="Times New Roman" w:eastAsia="Times New Roman" w:hAnsi="Times New Roman" w:cs="Times New Roman"/>
                <w:lang w:eastAsia="en-PH"/>
              </w:rPr>
            </w:pPr>
          </w:p>
          <w:p w14:paraId="7FFDAE34" w14:textId="77777777" w:rsidR="00A27D1C" w:rsidRDefault="00A27D1C" w:rsidP="004D13C2">
            <w:pPr>
              <w:rPr>
                <w:rFonts w:ascii="Times New Roman" w:eastAsia="Times New Roman" w:hAnsi="Times New Roman" w:cs="Times New Roman"/>
                <w:lang w:eastAsia="en-PH"/>
              </w:rPr>
            </w:pPr>
          </w:p>
          <w:p w14:paraId="42110271" w14:textId="77777777" w:rsidR="00A27D1C" w:rsidRDefault="00A27D1C" w:rsidP="004D13C2">
            <w:pPr>
              <w:rPr>
                <w:rFonts w:ascii="Times New Roman" w:eastAsia="Times New Roman" w:hAnsi="Times New Roman" w:cs="Times New Roman"/>
                <w:lang w:eastAsia="en-PH"/>
              </w:rPr>
            </w:pPr>
          </w:p>
          <w:p w14:paraId="21978524" w14:textId="77777777" w:rsidR="00A27D1C" w:rsidRDefault="00A27D1C" w:rsidP="004D13C2">
            <w:pPr>
              <w:rPr>
                <w:rFonts w:ascii="Times New Roman" w:eastAsia="Times New Roman" w:hAnsi="Times New Roman" w:cs="Times New Roman"/>
                <w:lang w:eastAsia="en-PH"/>
              </w:rPr>
            </w:pPr>
          </w:p>
          <w:p w14:paraId="4CDB729F" w14:textId="77777777" w:rsidR="00A27D1C" w:rsidRDefault="00A27D1C" w:rsidP="004D13C2">
            <w:pPr>
              <w:rPr>
                <w:rFonts w:ascii="Times New Roman" w:eastAsia="Times New Roman" w:hAnsi="Times New Roman" w:cs="Times New Roman"/>
                <w:lang w:eastAsia="en-PH"/>
              </w:rPr>
            </w:pPr>
          </w:p>
          <w:p w14:paraId="19C90E9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Energy resilience (coping, adaptive, transformative capacity)</w:t>
            </w:r>
          </w:p>
        </w:tc>
      </w:tr>
      <w:tr w:rsidR="00A27D1C" w:rsidRPr="00CF62F7" w14:paraId="4F36E62D" w14:textId="77777777" w:rsidTr="004D13C2">
        <w:tc>
          <w:tcPr>
            <w:tcW w:w="675" w:type="dxa"/>
          </w:tcPr>
          <w:p w14:paraId="780923E8" w14:textId="77777777" w:rsidR="00A27D1C" w:rsidRPr="00CF62F7" w:rsidRDefault="00A27D1C" w:rsidP="004D13C2">
            <w:pPr>
              <w:rPr>
                <w:rFonts w:ascii="Times New Roman" w:eastAsia="Times New Roman" w:hAnsi="Times New Roman" w:cs="Times New Roman"/>
                <w:bCs/>
                <w:lang w:eastAsia="en-PH"/>
              </w:rPr>
            </w:pPr>
          </w:p>
          <w:p w14:paraId="11B36947" w14:textId="77777777" w:rsidR="00A27D1C" w:rsidRPr="00CF62F7" w:rsidRDefault="00A27D1C" w:rsidP="004D13C2">
            <w:pPr>
              <w:rPr>
                <w:rFonts w:ascii="Times New Roman" w:eastAsia="Times New Roman" w:hAnsi="Times New Roman" w:cs="Times New Roman"/>
                <w:bCs/>
                <w:lang w:eastAsia="en-PH"/>
              </w:rPr>
            </w:pPr>
          </w:p>
          <w:p w14:paraId="2ADA9526" w14:textId="77777777" w:rsidR="00A27D1C" w:rsidRPr="00CF62F7" w:rsidRDefault="00A27D1C" w:rsidP="004D13C2">
            <w:pPr>
              <w:rPr>
                <w:rFonts w:ascii="Times New Roman" w:eastAsia="Times New Roman" w:hAnsi="Times New Roman" w:cs="Times New Roman"/>
                <w:bCs/>
                <w:lang w:eastAsia="en-PH"/>
              </w:rPr>
            </w:pPr>
          </w:p>
          <w:p w14:paraId="1E9889CE"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13.</w:t>
            </w:r>
          </w:p>
        </w:tc>
        <w:tc>
          <w:tcPr>
            <w:tcW w:w="1700" w:type="dxa"/>
            <w:hideMark/>
          </w:tcPr>
          <w:p w14:paraId="5CEB63C0" w14:textId="77777777" w:rsidR="00A27D1C" w:rsidRPr="00CF62F7" w:rsidRDefault="00A27D1C" w:rsidP="004D13C2">
            <w:pPr>
              <w:rPr>
                <w:rFonts w:ascii="Times New Roman" w:eastAsia="Times New Roman" w:hAnsi="Times New Roman" w:cs="Times New Roman"/>
                <w:bCs/>
                <w:lang w:eastAsia="en-PH"/>
              </w:rPr>
            </w:pPr>
          </w:p>
          <w:p w14:paraId="4D5E9444"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Sadeghi et al. (N/A, United States)</w:t>
            </w:r>
          </w:p>
        </w:tc>
        <w:tc>
          <w:tcPr>
            <w:tcW w:w="1702" w:type="dxa"/>
            <w:hideMark/>
          </w:tcPr>
          <w:p w14:paraId="406AD489" w14:textId="77777777" w:rsidR="00A27D1C" w:rsidRPr="00CF62F7" w:rsidRDefault="00A27D1C" w:rsidP="004D13C2">
            <w:pPr>
              <w:rPr>
                <w:rFonts w:ascii="Times New Roman" w:eastAsia="Times New Roman" w:hAnsi="Times New Roman" w:cs="Times New Roman"/>
                <w:lang w:eastAsia="en-PH"/>
              </w:rPr>
            </w:pPr>
          </w:p>
          <w:p w14:paraId="5D6871D2" w14:textId="77777777" w:rsidR="00A27D1C" w:rsidRPr="00CF62F7" w:rsidRDefault="00A27D1C" w:rsidP="004D13C2">
            <w:pPr>
              <w:rPr>
                <w:rFonts w:ascii="Times New Roman" w:eastAsia="Times New Roman" w:hAnsi="Times New Roman" w:cs="Times New Roman"/>
                <w:lang w:eastAsia="en-PH"/>
              </w:rPr>
            </w:pPr>
          </w:p>
          <w:p w14:paraId="0AE36E44"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(TSVAR)</w:t>
            </w:r>
          </w:p>
        </w:tc>
        <w:tc>
          <w:tcPr>
            <w:tcW w:w="1276" w:type="dxa"/>
            <w:hideMark/>
          </w:tcPr>
          <w:p w14:paraId="5209EC89" w14:textId="77777777" w:rsidR="00A27D1C" w:rsidRPr="00CF62F7" w:rsidRDefault="00A27D1C" w:rsidP="004D13C2">
            <w:pPr>
              <w:rPr>
                <w:rFonts w:ascii="Times New Roman" w:eastAsia="Times New Roman" w:hAnsi="Times New Roman" w:cs="Times New Roman"/>
                <w:lang w:eastAsia="en-PH"/>
              </w:rPr>
            </w:pPr>
          </w:p>
          <w:p w14:paraId="61C428B2" w14:textId="77777777" w:rsidR="00A27D1C" w:rsidRPr="00CF62F7" w:rsidRDefault="00A27D1C" w:rsidP="004D13C2">
            <w:pPr>
              <w:rPr>
                <w:rFonts w:ascii="Times New Roman" w:eastAsia="Times New Roman" w:hAnsi="Times New Roman" w:cs="Times New Roman"/>
                <w:lang w:eastAsia="en-PH"/>
              </w:rPr>
            </w:pPr>
          </w:p>
          <w:p w14:paraId="3D5A2834" w14:textId="77777777" w:rsidR="00A27D1C" w:rsidRPr="00CF62F7" w:rsidRDefault="00A27D1C" w:rsidP="004D13C2">
            <w:pPr>
              <w:rPr>
                <w:rFonts w:ascii="Times New Roman" w:eastAsia="Times New Roman" w:hAnsi="Times New Roman" w:cs="Times New Roman"/>
                <w:lang w:eastAsia="en-PH"/>
              </w:rPr>
            </w:pPr>
          </w:p>
          <w:p w14:paraId="46C5302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USA</w:t>
            </w:r>
          </w:p>
        </w:tc>
        <w:tc>
          <w:tcPr>
            <w:tcW w:w="2126" w:type="dxa"/>
            <w:hideMark/>
          </w:tcPr>
          <w:p w14:paraId="15D60DA9" w14:textId="77777777" w:rsidR="00A27D1C" w:rsidRPr="00CF62F7" w:rsidRDefault="00A27D1C" w:rsidP="004D13C2">
            <w:pPr>
              <w:rPr>
                <w:rFonts w:ascii="Times New Roman" w:eastAsia="Times New Roman" w:hAnsi="Times New Roman" w:cs="Times New Roman"/>
                <w:lang w:eastAsia="en-PH"/>
              </w:rPr>
            </w:pPr>
          </w:p>
          <w:p w14:paraId="4FD6C1AB" w14:textId="77777777" w:rsidR="00A27D1C" w:rsidRPr="00CF62F7" w:rsidRDefault="00A27D1C" w:rsidP="004D13C2">
            <w:pPr>
              <w:rPr>
                <w:rFonts w:ascii="Times New Roman" w:eastAsia="Times New Roman" w:hAnsi="Times New Roman" w:cs="Times New Roman"/>
                <w:lang w:eastAsia="en-PH"/>
              </w:rPr>
            </w:pPr>
          </w:p>
          <w:p w14:paraId="7CD09C94" w14:textId="77777777" w:rsidR="00A27D1C" w:rsidRPr="00CF62F7" w:rsidRDefault="00A27D1C" w:rsidP="004D13C2">
            <w:pPr>
              <w:rPr>
                <w:rFonts w:ascii="Times New Roman" w:eastAsia="Times New Roman" w:hAnsi="Times New Roman" w:cs="Times New Roman"/>
                <w:lang w:eastAsia="en-PH"/>
              </w:rPr>
            </w:pPr>
          </w:p>
          <w:p w14:paraId="6A13C356"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Threshold SVAR</w:t>
            </w:r>
          </w:p>
        </w:tc>
        <w:tc>
          <w:tcPr>
            <w:tcW w:w="1276" w:type="dxa"/>
            <w:hideMark/>
          </w:tcPr>
          <w:p w14:paraId="1339B7E6" w14:textId="77777777" w:rsidR="00A27D1C" w:rsidRPr="00CF62F7" w:rsidRDefault="00A27D1C" w:rsidP="004D13C2">
            <w:pPr>
              <w:rPr>
                <w:rFonts w:ascii="Times New Roman" w:eastAsia="Times New Roman" w:hAnsi="Times New Roman" w:cs="Times New Roman"/>
                <w:lang w:eastAsia="en-PH"/>
              </w:rPr>
            </w:pPr>
          </w:p>
          <w:p w14:paraId="2850BD7C" w14:textId="77777777" w:rsidR="00A27D1C" w:rsidRPr="00CF62F7" w:rsidRDefault="00A27D1C" w:rsidP="004D13C2">
            <w:pPr>
              <w:rPr>
                <w:rFonts w:ascii="Times New Roman" w:eastAsia="Times New Roman" w:hAnsi="Times New Roman" w:cs="Times New Roman"/>
                <w:lang w:eastAsia="en-PH"/>
              </w:rPr>
            </w:pPr>
          </w:p>
          <w:p w14:paraId="3C820A1A" w14:textId="77777777" w:rsidR="00A27D1C" w:rsidRDefault="00A27D1C" w:rsidP="004D13C2">
            <w:pPr>
              <w:rPr>
                <w:rFonts w:ascii="Times New Roman" w:eastAsia="Times New Roman" w:hAnsi="Times New Roman" w:cs="Times New Roman"/>
                <w:lang w:eastAsia="en-PH"/>
              </w:rPr>
            </w:pPr>
          </w:p>
          <w:p w14:paraId="63CA48EE"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2012–2019</w:t>
            </w:r>
          </w:p>
        </w:tc>
        <w:tc>
          <w:tcPr>
            <w:tcW w:w="2268" w:type="dxa"/>
            <w:hideMark/>
          </w:tcPr>
          <w:p w14:paraId="625CC938"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shocks affect green bonds (short-term, extended with institutions)</w:t>
            </w:r>
          </w:p>
        </w:tc>
        <w:tc>
          <w:tcPr>
            <w:tcW w:w="3593" w:type="dxa"/>
            <w:hideMark/>
          </w:tcPr>
          <w:p w14:paraId="1CA065BA" w14:textId="77777777" w:rsidR="00A27D1C" w:rsidRPr="00CF62F7" w:rsidRDefault="00A27D1C" w:rsidP="004D13C2">
            <w:pPr>
              <w:rPr>
                <w:rFonts w:ascii="Times New Roman" w:eastAsia="Times New Roman" w:hAnsi="Times New Roman" w:cs="Times New Roman"/>
                <w:lang w:eastAsia="en-PH"/>
              </w:rPr>
            </w:pPr>
          </w:p>
          <w:p w14:paraId="506B5820" w14:textId="77777777" w:rsidR="00A27D1C" w:rsidRPr="00CF62F7" w:rsidRDefault="00A27D1C" w:rsidP="004D13C2">
            <w:pPr>
              <w:rPr>
                <w:rFonts w:ascii="Times New Roman" w:eastAsia="Times New Roman" w:hAnsi="Times New Roman" w:cs="Times New Roman"/>
                <w:lang w:eastAsia="en-PH"/>
              </w:rPr>
            </w:pPr>
          </w:p>
          <w:p w14:paraId="4120AF5F" w14:textId="77777777" w:rsidR="00A27D1C" w:rsidRDefault="00A27D1C" w:rsidP="004D13C2">
            <w:pPr>
              <w:rPr>
                <w:rFonts w:ascii="Times New Roman" w:eastAsia="Times New Roman" w:hAnsi="Times New Roman" w:cs="Times New Roman"/>
                <w:lang w:eastAsia="en-PH"/>
              </w:rPr>
            </w:pPr>
          </w:p>
          <w:p w14:paraId="1DF4B0F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Green bonds, institutional quality</w:t>
            </w:r>
          </w:p>
        </w:tc>
      </w:tr>
      <w:tr w:rsidR="00A27D1C" w:rsidRPr="00CF62F7" w14:paraId="47CD100A" w14:textId="77777777" w:rsidTr="004D13C2">
        <w:tc>
          <w:tcPr>
            <w:tcW w:w="675" w:type="dxa"/>
          </w:tcPr>
          <w:p w14:paraId="08292764" w14:textId="77777777" w:rsidR="00A27D1C" w:rsidRPr="00CF62F7" w:rsidRDefault="00A27D1C" w:rsidP="004D13C2">
            <w:pPr>
              <w:rPr>
                <w:rFonts w:ascii="Times New Roman" w:eastAsia="Times New Roman" w:hAnsi="Times New Roman" w:cs="Times New Roman"/>
                <w:bCs/>
                <w:lang w:eastAsia="en-PH"/>
              </w:rPr>
            </w:pPr>
          </w:p>
          <w:p w14:paraId="2DD8CF0B" w14:textId="77777777" w:rsidR="00A27D1C" w:rsidRPr="00CF62F7" w:rsidRDefault="00A27D1C" w:rsidP="004D13C2">
            <w:pPr>
              <w:rPr>
                <w:rFonts w:ascii="Times New Roman" w:eastAsia="Times New Roman" w:hAnsi="Times New Roman" w:cs="Times New Roman"/>
                <w:bCs/>
                <w:lang w:eastAsia="en-PH"/>
              </w:rPr>
            </w:pPr>
          </w:p>
          <w:p w14:paraId="718B96CF" w14:textId="77777777" w:rsidR="00A27D1C" w:rsidRPr="00CF62F7" w:rsidRDefault="00A27D1C" w:rsidP="004D13C2">
            <w:pPr>
              <w:rPr>
                <w:rFonts w:ascii="Times New Roman" w:eastAsia="Times New Roman" w:hAnsi="Times New Roman" w:cs="Times New Roman"/>
                <w:bCs/>
                <w:lang w:eastAsia="en-PH"/>
              </w:rPr>
            </w:pPr>
          </w:p>
          <w:p w14:paraId="13257DC9" w14:textId="77777777" w:rsidR="00A27D1C" w:rsidRPr="00CF62F7" w:rsidRDefault="00A27D1C" w:rsidP="004D13C2">
            <w:pPr>
              <w:rPr>
                <w:rFonts w:ascii="Times New Roman" w:eastAsia="Times New Roman" w:hAnsi="Times New Roman" w:cs="Times New Roman"/>
                <w:bCs/>
                <w:lang w:eastAsia="en-PH"/>
              </w:rPr>
            </w:pPr>
            <w:r w:rsidRPr="00CF62F7">
              <w:rPr>
                <w:rFonts w:ascii="Times New Roman" w:eastAsia="Times New Roman" w:hAnsi="Times New Roman" w:cs="Times New Roman"/>
                <w:bCs/>
                <w:lang w:eastAsia="en-PH"/>
              </w:rPr>
              <w:t>14.</w:t>
            </w:r>
          </w:p>
        </w:tc>
        <w:tc>
          <w:tcPr>
            <w:tcW w:w="1700" w:type="dxa"/>
            <w:hideMark/>
          </w:tcPr>
          <w:p w14:paraId="205741CB" w14:textId="77777777" w:rsidR="00A27D1C" w:rsidRPr="00CF62F7" w:rsidRDefault="00A27D1C" w:rsidP="004D13C2">
            <w:pPr>
              <w:rPr>
                <w:rFonts w:ascii="Times New Roman" w:eastAsia="Times New Roman" w:hAnsi="Times New Roman" w:cs="Times New Roman"/>
                <w:bCs/>
                <w:lang w:eastAsia="en-PH"/>
              </w:rPr>
            </w:pPr>
          </w:p>
          <w:p w14:paraId="4E83BDF2" w14:textId="77777777" w:rsidR="00A27D1C" w:rsidRPr="00CF62F7" w:rsidRDefault="00A27D1C" w:rsidP="004D13C2">
            <w:pPr>
              <w:rPr>
                <w:rFonts w:ascii="Times New Roman" w:eastAsia="Times New Roman" w:hAnsi="Times New Roman" w:cs="Times New Roman"/>
                <w:bCs/>
                <w:lang w:eastAsia="en-PH"/>
              </w:rPr>
            </w:pPr>
          </w:p>
          <w:p w14:paraId="2F1AC568" w14:textId="77777777" w:rsidR="00A27D1C" w:rsidRDefault="00A27D1C" w:rsidP="004D13C2">
            <w:pPr>
              <w:rPr>
                <w:rFonts w:ascii="Times New Roman" w:eastAsia="Times New Roman" w:hAnsi="Times New Roman" w:cs="Times New Roman"/>
                <w:bCs/>
                <w:lang w:eastAsia="en-PH"/>
              </w:rPr>
            </w:pPr>
          </w:p>
          <w:p w14:paraId="3113EE1D" w14:textId="77777777" w:rsidR="00A27D1C" w:rsidRPr="00294E92" w:rsidRDefault="00A27D1C" w:rsidP="004D13C2">
            <w:pPr>
              <w:rPr>
                <w:rFonts w:ascii="Times New Roman" w:eastAsia="Times New Roman" w:hAnsi="Times New Roman" w:cs="Times New Roman"/>
                <w:lang w:eastAsia="en-PH"/>
              </w:rPr>
            </w:pPr>
            <w:r w:rsidRPr="00CF62F7">
              <w:rPr>
                <w:rFonts w:ascii="Times New Roman" w:eastAsia="Times New Roman" w:hAnsi="Times New Roman" w:cs="Times New Roman"/>
                <w:bCs/>
                <w:lang w:eastAsia="en-PH"/>
              </w:rPr>
              <w:t>Ayeni et al. (N/A, Nigeria)</w:t>
            </w:r>
          </w:p>
        </w:tc>
        <w:tc>
          <w:tcPr>
            <w:tcW w:w="1702" w:type="dxa"/>
            <w:hideMark/>
          </w:tcPr>
          <w:p w14:paraId="64A2A560" w14:textId="77777777" w:rsidR="00A27D1C" w:rsidRPr="00CF62F7" w:rsidRDefault="00A27D1C" w:rsidP="004D13C2">
            <w:pPr>
              <w:rPr>
                <w:rFonts w:ascii="Times New Roman" w:eastAsia="Times New Roman" w:hAnsi="Times New Roman" w:cs="Times New Roman"/>
                <w:lang w:eastAsia="en-PH"/>
              </w:rPr>
            </w:pPr>
          </w:p>
          <w:p w14:paraId="4EAF41B8" w14:textId="77777777" w:rsidR="00A27D1C" w:rsidRDefault="00A27D1C" w:rsidP="004D13C2">
            <w:pPr>
              <w:rPr>
                <w:rFonts w:ascii="Times New Roman" w:eastAsia="Times New Roman" w:hAnsi="Times New Roman" w:cs="Times New Roman"/>
                <w:lang w:eastAsia="en-PH"/>
              </w:rPr>
            </w:pPr>
          </w:p>
          <w:p w14:paraId="347914A0"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Quantitative (econometric analysis)</w:t>
            </w:r>
          </w:p>
        </w:tc>
        <w:tc>
          <w:tcPr>
            <w:tcW w:w="1276" w:type="dxa"/>
            <w:hideMark/>
          </w:tcPr>
          <w:p w14:paraId="2418FD5E" w14:textId="77777777" w:rsidR="00A27D1C" w:rsidRPr="00CF62F7" w:rsidRDefault="00A27D1C" w:rsidP="004D13C2">
            <w:pPr>
              <w:rPr>
                <w:rFonts w:ascii="Times New Roman" w:eastAsia="Times New Roman" w:hAnsi="Times New Roman" w:cs="Times New Roman"/>
                <w:lang w:eastAsia="en-PH"/>
              </w:rPr>
            </w:pPr>
          </w:p>
          <w:p w14:paraId="6DBCBE4F" w14:textId="77777777" w:rsidR="00A27D1C" w:rsidRPr="00CF62F7" w:rsidRDefault="00A27D1C" w:rsidP="004D13C2">
            <w:pPr>
              <w:rPr>
                <w:rFonts w:ascii="Times New Roman" w:eastAsia="Times New Roman" w:hAnsi="Times New Roman" w:cs="Times New Roman"/>
                <w:lang w:eastAsia="en-PH"/>
              </w:rPr>
            </w:pPr>
          </w:p>
          <w:p w14:paraId="7CDDE19E" w14:textId="77777777" w:rsidR="00A27D1C" w:rsidRPr="00CF62F7" w:rsidRDefault="00A27D1C" w:rsidP="004D13C2">
            <w:pPr>
              <w:rPr>
                <w:rFonts w:ascii="Times New Roman" w:eastAsia="Times New Roman" w:hAnsi="Times New Roman" w:cs="Times New Roman"/>
                <w:lang w:eastAsia="en-PH"/>
              </w:rPr>
            </w:pPr>
          </w:p>
          <w:p w14:paraId="67257397" w14:textId="77777777" w:rsidR="00A27D1C" w:rsidRDefault="00A27D1C" w:rsidP="004D13C2">
            <w:pPr>
              <w:rPr>
                <w:rFonts w:ascii="Times New Roman" w:eastAsia="Times New Roman" w:hAnsi="Times New Roman" w:cs="Times New Roman"/>
                <w:lang w:eastAsia="en-PH"/>
              </w:rPr>
            </w:pPr>
          </w:p>
          <w:p w14:paraId="22D0582D"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Nigeria</w:t>
            </w:r>
          </w:p>
        </w:tc>
        <w:tc>
          <w:tcPr>
            <w:tcW w:w="2126" w:type="dxa"/>
            <w:hideMark/>
          </w:tcPr>
          <w:p w14:paraId="2DD3748A" w14:textId="77777777" w:rsidR="00A27D1C" w:rsidRPr="00CF62F7" w:rsidRDefault="00A27D1C" w:rsidP="004D13C2">
            <w:pPr>
              <w:rPr>
                <w:rFonts w:ascii="Times New Roman" w:eastAsia="Times New Roman" w:hAnsi="Times New Roman" w:cs="Times New Roman"/>
                <w:lang w:eastAsia="en-PH"/>
              </w:rPr>
            </w:pPr>
          </w:p>
          <w:p w14:paraId="242AA2D5" w14:textId="77777777" w:rsidR="00A27D1C" w:rsidRPr="00CF62F7" w:rsidRDefault="00A27D1C" w:rsidP="004D13C2">
            <w:pPr>
              <w:rPr>
                <w:rFonts w:ascii="Times New Roman" w:eastAsia="Times New Roman" w:hAnsi="Times New Roman" w:cs="Times New Roman"/>
                <w:lang w:eastAsia="en-PH"/>
              </w:rPr>
            </w:pPr>
          </w:p>
          <w:p w14:paraId="12B590E9" w14:textId="77777777" w:rsidR="00A27D1C" w:rsidRDefault="00A27D1C" w:rsidP="004D13C2">
            <w:pPr>
              <w:rPr>
                <w:rFonts w:ascii="Times New Roman" w:eastAsia="Times New Roman" w:hAnsi="Times New Roman" w:cs="Times New Roman"/>
                <w:lang w:eastAsia="en-PH"/>
              </w:rPr>
            </w:pPr>
          </w:p>
          <w:p w14:paraId="5A84F1B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Macroeconomic modeling</w:t>
            </w:r>
          </w:p>
        </w:tc>
        <w:tc>
          <w:tcPr>
            <w:tcW w:w="1276" w:type="dxa"/>
            <w:hideMark/>
          </w:tcPr>
          <w:p w14:paraId="3939E6BA" w14:textId="77777777" w:rsidR="00A27D1C" w:rsidRPr="00CF62F7" w:rsidRDefault="00A27D1C" w:rsidP="004D13C2">
            <w:pPr>
              <w:rPr>
                <w:rFonts w:ascii="Times New Roman" w:eastAsia="Times New Roman" w:hAnsi="Times New Roman" w:cs="Times New Roman"/>
                <w:lang w:eastAsia="en-PH"/>
              </w:rPr>
            </w:pPr>
          </w:p>
          <w:p w14:paraId="7D5540F6" w14:textId="77777777" w:rsidR="00A27D1C" w:rsidRPr="00CF62F7" w:rsidRDefault="00A27D1C" w:rsidP="004D13C2">
            <w:pPr>
              <w:rPr>
                <w:rFonts w:ascii="Times New Roman" w:eastAsia="Times New Roman" w:hAnsi="Times New Roman" w:cs="Times New Roman"/>
                <w:lang w:eastAsia="en-PH"/>
              </w:rPr>
            </w:pPr>
          </w:p>
          <w:p w14:paraId="4AAA23F0" w14:textId="77777777" w:rsidR="00A27D1C" w:rsidRDefault="00A27D1C" w:rsidP="004D13C2">
            <w:pPr>
              <w:rPr>
                <w:rFonts w:ascii="Times New Roman" w:eastAsia="Times New Roman" w:hAnsi="Times New Roman" w:cs="Times New Roman"/>
                <w:lang w:eastAsia="en-PH"/>
              </w:rPr>
            </w:pPr>
          </w:p>
          <w:p w14:paraId="7C3190B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Not specified</w:t>
            </w:r>
          </w:p>
        </w:tc>
        <w:tc>
          <w:tcPr>
            <w:tcW w:w="2268" w:type="dxa"/>
            <w:hideMark/>
          </w:tcPr>
          <w:p w14:paraId="1489B737"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Oil revenue not significant; macro variables affect exchange rate misalignment</w:t>
            </w:r>
          </w:p>
        </w:tc>
        <w:tc>
          <w:tcPr>
            <w:tcW w:w="3593" w:type="dxa"/>
            <w:hideMark/>
          </w:tcPr>
          <w:p w14:paraId="024680D7" w14:textId="77777777" w:rsidR="00A27D1C" w:rsidRPr="00CF62F7" w:rsidRDefault="00A27D1C" w:rsidP="004D13C2">
            <w:pPr>
              <w:rPr>
                <w:rFonts w:ascii="Times New Roman" w:eastAsia="Times New Roman" w:hAnsi="Times New Roman" w:cs="Times New Roman"/>
                <w:lang w:eastAsia="en-PH"/>
              </w:rPr>
            </w:pPr>
          </w:p>
          <w:p w14:paraId="65C972FF" w14:textId="77777777" w:rsidR="00A27D1C" w:rsidRDefault="00A27D1C" w:rsidP="004D13C2">
            <w:pPr>
              <w:rPr>
                <w:rFonts w:ascii="Times New Roman" w:eastAsia="Times New Roman" w:hAnsi="Times New Roman" w:cs="Times New Roman"/>
                <w:lang w:eastAsia="en-PH"/>
              </w:rPr>
            </w:pPr>
          </w:p>
          <w:p w14:paraId="7C4D97FF" w14:textId="77777777" w:rsidR="00A27D1C" w:rsidRPr="00294E92" w:rsidRDefault="00A27D1C" w:rsidP="004D13C2">
            <w:pPr>
              <w:rPr>
                <w:rFonts w:ascii="Times New Roman" w:eastAsia="Times New Roman" w:hAnsi="Times New Roman" w:cs="Times New Roman"/>
                <w:lang w:eastAsia="en-PH"/>
              </w:rPr>
            </w:pPr>
            <w:r w:rsidRPr="00294E92">
              <w:rPr>
                <w:rFonts w:ascii="Times New Roman" w:eastAsia="Times New Roman" w:hAnsi="Times New Roman" w:cs="Times New Roman"/>
                <w:lang w:eastAsia="en-PH"/>
              </w:rPr>
              <w:t>Exchange rate misalignment, macro variables</w:t>
            </w:r>
          </w:p>
        </w:tc>
      </w:tr>
    </w:tbl>
    <w:p w14:paraId="20ED39F5" w14:textId="77777777" w:rsidR="00A27D1C" w:rsidRPr="00CF62F7" w:rsidRDefault="00A27D1C" w:rsidP="00A27D1C">
      <w:pPr>
        <w:rPr>
          <w:rFonts w:ascii="Times New Roman" w:hAnsi="Times New Roman" w:cs="Times New Roman"/>
        </w:rPr>
      </w:pPr>
    </w:p>
    <w:bookmarkEnd w:id="0"/>
    <w:p w14:paraId="7A2DB709" w14:textId="77777777" w:rsidR="00A27D1C" w:rsidRPr="003E1422" w:rsidRDefault="00A27D1C" w:rsidP="003E1422">
      <w:pPr>
        <w:jc w:val="center"/>
        <w:rPr>
          <w:rFonts w:ascii="Times New Roman" w:hAnsi="Times New Roman" w:cs="Times New Roman"/>
          <w:sz w:val="24"/>
          <w:szCs w:val="24"/>
        </w:rPr>
      </w:pPr>
    </w:p>
    <w:sectPr w:rsidR="00A27D1C" w:rsidRPr="003E1422" w:rsidSect="00A27D1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4A7E9" w14:textId="77777777" w:rsidR="006144C4" w:rsidRDefault="006144C4" w:rsidP="001C0BB9">
      <w:pPr>
        <w:spacing w:after="0" w:line="240" w:lineRule="auto"/>
      </w:pPr>
      <w:r>
        <w:separator/>
      </w:r>
    </w:p>
  </w:endnote>
  <w:endnote w:type="continuationSeparator" w:id="0">
    <w:p w14:paraId="4B9919F0" w14:textId="77777777" w:rsidR="006144C4" w:rsidRDefault="006144C4" w:rsidP="001C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48C6D" w14:textId="77777777" w:rsidR="006144C4" w:rsidRDefault="006144C4" w:rsidP="001C0BB9">
      <w:pPr>
        <w:spacing w:after="0" w:line="240" w:lineRule="auto"/>
      </w:pPr>
      <w:r>
        <w:separator/>
      </w:r>
    </w:p>
  </w:footnote>
  <w:footnote w:type="continuationSeparator" w:id="0">
    <w:p w14:paraId="01770E8E" w14:textId="77777777" w:rsidR="006144C4" w:rsidRDefault="006144C4" w:rsidP="001C0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8E0"/>
    <w:multiLevelType w:val="multilevel"/>
    <w:tmpl w:val="431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C73FB"/>
    <w:multiLevelType w:val="hybridMultilevel"/>
    <w:tmpl w:val="420894AE"/>
    <w:lvl w:ilvl="0" w:tplc="34090001">
      <w:start w:val="1"/>
      <w:numFmt w:val="bullet"/>
      <w:lvlText w:val=""/>
      <w:lvlJc w:val="left"/>
      <w:pPr>
        <w:ind w:left="502" w:hanging="360"/>
      </w:pPr>
      <w:rPr>
        <w:rFonts w:ascii="Symbol" w:hAnsi="Symbol" w:hint="default"/>
      </w:rPr>
    </w:lvl>
    <w:lvl w:ilvl="1" w:tplc="34090003" w:tentative="1">
      <w:start w:val="1"/>
      <w:numFmt w:val="bullet"/>
      <w:lvlText w:val="o"/>
      <w:lvlJc w:val="left"/>
      <w:pPr>
        <w:ind w:left="1222" w:hanging="360"/>
      </w:pPr>
      <w:rPr>
        <w:rFonts w:ascii="Courier New" w:hAnsi="Courier New" w:cs="Courier New" w:hint="default"/>
      </w:rPr>
    </w:lvl>
    <w:lvl w:ilvl="2" w:tplc="34090005" w:tentative="1">
      <w:start w:val="1"/>
      <w:numFmt w:val="bullet"/>
      <w:lvlText w:val=""/>
      <w:lvlJc w:val="left"/>
      <w:pPr>
        <w:ind w:left="1942" w:hanging="360"/>
      </w:pPr>
      <w:rPr>
        <w:rFonts w:ascii="Wingdings" w:hAnsi="Wingdings" w:hint="default"/>
      </w:rPr>
    </w:lvl>
    <w:lvl w:ilvl="3" w:tplc="34090001" w:tentative="1">
      <w:start w:val="1"/>
      <w:numFmt w:val="bullet"/>
      <w:lvlText w:val=""/>
      <w:lvlJc w:val="left"/>
      <w:pPr>
        <w:ind w:left="2662" w:hanging="360"/>
      </w:pPr>
      <w:rPr>
        <w:rFonts w:ascii="Symbol" w:hAnsi="Symbol" w:hint="default"/>
      </w:rPr>
    </w:lvl>
    <w:lvl w:ilvl="4" w:tplc="34090003" w:tentative="1">
      <w:start w:val="1"/>
      <w:numFmt w:val="bullet"/>
      <w:lvlText w:val="o"/>
      <w:lvlJc w:val="left"/>
      <w:pPr>
        <w:ind w:left="3382" w:hanging="360"/>
      </w:pPr>
      <w:rPr>
        <w:rFonts w:ascii="Courier New" w:hAnsi="Courier New" w:cs="Courier New" w:hint="default"/>
      </w:rPr>
    </w:lvl>
    <w:lvl w:ilvl="5" w:tplc="34090005" w:tentative="1">
      <w:start w:val="1"/>
      <w:numFmt w:val="bullet"/>
      <w:lvlText w:val=""/>
      <w:lvlJc w:val="left"/>
      <w:pPr>
        <w:ind w:left="4102" w:hanging="360"/>
      </w:pPr>
      <w:rPr>
        <w:rFonts w:ascii="Wingdings" w:hAnsi="Wingdings" w:hint="default"/>
      </w:rPr>
    </w:lvl>
    <w:lvl w:ilvl="6" w:tplc="34090001" w:tentative="1">
      <w:start w:val="1"/>
      <w:numFmt w:val="bullet"/>
      <w:lvlText w:val=""/>
      <w:lvlJc w:val="left"/>
      <w:pPr>
        <w:ind w:left="4822" w:hanging="360"/>
      </w:pPr>
      <w:rPr>
        <w:rFonts w:ascii="Symbol" w:hAnsi="Symbol" w:hint="default"/>
      </w:rPr>
    </w:lvl>
    <w:lvl w:ilvl="7" w:tplc="34090003" w:tentative="1">
      <w:start w:val="1"/>
      <w:numFmt w:val="bullet"/>
      <w:lvlText w:val="o"/>
      <w:lvlJc w:val="left"/>
      <w:pPr>
        <w:ind w:left="5542" w:hanging="360"/>
      </w:pPr>
      <w:rPr>
        <w:rFonts w:ascii="Courier New" w:hAnsi="Courier New" w:cs="Courier New" w:hint="default"/>
      </w:rPr>
    </w:lvl>
    <w:lvl w:ilvl="8" w:tplc="34090005" w:tentative="1">
      <w:start w:val="1"/>
      <w:numFmt w:val="bullet"/>
      <w:lvlText w:val=""/>
      <w:lvlJc w:val="left"/>
      <w:pPr>
        <w:ind w:left="6262" w:hanging="360"/>
      </w:pPr>
      <w:rPr>
        <w:rFonts w:ascii="Wingdings" w:hAnsi="Wingdings" w:hint="default"/>
      </w:rPr>
    </w:lvl>
  </w:abstractNum>
  <w:abstractNum w:abstractNumId="2">
    <w:nsid w:val="3BD9215E"/>
    <w:multiLevelType w:val="hybridMultilevel"/>
    <w:tmpl w:val="8474EFD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5F923675"/>
    <w:multiLevelType w:val="hybridMultilevel"/>
    <w:tmpl w:val="A6E2B2C8"/>
    <w:lvl w:ilvl="0" w:tplc="52EE0688">
      <w:numFmt w:val="bullet"/>
      <w:lvlText w:val="•"/>
      <w:lvlJc w:val="left"/>
      <w:pPr>
        <w:ind w:left="624" w:hanging="284"/>
      </w:pPr>
      <w:rPr>
        <w:rFonts w:ascii="Times New Roman" w:eastAsia="Times New Roman" w:hAnsi="Times New Roman" w:cs="Times New Roman" w:hint="default"/>
        <w:w w:val="95"/>
        <w:sz w:val="22"/>
        <w:szCs w:val="22"/>
        <w:lang w:val="id" w:eastAsia="en-US" w:bidi="ar-SA"/>
      </w:rPr>
    </w:lvl>
    <w:lvl w:ilvl="1" w:tplc="DCD6B40A">
      <w:numFmt w:val="bullet"/>
      <w:lvlText w:val="•"/>
      <w:lvlJc w:val="left"/>
      <w:pPr>
        <w:ind w:left="1172" w:hanging="284"/>
      </w:pPr>
      <w:rPr>
        <w:rFonts w:hint="default"/>
        <w:lang w:val="id" w:eastAsia="en-US" w:bidi="ar-SA"/>
      </w:rPr>
    </w:lvl>
    <w:lvl w:ilvl="2" w:tplc="8F425618">
      <w:numFmt w:val="bullet"/>
      <w:lvlText w:val="•"/>
      <w:lvlJc w:val="left"/>
      <w:pPr>
        <w:ind w:left="1724" w:hanging="284"/>
      </w:pPr>
      <w:rPr>
        <w:rFonts w:hint="default"/>
        <w:lang w:val="id" w:eastAsia="en-US" w:bidi="ar-SA"/>
      </w:rPr>
    </w:lvl>
    <w:lvl w:ilvl="3" w:tplc="4BF09F5C">
      <w:numFmt w:val="bullet"/>
      <w:lvlText w:val="•"/>
      <w:lvlJc w:val="left"/>
      <w:pPr>
        <w:ind w:left="2277" w:hanging="284"/>
      </w:pPr>
      <w:rPr>
        <w:rFonts w:hint="default"/>
        <w:lang w:val="id" w:eastAsia="en-US" w:bidi="ar-SA"/>
      </w:rPr>
    </w:lvl>
    <w:lvl w:ilvl="4" w:tplc="076638BA">
      <w:numFmt w:val="bullet"/>
      <w:lvlText w:val="•"/>
      <w:lvlJc w:val="left"/>
      <w:pPr>
        <w:ind w:left="2829" w:hanging="284"/>
      </w:pPr>
      <w:rPr>
        <w:rFonts w:hint="default"/>
        <w:lang w:val="id" w:eastAsia="en-US" w:bidi="ar-SA"/>
      </w:rPr>
    </w:lvl>
    <w:lvl w:ilvl="5" w:tplc="A2A4E7D0">
      <w:numFmt w:val="bullet"/>
      <w:lvlText w:val="•"/>
      <w:lvlJc w:val="left"/>
      <w:pPr>
        <w:ind w:left="3382" w:hanging="284"/>
      </w:pPr>
      <w:rPr>
        <w:rFonts w:hint="default"/>
        <w:lang w:val="id" w:eastAsia="en-US" w:bidi="ar-SA"/>
      </w:rPr>
    </w:lvl>
    <w:lvl w:ilvl="6" w:tplc="9FA88364">
      <w:numFmt w:val="bullet"/>
      <w:lvlText w:val="•"/>
      <w:lvlJc w:val="left"/>
      <w:pPr>
        <w:ind w:left="3934" w:hanging="284"/>
      </w:pPr>
      <w:rPr>
        <w:rFonts w:hint="default"/>
        <w:lang w:val="id" w:eastAsia="en-US" w:bidi="ar-SA"/>
      </w:rPr>
    </w:lvl>
    <w:lvl w:ilvl="7" w:tplc="2AA0A97A">
      <w:numFmt w:val="bullet"/>
      <w:lvlText w:val="•"/>
      <w:lvlJc w:val="left"/>
      <w:pPr>
        <w:ind w:left="4486" w:hanging="284"/>
      </w:pPr>
      <w:rPr>
        <w:rFonts w:hint="default"/>
        <w:lang w:val="id" w:eastAsia="en-US" w:bidi="ar-SA"/>
      </w:rPr>
    </w:lvl>
    <w:lvl w:ilvl="8" w:tplc="4DD69F34">
      <w:numFmt w:val="bullet"/>
      <w:lvlText w:val="•"/>
      <w:lvlJc w:val="left"/>
      <w:pPr>
        <w:ind w:left="5039" w:hanging="284"/>
      </w:pPr>
      <w:rPr>
        <w:rFonts w:hint="default"/>
        <w:lang w:val="id" w:eastAsia="en-US" w:bidi="ar-SA"/>
      </w:rPr>
    </w:lvl>
  </w:abstractNum>
  <w:abstractNum w:abstractNumId="4">
    <w:nsid w:val="65FF357C"/>
    <w:multiLevelType w:val="hybridMultilevel"/>
    <w:tmpl w:val="2E1C6628"/>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5">
    <w:nsid w:val="7BE66BB1"/>
    <w:multiLevelType w:val="hybridMultilevel"/>
    <w:tmpl w:val="E13072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dv2szx2wdrtne99esvzsrjd5ep9ws522pp&quot;&gt;My EndNote Library&lt;record-ids&gt;&lt;item&gt;1&lt;/item&gt;&lt;item&gt;8&lt;/item&gt;&lt;item&gt;9&lt;/item&gt;&lt;item&gt;10&lt;/item&gt;&lt;item&gt;11&lt;/item&gt;&lt;item&gt;12&lt;/item&gt;&lt;item&gt;13&lt;/item&gt;&lt;item&gt;14&lt;/item&gt;&lt;item&gt;15&lt;/item&gt;&lt;item&gt;16&lt;/item&gt;&lt;item&gt;17&lt;/item&gt;&lt;item&gt;18&lt;/item&gt;&lt;item&gt;19&lt;/item&gt;&lt;item&gt;20&lt;/item&gt;&lt;item&gt;23&lt;/item&gt;&lt;item&gt;24&lt;/item&gt;&lt;item&gt;25&lt;/item&gt;&lt;item&gt;26&lt;/item&gt;&lt;item&gt;27&lt;/item&gt;&lt;item&gt;28&lt;/item&gt;&lt;item&gt;29&lt;/item&gt;&lt;item&gt;30&lt;/item&gt;&lt;item&gt;31&lt;/item&gt;&lt;item&gt;32&lt;/item&gt;&lt;item&gt;33&lt;/item&gt;&lt;item&gt;34&lt;/item&gt;&lt;/record-ids&gt;&lt;/item&gt;&lt;/Libraries&gt;"/>
  </w:docVars>
  <w:rsids>
    <w:rsidRoot w:val="00903847"/>
    <w:rsid w:val="000000F6"/>
    <w:rsid w:val="00007304"/>
    <w:rsid w:val="000235DB"/>
    <w:rsid w:val="0003510B"/>
    <w:rsid w:val="000425CA"/>
    <w:rsid w:val="0004353B"/>
    <w:rsid w:val="000475AE"/>
    <w:rsid w:val="00050B72"/>
    <w:rsid w:val="000522E8"/>
    <w:rsid w:val="00071450"/>
    <w:rsid w:val="000724A0"/>
    <w:rsid w:val="00090BFC"/>
    <w:rsid w:val="0009251B"/>
    <w:rsid w:val="000945C9"/>
    <w:rsid w:val="00095E7B"/>
    <w:rsid w:val="000A26F0"/>
    <w:rsid w:val="000A27DA"/>
    <w:rsid w:val="000D6ED3"/>
    <w:rsid w:val="000E0B82"/>
    <w:rsid w:val="000E7B79"/>
    <w:rsid w:val="0010012B"/>
    <w:rsid w:val="00102BF0"/>
    <w:rsid w:val="00103DF0"/>
    <w:rsid w:val="00111229"/>
    <w:rsid w:val="00115486"/>
    <w:rsid w:val="00117116"/>
    <w:rsid w:val="001341A9"/>
    <w:rsid w:val="00143E05"/>
    <w:rsid w:val="00144E13"/>
    <w:rsid w:val="00147BDD"/>
    <w:rsid w:val="00147D74"/>
    <w:rsid w:val="00154AA8"/>
    <w:rsid w:val="00161409"/>
    <w:rsid w:val="0017454C"/>
    <w:rsid w:val="00175D3E"/>
    <w:rsid w:val="00176EC7"/>
    <w:rsid w:val="00191650"/>
    <w:rsid w:val="001A2147"/>
    <w:rsid w:val="001A3FCA"/>
    <w:rsid w:val="001B1FDA"/>
    <w:rsid w:val="001B5F2F"/>
    <w:rsid w:val="001C0BB9"/>
    <w:rsid w:val="001C41FB"/>
    <w:rsid w:val="001D1B31"/>
    <w:rsid w:val="001D58A2"/>
    <w:rsid w:val="001E4CD1"/>
    <w:rsid w:val="001F31E3"/>
    <w:rsid w:val="00200EB1"/>
    <w:rsid w:val="00210324"/>
    <w:rsid w:val="002123D0"/>
    <w:rsid w:val="00220038"/>
    <w:rsid w:val="00222465"/>
    <w:rsid w:val="00225CC4"/>
    <w:rsid w:val="0023478D"/>
    <w:rsid w:val="00235127"/>
    <w:rsid w:val="00243723"/>
    <w:rsid w:val="00243C0C"/>
    <w:rsid w:val="0025077C"/>
    <w:rsid w:val="002515BF"/>
    <w:rsid w:val="002553D2"/>
    <w:rsid w:val="00262932"/>
    <w:rsid w:val="00275C91"/>
    <w:rsid w:val="00282364"/>
    <w:rsid w:val="00282E8F"/>
    <w:rsid w:val="00294E6E"/>
    <w:rsid w:val="00295D2F"/>
    <w:rsid w:val="002A5885"/>
    <w:rsid w:val="002A5C3A"/>
    <w:rsid w:val="002A68C0"/>
    <w:rsid w:val="002B22F5"/>
    <w:rsid w:val="002C783D"/>
    <w:rsid w:val="002D232B"/>
    <w:rsid w:val="002D7C9F"/>
    <w:rsid w:val="002F4F85"/>
    <w:rsid w:val="00304C69"/>
    <w:rsid w:val="0032275F"/>
    <w:rsid w:val="00334BA4"/>
    <w:rsid w:val="0034268A"/>
    <w:rsid w:val="003432D7"/>
    <w:rsid w:val="00345822"/>
    <w:rsid w:val="00355107"/>
    <w:rsid w:val="00361ACF"/>
    <w:rsid w:val="00365873"/>
    <w:rsid w:val="00375BF1"/>
    <w:rsid w:val="003A38AD"/>
    <w:rsid w:val="003A6AD8"/>
    <w:rsid w:val="003C4293"/>
    <w:rsid w:val="003C71D9"/>
    <w:rsid w:val="003D0F83"/>
    <w:rsid w:val="003D7A97"/>
    <w:rsid w:val="003E04CD"/>
    <w:rsid w:val="003E1422"/>
    <w:rsid w:val="003E17F6"/>
    <w:rsid w:val="003E5E7A"/>
    <w:rsid w:val="003F0442"/>
    <w:rsid w:val="003F1C72"/>
    <w:rsid w:val="00404594"/>
    <w:rsid w:val="00404F9D"/>
    <w:rsid w:val="0041190C"/>
    <w:rsid w:val="004325EE"/>
    <w:rsid w:val="0043633E"/>
    <w:rsid w:val="004454E0"/>
    <w:rsid w:val="004468CC"/>
    <w:rsid w:val="00457021"/>
    <w:rsid w:val="00476F9F"/>
    <w:rsid w:val="00486C10"/>
    <w:rsid w:val="004946EC"/>
    <w:rsid w:val="004A0D52"/>
    <w:rsid w:val="004A48BB"/>
    <w:rsid w:val="004A5F30"/>
    <w:rsid w:val="004B0FFE"/>
    <w:rsid w:val="004C25BC"/>
    <w:rsid w:val="004C43A1"/>
    <w:rsid w:val="004C646C"/>
    <w:rsid w:val="004D13C2"/>
    <w:rsid w:val="004D40EB"/>
    <w:rsid w:val="004F66C8"/>
    <w:rsid w:val="0050197A"/>
    <w:rsid w:val="005047E9"/>
    <w:rsid w:val="00516202"/>
    <w:rsid w:val="00520826"/>
    <w:rsid w:val="00525874"/>
    <w:rsid w:val="00525CDA"/>
    <w:rsid w:val="0053134C"/>
    <w:rsid w:val="00536311"/>
    <w:rsid w:val="00563750"/>
    <w:rsid w:val="00577805"/>
    <w:rsid w:val="005812F1"/>
    <w:rsid w:val="0058308E"/>
    <w:rsid w:val="00591AAB"/>
    <w:rsid w:val="005B6ECF"/>
    <w:rsid w:val="005C7B7E"/>
    <w:rsid w:val="005D1CFF"/>
    <w:rsid w:val="005D2401"/>
    <w:rsid w:val="005D3A18"/>
    <w:rsid w:val="005E3C2D"/>
    <w:rsid w:val="0060083B"/>
    <w:rsid w:val="00605F0B"/>
    <w:rsid w:val="006144C4"/>
    <w:rsid w:val="00614559"/>
    <w:rsid w:val="00623244"/>
    <w:rsid w:val="00623AE8"/>
    <w:rsid w:val="0062622D"/>
    <w:rsid w:val="00627A50"/>
    <w:rsid w:val="00627B88"/>
    <w:rsid w:val="00631DF7"/>
    <w:rsid w:val="006358C7"/>
    <w:rsid w:val="00652B31"/>
    <w:rsid w:val="00661755"/>
    <w:rsid w:val="0066249F"/>
    <w:rsid w:val="00663756"/>
    <w:rsid w:val="00665787"/>
    <w:rsid w:val="0066585B"/>
    <w:rsid w:val="00682FCA"/>
    <w:rsid w:val="006851AC"/>
    <w:rsid w:val="00691D8E"/>
    <w:rsid w:val="006A0B1E"/>
    <w:rsid w:val="006A4187"/>
    <w:rsid w:val="006A6463"/>
    <w:rsid w:val="006B050D"/>
    <w:rsid w:val="006B0597"/>
    <w:rsid w:val="006B17ED"/>
    <w:rsid w:val="006B2FBE"/>
    <w:rsid w:val="006D5E15"/>
    <w:rsid w:val="006D7433"/>
    <w:rsid w:val="006E099D"/>
    <w:rsid w:val="006E2B7D"/>
    <w:rsid w:val="006F4609"/>
    <w:rsid w:val="006F507E"/>
    <w:rsid w:val="00702901"/>
    <w:rsid w:val="007042AF"/>
    <w:rsid w:val="00715712"/>
    <w:rsid w:val="0072299C"/>
    <w:rsid w:val="00724712"/>
    <w:rsid w:val="00736918"/>
    <w:rsid w:val="00750834"/>
    <w:rsid w:val="0075718F"/>
    <w:rsid w:val="007665BA"/>
    <w:rsid w:val="00780877"/>
    <w:rsid w:val="00793837"/>
    <w:rsid w:val="007C1618"/>
    <w:rsid w:val="007D7C55"/>
    <w:rsid w:val="007E1F17"/>
    <w:rsid w:val="008158B1"/>
    <w:rsid w:val="008207A3"/>
    <w:rsid w:val="008250CD"/>
    <w:rsid w:val="00853E51"/>
    <w:rsid w:val="008552F3"/>
    <w:rsid w:val="008760F9"/>
    <w:rsid w:val="00881670"/>
    <w:rsid w:val="00891662"/>
    <w:rsid w:val="00893C07"/>
    <w:rsid w:val="00893E02"/>
    <w:rsid w:val="008957ED"/>
    <w:rsid w:val="008A4AD6"/>
    <w:rsid w:val="008A7B17"/>
    <w:rsid w:val="008B2E54"/>
    <w:rsid w:val="008C04EB"/>
    <w:rsid w:val="008C3CE0"/>
    <w:rsid w:val="008D2121"/>
    <w:rsid w:val="008E31DB"/>
    <w:rsid w:val="008E546A"/>
    <w:rsid w:val="008F5382"/>
    <w:rsid w:val="00900738"/>
    <w:rsid w:val="00902655"/>
    <w:rsid w:val="00903847"/>
    <w:rsid w:val="0090787C"/>
    <w:rsid w:val="00912C2F"/>
    <w:rsid w:val="00914F6E"/>
    <w:rsid w:val="00933B58"/>
    <w:rsid w:val="00935614"/>
    <w:rsid w:val="00937398"/>
    <w:rsid w:val="009545DA"/>
    <w:rsid w:val="0097166D"/>
    <w:rsid w:val="00971817"/>
    <w:rsid w:val="00977899"/>
    <w:rsid w:val="009853FC"/>
    <w:rsid w:val="00992D93"/>
    <w:rsid w:val="009967C2"/>
    <w:rsid w:val="009B698C"/>
    <w:rsid w:val="009C239F"/>
    <w:rsid w:val="009C2F57"/>
    <w:rsid w:val="009C464A"/>
    <w:rsid w:val="009C7894"/>
    <w:rsid w:val="009D5955"/>
    <w:rsid w:val="00A15D8B"/>
    <w:rsid w:val="00A2580C"/>
    <w:rsid w:val="00A27D1C"/>
    <w:rsid w:val="00A31C29"/>
    <w:rsid w:val="00A325F6"/>
    <w:rsid w:val="00A612FF"/>
    <w:rsid w:val="00A649F9"/>
    <w:rsid w:val="00A64B89"/>
    <w:rsid w:val="00A736E0"/>
    <w:rsid w:val="00A75B20"/>
    <w:rsid w:val="00A805F5"/>
    <w:rsid w:val="00A91613"/>
    <w:rsid w:val="00A924C9"/>
    <w:rsid w:val="00AB1F93"/>
    <w:rsid w:val="00AB2980"/>
    <w:rsid w:val="00AB7437"/>
    <w:rsid w:val="00AB779D"/>
    <w:rsid w:val="00AC0F2D"/>
    <w:rsid w:val="00AC4A1A"/>
    <w:rsid w:val="00AC762E"/>
    <w:rsid w:val="00AC77DD"/>
    <w:rsid w:val="00AF1778"/>
    <w:rsid w:val="00AF2944"/>
    <w:rsid w:val="00B04281"/>
    <w:rsid w:val="00B10E07"/>
    <w:rsid w:val="00B4440A"/>
    <w:rsid w:val="00B56E74"/>
    <w:rsid w:val="00B73D8F"/>
    <w:rsid w:val="00B91A8B"/>
    <w:rsid w:val="00B94C6A"/>
    <w:rsid w:val="00B96858"/>
    <w:rsid w:val="00BA4808"/>
    <w:rsid w:val="00BB6C1D"/>
    <w:rsid w:val="00BC6BD0"/>
    <w:rsid w:val="00BD0085"/>
    <w:rsid w:val="00BE0199"/>
    <w:rsid w:val="00BE09B2"/>
    <w:rsid w:val="00BE12BF"/>
    <w:rsid w:val="00BE42E2"/>
    <w:rsid w:val="00BE5C3D"/>
    <w:rsid w:val="00BE74FE"/>
    <w:rsid w:val="00BF7998"/>
    <w:rsid w:val="00BF7A3C"/>
    <w:rsid w:val="00C01A26"/>
    <w:rsid w:val="00C11F9E"/>
    <w:rsid w:val="00C15707"/>
    <w:rsid w:val="00C248F3"/>
    <w:rsid w:val="00C3433E"/>
    <w:rsid w:val="00C35116"/>
    <w:rsid w:val="00C354C3"/>
    <w:rsid w:val="00C45EB0"/>
    <w:rsid w:val="00C54790"/>
    <w:rsid w:val="00C56485"/>
    <w:rsid w:val="00C6066F"/>
    <w:rsid w:val="00C67A13"/>
    <w:rsid w:val="00C76F0A"/>
    <w:rsid w:val="00C91728"/>
    <w:rsid w:val="00C922F2"/>
    <w:rsid w:val="00CB7667"/>
    <w:rsid w:val="00CD4434"/>
    <w:rsid w:val="00CE0331"/>
    <w:rsid w:val="00CE0431"/>
    <w:rsid w:val="00CE2790"/>
    <w:rsid w:val="00CE4030"/>
    <w:rsid w:val="00CF1DA0"/>
    <w:rsid w:val="00D0077E"/>
    <w:rsid w:val="00D02EC3"/>
    <w:rsid w:val="00D037C9"/>
    <w:rsid w:val="00D067A7"/>
    <w:rsid w:val="00D13917"/>
    <w:rsid w:val="00D168E3"/>
    <w:rsid w:val="00D23DF2"/>
    <w:rsid w:val="00D27755"/>
    <w:rsid w:val="00D31682"/>
    <w:rsid w:val="00D40423"/>
    <w:rsid w:val="00D409FE"/>
    <w:rsid w:val="00D42DD5"/>
    <w:rsid w:val="00D56A2A"/>
    <w:rsid w:val="00D6641C"/>
    <w:rsid w:val="00D83E44"/>
    <w:rsid w:val="00D84848"/>
    <w:rsid w:val="00D866E8"/>
    <w:rsid w:val="00D903E7"/>
    <w:rsid w:val="00D94A57"/>
    <w:rsid w:val="00DA05B7"/>
    <w:rsid w:val="00DA1FAC"/>
    <w:rsid w:val="00DA5BE0"/>
    <w:rsid w:val="00DC77C0"/>
    <w:rsid w:val="00DD0DD7"/>
    <w:rsid w:val="00DE14F4"/>
    <w:rsid w:val="00DE7B19"/>
    <w:rsid w:val="00DF40E7"/>
    <w:rsid w:val="00E036D0"/>
    <w:rsid w:val="00E03AEB"/>
    <w:rsid w:val="00E1231A"/>
    <w:rsid w:val="00E14C10"/>
    <w:rsid w:val="00E15A07"/>
    <w:rsid w:val="00E20F9A"/>
    <w:rsid w:val="00E3207F"/>
    <w:rsid w:val="00E32375"/>
    <w:rsid w:val="00E415BD"/>
    <w:rsid w:val="00E42ADC"/>
    <w:rsid w:val="00E43A70"/>
    <w:rsid w:val="00E72550"/>
    <w:rsid w:val="00E96CE3"/>
    <w:rsid w:val="00EA635C"/>
    <w:rsid w:val="00EA6A33"/>
    <w:rsid w:val="00EB005A"/>
    <w:rsid w:val="00EB047A"/>
    <w:rsid w:val="00EB46FF"/>
    <w:rsid w:val="00EC1DFA"/>
    <w:rsid w:val="00EC3DE5"/>
    <w:rsid w:val="00ED00A0"/>
    <w:rsid w:val="00ED0820"/>
    <w:rsid w:val="00ED1D15"/>
    <w:rsid w:val="00ED1E43"/>
    <w:rsid w:val="00ED7D7D"/>
    <w:rsid w:val="00EF0F7E"/>
    <w:rsid w:val="00EF414D"/>
    <w:rsid w:val="00F173C7"/>
    <w:rsid w:val="00F206EC"/>
    <w:rsid w:val="00F23F09"/>
    <w:rsid w:val="00F26A80"/>
    <w:rsid w:val="00F31144"/>
    <w:rsid w:val="00F33131"/>
    <w:rsid w:val="00F35A17"/>
    <w:rsid w:val="00F5768C"/>
    <w:rsid w:val="00F63BE4"/>
    <w:rsid w:val="00F662F9"/>
    <w:rsid w:val="00F82D7C"/>
    <w:rsid w:val="00F837AB"/>
    <w:rsid w:val="00FA40F9"/>
    <w:rsid w:val="00FB0CEB"/>
    <w:rsid w:val="00FB2F3D"/>
    <w:rsid w:val="00FC4804"/>
    <w:rsid w:val="00FD78E4"/>
    <w:rsid w:val="00FE0764"/>
    <w:rsid w:val="00FE280D"/>
    <w:rsid w:val="00FF25EE"/>
    <w:rsid w:val="00FF75D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7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F1"/>
  </w:style>
  <w:style w:type="paragraph" w:styleId="Heading3">
    <w:name w:val="heading 3"/>
    <w:basedOn w:val="Normal"/>
    <w:link w:val="Heading3Char"/>
    <w:uiPriority w:val="9"/>
    <w:qFormat/>
    <w:rsid w:val="0007145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DA"/>
    <w:pPr>
      <w:ind w:left="720"/>
      <w:contextualSpacing/>
    </w:pPr>
    <w:rPr>
      <w:rFonts w:ascii="Calibri" w:eastAsia="Times New Roman" w:hAnsi="Calibri" w:cs="Times New Roman"/>
      <w:kern w:val="0"/>
      <w:lang w:val="en-MY" w:eastAsia="zh-CN"/>
      <w14:ligatures w14:val="none"/>
    </w:rPr>
  </w:style>
  <w:style w:type="paragraph" w:styleId="Header">
    <w:name w:val="header"/>
    <w:basedOn w:val="Normal"/>
    <w:link w:val="HeaderChar"/>
    <w:uiPriority w:val="99"/>
    <w:unhideWhenUsed/>
    <w:rsid w:val="000A27DA"/>
    <w:pPr>
      <w:tabs>
        <w:tab w:val="center" w:pos="4513"/>
        <w:tab w:val="right" w:pos="9026"/>
      </w:tabs>
      <w:spacing w:after="0" w:line="240" w:lineRule="auto"/>
    </w:pPr>
    <w:rPr>
      <w:rFonts w:ascii="Calibri" w:eastAsia="Times New Roman" w:hAnsi="Calibri" w:cs="Times New Roman"/>
      <w:kern w:val="0"/>
      <w:lang w:val="en-MY" w:eastAsia="zh-CN"/>
      <w14:ligatures w14:val="none"/>
    </w:rPr>
  </w:style>
  <w:style w:type="character" w:customStyle="1" w:styleId="HeaderChar">
    <w:name w:val="Header Char"/>
    <w:basedOn w:val="DefaultParagraphFont"/>
    <w:link w:val="Header"/>
    <w:uiPriority w:val="99"/>
    <w:rsid w:val="000A27DA"/>
    <w:rPr>
      <w:rFonts w:ascii="Calibri" w:eastAsia="Times New Roman" w:hAnsi="Calibri" w:cs="Times New Roman"/>
      <w:kern w:val="0"/>
      <w:lang w:val="en-MY" w:eastAsia="zh-CN"/>
      <w14:ligatures w14:val="none"/>
    </w:rPr>
  </w:style>
  <w:style w:type="paragraph" w:styleId="Footer">
    <w:name w:val="footer"/>
    <w:basedOn w:val="Normal"/>
    <w:link w:val="FooterChar"/>
    <w:uiPriority w:val="99"/>
    <w:unhideWhenUsed/>
    <w:rsid w:val="000A27DA"/>
    <w:pPr>
      <w:tabs>
        <w:tab w:val="center" w:pos="4513"/>
        <w:tab w:val="right" w:pos="9026"/>
      </w:tabs>
    </w:pPr>
    <w:rPr>
      <w:rFonts w:ascii="Calibri" w:eastAsia="Times New Roman" w:hAnsi="Calibri" w:cs="Times New Roman"/>
      <w:kern w:val="0"/>
      <w:lang w:val="en-MY" w:eastAsia="zh-CN"/>
      <w14:ligatures w14:val="none"/>
    </w:rPr>
  </w:style>
  <w:style w:type="character" w:customStyle="1" w:styleId="FooterChar">
    <w:name w:val="Footer Char"/>
    <w:basedOn w:val="DefaultParagraphFont"/>
    <w:link w:val="Footer"/>
    <w:uiPriority w:val="99"/>
    <w:rsid w:val="000A27DA"/>
    <w:rPr>
      <w:rFonts w:ascii="Calibri" w:eastAsia="Times New Roman" w:hAnsi="Calibri" w:cs="Times New Roman"/>
      <w:kern w:val="0"/>
      <w:lang w:val="en-MY" w:eastAsia="zh-CN"/>
      <w14:ligatures w14:val="none"/>
    </w:rPr>
  </w:style>
  <w:style w:type="table" w:styleId="TableGrid">
    <w:name w:val="Table Grid"/>
    <w:basedOn w:val="TableNormal"/>
    <w:uiPriority w:val="59"/>
    <w:rsid w:val="000A27D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27DA"/>
    <w:rPr>
      <w:color w:val="0563C1" w:themeColor="hyperlink"/>
      <w:u w:val="single"/>
    </w:rPr>
  </w:style>
  <w:style w:type="character" w:customStyle="1" w:styleId="UnresolvedMention">
    <w:name w:val="Unresolved Mention"/>
    <w:basedOn w:val="DefaultParagraphFont"/>
    <w:uiPriority w:val="99"/>
    <w:semiHidden/>
    <w:unhideWhenUsed/>
    <w:rsid w:val="000A27DA"/>
    <w:rPr>
      <w:color w:val="605E5C"/>
      <w:shd w:val="clear" w:color="auto" w:fill="E1DFDD"/>
    </w:rPr>
  </w:style>
  <w:style w:type="character" w:styleId="CommentReference">
    <w:name w:val="annotation reference"/>
    <w:basedOn w:val="DefaultParagraphFont"/>
    <w:uiPriority w:val="99"/>
    <w:semiHidden/>
    <w:unhideWhenUsed/>
    <w:rsid w:val="000A27DA"/>
    <w:rPr>
      <w:sz w:val="16"/>
      <w:szCs w:val="16"/>
    </w:rPr>
  </w:style>
  <w:style w:type="paragraph" w:styleId="CommentText">
    <w:name w:val="annotation text"/>
    <w:basedOn w:val="Normal"/>
    <w:link w:val="CommentTextChar"/>
    <w:uiPriority w:val="99"/>
    <w:semiHidden/>
    <w:unhideWhenUsed/>
    <w:rsid w:val="000A27DA"/>
    <w:pPr>
      <w:spacing w:line="240" w:lineRule="auto"/>
    </w:pPr>
    <w:rPr>
      <w:rFonts w:ascii="Calibri" w:eastAsia="Times New Roman" w:hAnsi="Calibri" w:cs="Times New Roman"/>
      <w:kern w:val="0"/>
      <w:sz w:val="20"/>
      <w:szCs w:val="20"/>
      <w:lang w:val="en-MY" w:eastAsia="zh-CN"/>
      <w14:ligatures w14:val="none"/>
    </w:rPr>
  </w:style>
  <w:style w:type="character" w:customStyle="1" w:styleId="CommentTextChar">
    <w:name w:val="Comment Text Char"/>
    <w:basedOn w:val="DefaultParagraphFont"/>
    <w:link w:val="CommentText"/>
    <w:uiPriority w:val="99"/>
    <w:semiHidden/>
    <w:rsid w:val="000A27DA"/>
    <w:rPr>
      <w:rFonts w:ascii="Calibri" w:eastAsia="Times New Roman" w:hAnsi="Calibri" w:cs="Times New Roman"/>
      <w:kern w:val="0"/>
      <w:sz w:val="20"/>
      <w:szCs w:val="20"/>
      <w:lang w:val="en-MY" w:eastAsia="zh-CN"/>
      <w14:ligatures w14:val="none"/>
    </w:rPr>
  </w:style>
  <w:style w:type="paragraph" w:styleId="CommentSubject">
    <w:name w:val="annotation subject"/>
    <w:basedOn w:val="CommentText"/>
    <w:next w:val="CommentText"/>
    <w:link w:val="CommentSubjectChar"/>
    <w:uiPriority w:val="99"/>
    <w:semiHidden/>
    <w:unhideWhenUsed/>
    <w:rsid w:val="000A27DA"/>
    <w:rPr>
      <w:b/>
      <w:bCs/>
    </w:rPr>
  </w:style>
  <w:style w:type="character" w:customStyle="1" w:styleId="CommentSubjectChar">
    <w:name w:val="Comment Subject Char"/>
    <w:basedOn w:val="CommentTextChar"/>
    <w:link w:val="CommentSubject"/>
    <w:uiPriority w:val="99"/>
    <w:semiHidden/>
    <w:rsid w:val="000A27DA"/>
    <w:rPr>
      <w:rFonts w:ascii="Calibri" w:eastAsia="Times New Roman" w:hAnsi="Calibri" w:cs="Times New Roman"/>
      <w:b/>
      <w:bCs/>
      <w:kern w:val="0"/>
      <w:sz w:val="20"/>
      <w:szCs w:val="20"/>
      <w:lang w:val="en-MY" w:eastAsia="zh-CN"/>
      <w14:ligatures w14:val="none"/>
    </w:rPr>
  </w:style>
  <w:style w:type="paragraph" w:customStyle="1" w:styleId="EndNoteBibliographyTitle">
    <w:name w:val="EndNote Bibliography Title"/>
    <w:basedOn w:val="Normal"/>
    <w:link w:val="EndNoteBibliographyTitleChar"/>
    <w:rsid w:val="000A27DA"/>
    <w:pPr>
      <w:spacing w:after="0"/>
      <w:jc w:val="center"/>
    </w:pPr>
    <w:rPr>
      <w:rFonts w:ascii="Calibri" w:eastAsia="Times New Roman" w:hAnsi="Calibri" w:cs="Calibri"/>
      <w:noProof/>
      <w:kern w:val="0"/>
      <w:lang w:val="en-MY" w:eastAsia="zh-CN"/>
      <w14:ligatures w14:val="none"/>
    </w:rPr>
  </w:style>
  <w:style w:type="character" w:customStyle="1" w:styleId="EndNoteBibliographyTitleChar">
    <w:name w:val="EndNote Bibliography Title Char"/>
    <w:basedOn w:val="DefaultParagraphFont"/>
    <w:link w:val="EndNoteBibliographyTitle"/>
    <w:rsid w:val="000A27DA"/>
    <w:rPr>
      <w:rFonts w:ascii="Calibri" w:eastAsia="Times New Roman" w:hAnsi="Calibri" w:cs="Calibri"/>
      <w:noProof/>
      <w:kern w:val="0"/>
      <w:lang w:val="en-MY" w:eastAsia="zh-CN"/>
      <w14:ligatures w14:val="none"/>
    </w:rPr>
  </w:style>
  <w:style w:type="paragraph" w:customStyle="1" w:styleId="EndNoteBibliography">
    <w:name w:val="EndNote Bibliography"/>
    <w:basedOn w:val="Normal"/>
    <w:link w:val="EndNoteBibliographyChar"/>
    <w:rsid w:val="000A27DA"/>
    <w:pPr>
      <w:spacing w:line="240" w:lineRule="auto"/>
      <w:jc w:val="both"/>
    </w:pPr>
    <w:rPr>
      <w:rFonts w:ascii="Calibri" w:eastAsia="Times New Roman" w:hAnsi="Calibri" w:cs="Calibri"/>
      <w:noProof/>
      <w:kern w:val="0"/>
      <w:lang w:val="en-MY" w:eastAsia="zh-CN"/>
      <w14:ligatures w14:val="none"/>
    </w:rPr>
  </w:style>
  <w:style w:type="character" w:customStyle="1" w:styleId="EndNoteBibliographyChar">
    <w:name w:val="EndNote Bibliography Char"/>
    <w:basedOn w:val="DefaultParagraphFont"/>
    <w:link w:val="EndNoteBibliography"/>
    <w:rsid w:val="000A27DA"/>
    <w:rPr>
      <w:rFonts w:ascii="Calibri" w:eastAsia="Times New Roman" w:hAnsi="Calibri" w:cs="Calibri"/>
      <w:noProof/>
      <w:kern w:val="0"/>
      <w:lang w:val="en-MY" w:eastAsia="zh-CN"/>
      <w14:ligatures w14:val="none"/>
    </w:rPr>
  </w:style>
  <w:style w:type="paragraph" w:styleId="NormalWeb">
    <w:name w:val="Normal (Web)"/>
    <w:basedOn w:val="Normal"/>
    <w:uiPriority w:val="99"/>
    <w:unhideWhenUsed/>
    <w:rsid w:val="000A27D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BodyText">
    <w:name w:val="Body Text"/>
    <w:basedOn w:val="Normal"/>
    <w:link w:val="BodyTextChar"/>
    <w:uiPriority w:val="1"/>
    <w:qFormat/>
    <w:rsid w:val="005047E9"/>
    <w:pPr>
      <w:widowControl w:val="0"/>
      <w:autoSpaceDE w:val="0"/>
      <w:autoSpaceDN w:val="0"/>
      <w:spacing w:after="0" w:line="240" w:lineRule="auto"/>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5047E9"/>
    <w:rPr>
      <w:rFonts w:ascii="Georgia" w:eastAsia="Georgia" w:hAnsi="Georgia" w:cs="Georgia"/>
      <w:kern w:val="0"/>
      <w:lang w:val="id"/>
      <w14:ligatures w14:val="none"/>
    </w:rPr>
  </w:style>
  <w:style w:type="character" w:styleId="FollowedHyperlink">
    <w:name w:val="FollowedHyperlink"/>
    <w:basedOn w:val="DefaultParagraphFont"/>
    <w:uiPriority w:val="99"/>
    <w:semiHidden/>
    <w:unhideWhenUsed/>
    <w:rsid w:val="00111229"/>
    <w:rPr>
      <w:color w:val="954F72" w:themeColor="followedHyperlink"/>
      <w:u w:val="single"/>
    </w:rPr>
  </w:style>
  <w:style w:type="table" w:customStyle="1" w:styleId="TableGrid1">
    <w:name w:val="Table Grid1"/>
    <w:basedOn w:val="TableNormal"/>
    <w:next w:val="TableGrid"/>
    <w:uiPriority w:val="39"/>
    <w:rsid w:val="003E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DefaultParagraphFont"/>
    <w:rsid w:val="00BB6C1D"/>
  </w:style>
  <w:style w:type="character" w:styleId="Strong">
    <w:name w:val="Strong"/>
    <w:basedOn w:val="DefaultParagraphFont"/>
    <w:uiPriority w:val="22"/>
    <w:qFormat/>
    <w:rsid w:val="00225CC4"/>
    <w:rPr>
      <w:b/>
      <w:bCs/>
    </w:rPr>
  </w:style>
  <w:style w:type="character" w:customStyle="1" w:styleId="whitespace-normal">
    <w:name w:val="whitespace-normal"/>
    <w:basedOn w:val="DefaultParagraphFont"/>
    <w:rsid w:val="00147BDD"/>
  </w:style>
  <w:style w:type="character" w:customStyle="1" w:styleId="Heading3Char">
    <w:name w:val="Heading 3 Char"/>
    <w:basedOn w:val="DefaultParagraphFont"/>
    <w:link w:val="Heading3"/>
    <w:uiPriority w:val="9"/>
    <w:rsid w:val="00071450"/>
    <w:rPr>
      <w:rFonts w:ascii="Times New Roman" w:eastAsia="Times New Roman" w:hAnsi="Times New Roman" w:cs="Times New Roman"/>
      <w:b/>
      <w:bCs/>
      <w:kern w:val="0"/>
      <w:sz w:val="27"/>
      <w:szCs w:val="27"/>
      <w:lang w:eastAsia="en-PH"/>
      <w14:ligatures w14:val="none"/>
    </w:rPr>
  </w:style>
  <w:style w:type="paragraph" w:customStyle="1" w:styleId="isselectedend">
    <w:name w:val="isselectedend"/>
    <w:basedOn w:val="Normal"/>
    <w:rsid w:val="00750834"/>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F1"/>
  </w:style>
  <w:style w:type="paragraph" w:styleId="Heading3">
    <w:name w:val="heading 3"/>
    <w:basedOn w:val="Normal"/>
    <w:link w:val="Heading3Char"/>
    <w:uiPriority w:val="9"/>
    <w:qFormat/>
    <w:rsid w:val="0007145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DA"/>
    <w:pPr>
      <w:ind w:left="720"/>
      <w:contextualSpacing/>
    </w:pPr>
    <w:rPr>
      <w:rFonts w:ascii="Calibri" w:eastAsia="Times New Roman" w:hAnsi="Calibri" w:cs="Times New Roman"/>
      <w:kern w:val="0"/>
      <w:lang w:val="en-MY" w:eastAsia="zh-CN"/>
      <w14:ligatures w14:val="none"/>
    </w:rPr>
  </w:style>
  <w:style w:type="paragraph" w:styleId="Header">
    <w:name w:val="header"/>
    <w:basedOn w:val="Normal"/>
    <w:link w:val="HeaderChar"/>
    <w:uiPriority w:val="99"/>
    <w:unhideWhenUsed/>
    <w:rsid w:val="000A27DA"/>
    <w:pPr>
      <w:tabs>
        <w:tab w:val="center" w:pos="4513"/>
        <w:tab w:val="right" w:pos="9026"/>
      </w:tabs>
      <w:spacing w:after="0" w:line="240" w:lineRule="auto"/>
    </w:pPr>
    <w:rPr>
      <w:rFonts w:ascii="Calibri" w:eastAsia="Times New Roman" w:hAnsi="Calibri" w:cs="Times New Roman"/>
      <w:kern w:val="0"/>
      <w:lang w:val="en-MY" w:eastAsia="zh-CN"/>
      <w14:ligatures w14:val="none"/>
    </w:rPr>
  </w:style>
  <w:style w:type="character" w:customStyle="1" w:styleId="HeaderChar">
    <w:name w:val="Header Char"/>
    <w:basedOn w:val="DefaultParagraphFont"/>
    <w:link w:val="Header"/>
    <w:uiPriority w:val="99"/>
    <w:rsid w:val="000A27DA"/>
    <w:rPr>
      <w:rFonts w:ascii="Calibri" w:eastAsia="Times New Roman" w:hAnsi="Calibri" w:cs="Times New Roman"/>
      <w:kern w:val="0"/>
      <w:lang w:val="en-MY" w:eastAsia="zh-CN"/>
      <w14:ligatures w14:val="none"/>
    </w:rPr>
  </w:style>
  <w:style w:type="paragraph" w:styleId="Footer">
    <w:name w:val="footer"/>
    <w:basedOn w:val="Normal"/>
    <w:link w:val="FooterChar"/>
    <w:uiPriority w:val="99"/>
    <w:unhideWhenUsed/>
    <w:rsid w:val="000A27DA"/>
    <w:pPr>
      <w:tabs>
        <w:tab w:val="center" w:pos="4513"/>
        <w:tab w:val="right" w:pos="9026"/>
      </w:tabs>
    </w:pPr>
    <w:rPr>
      <w:rFonts w:ascii="Calibri" w:eastAsia="Times New Roman" w:hAnsi="Calibri" w:cs="Times New Roman"/>
      <w:kern w:val="0"/>
      <w:lang w:val="en-MY" w:eastAsia="zh-CN"/>
      <w14:ligatures w14:val="none"/>
    </w:rPr>
  </w:style>
  <w:style w:type="character" w:customStyle="1" w:styleId="FooterChar">
    <w:name w:val="Footer Char"/>
    <w:basedOn w:val="DefaultParagraphFont"/>
    <w:link w:val="Footer"/>
    <w:uiPriority w:val="99"/>
    <w:rsid w:val="000A27DA"/>
    <w:rPr>
      <w:rFonts w:ascii="Calibri" w:eastAsia="Times New Roman" w:hAnsi="Calibri" w:cs="Times New Roman"/>
      <w:kern w:val="0"/>
      <w:lang w:val="en-MY" w:eastAsia="zh-CN"/>
      <w14:ligatures w14:val="none"/>
    </w:rPr>
  </w:style>
  <w:style w:type="table" w:styleId="TableGrid">
    <w:name w:val="Table Grid"/>
    <w:basedOn w:val="TableNormal"/>
    <w:uiPriority w:val="59"/>
    <w:rsid w:val="000A27D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27DA"/>
    <w:rPr>
      <w:color w:val="0563C1" w:themeColor="hyperlink"/>
      <w:u w:val="single"/>
    </w:rPr>
  </w:style>
  <w:style w:type="character" w:customStyle="1" w:styleId="UnresolvedMention">
    <w:name w:val="Unresolved Mention"/>
    <w:basedOn w:val="DefaultParagraphFont"/>
    <w:uiPriority w:val="99"/>
    <w:semiHidden/>
    <w:unhideWhenUsed/>
    <w:rsid w:val="000A27DA"/>
    <w:rPr>
      <w:color w:val="605E5C"/>
      <w:shd w:val="clear" w:color="auto" w:fill="E1DFDD"/>
    </w:rPr>
  </w:style>
  <w:style w:type="character" w:styleId="CommentReference">
    <w:name w:val="annotation reference"/>
    <w:basedOn w:val="DefaultParagraphFont"/>
    <w:uiPriority w:val="99"/>
    <w:semiHidden/>
    <w:unhideWhenUsed/>
    <w:rsid w:val="000A27DA"/>
    <w:rPr>
      <w:sz w:val="16"/>
      <w:szCs w:val="16"/>
    </w:rPr>
  </w:style>
  <w:style w:type="paragraph" w:styleId="CommentText">
    <w:name w:val="annotation text"/>
    <w:basedOn w:val="Normal"/>
    <w:link w:val="CommentTextChar"/>
    <w:uiPriority w:val="99"/>
    <w:semiHidden/>
    <w:unhideWhenUsed/>
    <w:rsid w:val="000A27DA"/>
    <w:pPr>
      <w:spacing w:line="240" w:lineRule="auto"/>
    </w:pPr>
    <w:rPr>
      <w:rFonts w:ascii="Calibri" w:eastAsia="Times New Roman" w:hAnsi="Calibri" w:cs="Times New Roman"/>
      <w:kern w:val="0"/>
      <w:sz w:val="20"/>
      <w:szCs w:val="20"/>
      <w:lang w:val="en-MY" w:eastAsia="zh-CN"/>
      <w14:ligatures w14:val="none"/>
    </w:rPr>
  </w:style>
  <w:style w:type="character" w:customStyle="1" w:styleId="CommentTextChar">
    <w:name w:val="Comment Text Char"/>
    <w:basedOn w:val="DefaultParagraphFont"/>
    <w:link w:val="CommentText"/>
    <w:uiPriority w:val="99"/>
    <w:semiHidden/>
    <w:rsid w:val="000A27DA"/>
    <w:rPr>
      <w:rFonts w:ascii="Calibri" w:eastAsia="Times New Roman" w:hAnsi="Calibri" w:cs="Times New Roman"/>
      <w:kern w:val="0"/>
      <w:sz w:val="20"/>
      <w:szCs w:val="20"/>
      <w:lang w:val="en-MY" w:eastAsia="zh-CN"/>
      <w14:ligatures w14:val="none"/>
    </w:rPr>
  </w:style>
  <w:style w:type="paragraph" w:styleId="CommentSubject">
    <w:name w:val="annotation subject"/>
    <w:basedOn w:val="CommentText"/>
    <w:next w:val="CommentText"/>
    <w:link w:val="CommentSubjectChar"/>
    <w:uiPriority w:val="99"/>
    <w:semiHidden/>
    <w:unhideWhenUsed/>
    <w:rsid w:val="000A27DA"/>
    <w:rPr>
      <w:b/>
      <w:bCs/>
    </w:rPr>
  </w:style>
  <w:style w:type="character" w:customStyle="1" w:styleId="CommentSubjectChar">
    <w:name w:val="Comment Subject Char"/>
    <w:basedOn w:val="CommentTextChar"/>
    <w:link w:val="CommentSubject"/>
    <w:uiPriority w:val="99"/>
    <w:semiHidden/>
    <w:rsid w:val="000A27DA"/>
    <w:rPr>
      <w:rFonts w:ascii="Calibri" w:eastAsia="Times New Roman" w:hAnsi="Calibri" w:cs="Times New Roman"/>
      <w:b/>
      <w:bCs/>
      <w:kern w:val="0"/>
      <w:sz w:val="20"/>
      <w:szCs w:val="20"/>
      <w:lang w:val="en-MY" w:eastAsia="zh-CN"/>
      <w14:ligatures w14:val="none"/>
    </w:rPr>
  </w:style>
  <w:style w:type="paragraph" w:customStyle="1" w:styleId="EndNoteBibliographyTitle">
    <w:name w:val="EndNote Bibliography Title"/>
    <w:basedOn w:val="Normal"/>
    <w:link w:val="EndNoteBibliographyTitleChar"/>
    <w:rsid w:val="000A27DA"/>
    <w:pPr>
      <w:spacing w:after="0"/>
      <w:jc w:val="center"/>
    </w:pPr>
    <w:rPr>
      <w:rFonts w:ascii="Calibri" w:eastAsia="Times New Roman" w:hAnsi="Calibri" w:cs="Calibri"/>
      <w:noProof/>
      <w:kern w:val="0"/>
      <w:lang w:val="en-MY" w:eastAsia="zh-CN"/>
      <w14:ligatures w14:val="none"/>
    </w:rPr>
  </w:style>
  <w:style w:type="character" w:customStyle="1" w:styleId="EndNoteBibliographyTitleChar">
    <w:name w:val="EndNote Bibliography Title Char"/>
    <w:basedOn w:val="DefaultParagraphFont"/>
    <w:link w:val="EndNoteBibliographyTitle"/>
    <w:rsid w:val="000A27DA"/>
    <w:rPr>
      <w:rFonts w:ascii="Calibri" w:eastAsia="Times New Roman" w:hAnsi="Calibri" w:cs="Calibri"/>
      <w:noProof/>
      <w:kern w:val="0"/>
      <w:lang w:val="en-MY" w:eastAsia="zh-CN"/>
      <w14:ligatures w14:val="none"/>
    </w:rPr>
  </w:style>
  <w:style w:type="paragraph" w:customStyle="1" w:styleId="EndNoteBibliography">
    <w:name w:val="EndNote Bibliography"/>
    <w:basedOn w:val="Normal"/>
    <w:link w:val="EndNoteBibliographyChar"/>
    <w:rsid w:val="000A27DA"/>
    <w:pPr>
      <w:spacing w:line="240" w:lineRule="auto"/>
      <w:jc w:val="both"/>
    </w:pPr>
    <w:rPr>
      <w:rFonts w:ascii="Calibri" w:eastAsia="Times New Roman" w:hAnsi="Calibri" w:cs="Calibri"/>
      <w:noProof/>
      <w:kern w:val="0"/>
      <w:lang w:val="en-MY" w:eastAsia="zh-CN"/>
      <w14:ligatures w14:val="none"/>
    </w:rPr>
  </w:style>
  <w:style w:type="character" w:customStyle="1" w:styleId="EndNoteBibliographyChar">
    <w:name w:val="EndNote Bibliography Char"/>
    <w:basedOn w:val="DefaultParagraphFont"/>
    <w:link w:val="EndNoteBibliography"/>
    <w:rsid w:val="000A27DA"/>
    <w:rPr>
      <w:rFonts w:ascii="Calibri" w:eastAsia="Times New Roman" w:hAnsi="Calibri" w:cs="Calibri"/>
      <w:noProof/>
      <w:kern w:val="0"/>
      <w:lang w:val="en-MY" w:eastAsia="zh-CN"/>
      <w14:ligatures w14:val="none"/>
    </w:rPr>
  </w:style>
  <w:style w:type="paragraph" w:styleId="NormalWeb">
    <w:name w:val="Normal (Web)"/>
    <w:basedOn w:val="Normal"/>
    <w:uiPriority w:val="99"/>
    <w:unhideWhenUsed/>
    <w:rsid w:val="000A27D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BodyText">
    <w:name w:val="Body Text"/>
    <w:basedOn w:val="Normal"/>
    <w:link w:val="BodyTextChar"/>
    <w:uiPriority w:val="1"/>
    <w:qFormat/>
    <w:rsid w:val="005047E9"/>
    <w:pPr>
      <w:widowControl w:val="0"/>
      <w:autoSpaceDE w:val="0"/>
      <w:autoSpaceDN w:val="0"/>
      <w:spacing w:after="0" w:line="240" w:lineRule="auto"/>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5047E9"/>
    <w:rPr>
      <w:rFonts w:ascii="Georgia" w:eastAsia="Georgia" w:hAnsi="Georgia" w:cs="Georgia"/>
      <w:kern w:val="0"/>
      <w:lang w:val="id"/>
      <w14:ligatures w14:val="none"/>
    </w:rPr>
  </w:style>
  <w:style w:type="character" w:styleId="FollowedHyperlink">
    <w:name w:val="FollowedHyperlink"/>
    <w:basedOn w:val="DefaultParagraphFont"/>
    <w:uiPriority w:val="99"/>
    <w:semiHidden/>
    <w:unhideWhenUsed/>
    <w:rsid w:val="00111229"/>
    <w:rPr>
      <w:color w:val="954F72" w:themeColor="followedHyperlink"/>
      <w:u w:val="single"/>
    </w:rPr>
  </w:style>
  <w:style w:type="table" w:customStyle="1" w:styleId="TableGrid1">
    <w:name w:val="Table Grid1"/>
    <w:basedOn w:val="TableNormal"/>
    <w:next w:val="TableGrid"/>
    <w:uiPriority w:val="39"/>
    <w:rsid w:val="003E1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DefaultParagraphFont"/>
    <w:rsid w:val="00BB6C1D"/>
  </w:style>
  <w:style w:type="character" w:styleId="Strong">
    <w:name w:val="Strong"/>
    <w:basedOn w:val="DefaultParagraphFont"/>
    <w:uiPriority w:val="22"/>
    <w:qFormat/>
    <w:rsid w:val="00225CC4"/>
    <w:rPr>
      <w:b/>
      <w:bCs/>
    </w:rPr>
  </w:style>
  <w:style w:type="character" w:customStyle="1" w:styleId="whitespace-normal">
    <w:name w:val="whitespace-normal"/>
    <w:basedOn w:val="DefaultParagraphFont"/>
    <w:rsid w:val="00147BDD"/>
  </w:style>
  <w:style w:type="character" w:customStyle="1" w:styleId="Heading3Char">
    <w:name w:val="Heading 3 Char"/>
    <w:basedOn w:val="DefaultParagraphFont"/>
    <w:link w:val="Heading3"/>
    <w:uiPriority w:val="9"/>
    <w:rsid w:val="00071450"/>
    <w:rPr>
      <w:rFonts w:ascii="Times New Roman" w:eastAsia="Times New Roman" w:hAnsi="Times New Roman" w:cs="Times New Roman"/>
      <w:b/>
      <w:bCs/>
      <w:kern w:val="0"/>
      <w:sz w:val="27"/>
      <w:szCs w:val="27"/>
      <w:lang w:eastAsia="en-PH"/>
      <w14:ligatures w14:val="none"/>
    </w:rPr>
  </w:style>
  <w:style w:type="paragraph" w:customStyle="1" w:styleId="isselectedend">
    <w:name w:val="isselectedend"/>
    <w:basedOn w:val="Normal"/>
    <w:rsid w:val="00750834"/>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385">
      <w:bodyDiv w:val="1"/>
      <w:marLeft w:val="0"/>
      <w:marRight w:val="0"/>
      <w:marTop w:val="0"/>
      <w:marBottom w:val="0"/>
      <w:divBdr>
        <w:top w:val="none" w:sz="0" w:space="0" w:color="auto"/>
        <w:left w:val="none" w:sz="0" w:space="0" w:color="auto"/>
        <w:bottom w:val="none" w:sz="0" w:space="0" w:color="auto"/>
        <w:right w:val="none" w:sz="0" w:space="0" w:color="auto"/>
      </w:divBdr>
    </w:div>
    <w:div w:id="28454012">
      <w:bodyDiv w:val="1"/>
      <w:marLeft w:val="0"/>
      <w:marRight w:val="0"/>
      <w:marTop w:val="0"/>
      <w:marBottom w:val="0"/>
      <w:divBdr>
        <w:top w:val="none" w:sz="0" w:space="0" w:color="auto"/>
        <w:left w:val="none" w:sz="0" w:space="0" w:color="auto"/>
        <w:bottom w:val="none" w:sz="0" w:space="0" w:color="auto"/>
        <w:right w:val="none" w:sz="0" w:space="0" w:color="auto"/>
      </w:divBdr>
    </w:div>
    <w:div w:id="41903852">
      <w:bodyDiv w:val="1"/>
      <w:marLeft w:val="0"/>
      <w:marRight w:val="0"/>
      <w:marTop w:val="0"/>
      <w:marBottom w:val="0"/>
      <w:divBdr>
        <w:top w:val="none" w:sz="0" w:space="0" w:color="auto"/>
        <w:left w:val="none" w:sz="0" w:space="0" w:color="auto"/>
        <w:bottom w:val="none" w:sz="0" w:space="0" w:color="auto"/>
        <w:right w:val="none" w:sz="0" w:space="0" w:color="auto"/>
      </w:divBdr>
    </w:div>
    <w:div w:id="69010341">
      <w:bodyDiv w:val="1"/>
      <w:marLeft w:val="0"/>
      <w:marRight w:val="0"/>
      <w:marTop w:val="0"/>
      <w:marBottom w:val="0"/>
      <w:divBdr>
        <w:top w:val="none" w:sz="0" w:space="0" w:color="auto"/>
        <w:left w:val="none" w:sz="0" w:space="0" w:color="auto"/>
        <w:bottom w:val="none" w:sz="0" w:space="0" w:color="auto"/>
        <w:right w:val="none" w:sz="0" w:space="0" w:color="auto"/>
      </w:divBdr>
    </w:div>
    <w:div w:id="70861152">
      <w:bodyDiv w:val="1"/>
      <w:marLeft w:val="0"/>
      <w:marRight w:val="0"/>
      <w:marTop w:val="0"/>
      <w:marBottom w:val="0"/>
      <w:divBdr>
        <w:top w:val="none" w:sz="0" w:space="0" w:color="auto"/>
        <w:left w:val="none" w:sz="0" w:space="0" w:color="auto"/>
        <w:bottom w:val="none" w:sz="0" w:space="0" w:color="auto"/>
        <w:right w:val="none" w:sz="0" w:space="0" w:color="auto"/>
      </w:divBdr>
    </w:div>
    <w:div w:id="89856571">
      <w:bodyDiv w:val="1"/>
      <w:marLeft w:val="0"/>
      <w:marRight w:val="0"/>
      <w:marTop w:val="0"/>
      <w:marBottom w:val="0"/>
      <w:divBdr>
        <w:top w:val="none" w:sz="0" w:space="0" w:color="auto"/>
        <w:left w:val="none" w:sz="0" w:space="0" w:color="auto"/>
        <w:bottom w:val="none" w:sz="0" w:space="0" w:color="auto"/>
        <w:right w:val="none" w:sz="0" w:space="0" w:color="auto"/>
      </w:divBdr>
      <w:divsChild>
        <w:div w:id="310640700">
          <w:marLeft w:val="0"/>
          <w:marRight w:val="0"/>
          <w:marTop w:val="0"/>
          <w:marBottom w:val="0"/>
          <w:divBdr>
            <w:top w:val="none" w:sz="0" w:space="0" w:color="auto"/>
            <w:left w:val="none" w:sz="0" w:space="0" w:color="auto"/>
            <w:bottom w:val="none" w:sz="0" w:space="0" w:color="auto"/>
            <w:right w:val="none" w:sz="0" w:space="0" w:color="auto"/>
          </w:divBdr>
          <w:divsChild>
            <w:div w:id="1753887945">
              <w:marLeft w:val="0"/>
              <w:marRight w:val="0"/>
              <w:marTop w:val="0"/>
              <w:marBottom w:val="0"/>
              <w:divBdr>
                <w:top w:val="none" w:sz="0" w:space="0" w:color="auto"/>
                <w:left w:val="none" w:sz="0" w:space="0" w:color="auto"/>
                <w:bottom w:val="none" w:sz="0" w:space="0" w:color="auto"/>
                <w:right w:val="none" w:sz="0" w:space="0" w:color="auto"/>
              </w:divBdr>
              <w:divsChild>
                <w:div w:id="589431250">
                  <w:marLeft w:val="0"/>
                  <w:marRight w:val="0"/>
                  <w:marTop w:val="0"/>
                  <w:marBottom w:val="0"/>
                  <w:divBdr>
                    <w:top w:val="none" w:sz="0" w:space="0" w:color="auto"/>
                    <w:left w:val="none" w:sz="0" w:space="0" w:color="auto"/>
                    <w:bottom w:val="none" w:sz="0" w:space="0" w:color="auto"/>
                    <w:right w:val="none" w:sz="0" w:space="0" w:color="auto"/>
                  </w:divBdr>
                  <w:divsChild>
                    <w:div w:id="13376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9074">
      <w:bodyDiv w:val="1"/>
      <w:marLeft w:val="0"/>
      <w:marRight w:val="0"/>
      <w:marTop w:val="0"/>
      <w:marBottom w:val="0"/>
      <w:divBdr>
        <w:top w:val="none" w:sz="0" w:space="0" w:color="auto"/>
        <w:left w:val="none" w:sz="0" w:space="0" w:color="auto"/>
        <w:bottom w:val="none" w:sz="0" w:space="0" w:color="auto"/>
        <w:right w:val="none" w:sz="0" w:space="0" w:color="auto"/>
      </w:divBdr>
      <w:divsChild>
        <w:div w:id="1012414768">
          <w:marLeft w:val="0"/>
          <w:marRight w:val="0"/>
          <w:marTop w:val="0"/>
          <w:marBottom w:val="0"/>
          <w:divBdr>
            <w:top w:val="none" w:sz="0" w:space="0" w:color="auto"/>
            <w:left w:val="none" w:sz="0" w:space="0" w:color="auto"/>
            <w:bottom w:val="none" w:sz="0" w:space="0" w:color="auto"/>
            <w:right w:val="none" w:sz="0" w:space="0" w:color="auto"/>
          </w:divBdr>
          <w:divsChild>
            <w:div w:id="2117403062">
              <w:marLeft w:val="0"/>
              <w:marRight w:val="0"/>
              <w:marTop w:val="0"/>
              <w:marBottom w:val="0"/>
              <w:divBdr>
                <w:top w:val="none" w:sz="0" w:space="0" w:color="auto"/>
                <w:left w:val="none" w:sz="0" w:space="0" w:color="auto"/>
                <w:bottom w:val="none" w:sz="0" w:space="0" w:color="auto"/>
                <w:right w:val="none" w:sz="0" w:space="0" w:color="auto"/>
              </w:divBdr>
              <w:divsChild>
                <w:div w:id="911545492">
                  <w:marLeft w:val="0"/>
                  <w:marRight w:val="0"/>
                  <w:marTop w:val="0"/>
                  <w:marBottom w:val="0"/>
                  <w:divBdr>
                    <w:top w:val="none" w:sz="0" w:space="0" w:color="auto"/>
                    <w:left w:val="none" w:sz="0" w:space="0" w:color="auto"/>
                    <w:bottom w:val="none" w:sz="0" w:space="0" w:color="auto"/>
                    <w:right w:val="none" w:sz="0" w:space="0" w:color="auto"/>
                  </w:divBdr>
                  <w:divsChild>
                    <w:div w:id="20501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4344">
      <w:bodyDiv w:val="1"/>
      <w:marLeft w:val="0"/>
      <w:marRight w:val="0"/>
      <w:marTop w:val="0"/>
      <w:marBottom w:val="0"/>
      <w:divBdr>
        <w:top w:val="none" w:sz="0" w:space="0" w:color="auto"/>
        <w:left w:val="none" w:sz="0" w:space="0" w:color="auto"/>
        <w:bottom w:val="none" w:sz="0" w:space="0" w:color="auto"/>
        <w:right w:val="none" w:sz="0" w:space="0" w:color="auto"/>
      </w:divBdr>
    </w:div>
    <w:div w:id="197470234">
      <w:bodyDiv w:val="1"/>
      <w:marLeft w:val="0"/>
      <w:marRight w:val="0"/>
      <w:marTop w:val="0"/>
      <w:marBottom w:val="0"/>
      <w:divBdr>
        <w:top w:val="none" w:sz="0" w:space="0" w:color="auto"/>
        <w:left w:val="none" w:sz="0" w:space="0" w:color="auto"/>
        <w:bottom w:val="none" w:sz="0" w:space="0" w:color="auto"/>
        <w:right w:val="none" w:sz="0" w:space="0" w:color="auto"/>
      </w:divBdr>
    </w:div>
    <w:div w:id="298148811">
      <w:bodyDiv w:val="1"/>
      <w:marLeft w:val="0"/>
      <w:marRight w:val="0"/>
      <w:marTop w:val="0"/>
      <w:marBottom w:val="0"/>
      <w:divBdr>
        <w:top w:val="none" w:sz="0" w:space="0" w:color="auto"/>
        <w:left w:val="none" w:sz="0" w:space="0" w:color="auto"/>
        <w:bottom w:val="none" w:sz="0" w:space="0" w:color="auto"/>
        <w:right w:val="none" w:sz="0" w:space="0" w:color="auto"/>
      </w:divBdr>
    </w:div>
    <w:div w:id="310718578">
      <w:bodyDiv w:val="1"/>
      <w:marLeft w:val="0"/>
      <w:marRight w:val="0"/>
      <w:marTop w:val="0"/>
      <w:marBottom w:val="0"/>
      <w:divBdr>
        <w:top w:val="none" w:sz="0" w:space="0" w:color="auto"/>
        <w:left w:val="none" w:sz="0" w:space="0" w:color="auto"/>
        <w:bottom w:val="none" w:sz="0" w:space="0" w:color="auto"/>
        <w:right w:val="none" w:sz="0" w:space="0" w:color="auto"/>
      </w:divBdr>
      <w:divsChild>
        <w:div w:id="2140412243">
          <w:marLeft w:val="0"/>
          <w:marRight w:val="0"/>
          <w:marTop w:val="0"/>
          <w:marBottom w:val="0"/>
          <w:divBdr>
            <w:top w:val="none" w:sz="0" w:space="0" w:color="auto"/>
            <w:left w:val="none" w:sz="0" w:space="0" w:color="auto"/>
            <w:bottom w:val="none" w:sz="0" w:space="0" w:color="auto"/>
            <w:right w:val="none" w:sz="0" w:space="0" w:color="auto"/>
          </w:divBdr>
          <w:divsChild>
            <w:div w:id="524949425">
              <w:marLeft w:val="0"/>
              <w:marRight w:val="0"/>
              <w:marTop w:val="0"/>
              <w:marBottom w:val="0"/>
              <w:divBdr>
                <w:top w:val="none" w:sz="0" w:space="0" w:color="auto"/>
                <w:left w:val="none" w:sz="0" w:space="0" w:color="auto"/>
                <w:bottom w:val="none" w:sz="0" w:space="0" w:color="auto"/>
                <w:right w:val="none" w:sz="0" w:space="0" w:color="auto"/>
              </w:divBdr>
              <w:divsChild>
                <w:div w:id="561987115">
                  <w:marLeft w:val="0"/>
                  <w:marRight w:val="0"/>
                  <w:marTop w:val="0"/>
                  <w:marBottom w:val="0"/>
                  <w:divBdr>
                    <w:top w:val="none" w:sz="0" w:space="0" w:color="auto"/>
                    <w:left w:val="none" w:sz="0" w:space="0" w:color="auto"/>
                    <w:bottom w:val="none" w:sz="0" w:space="0" w:color="auto"/>
                    <w:right w:val="none" w:sz="0" w:space="0" w:color="auto"/>
                  </w:divBdr>
                  <w:divsChild>
                    <w:div w:id="10926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27982">
      <w:bodyDiv w:val="1"/>
      <w:marLeft w:val="0"/>
      <w:marRight w:val="0"/>
      <w:marTop w:val="0"/>
      <w:marBottom w:val="0"/>
      <w:divBdr>
        <w:top w:val="none" w:sz="0" w:space="0" w:color="auto"/>
        <w:left w:val="none" w:sz="0" w:space="0" w:color="auto"/>
        <w:bottom w:val="none" w:sz="0" w:space="0" w:color="auto"/>
        <w:right w:val="none" w:sz="0" w:space="0" w:color="auto"/>
      </w:divBdr>
    </w:div>
    <w:div w:id="397093564">
      <w:bodyDiv w:val="1"/>
      <w:marLeft w:val="0"/>
      <w:marRight w:val="0"/>
      <w:marTop w:val="0"/>
      <w:marBottom w:val="0"/>
      <w:divBdr>
        <w:top w:val="none" w:sz="0" w:space="0" w:color="auto"/>
        <w:left w:val="none" w:sz="0" w:space="0" w:color="auto"/>
        <w:bottom w:val="none" w:sz="0" w:space="0" w:color="auto"/>
        <w:right w:val="none" w:sz="0" w:space="0" w:color="auto"/>
      </w:divBdr>
      <w:divsChild>
        <w:div w:id="1530751804">
          <w:marLeft w:val="0"/>
          <w:marRight w:val="0"/>
          <w:marTop w:val="0"/>
          <w:marBottom w:val="0"/>
          <w:divBdr>
            <w:top w:val="none" w:sz="0" w:space="0" w:color="auto"/>
            <w:left w:val="none" w:sz="0" w:space="0" w:color="auto"/>
            <w:bottom w:val="none" w:sz="0" w:space="0" w:color="auto"/>
            <w:right w:val="none" w:sz="0" w:space="0" w:color="auto"/>
          </w:divBdr>
          <w:divsChild>
            <w:div w:id="143816478">
              <w:marLeft w:val="0"/>
              <w:marRight w:val="0"/>
              <w:marTop w:val="0"/>
              <w:marBottom w:val="0"/>
              <w:divBdr>
                <w:top w:val="none" w:sz="0" w:space="0" w:color="auto"/>
                <w:left w:val="none" w:sz="0" w:space="0" w:color="auto"/>
                <w:bottom w:val="none" w:sz="0" w:space="0" w:color="auto"/>
                <w:right w:val="none" w:sz="0" w:space="0" w:color="auto"/>
              </w:divBdr>
              <w:divsChild>
                <w:div w:id="600994607">
                  <w:marLeft w:val="0"/>
                  <w:marRight w:val="0"/>
                  <w:marTop w:val="0"/>
                  <w:marBottom w:val="0"/>
                  <w:divBdr>
                    <w:top w:val="none" w:sz="0" w:space="0" w:color="auto"/>
                    <w:left w:val="none" w:sz="0" w:space="0" w:color="auto"/>
                    <w:bottom w:val="none" w:sz="0" w:space="0" w:color="auto"/>
                    <w:right w:val="none" w:sz="0" w:space="0" w:color="auto"/>
                  </w:divBdr>
                  <w:divsChild>
                    <w:div w:id="13233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71918">
      <w:bodyDiv w:val="1"/>
      <w:marLeft w:val="0"/>
      <w:marRight w:val="0"/>
      <w:marTop w:val="0"/>
      <w:marBottom w:val="0"/>
      <w:divBdr>
        <w:top w:val="none" w:sz="0" w:space="0" w:color="auto"/>
        <w:left w:val="none" w:sz="0" w:space="0" w:color="auto"/>
        <w:bottom w:val="none" w:sz="0" w:space="0" w:color="auto"/>
        <w:right w:val="none" w:sz="0" w:space="0" w:color="auto"/>
      </w:divBdr>
    </w:div>
    <w:div w:id="412629762">
      <w:bodyDiv w:val="1"/>
      <w:marLeft w:val="0"/>
      <w:marRight w:val="0"/>
      <w:marTop w:val="0"/>
      <w:marBottom w:val="0"/>
      <w:divBdr>
        <w:top w:val="none" w:sz="0" w:space="0" w:color="auto"/>
        <w:left w:val="none" w:sz="0" w:space="0" w:color="auto"/>
        <w:bottom w:val="none" w:sz="0" w:space="0" w:color="auto"/>
        <w:right w:val="none" w:sz="0" w:space="0" w:color="auto"/>
      </w:divBdr>
    </w:div>
    <w:div w:id="414403949">
      <w:bodyDiv w:val="1"/>
      <w:marLeft w:val="0"/>
      <w:marRight w:val="0"/>
      <w:marTop w:val="0"/>
      <w:marBottom w:val="0"/>
      <w:divBdr>
        <w:top w:val="none" w:sz="0" w:space="0" w:color="auto"/>
        <w:left w:val="none" w:sz="0" w:space="0" w:color="auto"/>
        <w:bottom w:val="none" w:sz="0" w:space="0" w:color="auto"/>
        <w:right w:val="none" w:sz="0" w:space="0" w:color="auto"/>
      </w:divBdr>
      <w:divsChild>
        <w:div w:id="510023573">
          <w:marLeft w:val="0"/>
          <w:marRight w:val="0"/>
          <w:marTop w:val="0"/>
          <w:marBottom w:val="0"/>
          <w:divBdr>
            <w:top w:val="none" w:sz="0" w:space="0" w:color="auto"/>
            <w:left w:val="none" w:sz="0" w:space="0" w:color="auto"/>
            <w:bottom w:val="none" w:sz="0" w:space="0" w:color="auto"/>
            <w:right w:val="none" w:sz="0" w:space="0" w:color="auto"/>
          </w:divBdr>
          <w:divsChild>
            <w:div w:id="528685272">
              <w:marLeft w:val="0"/>
              <w:marRight w:val="0"/>
              <w:marTop w:val="0"/>
              <w:marBottom w:val="0"/>
              <w:divBdr>
                <w:top w:val="none" w:sz="0" w:space="0" w:color="auto"/>
                <w:left w:val="none" w:sz="0" w:space="0" w:color="auto"/>
                <w:bottom w:val="none" w:sz="0" w:space="0" w:color="auto"/>
                <w:right w:val="none" w:sz="0" w:space="0" w:color="auto"/>
              </w:divBdr>
              <w:divsChild>
                <w:div w:id="29499779">
                  <w:marLeft w:val="0"/>
                  <w:marRight w:val="0"/>
                  <w:marTop w:val="0"/>
                  <w:marBottom w:val="0"/>
                  <w:divBdr>
                    <w:top w:val="none" w:sz="0" w:space="0" w:color="auto"/>
                    <w:left w:val="none" w:sz="0" w:space="0" w:color="auto"/>
                    <w:bottom w:val="none" w:sz="0" w:space="0" w:color="auto"/>
                    <w:right w:val="none" w:sz="0" w:space="0" w:color="auto"/>
                  </w:divBdr>
                  <w:divsChild>
                    <w:div w:id="18743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54884">
      <w:bodyDiv w:val="1"/>
      <w:marLeft w:val="0"/>
      <w:marRight w:val="0"/>
      <w:marTop w:val="0"/>
      <w:marBottom w:val="0"/>
      <w:divBdr>
        <w:top w:val="none" w:sz="0" w:space="0" w:color="auto"/>
        <w:left w:val="none" w:sz="0" w:space="0" w:color="auto"/>
        <w:bottom w:val="none" w:sz="0" w:space="0" w:color="auto"/>
        <w:right w:val="none" w:sz="0" w:space="0" w:color="auto"/>
      </w:divBdr>
    </w:div>
    <w:div w:id="502428855">
      <w:bodyDiv w:val="1"/>
      <w:marLeft w:val="0"/>
      <w:marRight w:val="0"/>
      <w:marTop w:val="0"/>
      <w:marBottom w:val="0"/>
      <w:divBdr>
        <w:top w:val="none" w:sz="0" w:space="0" w:color="auto"/>
        <w:left w:val="none" w:sz="0" w:space="0" w:color="auto"/>
        <w:bottom w:val="none" w:sz="0" w:space="0" w:color="auto"/>
        <w:right w:val="none" w:sz="0" w:space="0" w:color="auto"/>
      </w:divBdr>
    </w:div>
    <w:div w:id="520779251">
      <w:bodyDiv w:val="1"/>
      <w:marLeft w:val="0"/>
      <w:marRight w:val="0"/>
      <w:marTop w:val="0"/>
      <w:marBottom w:val="0"/>
      <w:divBdr>
        <w:top w:val="none" w:sz="0" w:space="0" w:color="auto"/>
        <w:left w:val="none" w:sz="0" w:space="0" w:color="auto"/>
        <w:bottom w:val="none" w:sz="0" w:space="0" w:color="auto"/>
        <w:right w:val="none" w:sz="0" w:space="0" w:color="auto"/>
      </w:divBdr>
    </w:div>
    <w:div w:id="529688372">
      <w:bodyDiv w:val="1"/>
      <w:marLeft w:val="0"/>
      <w:marRight w:val="0"/>
      <w:marTop w:val="0"/>
      <w:marBottom w:val="0"/>
      <w:divBdr>
        <w:top w:val="none" w:sz="0" w:space="0" w:color="auto"/>
        <w:left w:val="none" w:sz="0" w:space="0" w:color="auto"/>
        <w:bottom w:val="none" w:sz="0" w:space="0" w:color="auto"/>
        <w:right w:val="none" w:sz="0" w:space="0" w:color="auto"/>
      </w:divBdr>
    </w:div>
    <w:div w:id="536237651">
      <w:bodyDiv w:val="1"/>
      <w:marLeft w:val="0"/>
      <w:marRight w:val="0"/>
      <w:marTop w:val="0"/>
      <w:marBottom w:val="0"/>
      <w:divBdr>
        <w:top w:val="none" w:sz="0" w:space="0" w:color="auto"/>
        <w:left w:val="none" w:sz="0" w:space="0" w:color="auto"/>
        <w:bottom w:val="none" w:sz="0" w:space="0" w:color="auto"/>
        <w:right w:val="none" w:sz="0" w:space="0" w:color="auto"/>
      </w:divBdr>
      <w:divsChild>
        <w:div w:id="2090149361">
          <w:marLeft w:val="0"/>
          <w:marRight w:val="0"/>
          <w:marTop w:val="0"/>
          <w:marBottom w:val="0"/>
          <w:divBdr>
            <w:top w:val="none" w:sz="0" w:space="0" w:color="auto"/>
            <w:left w:val="none" w:sz="0" w:space="0" w:color="auto"/>
            <w:bottom w:val="none" w:sz="0" w:space="0" w:color="auto"/>
            <w:right w:val="none" w:sz="0" w:space="0" w:color="auto"/>
          </w:divBdr>
          <w:divsChild>
            <w:div w:id="202522371">
              <w:marLeft w:val="0"/>
              <w:marRight w:val="0"/>
              <w:marTop w:val="0"/>
              <w:marBottom w:val="0"/>
              <w:divBdr>
                <w:top w:val="none" w:sz="0" w:space="0" w:color="auto"/>
                <w:left w:val="none" w:sz="0" w:space="0" w:color="auto"/>
                <w:bottom w:val="none" w:sz="0" w:space="0" w:color="auto"/>
                <w:right w:val="none" w:sz="0" w:space="0" w:color="auto"/>
              </w:divBdr>
              <w:divsChild>
                <w:div w:id="1433815839">
                  <w:marLeft w:val="0"/>
                  <w:marRight w:val="0"/>
                  <w:marTop w:val="0"/>
                  <w:marBottom w:val="0"/>
                  <w:divBdr>
                    <w:top w:val="none" w:sz="0" w:space="0" w:color="auto"/>
                    <w:left w:val="none" w:sz="0" w:space="0" w:color="auto"/>
                    <w:bottom w:val="none" w:sz="0" w:space="0" w:color="auto"/>
                    <w:right w:val="none" w:sz="0" w:space="0" w:color="auto"/>
                  </w:divBdr>
                  <w:divsChild>
                    <w:div w:id="19076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571884">
      <w:bodyDiv w:val="1"/>
      <w:marLeft w:val="0"/>
      <w:marRight w:val="0"/>
      <w:marTop w:val="0"/>
      <w:marBottom w:val="0"/>
      <w:divBdr>
        <w:top w:val="none" w:sz="0" w:space="0" w:color="auto"/>
        <w:left w:val="none" w:sz="0" w:space="0" w:color="auto"/>
        <w:bottom w:val="none" w:sz="0" w:space="0" w:color="auto"/>
        <w:right w:val="none" w:sz="0" w:space="0" w:color="auto"/>
      </w:divBdr>
    </w:div>
    <w:div w:id="551501099">
      <w:bodyDiv w:val="1"/>
      <w:marLeft w:val="0"/>
      <w:marRight w:val="0"/>
      <w:marTop w:val="0"/>
      <w:marBottom w:val="0"/>
      <w:divBdr>
        <w:top w:val="none" w:sz="0" w:space="0" w:color="auto"/>
        <w:left w:val="none" w:sz="0" w:space="0" w:color="auto"/>
        <w:bottom w:val="none" w:sz="0" w:space="0" w:color="auto"/>
        <w:right w:val="none" w:sz="0" w:space="0" w:color="auto"/>
      </w:divBdr>
    </w:div>
    <w:div w:id="567493930">
      <w:bodyDiv w:val="1"/>
      <w:marLeft w:val="0"/>
      <w:marRight w:val="0"/>
      <w:marTop w:val="0"/>
      <w:marBottom w:val="0"/>
      <w:divBdr>
        <w:top w:val="none" w:sz="0" w:space="0" w:color="auto"/>
        <w:left w:val="none" w:sz="0" w:space="0" w:color="auto"/>
        <w:bottom w:val="none" w:sz="0" w:space="0" w:color="auto"/>
        <w:right w:val="none" w:sz="0" w:space="0" w:color="auto"/>
      </w:divBdr>
    </w:div>
    <w:div w:id="608898121">
      <w:bodyDiv w:val="1"/>
      <w:marLeft w:val="0"/>
      <w:marRight w:val="0"/>
      <w:marTop w:val="0"/>
      <w:marBottom w:val="0"/>
      <w:divBdr>
        <w:top w:val="none" w:sz="0" w:space="0" w:color="auto"/>
        <w:left w:val="none" w:sz="0" w:space="0" w:color="auto"/>
        <w:bottom w:val="none" w:sz="0" w:space="0" w:color="auto"/>
        <w:right w:val="none" w:sz="0" w:space="0" w:color="auto"/>
      </w:divBdr>
    </w:div>
    <w:div w:id="612323939">
      <w:bodyDiv w:val="1"/>
      <w:marLeft w:val="0"/>
      <w:marRight w:val="0"/>
      <w:marTop w:val="0"/>
      <w:marBottom w:val="0"/>
      <w:divBdr>
        <w:top w:val="none" w:sz="0" w:space="0" w:color="auto"/>
        <w:left w:val="none" w:sz="0" w:space="0" w:color="auto"/>
        <w:bottom w:val="none" w:sz="0" w:space="0" w:color="auto"/>
        <w:right w:val="none" w:sz="0" w:space="0" w:color="auto"/>
      </w:divBdr>
    </w:div>
    <w:div w:id="63885027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82">
          <w:marLeft w:val="0"/>
          <w:marRight w:val="0"/>
          <w:marTop w:val="0"/>
          <w:marBottom w:val="0"/>
          <w:divBdr>
            <w:top w:val="none" w:sz="0" w:space="0" w:color="auto"/>
            <w:left w:val="none" w:sz="0" w:space="0" w:color="auto"/>
            <w:bottom w:val="none" w:sz="0" w:space="0" w:color="auto"/>
            <w:right w:val="none" w:sz="0" w:space="0" w:color="auto"/>
          </w:divBdr>
          <w:divsChild>
            <w:div w:id="16554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1517">
      <w:bodyDiv w:val="1"/>
      <w:marLeft w:val="0"/>
      <w:marRight w:val="0"/>
      <w:marTop w:val="0"/>
      <w:marBottom w:val="0"/>
      <w:divBdr>
        <w:top w:val="none" w:sz="0" w:space="0" w:color="auto"/>
        <w:left w:val="none" w:sz="0" w:space="0" w:color="auto"/>
        <w:bottom w:val="none" w:sz="0" w:space="0" w:color="auto"/>
        <w:right w:val="none" w:sz="0" w:space="0" w:color="auto"/>
      </w:divBdr>
    </w:div>
    <w:div w:id="665977094">
      <w:bodyDiv w:val="1"/>
      <w:marLeft w:val="0"/>
      <w:marRight w:val="0"/>
      <w:marTop w:val="0"/>
      <w:marBottom w:val="0"/>
      <w:divBdr>
        <w:top w:val="none" w:sz="0" w:space="0" w:color="auto"/>
        <w:left w:val="none" w:sz="0" w:space="0" w:color="auto"/>
        <w:bottom w:val="none" w:sz="0" w:space="0" w:color="auto"/>
        <w:right w:val="none" w:sz="0" w:space="0" w:color="auto"/>
      </w:divBdr>
    </w:div>
    <w:div w:id="684477340">
      <w:bodyDiv w:val="1"/>
      <w:marLeft w:val="0"/>
      <w:marRight w:val="0"/>
      <w:marTop w:val="0"/>
      <w:marBottom w:val="0"/>
      <w:divBdr>
        <w:top w:val="none" w:sz="0" w:space="0" w:color="auto"/>
        <w:left w:val="none" w:sz="0" w:space="0" w:color="auto"/>
        <w:bottom w:val="none" w:sz="0" w:space="0" w:color="auto"/>
        <w:right w:val="none" w:sz="0" w:space="0" w:color="auto"/>
      </w:divBdr>
    </w:div>
    <w:div w:id="684554787">
      <w:bodyDiv w:val="1"/>
      <w:marLeft w:val="0"/>
      <w:marRight w:val="0"/>
      <w:marTop w:val="0"/>
      <w:marBottom w:val="0"/>
      <w:divBdr>
        <w:top w:val="none" w:sz="0" w:space="0" w:color="auto"/>
        <w:left w:val="none" w:sz="0" w:space="0" w:color="auto"/>
        <w:bottom w:val="none" w:sz="0" w:space="0" w:color="auto"/>
        <w:right w:val="none" w:sz="0" w:space="0" w:color="auto"/>
      </w:divBdr>
    </w:div>
    <w:div w:id="707604776">
      <w:bodyDiv w:val="1"/>
      <w:marLeft w:val="0"/>
      <w:marRight w:val="0"/>
      <w:marTop w:val="0"/>
      <w:marBottom w:val="0"/>
      <w:divBdr>
        <w:top w:val="none" w:sz="0" w:space="0" w:color="auto"/>
        <w:left w:val="none" w:sz="0" w:space="0" w:color="auto"/>
        <w:bottom w:val="none" w:sz="0" w:space="0" w:color="auto"/>
        <w:right w:val="none" w:sz="0" w:space="0" w:color="auto"/>
      </w:divBdr>
    </w:div>
    <w:div w:id="734350907">
      <w:bodyDiv w:val="1"/>
      <w:marLeft w:val="0"/>
      <w:marRight w:val="0"/>
      <w:marTop w:val="0"/>
      <w:marBottom w:val="0"/>
      <w:divBdr>
        <w:top w:val="none" w:sz="0" w:space="0" w:color="auto"/>
        <w:left w:val="none" w:sz="0" w:space="0" w:color="auto"/>
        <w:bottom w:val="none" w:sz="0" w:space="0" w:color="auto"/>
        <w:right w:val="none" w:sz="0" w:space="0" w:color="auto"/>
      </w:divBdr>
    </w:div>
    <w:div w:id="761073471">
      <w:bodyDiv w:val="1"/>
      <w:marLeft w:val="0"/>
      <w:marRight w:val="0"/>
      <w:marTop w:val="0"/>
      <w:marBottom w:val="0"/>
      <w:divBdr>
        <w:top w:val="none" w:sz="0" w:space="0" w:color="auto"/>
        <w:left w:val="none" w:sz="0" w:space="0" w:color="auto"/>
        <w:bottom w:val="none" w:sz="0" w:space="0" w:color="auto"/>
        <w:right w:val="none" w:sz="0" w:space="0" w:color="auto"/>
      </w:divBdr>
    </w:div>
    <w:div w:id="783842677">
      <w:bodyDiv w:val="1"/>
      <w:marLeft w:val="0"/>
      <w:marRight w:val="0"/>
      <w:marTop w:val="0"/>
      <w:marBottom w:val="0"/>
      <w:divBdr>
        <w:top w:val="none" w:sz="0" w:space="0" w:color="auto"/>
        <w:left w:val="none" w:sz="0" w:space="0" w:color="auto"/>
        <w:bottom w:val="none" w:sz="0" w:space="0" w:color="auto"/>
        <w:right w:val="none" w:sz="0" w:space="0" w:color="auto"/>
      </w:divBdr>
    </w:div>
    <w:div w:id="798840965">
      <w:bodyDiv w:val="1"/>
      <w:marLeft w:val="0"/>
      <w:marRight w:val="0"/>
      <w:marTop w:val="0"/>
      <w:marBottom w:val="0"/>
      <w:divBdr>
        <w:top w:val="none" w:sz="0" w:space="0" w:color="auto"/>
        <w:left w:val="none" w:sz="0" w:space="0" w:color="auto"/>
        <w:bottom w:val="none" w:sz="0" w:space="0" w:color="auto"/>
        <w:right w:val="none" w:sz="0" w:space="0" w:color="auto"/>
      </w:divBdr>
      <w:divsChild>
        <w:div w:id="518128655">
          <w:marLeft w:val="0"/>
          <w:marRight w:val="0"/>
          <w:marTop w:val="0"/>
          <w:marBottom w:val="0"/>
          <w:divBdr>
            <w:top w:val="none" w:sz="0" w:space="0" w:color="auto"/>
            <w:left w:val="none" w:sz="0" w:space="0" w:color="auto"/>
            <w:bottom w:val="none" w:sz="0" w:space="0" w:color="auto"/>
            <w:right w:val="none" w:sz="0" w:space="0" w:color="auto"/>
          </w:divBdr>
          <w:divsChild>
            <w:div w:id="300428205">
              <w:marLeft w:val="0"/>
              <w:marRight w:val="0"/>
              <w:marTop w:val="0"/>
              <w:marBottom w:val="0"/>
              <w:divBdr>
                <w:top w:val="none" w:sz="0" w:space="0" w:color="auto"/>
                <w:left w:val="none" w:sz="0" w:space="0" w:color="auto"/>
                <w:bottom w:val="none" w:sz="0" w:space="0" w:color="auto"/>
                <w:right w:val="none" w:sz="0" w:space="0" w:color="auto"/>
              </w:divBdr>
              <w:divsChild>
                <w:div w:id="1391540575">
                  <w:marLeft w:val="0"/>
                  <w:marRight w:val="0"/>
                  <w:marTop w:val="0"/>
                  <w:marBottom w:val="0"/>
                  <w:divBdr>
                    <w:top w:val="none" w:sz="0" w:space="0" w:color="auto"/>
                    <w:left w:val="none" w:sz="0" w:space="0" w:color="auto"/>
                    <w:bottom w:val="none" w:sz="0" w:space="0" w:color="auto"/>
                    <w:right w:val="none" w:sz="0" w:space="0" w:color="auto"/>
                  </w:divBdr>
                  <w:divsChild>
                    <w:div w:id="15866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1060">
      <w:bodyDiv w:val="1"/>
      <w:marLeft w:val="0"/>
      <w:marRight w:val="0"/>
      <w:marTop w:val="0"/>
      <w:marBottom w:val="0"/>
      <w:divBdr>
        <w:top w:val="none" w:sz="0" w:space="0" w:color="auto"/>
        <w:left w:val="none" w:sz="0" w:space="0" w:color="auto"/>
        <w:bottom w:val="none" w:sz="0" w:space="0" w:color="auto"/>
        <w:right w:val="none" w:sz="0" w:space="0" w:color="auto"/>
      </w:divBdr>
    </w:div>
    <w:div w:id="836457019">
      <w:bodyDiv w:val="1"/>
      <w:marLeft w:val="0"/>
      <w:marRight w:val="0"/>
      <w:marTop w:val="0"/>
      <w:marBottom w:val="0"/>
      <w:divBdr>
        <w:top w:val="none" w:sz="0" w:space="0" w:color="auto"/>
        <w:left w:val="none" w:sz="0" w:space="0" w:color="auto"/>
        <w:bottom w:val="none" w:sz="0" w:space="0" w:color="auto"/>
        <w:right w:val="none" w:sz="0" w:space="0" w:color="auto"/>
      </w:divBdr>
    </w:div>
    <w:div w:id="858663954">
      <w:bodyDiv w:val="1"/>
      <w:marLeft w:val="0"/>
      <w:marRight w:val="0"/>
      <w:marTop w:val="0"/>
      <w:marBottom w:val="0"/>
      <w:divBdr>
        <w:top w:val="none" w:sz="0" w:space="0" w:color="auto"/>
        <w:left w:val="none" w:sz="0" w:space="0" w:color="auto"/>
        <w:bottom w:val="none" w:sz="0" w:space="0" w:color="auto"/>
        <w:right w:val="none" w:sz="0" w:space="0" w:color="auto"/>
      </w:divBdr>
    </w:div>
    <w:div w:id="868184693">
      <w:bodyDiv w:val="1"/>
      <w:marLeft w:val="0"/>
      <w:marRight w:val="0"/>
      <w:marTop w:val="0"/>
      <w:marBottom w:val="0"/>
      <w:divBdr>
        <w:top w:val="none" w:sz="0" w:space="0" w:color="auto"/>
        <w:left w:val="none" w:sz="0" w:space="0" w:color="auto"/>
        <w:bottom w:val="none" w:sz="0" w:space="0" w:color="auto"/>
        <w:right w:val="none" w:sz="0" w:space="0" w:color="auto"/>
      </w:divBdr>
    </w:div>
    <w:div w:id="891423578">
      <w:bodyDiv w:val="1"/>
      <w:marLeft w:val="0"/>
      <w:marRight w:val="0"/>
      <w:marTop w:val="0"/>
      <w:marBottom w:val="0"/>
      <w:divBdr>
        <w:top w:val="none" w:sz="0" w:space="0" w:color="auto"/>
        <w:left w:val="none" w:sz="0" w:space="0" w:color="auto"/>
        <w:bottom w:val="none" w:sz="0" w:space="0" w:color="auto"/>
        <w:right w:val="none" w:sz="0" w:space="0" w:color="auto"/>
      </w:divBdr>
    </w:div>
    <w:div w:id="945045430">
      <w:bodyDiv w:val="1"/>
      <w:marLeft w:val="0"/>
      <w:marRight w:val="0"/>
      <w:marTop w:val="0"/>
      <w:marBottom w:val="0"/>
      <w:divBdr>
        <w:top w:val="none" w:sz="0" w:space="0" w:color="auto"/>
        <w:left w:val="none" w:sz="0" w:space="0" w:color="auto"/>
        <w:bottom w:val="none" w:sz="0" w:space="0" w:color="auto"/>
        <w:right w:val="none" w:sz="0" w:space="0" w:color="auto"/>
      </w:divBdr>
    </w:div>
    <w:div w:id="949512262">
      <w:bodyDiv w:val="1"/>
      <w:marLeft w:val="0"/>
      <w:marRight w:val="0"/>
      <w:marTop w:val="0"/>
      <w:marBottom w:val="0"/>
      <w:divBdr>
        <w:top w:val="none" w:sz="0" w:space="0" w:color="auto"/>
        <w:left w:val="none" w:sz="0" w:space="0" w:color="auto"/>
        <w:bottom w:val="none" w:sz="0" w:space="0" w:color="auto"/>
        <w:right w:val="none" w:sz="0" w:space="0" w:color="auto"/>
      </w:divBdr>
    </w:div>
    <w:div w:id="1133789067">
      <w:bodyDiv w:val="1"/>
      <w:marLeft w:val="0"/>
      <w:marRight w:val="0"/>
      <w:marTop w:val="0"/>
      <w:marBottom w:val="0"/>
      <w:divBdr>
        <w:top w:val="none" w:sz="0" w:space="0" w:color="auto"/>
        <w:left w:val="none" w:sz="0" w:space="0" w:color="auto"/>
        <w:bottom w:val="none" w:sz="0" w:space="0" w:color="auto"/>
        <w:right w:val="none" w:sz="0" w:space="0" w:color="auto"/>
      </w:divBdr>
    </w:div>
    <w:div w:id="1139566457">
      <w:bodyDiv w:val="1"/>
      <w:marLeft w:val="0"/>
      <w:marRight w:val="0"/>
      <w:marTop w:val="0"/>
      <w:marBottom w:val="0"/>
      <w:divBdr>
        <w:top w:val="none" w:sz="0" w:space="0" w:color="auto"/>
        <w:left w:val="none" w:sz="0" w:space="0" w:color="auto"/>
        <w:bottom w:val="none" w:sz="0" w:space="0" w:color="auto"/>
        <w:right w:val="none" w:sz="0" w:space="0" w:color="auto"/>
      </w:divBdr>
    </w:div>
    <w:div w:id="1220677080">
      <w:bodyDiv w:val="1"/>
      <w:marLeft w:val="0"/>
      <w:marRight w:val="0"/>
      <w:marTop w:val="0"/>
      <w:marBottom w:val="0"/>
      <w:divBdr>
        <w:top w:val="none" w:sz="0" w:space="0" w:color="auto"/>
        <w:left w:val="none" w:sz="0" w:space="0" w:color="auto"/>
        <w:bottom w:val="none" w:sz="0" w:space="0" w:color="auto"/>
        <w:right w:val="none" w:sz="0" w:space="0" w:color="auto"/>
      </w:divBdr>
    </w:div>
    <w:div w:id="1266381715">
      <w:bodyDiv w:val="1"/>
      <w:marLeft w:val="0"/>
      <w:marRight w:val="0"/>
      <w:marTop w:val="0"/>
      <w:marBottom w:val="0"/>
      <w:divBdr>
        <w:top w:val="none" w:sz="0" w:space="0" w:color="auto"/>
        <w:left w:val="none" w:sz="0" w:space="0" w:color="auto"/>
        <w:bottom w:val="none" w:sz="0" w:space="0" w:color="auto"/>
        <w:right w:val="none" w:sz="0" w:space="0" w:color="auto"/>
      </w:divBdr>
    </w:div>
    <w:div w:id="1307319624">
      <w:bodyDiv w:val="1"/>
      <w:marLeft w:val="0"/>
      <w:marRight w:val="0"/>
      <w:marTop w:val="0"/>
      <w:marBottom w:val="0"/>
      <w:divBdr>
        <w:top w:val="none" w:sz="0" w:space="0" w:color="auto"/>
        <w:left w:val="none" w:sz="0" w:space="0" w:color="auto"/>
        <w:bottom w:val="none" w:sz="0" w:space="0" w:color="auto"/>
        <w:right w:val="none" w:sz="0" w:space="0" w:color="auto"/>
      </w:divBdr>
    </w:div>
    <w:div w:id="1346664119">
      <w:bodyDiv w:val="1"/>
      <w:marLeft w:val="0"/>
      <w:marRight w:val="0"/>
      <w:marTop w:val="0"/>
      <w:marBottom w:val="0"/>
      <w:divBdr>
        <w:top w:val="none" w:sz="0" w:space="0" w:color="auto"/>
        <w:left w:val="none" w:sz="0" w:space="0" w:color="auto"/>
        <w:bottom w:val="none" w:sz="0" w:space="0" w:color="auto"/>
        <w:right w:val="none" w:sz="0" w:space="0" w:color="auto"/>
      </w:divBdr>
    </w:div>
    <w:div w:id="1395928815">
      <w:bodyDiv w:val="1"/>
      <w:marLeft w:val="0"/>
      <w:marRight w:val="0"/>
      <w:marTop w:val="0"/>
      <w:marBottom w:val="0"/>
      <w:divBdr>
        <w:top w:val="none" w:sz="0" w:space="0" w:color="auto"/>
        <w:left w:val="none" w:sz="0" w:space="0" w:color="auto"/>
        <w:bottom w:val="none" w:sz="0" w:space="0" w:color="auto"/>
        <w:right w:val="none" w:sz="0" w:space="0" w:color="auto"/>
      </w:divBdr>
    </w:div>
    <w:div w:id="1422406449">
      <w:bodyDiv w:val="1"/>
      <w:marLeft w:val="0"/>
      <w:marRight w:val="0"/>
      <w:marTop w:val="0"/>
      <w:marBottom w:val="0"/>
      <w:divBdr>
        <w:top w:val="none" w:sz="0" w:space="0" w:color="auto"/>
        <w:left w:val="none" w:sz="0" w:space="0" w:color="auto"/>
        <w:bottom w:val="none" w:sz="0" w:space="0" w:color="auto"/>
        <w:right w:val="none" w:sz="0" w:space="0" w:color="auto"/>
      </w:divBdr>
      <w:divsChild>
        <w:div w:id="995108725">
          <w:marLeft w:val="0"/>
          <w:marRight w:val="0"/>
          <w:marTop w:val="0"/>
          <w:marBottom w:val="0"/>
          <w:divBdr>
            <w:top w:val="none" w:sz="0" w:space="0" w:color="auto"/>
            <w:left w:val="none" w:sz="0" w:space="0" w:color="auto"/>
            <w:bottom w:val="none" w:sz="0" w:space="0" w:color="auto"/>
            <w:right w:val="none" w:sz="0" w:space="0" w:color="auto"/>
          </w:divBdr>
          <w:divsChild>
            <w:div w:id="6327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4887">
      <w:bodyDiv w:val="1"/>
      <w:marLeft w:val="0"/>
      <w:marRight w:val="0"/>
      <w:marTop w:val="0"/>
      <w:marBottom w:val="0"/>
      <w:divBdr>
        <w:top w:val="none" w:sz="0" w:space="0" w:color="auto"/>
        <w:left w:val="none" w:sz="0" w:space="0" w:color="auto"/>
        <w:bottom w:val="none" w:sz="0" w:space="0" w:color="auto"/>
        <w:right w:val="none" w:sz="0" w:space="0" w:color="auto"/>
      </w:divBdr>
    </w:div>
    <w:div w:id="1480263744">
      <w:bodyDiv w:val="1"/>
      <w:marLeft w:val="0"/>
      <w:marRight w:val="0"/>
      <w:marTop w:val="0"/>
      <w:marBottom w:val="0"/>
      <w:divBdr>
        <w:top w:val="none" w:sz="0" w:space="0" w:color="auto"/>
        <w:left w:val="none" w:sz="0" w:space="0" w:color="auto"/>
        <w:bottom w:val="none" w:sz="0" w:space="0" w:color="auto"/>
        <w:right w:val="none" w:sz="0" w:space="0" w:color="auto"/>
      </w:divBdr>
    </w:div>
    <w:div w:id="1509170089">
      <w:bodyDiv w:val="1"/>
      <w:marLeft w:val="0"/>
      <w:marRight w:val="0"/>
      <w:marTop w:val="0"/>
      <w:marBottom w:val="0"/>
      <w:divBdr>
        <w:top w:val="none" w:sz="0" w:space="0" w:color="auto"/>
        <w:left w:val="none" w:sz="0" w:space="0" w:color="auto"/>
        <w:bottom w:val="none" w:sz="0" w:space="0" w:color="auto"/>
        <w:right w:val="none" w:sz="0" w:space="0" w:color="auto"/>
      </w:divBdr>
    </w:div>
    <w:div w:id="1517769311">
      <w:bodyDiv w:val="1"/>
      <w:marLeft w:val="0"/>
      <w:marRight w:val="0"/>
      <w:marTop w:val="0"/>
      <w:marBottom w:val="0"/>
      <w:divBdr>
        <w:top w:val="none" w:sz="0" w:space="0" w:color="auto"/>
        <w:left w:val="none" w:sz="0" w:space="0" w:color="auto"/>
        <w:bottom w:val="none" w:sz="0" w:space="0" w:color="auto"/>
        <w:right w:val="none" w:sz="0" w:space="0" w:color="auto"/>
      </w:divBdr>
    </w:div>
    <w:div w:id="1547402033">
      <w:bodyDiv w:val="1"/>
      <w:marLeft w:val="0"/>
      <w:marRight w:val="0"/>
      <w:marTop w:val="0"/>
      <w:marBottom w:val="0"/>
      <w:divBdr>
        <w:top w:val="none" w:sz="0" w:space="0" w:color="auto"/>
        <w:left w:val="none" w:sz="0" w:space="0" w:color="auto"/>
        <w:bottom w:val="none" w:sz="0" w:space="0" w:color="auto"/>
        <w:right w:val="none" w:sz="0" w:space="0" w:color="auto"/>
      </w:divBdr>
    </w:div>
    <w:div w:id="1566532312">
      <w:bodyDiv w:val="1"/>
      <w:marLeft w:val="0"/>
      <w:marRight w:val="0"/>
      <w:marTop w:val="0"/>
      <w:marBottom w:val="0"/>
      <w:divBdr>
        <w:top w:val="none" w:sz="0" w:space="0" w:color="auto"/>
        <w:left w:val="none" w:sz="0" w:space="0" w:color="auto"/>
        <w:bottom w:val="none" w:sz="0" w:space="0" w:color="auto"/>
        <w:right w:val="none" w:sz="0" w:space="0" w:color="auto"/>
      </w:divBdr>
    </w:div>
    <w:div w:id="1571428867">
      <w:bodyDiv w:val="1"/>
      <w:marLeft w:val="0"/>
      <w:marRight w:val="0"/>
      <w:marTop w:val="0"/>
      <w:marBottom w:val="0"/>
      <w:divBdr>
        <w:top w:val="none" w:sz="0" w:space="0" w:color="auto"/>
        <w:left w:val="none" w:sz="0" w:space="0" w:color="auto"/>
        <w:bottom w:val="none" w:sz="0" w:space="0" w:color="auto"/>
        <w:right w:val="none" w:sz="0" w:space="0" w:color="auto"/>
      </w:divBdr>
    </w:div>
    <w:div w:id="1574966090">
      <w:bodyDiv w:val="1"/>
      <w:marLeft w:val="0"/>
      <w:marRight w:val="0"/>
      <w:marTop w:val="0"/>
      <w:marBottom w:val="0"/>
      <w:divBdr>
        <w:top w:val="none" w:sz="0" w:space="0" w:color="auto"/>
        <w:left w:val="none" w:sz="0" w:space="0" w:color="auto"/>
        <w:bottom w:val="none" w:sz="0" w:space="0" w:color="auto"/>
        <w:right w:val="none" w:sz="0" w:space="0" w:color="auto"/>
      </w:divBdr>
    </w:div>
    <w:div w:id="1589390147">
      <w:bodyDiv w:val="1"/>
      <w:marLeft w:val="0"/>
      <w:marRight w:val="0"/>
      <w:marTop w:val="0"/>
      <w:marBottom w:val="0"/>
      <w:divBdr>
        <w:top w:val="none" w:sz="0" w:space="0" w:color="auto"/>
        <w:left w:val="none" w:sz="0" w:space="0" w:color="auto"/>
        <w:bottom w:val="none" w:sz="0" w:space="0" w:color="auto"/>
        <w:right w:val="none" w:sz="0" w:space="0" w:color="auto"/>
      </w:divBdr>
    </w:div>
    <w:div w:id="1638946328">
      <w:bodyDiv w:val="1"/>
      <w:marLeft w:val="0"/>
      <w:marRight w:val="0"/>
      <w:marTop w:val="0"/>
      <w:marBottom w:val="0"/>
      <w:divBdr>
        <w:top w:val="none" w:sz="0" w:space="0" w:color="auto"/>
        <w:left w:val="none" w:sz="0" w:space="0" w:color="auto"/>
        <w:bottom w:val="none" w:sz="0" w:space="0" w:color="auto"/>
        <w:right w:val="none" w:sz="0" w:space="0" w:color="auto"/>
      </w:divBdr>
    </w:div>
    <w:div w:id="1664817186">
      <w:bodyDiv w:val="1"/>
      <w:marLeft w:val="0"/>
      <w:marRight w:val="0"/>
      <w:marTop w:val="0"/>
      <w:marBottom w:val="0"/>
      <w:divBdr>
        <w:top w:val="none" w:sz="0" w:space="0" w:color="auto"/>
        <w:left w:val="none" w:sz="0" w:space="0" w:color="auto"/>
        <w:bottom w:val="none" w:sz="0" w:space="0" w:color="auto"/>
        <w:right w:val="none" w:sz="0" w:space="0" w:color="auto"/>
      </w:divBdr>
    </w:div>
    <w:div w:id="1686327382">
      <w:bodyDiv w:val="1"/>
      <w:marLeft w:val="0"/>
      <w:marRight w:val="0"/>
      <w:marTop w:val="0"/>
      <w:marBottom w:val="0"/>
      <w:divBdr>
        <w:top w:val="none" w:sz="0" w:space="0" w:color="auto"/>
        <w:left w:val="none" w:sz="0" w:space="0" w:color="auto"/>
        <w:bottom w:val="none" w:sz="0" w:space="0" w:color="auto"/>
        <w:right w:val="none" w:sz="0" w:space="0" w:color="auto"/>
      </w:divBdr>
    </w:div>
    <w:div w:id="1715234634">
      <w:bodyDiv w:val="1"/>
      <w:marLeft w:val="0"/>
      <w:marRight w:val="0"/>
      <w:marTop w:val="0"/>
      <w:marBottom w:val="0"/>
      <w:divBdr>
        <w:top w:val="none" w:sz="0" w:space="0" w:color="auto"/>
        <w:left w:val="none" w:sz="0" w:space="0" w:color="auto"/>
        <w:bottom w:val="none" w:sz="0" w:space="0" w:color="auto"/>
        <w:right w:val="none" w:sz="0" w:space="0" w:color="auto"/>
      </w:divBdr>
    </w:div>
    <w:div w:id="1742479537">
      <w:bodyDiv w:val="1"/>
      <w:marLeft w:val="0"/>
      <w:marRight w:val="0"/>
      <w:marTop w:val="0"/>
      <w:marBottom w:val="0"/>
      <w:divBdr>
        <w:top w:val="none" w:sz="0" w:space="0" w:color="auto"/>
        <w:left w:val="none" w:sz="0" w:space="0" w:color="auto"/>
        <w:bottom w:val="none" w:sz="0" w:space="0" w:color="auto"/>
        <w:right w:val="none" w:sz="0" w:space="0" w:color="auto"/>
      </w:divBdr>
    </w:div>
    <w:div w:id="1771389804">
      <w:bodyDiv w:val="1"/>
      <w:marLeft w:val="0"/>
      <w:marRight w:val="0"/>
      <w:marTop w:val="0"/>
      <w:marBottom w:val="0"/>
      <w:divBdr>
        <w:top w:val="none" w:sz="0" w:space="0" w:color="auto"/>
        <w:left w:val="none" w:sz="0" w:space="0" w:color="auto"/>
        <w:bottom w:val="none" w:sz="0" w:space="0" w:color="auto"/>
        <w:right w:val="none" w:sz="0" w:space="0" w:color="auto"/>
      </w:divBdr>
    </w:div>
    <w:div w:id="1787655754">
      <w:bodyDiv w:val="1"/>
      <w:marLeft w:val="0"/>
      <w:marRight w:val="0"/>
      <w:marTop w:val="0"/>
      <w:marBottom w:val="0"/>
      <w:divBdr>
        <w:top w:val="none" w:sz="0" w:space="0" w:color="auto"/>
        <w:left w:val="none" w:sz="0" w:space="0" w:color="auto"/>
        <w:bottom w:val="none" w:sz="0" w:space="0" w:color="auto"/>
        <w:right w:val="none" w:sz="0" w:space="0" w:color="auto"/>
      </w:divBdr>
    </w:div>
    <w:div w:id="1787843704">
      <w:bodyDiv w:val="1"/>
      <w:marLeft w:val="0"/>
      <w:marRight w:val="0"/>
      <w:marTop w:val="0"/>
      <w:marBottom w:val="0"/>
      <w:divBdr>
        <w:top w:val="none" w:sz="0" w:space="0" w:color="auto"/>
        <w:left w:val="none" w:sz="0" w:space="0" w:color="auto"/>
        <w:bottom w:val="none" w:sz="0" w:space="0" w:color="auto"/>
        <w:right w:val="none" w:sz="0" w:space="0" w:color="auto"/>
      </w:divBdr>
    </w:div>
    <w:div w:id="1831632149">
      <w:bodyDiv w:val="1"/>
      <w:marLeft w:val="0"/>
      <w:marRight w:val="0"/>
      <w:marTop w:val="0"/>
      <w:marBottom w:val="0"/>
      <w:divBdr>
        <w:top w:val="none" w:sz="0" w:space="0" w:color="auto"/>
        <w:left w:val="none" w:sz="0" w:space="0" w:color="auto"/>
        <w:bottom w:val="none" w:sz="0" w:space="0" w:color="auto"/>
        <w:right w:val="none" w:sz="0" w:space="0" w:color="auto"/>
      </w:divBdr>
    </w:div>
    <w:div w:id="1857844451">
      <w:bodyDiv w:val="1"/>
      <w:marLeft w:val="0"/>
      <w:marRight w:val="0"/>
      <w:marTop w:val="0"/>
      <w:marBottom w:val="0"/>
      <w:divBdr>
        <w:top w:val="none" w:sz="0" w:space="0" w:color="auto"/>
        <w:left w:val="none" w:sz="0" w:space="0" w:color="auto"/>
        <w:bottom w:val="none" w:sz="0" w:space="0" w:color="auto"/>
        <w:right w:val="none" w:sz="0" w:space="0" w:color="auto"/>
      </w:divBdr>
    </w:div>
    <w:div w:id="1870098803">
      <w:bodyDiv w:val="1"/>
      <w:marLeft w:val="0"/>
      <w:marRight w:val="0"/>
      <w:marTop w:val="0"/>
      <w:marBottom w:val="0"/>
      <w:divBdr>
        <w:top w:val="none" w:sz="0" w:space="0" w:color="auto"/>
        <w:left w:val="none" w:sz="0" w:space="0" w:color="auto"/>
        <w:bottom w:val="none" w:sz="0" w:space="0" w:color="auto"/>
        <w:right w:val="none" w:sz="0" w:space="0" w:color="auto"/>
      </w:divBdr>
      <w:divsChild>
        <w:div w:id="1289166536">
          <w:marLeft w:val="0"/>
          <w:marRight w:val="0"/>
          <w:marTop w:val="0"/>
          <w:marBottom w:val="0"/>
          <w:divBdr>
            <w:top w:val="none" w:sz="0" w:space="0" w:color="auto"/>
            <w:left w:val="none" w:sz="0" w:space="0" w:color="auto"/>
            <w:bottom w:val="none" w:sz="0" w:space="0" w:color="auto"/>
            <w:right w:val="none" w:sz="0" w:space="0" w:color="auto"/>
          </w:divBdr>
          <w:divsChild>
            <w:div w:id="421724886">
              <w:marLeft w:val="0"/>
              <w:marRight w:val="0"/>
              <w:marTop w:val="0"/>
              <w:marBottom w:val="0"/>
              <w:divBdr>
                <w:top w:val="none" w:sz="0" w:space="0" w:color="auto"/>
                <w:left w:val="none" w:sz="0" w:space="0" w:color="auto"/>
                <w:bottom w:val="none" w:sz="0" w:space="0" w:color="auto"/>
                <w:right w:val="none" w:sz="0" w:space="0" w:color="auto"/>
              </w:divBdr>
              <w:divsChild>
                <w:div w:id="1816217626">
                  <w:marLeft w:val="0"/>
                  <w:marRight w:val="0"/>
                  <w:marTop w:val="0"/>
                  <w:marBottom w:val="0"/>
                  <w:divBdr>
                    <w:top w:val="none" w:sz="0" w:space="0" w:color="auto"/>
                    <w:left w:val="none" w:sz="0" w:space="0" w:color="auto"/>
                    <w:bottom w:val="none" w:sz="0" w:space="0" w:color="auto"/>
                    <w:right w:val="none" w:sz="0" w:space="0" w:color="auto"/>
                  </w:divBdr>
                  <w:divsChild>
                    <w:div w:id="1958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68423">
      <w:bodyDiv w:val="1"/>
      <w:marLeft w:val="0"/>
      <w:marRight w:val="0"/>
      <w:marTop w:val="0"/>
      <w:marBottom w:val="0"/>
      <w:divBdr>
        <w:top w:val="none" w:sz="0" w:space="0" w:color="auto"/>
        <w:left w:val="none" w:sz="0" w:space="0" w:color="auto"/>
        <w:bottom w:val="none" w:sz="0" w:space="0" w:color="auto"/>
        <w:right w:val="none" w:sz="0" w:space="0" w:color="auto"/>
      </w:divBdr>
    </w:div>
    <w:div w:id="1933469130">
      <w:bodyDiv w:val="1"/>
      <w:marLeft w:val="0"/>
      <w:marRight w:val="0"/>
      <w:marTop w:val="0"/>
      <w:marBottom w:val="0"/>
      <w:divBdr>
        <w:top w:val="none" w:sz="0" w:space="0" w:color="auto"/>
        <w:left w:val="none" w:sz="0" w:space="0" w:color="auto"/>
        <w:bottom w:val="none" w:sz="0" w:space="0" w:color="auto"/>
        <w:right w:val="none" w:sz="0" w:space="0" w:color="auto"/>
      </w:divBdr>
    </w:div>
    <w:div w:id="1969701467">
      <w:bodyDiv w:val="1"/>
      <w:marLeft w:val="0"/>
      <w:marRight w:val="0"/>
      <w:marTop w:val="0"/>
      <w:marBottom w:val="0"/>
      <w:divBdr>
        <w:top w:val="none" w:sz="0" w:space="0" w:color="auto"/>
        <w:left w:val="none" w:sz="0" w:space="0" w:color="auto"/>
        <w:bottom w:val="none" w:sz="0" w:space="0" w:color="auto"/>
        <w:right w:val="none" w:sz="0" w:space="0" w:color="auto"/>
      </w:divBdr>
    </w:div>
    <w:div w:id="1989819652">
      <w:bodyDiv w:val="1"/>
      <w:marLeft w:val="0"/>
      <w:marRight w:val="0"/>
      <w:marTop w:val="0"/>
      <w:marBottom w:val="0"/>
      <w:divBdr>
        <w:top w:val="none" w:sz="0" w:space="0" w:color="auto"/>
        <w:left w:val="none" w:sz="0" w:space="0" w:color="auto"/>
        <w:bottom w:val="none" w:sz="0" w:space="0" w:color="auto"/>
        <w:right w:val="none" w:sz="0" w:space="0" w:color="auto"/>
      </w:divBdr>
    </w:div>
    <w:div w:id="2002660673">
      <w:bodyDiv w:val="1"/>
      <w:marLeft w:val="0"/>
      <w:marRight w:val="0"/>
      <w:marTop w:val="0"/>
      <w:marBottom w:val="0"/>
      <w:divBdr>
        <w:top w:val="none" w:sz="0" w:space="0" w:color="auto"/>
        <w:left w:val="none" w:sz="0" w:space="0" w:color="auto"/>
        <w:bottom w:val="none" w:sz="0" w:space="0" w:color="auto"/>
        <w:right w:val="none" w:sz="0" w:space="0" w:color="auto"/>
      </w:divBdr>
    </w:div>
    <w:div w:id="2020503710">
      <w:bodyDiv w:val="1"/>
      <w:marLeft w:val="0"/>
      <w:marRight w:val="0"/>
      <w:marTop w:val="0"/>
      <w:marBottom w:val="0"/>
      <w:divBdr>
        <w:top w:val="none" w:sz="0" w:space="0" w:color="auto"/>
        <w:left w:val="none" w:sz="0" w:space="0" w:color="auto"/>
        <w:bottom w:val="none" w:sz="0" w:space="0" w:color="auto"/>
        <w:right w:val="none" w:sz="0" w:space="0" w:color="auto"/>
      </w:divBdr>
    </w:div>
    <w:div w:id="2026588611">
      <w:bodyDiv w:val="1"/>
      <w:marLeft w:val="0"/>
      <w:marRight w:val="0"/>
      <w:marTop w:val="0"/>
      <w:marBottom w:val="0"/>
      <w:divBdr>
        <w:top w:val="none" w:sz="0" w:space="0" w:color="auto"/>
        <w:left w:val="none" w:sz="0" w:space="0" w:color="auto"/>
        <w:bottom w:val="none" w:sz="0" w:space="0" w:color="auto"/>
        <w:right w:val="none" w:sz="0" w:space="0" w:color="auto"/>
      </w:divBdr>
    </w:div>
    <w:div w:id="2031224121">
      <w:bodyDiv w:val="1"/>
      <w:marLeft w:val="0"/>
      <w:marRight w:val="0"/>
      <w:marTop w:val="0"/>
      <w:marBottom w:val="0"/>
      <w:divBdr>
        <w:top w:val="none" w:sz="0" w:space="0" w:color="auto"/>
        <w:left w:val="none" w:sz="0" w:space="0" w:color="auto"/>
        <w:bottom w:val="none" w:sz="0" w:space="0" w:color="auto"/>
        <w:right w:val="none" w:sz="0" w:space="0" w:color="auto"/>
      </w:divBdr>
    </w:div>
    <w:div w:id="2064482119">
      <w:bodyDiv w:val="1"/>
      <w:marLeft w:val="0"/>
      <w:marRight w:val="0"/>
      <w:marTop w:val="0"/>
      <w:marBottom w:val="0"/>
      <w:divBdr>
        <w:top w:val="none" w:sz="0" w:space="0" w:color="auto"/>
        <w:left w:val="none" w:sz="0" w:space="0" w:color="auto"/>
        <w:bottom w:val="none" w:sz="0" w:space="0" w:color="auto"/>
        <w:right w:val="none" w:sz="0" w:space="0" w:color="auto"/>
      </w:divBdr>
    </w:div>
    <w:div w:id="2070497478">
      <w:bodyDiv w:val="1"/>
      <w:marLeft w:val="0"/>
      <w:marRight w:val="0"/>
      <w:marTop w:val="0"/>
      <w:marBottom w:val="0"/>
      <w:divBdr>
        <w:top w:val="none" w:sz="0" w:space="0" w:color="auto"/>
        <w:left w:val="none" w:sz="0" w:space="0" w:color="auto"/>
        <w:bottom w:val="none" w:sz="0" w:space="0" w:color="auto"/>
        <w:right w:val="none" w:sz="0" w:space="0" w:color="auto"/>
      </w:divBdr>
    </w:div>
    <w:div w:id="2096169932">
      <w:bodyDiv w:val="1"/>
      <w:marLeft w:val="0"/>
      <w:marRight w:val="0"/>
      <w:marTop w:val="0"/>
      <w:marBottom w:val="0"/>
      <w:divBdr>
        <w:top w:val="none" w:sz="0" w:space="0" w:color="auto"/>
        <w:left w:val="none" w:sz="0" w:space="0" w:color="auto"/>
        <w:bottom w:val="none" w:sz="0" w:space="0" w:color="auto"/>
        <w:right w:val="none" w:sz="0" w:space="0" w:color="auto"/>
      </w:divBdr>
    </w:div>
    <w:div w:id="21050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25094" TargetMode="External"/><Relationship Id="rId18" Type="http://schemas.openxmlformats.org/officeDocument/2006/relationships/hyperlink" Target="https://www.google.com/url?sa=t&amp;source=web&amp;rct=j&amp;opi=89978449&amp;url=https://ejce.liuc.it/18242979202001/182429792020170104.pdf" TargetMode="External"/><Relationship Id="rId26" Type="http://schemas.openxmlformats.org/officeDocument/2006/relationships/hyperlink" Target="https://www.google.com/url?sa=t&amp;source=web&amp;rct=j&amp;opi=89978449&amp;url=https://link.springer.com/article/10.1007/s43621-025-02498-7" TargetMode="External"/><Relationship Id="rId3" Type="http://schemas.microsoft.com/office/2007/relationships/stylesWithEffects" Target="stylesWithEffects.xml"/><Relationship Id="rId21" Type="http://schemas.openxmlformats.org/officeDocument/2006/relationships/hyperlink" Target="https://doi.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2479/ijeep.19908" TargetMode="External"/><Relationship Id="rId17" Type="http://schemas.openxmlformats.org/officeDocument/2006/relationships/hyperlink" Target="https://www.mdpi.com/1911-8074/17/12/543" TargetMode="External"/><Relationship Id="rId25" Type="http://schemas.openxmlformats.org/officeDocument/2006/relationships/hyperlink" Target="https://doi.org/https://doi.org/10.1111/opec.1205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24/jbies-22-00125" TargetMode="External"/><Relationship Id="rId20" Type="http://schemas.openxmlformats.org/officeDocument/2006/relationships/hyperlink" Target="https://doi.org/10.32479/ijeep.15686" TargetMode="External"/><Relationship Id="rId29" Type="http://schemas.openxmlformats.org/officeDocument/2006/relationships/hyperlink" Target="https://doi.org/https://doi.org/10.1016/j.enpol.2019.07.00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 TargetMode="External"/><Relationship Id="rId24" Type="http://schemas.openxmlformats.org/officeDocument/2006/relationships/hyperlink" Target="https://doi.org/10.1007/s11121-023-01515-3" TargetMode="External"/><Relationship Id="rId32" Type="http://schemas.openxmlformats.org/officeDocument/2006/relationships/hyperlink" Target="https://doi.org/https://doi.org/10.1016/j.eneco.2021.105116" TargetMode="External"/><Relationship Id="rId5" Type="http://schemas.openxmlformats.org/officeDocument/2006/relationships/webSettings" Target="webSettings.xml"/><Relationship Id="rId15" Type="http://schemas.openxmlformats.org/officeDocument/2006/relationships/hyperlink" Target="https://doi.org/https://doi.org/10.1016/j.ssaho.2025.101788" TargetMode="External"/><Relationship Id="rId23" Type="http://schemas.openxmlformats.org/officeDocument/2006/relationships/hyperlink" Target="https://doi.org/https://doi.org/10.1016/j.rsma.2021.102043" TargetMode="External"/><Relationship Id="rId28" Type="http://schemas.openxmlformats.org/officeDocument/2006/relationships/hyperlink" Target="https://www.mdpi.com/1996-1073/15/17/6171" TargetMode="External"/><Relationship Id="rId10" Type="http://schemas.openxmlformats.org/officeDocument/2006/relationships/hyperlink" Target="https://www.mdpi.com/2227-7099/11/4/126" TargetMode="External"/><Relationship Id="rId19" Type="http://schemas.openxmlformats.org/officeDocument/2006/relationships/hyperlink" Target="https://doi.org/" TargetMode="External"/><Relationship Id="rId31" Type="http://schemas.openxmlformats.org/officeDocument/2006/relationships/hyperlink" Target="https://doi.org/https://doi.org/10.1016/j.energy.2024.130672" TargetMode="External"/><Relationship Id="rId4" Type="http://schemas.openxmlformats.org/officeDocument/2006/relationships/settings" Target="settings.xml"/><Relationship Id="rId9" Type="http://schemas.openxmlformats.org/officeDocument/2006/relationships/hyperlink" Target="https://doi.org/10.1108/ijoem-10-2021-1629" TargetMode="External"/><Relationship Id="rId14" Type="http://schemas.openxmlformats.org/officeDocument/2006/relationships/hyperlink" Target="https://www.google.com/url?sa=t&amp;source=web&amp;rct=j&amp;opi=89978449&amp;url=https://ideas.repec.org/a/aea/jecper/v35y2021i3p83-108.html" TargetMode="External"/><Relationship Id="rId22" Type="http://schemas.openxmlformats.org/officeDocument/2006/relationships/hyperlink" Target="https://doi.org/10.1080/1540496X.2018.1474346" TargetMode="External"/><Relationship Id="rId27" Type="http://schemas.openxmlformats.org/officeDocument/2006/relationships/hyperlink" Target="https://doi.org/https://doi.org/10.1016/j.ssaho.2025.101939" TargetMode="External"/><Relationship Id="rId30" Type="http://schemas.openxmlformats.org/officeDocument/2006/relationships/hyperlink" Target="https://www.google.com/url?sa=t&amp;source=web&amp;rct=j&amp;opi=89978449&amp;url=https://link.springer.com/article/10.1186/s40854-023-00542-x" TargetMode="External"/><Relationship Id="rId8" Type="http://schemas.openxmlformats.org/officeDocument/2006/relationships/hyperlink" Target="mailto:hamdoni.pangandaman@msumain.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8500</TotalTime>
  <Pages>16</Pages>
  <Words>12870</Words>
  <Characters>73360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hamdoni.pangandaman@outlook.com</dc:creator>
  <cp:keywords/>
  <dc:description/>
  <cp:lastModifiedBy>qwert</cp:lastModifiedBy>
  <cp:revision>4</cp:revision>
  <dcterms:created xsi:type="dcterms:W3CDTF">2023-07-03T03:00:00Z</dcterms:created>
  <dcterms:modified xsi:type="dcterms:W3CDTF">2026-04-20T09:30:00Z</dcterms:modified>
</cp:coreProperties>
</file>