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F34D3" w14:textId="74F49127" w:rsidR="00B333A4" w:rsidRPr="0001149D" w:rsidRDefault="00B22E62" w:rsidP="00532539">
      <w:pPr>
        <w:spacing w:line="240" w:lineRule="auto"/>
        <w:jc w:val="center"/>
        <w:rPr>
          <w:rFonts w:ascii="Times New Roman" w:hAnsi="Times New Roman" w:cs="Times New Roman"/>
          <w:b/>
          <w:bCs/>
          <w:noProof/>
          <w:szCs w:val="24"/>
        </w:rPr>
      </w:pPr>
      <w:r w:rsidRPr="0001149D">
        <w:rPr>
          <w:rFonts w:ascii="Times New Roman" w:hAnsi="Times New Roman" w:cs="Times New Roman"/>
          <w:b/>
          <w:bCs/>
          <w:noProof/>
          <w:szCs w:val="24"/>
          <w:lang w:val="en-IN" w:eastAsia="en-IN"/>
        </w:rPr>
        <mc:AlternateContent>
          <mc:Choice Requires="wps">
            <w:drawing>
              <wp:anchor distT="0" distB="0" distL="114300" distR="114300" simplePos="0" relativeHeight="251666432" behindDoc="0" locked="0" layoutInCell="1" allowOverlap="1" wp14:anchorId="31135138" wp14:editId="0C31851A">
                <wp:simplePos x="0" y="0"/>
                <wp:positionH relativeFrom="column">
                  <wp:posOffset>5320474</wp:posOffset>
                </wp:positionH>
                <wp:positionV relativeFrom="paragraph">
                  <wp:posOffset>-750462</wp:posOffset>
                </wp:positionV>
                <wp:extent cx="521898" cy="457200"/>
                <wp:effectExtent l="0" t="0" r="12065" b="19050"/>
                <wp:wrapNone/>
                <wp:docPr id="15" name="Text Box 15"/>
                <wp:cNvGraphicFramePr/>
                <a:graphic xmlns:a="http://schemas.openxmlformats.org/drawingml/2006/main">
                  <a:graphicData uri="http://schemas.microsoft.com/office/word/2010/wordprocessingShape">
                    <wps:wsp>
                      <wps:cNvSpPr txBox="1"/>
                      <wps:spPr>
                        <a:xfrm>
                          <a:off x="0" y="0"/>
                          <a:ext cx="521898" cy="457200"/>
                        </a:xfrm>
                        <a:prstGeom prst="rect">
                          <a:avLst/>
                        </a:prstGeom>
                        <a:solidFill>
                          <a:schemeClr val="bg1"/>
                        </a:solidFill>
                        <a:ln w="6350">
                          <a:solidFill>
                            <a:schemeClr val="bg1"/>
                          </a:solidFill>
                        </a:ln>
                      </wps:spPr>
                      <wps:txbx>
                        <w:txbxContent>
                          <w:p w14:paraId="7FB99643" w14:textId="77777777" w:rsidR="00B22E62" w:rsidRDefault="00B22E62" w:rsidP="00B22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135138" id="_x0000_t202" coordsize="21600,21600" o:spt="202" path="m,l,21600r21600,l21600,xe">
                <v:stroke joinstyle="miter"/>
                <v:path gradientshapeok="t" o:connecttype="rect"/>
              </v:shapetype>
              <v:shape id="Text Box 15" o:spid="_x0000_s1026" type="#_x0000_t202" style="position:absolute;left:0;text-align:left;margin-left:418.95pt;margin-top:-59.1pt;width:41.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" fillcolor="white [3212]" strokecolor="white [3212]" strokeweight=".5pt">
                <v:textbox>
                  <w:txbxContent>
                    <w:p w14:paraId="7FB99643" w14:textId="77777777" w:rsidR="00B22E62" w:rsidRDefault="00B22E62" w:rsidP="00B22E62"/>
                  </w:txbxContent>
                </v:textbox>
              </v:shape>
            </w:pict>
          </mc:Fallback>
        </mc:AlternateContent>
      </w:r>
      <w:r w:rsidR="00B333A4" w:rsidRPr="0001149D">
        <w:rPr>
          <w:rFonts w:ascii="Times New Roman" w:hAnsi="Times New Roman" w:cs="Times New Roman"/>
          <w:b/>
          <w:bCs/>
          <w:noProof/>
          <w:szCs w:val="24"/>
          <w:lang w:val="en-IN" w:eastAsia="en-IN"/>
        </w:rPr>
        <mc:AlternateContent>
          <mc:Choice Requires="wps">
            <w:drawing>
              <wp:anchor distT="0" distB="0" distL="114300" distR="114300" simplePos="0" relativeHeight="251659264" behindDoc="0" locked="0" layoutInCell="1" allowOverlap="1" wp14:anchorId="71AA5E23" wp14:editId="0B0E199C">
                <wp:simplePos x="0" y="0"/>
                <wp:positionH relativeFrom="column">
                  <wp:posOffset>4981575</wp:posOffset>
                </wp:positionH>
                <wp:positionV relativeFrom="paragraph">
                  <wp:posOffset>-752475</wp:posOffset>
                </wp:positionV>
                <wp:extent cx="68580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85800" cy="752475"/>
                        </a:xfrm>
                        <a:prstGeom prst="rect">
                          <a:avLst/>
                        </a:prstGeom>
                        <a:solidFill>
                          <a:schemeClr val="bg1"/>
                        </a:solidFill>
                        <a:ln w="6350">
                          <a:solidFill>
                            <a:schemeClr val="bg1"/>
                          </a:solidFill>
                        </a:ln>
                      </wps:spPr>
                      <wps:txbx>
                        <w:txbxContent>
                          <w:p w14:paraId="12FEE977" w14:textId="77777777" w:rsidR="00B333A4" w:rsidRDefault="00B333A4" w:rsidP="00B33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A5E23" id="Text Box 1" o:spid="_x0000_s1027" type="#_x0000_t202" style="position:absolute;left:0;text-align:left;margin-left:392.25pt;margin-top:-59.25pt;width:54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" fillcolor="white [3212]" strokecolor="white [3212]" strokeweight=".5pt">
                <v:textbox>
                  <w:txbxContent>
                    <w:p w14:paraId="12FEE977" w14:textId="77777777" w:rsidR="00B333A4" w:rsidRDefault="00B333A4" w:rsidP="00B333A4"/>
                  </w:txbxContent>
                </v:textbox>
              </v:shape>
            </w:pict>
          </mc:Fallback>
        </mc:AlternateContent>
      </w:r>
      <w:bookmarkStart w:id="0" w:name="_Hlk216528133"/>
      <w:bookmarkStart w:id="1" w:name="_Hlk216530233"/>
      <w:r w:rsidR="00B333A4" w:rsidRPr="0001149D">
        <w:rPr>
          <w:rFonts w:ascii="Times New Roman" w:hAnsi="Times New Roman" w:cs="Times New Roman"/>
          <w:b/>
          <w:bCs/>
          <w:noProof/>
          <w:szCs w:val="24"/>
        </w:rPr>
        <w:t xml:space="preserve">THE MEDIATING EFFECT OF </w:t>
      </w:r>
      <w:bookmarkStart w:id="2" w:name="_Hlk179926626"/>
      <w:r w:rsidR="00B333A4" w:rsidRPr="0001149D">
        <w:rPr>
          <w:rFonts w:ascii="Times New Roman" w:hAnsi="Times New Roman" w:cs="Times New Roman"/>
          <w:b/>
          <w:bCs/>
          <w:noProof/>
          <w:szCs w:val="24"/>
        </w:rPr>
        <w:t xml:space="preserve">STUDENTS' ACADEMIC GOAL ORIENTATION </w:t>
      </w:r>
      <w:bookmarkEnd w:id="2"/>
      <w:r w:rsidR="00B333A4" w:rsidRPr="0001149D">
        <w:rPr>
          <w:rFonts w:ascii="Times New Roman" w:hAnsi="Times New Roman" w:cs="Times New Roman"/>
          <w:b/>
          <w:bCs/>
          <w:noProof/>
          <w:szCs w:val="24"/>
        </w:rPr>
        <w:t xml:space="preserve">ON THE RELATIONSHIP BETWEEN </w:t>
      </w:r>
      <w:bookmarkStart w:id="3" w:name="_Hlk180190696"/>
      <w:r w:rsidR="00B333A4" w:rsidRPr="0001149D">
        <w:rPr>
          <w:rFonts w:ascii="Times New Roman" w:hAnsi="Times New Roman" w:cs="Times New Roman"/>
          <w:b/>
          <w:bCs/>
          <w:noProof/>
          <w:szCs w:val="24"/>
        </w:rPr>
        <w:t>LANGUAGE LEARNING STRATEGIES AND LANGUAGE CLASSROOM ANXIETY</w:t>
      </w:r>
      <w:bookmarkEnd w:id="0"/>
      <w:bookmarkEnd w:id="1"/>
      <w:bookmarkEnd w:id="3"/>
    </w:p>
    <w:p w14:paraId="5005E0A8" w14:textId="77777777" w:rsidR="00B333A4" w:rsidRPr="0001149D" w:rsidRDefault="00B333A4" w:rsidP="00532539">
      <w:pPr>
        <w:spacing w:line="240" w:lineRule="auto"/>
        <w:jc w:val="center"/>
        <w:rPr>
          <w:rFonts w:ascii="Times New Roman" w:hAnsi="Times New Roman" w:cs="Times New Roman"/>
          <w:b/>
          <w:bCs/>
          <w:noProof/>
          <w:szCs w:val="24"/>
        </w:rPr>
      </w:pPr>
    </w:p>
    <w:p w14:paraId="06A3EC7F" w14:textId="77777777" w:rsidR="00B333A4" w:rsidRPr="0001149D" w:rsidRDefault="00B333A4" w:rsidP="00532539">
      <w:pPr>
        <w:spacing w:line="240" w:lineRule="auto"/>
        <w:jc w:val="center"/>
        <w:rPr>
          <w:rFonts w:ascii="Times New Roman" w:hAnsi="Times New Roman" w:cs="Times New Roman"/>
          <w:b/>
          <w:bCs/>
          <w:szCs w:val="24"/>
        </w:rPr>
      </w:pPr>
      <w:bookmarkStart w:id="4" w:name="_GoBack"/>
      <w:bookmarkEnd w:id="4"/>
      <w:r w:rsidRPr="0001149D">
        <w:rPr>
          <w:rFonts w:ascii="Times New Roman" w:hAnsi="Times New Roman" w:cs="Times New Roman"/>
          <w:b/>
          <w:bCs/>
          <w:szCs w:val="24"/>
        </w:rPr>
        <w:t>ABSTRACT</w:t>
      </w:r>
    </w:p>
    <w:p w14:paraId="35AAA610" w14:textId="6EB18721" w:rsidR="00C26BF0" w:rsidRPr="0001149D" w:rsidRDefault="00C26BF0" w:rsidP="00532539">
      <w:pPr>
        <w:spacing w:line="240" w:lineRule="auto"/>
        <w:ind w:firstLine="0"/>
        <w:jc w:val="center"/>
        <w:rPr>
          <w:rFonts w:ascii="Times New Roman" w:eastAsia="Times New Roman" w:hAnsi="Times New Roman" w:cs="Times New Roman"/>
          <w:b/>
          <w:bCs/>
          <w:caps/>
          <w:szCs w:val="24"/>
        </w:rPr>
      </w:pPr>
    </w:p>
    <w:p w14:paraId="2B99FC98" w14:textId="77777777" w:rsidR="00C26BF0" w:rsidRPr="0001149D" w:rsidRDefault="00C26BF0" w:rsidP="00532539">
      <w:pPr>
        <w:spacing w:line="240" w:lineRule="auto"/>
        <w:ind w:firstLine="0"/>
        <w:jc w:val="center"/>
        <w:rPr>
          <w:rFonts w:ascii="Times New Roman" w:eastAsia="Times New Roman" w:hAnsi="Times New Roman" w:cs="Times New Roman"/>
          <w:b/>
          <w:bCs/>
          <w:caps/>
          <w:szCs w:val="24"/>
        </w:rPr>
      </w:pPr>
    </w:p>
    <w:p w14:paraId="4050DFC9" w14:textId="77777777" w:rsidR="00B333A4" w:rsidRPr="0001149D" w:rsidRDefault="00B333A4" w:rsidP="00532539">
      <w:pPr>
        <w:pStyle w:val="NoSpacing"/>
        <w:jc w:val="both"/>
        <w:rPr>
          <w:rFonts w:ascii="Times New Roman" w:eastAsia="Times New Roman" w:hAnsi="Times New Roman" w:cs="Times New Roman"/>
          <w:szCs w:val="24"/>
        </w:rPr>
      </w:pPr>
      <w:r w:rsidRPr="0001149D">
        <w:rPr>
          <w:rFonts w:ascii="Times New Roman" w:eastAsia="Times New Roman" w:hAnsi="Times New Roman" w:cs="Times New Roman"/>
          <w:szCs w:val="24"/>
        </w:rPr>
        <w:t>This study aimed to determine the significance of students' academic goal orientation as a mediating variable in the relationship between language learning strategies and language classroom anxiety. The primary variables of the study included Academic Goal Orientation, Language Learning Strategies, and Language Classroom Anxiety. Results indicated that Academic Goal Orientation was described at a high level, as were both Language Learning Strategies and Language Anxiety. The researchers employed a quantitative, non-experimental research design to systematically examine the relationships among the variables. The respondents of the study were the grade 12 senior high school students from selected schools in Panabo City. Data were gathered using standardized survey instruments and were analyzed to determine both direct and indirect effects among variables. Statistical tools used in the analysis included weighted mean, Pearson product-moment correlation coefficient, multiple regression analysis, and the MedGraph technique incorporating the Sobel z-test. Findings revealed that significant relationships existed among academic goal orientation, language learning strategies, and language classroom anxiety. Furthermore, mediation analysis showed that students’ academic goal orientation fully mediated the relationship between language learning strategies and language classroom anxiety. This implies that students’ goal orientation plays a crucial role in explaining how language learning strategies influence levels of anxiety in the language classroom. Overall, the results highlight the importance of fostering positive academic goal orientation to enhance effective language learning and reduce anxiety. These findings have important implications for teachers, curriculum planners, and future language research.</w:t>
      </w:r>
    </w:p>
    <w:p w14:paraId="79A5E65A" w14:textId="77777777" w:rsidR="00B333A4" w:rsidRPr="0001149D" w:rsidRDefault="00B333A4" w:rsidP="00532539">
      <w:pPr>
        <w:pStyle w:val="NoSpacing"/>
        <w:rPr>
          <w:rFonts w:ascii="Times New Roman" w:eastAsia="Times New Roman" w:hAnsi="Times New Roman" w:cs="Times New Roman"/>
          <w:szCs w:val="24"/>
        </w:rPr>
      </w:pPr>
    </w:p>
    <w:p w14:paraId="52D04FF4" w14:textId="4178F127" w:rsidR="00C26BF0" w:rsidRPr="0001149D" w:rsidRDefault="00C26BF0" w:rsidP="00532539">
      <w:pPr>
        <w:pStyle w:val="NoSpacing"/>
        <w:rPr>
          <w:rFonts w:ascii="Times New Roman" w:eastAsia="Times New Roman" w:hAnsi="Times New Roman" w:cs="Times New Roman"/>
          <w:i/>
          <w:iCs/>
          <w:szCs w:val="24"/>
        </w:rPr>
      </w:pPr>
    </w:p>
    <w:p w14:paraId="57C84C7E" w14:textId="77777777" w:rsidR="00532539" w:rsidRPr="0001149D" w:rsidRDefault="00532539" w:rsidP="00532539">
      <w:pPr>
        <w:pStyle w:val="NoSpacing"/>
        <w:rPr>
          <w:rFonts w:ascii="Times New Roman" w:eastAsia="Times New Roman" w:hAnsi="Times New Roman" w:cs="Times New Roman"/>
          <w:szCs w:val="24"/>
        </w:rPr>
      </w:pPr>
    </w:p>
    <w:p w14:paraId="72483AB9" w14:textId="04BEDBB5" w:rsidR="00F57C82" w:rsidRPr="0001149D" w:rsidRDefault="00F57C82" w:rsidP="00532539">
      <w:pPr>
        <w:pStyle w:val="NoSpacing"/>
        <w:rPr>
          <w:rFonts w:ascii="Times New Roman" w:eastAsia="Times New Roman" w:hAnsi="Times New Roman" w:cs="Times New Roman"/>
          <w:i/>
          <w:szCs w:val="24"/>
        </w:rPr>
      </w:pPr>
      <w:r w:rsidRPr="0001149D">
        <w:rPr>
          <w:rFonts w:ascii="Times New Roman" w:eastAsia="Times New Roman" w:hAnsi="Times New Roman" w:cs="Times New Roman"/>
          <w:szCs w:val="24"/>
        </w:rPr>
        <w:t xml:space="preserve">Keywords: </w:t>
      </w:r>
      <w:r w:rsidRPr="0001149D">
        <w:rPr>
          <w:rFonts w:ascii="Times New Roman" w:eastAsia="Times New Roman" w:hAnsi="Times New Roman" w:cs="Times New Roman"/>
          <w:i/>
          <w:szCs w:val="24"/>
        </w:rPr>
        <w:t xml:space="preserve">academic goal orientation; language learning strategies; language </w:t>
      </w:r>
      <w:r w:rsidR="00C26BF0" w:rsidRPr="0001149D">
        <w:rPr>
          <w:rFonts w:ascii="Times New Roman" w:eastAsia="Times New Roman" w:hAnsi="Times New Roman" w:cs="Times New Roman"/>
          <w:i/>
          <w:szCs w:val="24"/>
        </w:rPr>
        <w:tab/>
        <w:t xml:space="preserve">       </w:t>
      </w:r>
      <w:r w:rsidRPr="0001149D">
        <w:rPr>
          <w:rFonts w:ascii="Times New Roman" w:eastAsia="Times New Roman" w:hAnsi="Times New Roman" w:cs="Times New Roman"/>
          <w:i/>
          <w:szCs w:val="24"/>
        </w:rPr>
        <w:t>anxiety; quantitative research</w:t>
      </w:r>
    </w:p>
    <w:p w14:paraId="7964B314" w14:textId="77777777" w:rsidR="00F57C82" w:rsidRPr="0001149D" w:rsidRDefault="00F57C82" w:rsidP="00532539">
      <w:pPr>
        <w:pStyle w:val="NoSpacing"/>
        <w:rPr>
          <w:rFonts w:ascii="Times New Roman" w:eastAsia="Times New Roman" w:hAnsi="Times New Roman" w:cs="Times New Roman"/>
          <w:i/>
          <w:szCs w:val="24"/>
        </w:rPr>
      </w:pPr>
    </w:p>
    <w:p w14:paraId="583B2E9A" w14:textId="54BAA0B0" w:rsidR="0021660A" w:rsidRPr="0001149D" w:rsidRDefault="00F57C82" w:rsidP="00532539">
      <w:pPr>
        <w:pStyle w:val="NoSpacing"/>
        <w:rPr>
          <w:rFonts w:ascii="Times New Roman" w:eastAsia="Times New Roman" w:hAnsi="Times New Roman" w:cs="Times New Roman"/>
          <w:szCs w:val="24"/>
        </w:rPr>
      </w:pPr>
      <w:r w:rsidRPr="0001149D">
        <w:rPr>
          <w:rFonts w:ascii="Times New Roman" w:eastAsia="Times New Roman" w:hAnsi="Times New Roman" w:cs="Times New Roman"/>
          <w:b/>
          <w:szCs w:val="24"/>
        </w:rPr>
        <w:t xml:space="preserve">SDG </w:t>
      </w:r>
      <w:r w:rsidR="00661F2B" w:rsidRPr="0001149D">
        <w:rPr>
          <w:rFonts w:ascii="Times New Roman" w:eastAsia="Times New Roman" w:hAnsi="Times New Roman" w:cs="Times New Roman"/>
          <w:b/>
          <w:szCs w:val="24"/>
        </w:rPr>
        <w:t>Indicator:</w:t>
      </w:r>
      <w:r w:rsidR="00661F2B" w:rsidRPr="0001149D">
        <w:rPr>
          <w:rFonts w:ascii="Times New Roman" w:eastAsia="Times New Roman" w:hAnsi="Times New Roman" w:cs="Times New Roman"/>
          <w:szCs w:val="24"/>
        </w:rPr>
        <w:t xml:space="preserve">  </w:t>
      </w:r>
      <w:r w:rsidR="00661F2B" w:rsidRPr="0001149D">
        <w:rPr>
          <w:rFonts w:ascii="Times New Roman" w:eastAsia="Times New Roman" w:hAnsi="Times New Roman" w:cs="Times New Roman"/>
          <w:b/>
          <w:szCs w:val="24"/>
        </w:rPr>
        <w:t>#3</w:t>
      </w:r>
      <w:r w:rsidR="00661F2B" w:rsidRPr="0001149D">
        <w:rPr>
          <w:rFonts w:ascii="Times New Roman" w:eastAsia="Times New Roman" w:hAnsi="Times New Roman" w:cs="Times New Roman"/>
          <w:szCs w:val="24"/>
        </w:rPr>
        <w:t xml:space="preserve"> (</w:t>
      </w:r>
      <w:r w:rsidRPr="0001149D">
        <w:rPr>
          <w:rFonts w:ascii="Times New Roman" w:eastAsia="Times New Roman" w:hAnsi="Times New Roman" w:cs="Times New Roman"/>
          <w:szCs w:val="24"/>
        </w:rPr>
        <w:t>Good Health and Well-being</w:t>
      </w:r>
      <w:r w:rsidR="00661F2B" w:rsidRPr="0001149D">
        <w:rPr>
          <w:rFonts w:ascii="Times New Roman" w:eastAsia="Times New Roman" w:hAnsi="Times New Roman" w:cs="Times New Roman"/>
          <w:szCs w:val="24"/>
        </w:rPr>
        <w:t xml:space="preserve">), </w:t>
      </w:r>
      <w:r w:rsidR="00661F2B" w:rsidRPr="0001149D">
        <w:rPr>
          <w:rFonts w:ascii="Times New Roman" w:eastAsia="Times New Roman" w:hAnsi="Times New Roman" w:cs="Times New Roman"/>
          <w:b/>
          <w:szCs w:val="24"/>
        </w:rPr>
        <w:t>#4</w:t>
      </w:r>
      <w:r w:rsidRPr="0001149D">
        <w:rPr>
          <w:rFonts w:ascii="Times New Roman" w:eastAsia="Times New Roman" w:hAnsi="Times New Roman" w:cs="Times New Roman"/>
          <w:szCs w:val="24"/>
        </w:rPr>
        <w:t xml:space="preserve"> </w:t>
      </w:r>
      <w:r w:rsidR="00661F2B" w:rsidRPr="0001149D">
        <w:rPr>
          <w:rFonts w:ascii="Times New Roman" w:eastAsia="Times New Roman" w:hAnsi="Times New Roman" w:cs="Times New Roman"/>
          <w:szCs w:val="24"/>
        </w:rPr>
        <w:t>(</w:t>
      </w:r>
      <w:r w:rsidRPr="0001149D">
        <w:rPr>
          <w:rFonts w:ascii="Times New Roman" w:eastAsia="Times New Roman" w:hAnsi="Times New Roman" w:cs="Times New Roman"/>
          <w:szCs w:val="24"/>
        </w:rPr>
        <w:t>Quality Education</w:t>
      </w:r>
      <w:r w:rsidR="00661F2B" w:rsidRPr="0001149D">
        <w:rPr>
          <w:rFonts w:ascii="Times New Roman" w:eastAsia="Times New Roman" w:hAnsi="Times New Roman" w:cs="Times New Roman"/>
          <w:szCs w:val="24"/>
        </w:rPr>
        <w:t>).</w:t>
      </w:r>
      <w:r w:rsidR="00661F2B" w:rsidRPr="0001149D">
        <w:rPr>
          <w:rFonts w:ascii="Times New Roman" w:hAnsi="Times New Roman" w:cs="Times New Roman"/>
          <w:szCs w:val="24"/>
        </w:rPr>
        <w:t xml:space="preserve"> </w:t>
      </w:r>
    </w:p>
    <w:p w14:paraId="05462712" w14:textId="5025C2EA" w:rsidR="00B30C2E" w:rsidRPr="0001149D" w:rsidRDefault="00B30C2E" w:rsidP="00532539">
      <w:pPr>
        <w:pStyle w:val="Heading1"/>
        <w:spacing w:line="240" w:lineRule="auto"/>
        <w:rPr>
          <w:rFonts w:ascii="Times New Roman" w:hAnsi="Times New Roman" w:cs="Times New Roman"/>
          <w:szCs w:val="24"/>
        </w:rPr>
      </w:pPr>
    </w:p>
    <w:p w14:paraId="53B3697E" w14:textId="5D5A7AB6" w:rsidR="00532539" w:rsidRPr="0001149D" w:rsidRDefault="00532539" w:rsidP="00532539">
      <w:pPr>
        <w:spacing w:line="240" w:lineRule="auto"/>
        <w:rPr>
          <w:rFonts w:ascii="Times New Roman" w:hAnsi="Times New Roman" w:cs="Times New Roman"/>
          <w:szCs w:val="24"/>
        </w:rPr>
      </w:pPr>
    </w:p>
    <w:p w14:paraId="73227E17" w14:textId="77777777" w:rsidR="00532539" w:rsidRPr="0001149D" w:rsidRDefault="00532539" w:rsidP="00532539">
      <w:pPr>
        <w:spacing w:after="160" w:line="240" w:lineRule="auto"/>
        <w:ind w:firstLine="0"/>
        <w:jc w:val="left"/>
        <w:rPr>
          <w:rFonts w:ascii="Times New Roman" w:hAnsi="Times New Roman" w:cs="Times New Roman"/>
          <w:szCs w:val="24"/>
        </w:rPr>
      </w:pPr>
      <w:r w:rsidRPr="0001149D">
        <w:rPr>
          <w:rFonts w:ascii="Times New Roman" w:hAnsi="Times New Roman" w:cs="Times New Roman"/>
          <w:szCs w:val="24"/>
        </w:rPr>
        <w:br w:type="page"/>
      </w:r>
    </w:p>
    <w:p w14:paraId="19B8C65E" w14:textId="2D9CD718" w:rsidR="00532539" w:rsidRPr="0001149D" w:rsidRDefault="005C65BF" w:rsidP="00532539">
      <w:pPr>
        <w:tabs>
          <w:tab w:val="left" w:pos="3030"/>
          <w:tab w:val="center" w:pos="4116"/>
        </w:tabs>
        <w:spacing w:before="20" w:line="240" w:lineRule="auto"/>
        <w:ind w:right="107"/>
        <w:jc w:val="center"/>
        <w:rPr>
          <w:rFonts w:ascii="Times New Roman" w:eastAsia="Arial" w:hAnsi="Times New Roman" w:cs="Times New Roman"/>
          <w:b/>
          <w:bCs/>
          <w:szCs w:val="24"/>
          <w:lang w:eastAsia="en-PH"/>
        </w:rPr>
      </w:pPr>
      <w:bookmarkStart w:id="5" w:name="_Hlk226494971"/>
      <w:r w:rsidRPr="0001149D">
        <w:rPr>
          <w:rFonts w:ascii="Times New Roman" w:eastAsia="Arial" w:hAnsi="Times New Roman" w:cs="Times New Roman"/>
          <w:b/>
          <w:bCs/>
          <w:szCs w:val="24"/>
          <w:lang w:eastAsia="en-PH"/>
        </w:rPr>
        <w:lastRenderedPageBreak/>
        <w:t xml:space="preserve">I. </w:t>
      </w:r>
      <w:r w:rsidR="00532539" w:rsidRPr="0001149D">
        <w:rPr>
          <w:rFonts w:ascii="Times New Roman" w:eastAsia="Arial" w:hAnsi="Times New Roman" w:cs="Times New Roman"/>
          <w:b/>
          <w:bCs/>
          <w:szCs w:val="24"/>
          <w:lang w:eastAsia="en-PH"/>
        </w:rPr>
        <w:t>INTRODUCTION</w:t>
      </w:r>
    </w:p>
    <w:p w14:paraId="43986B11" w14:textId="77777777" w:rsidR="00532539" w:rsidRPr="0001149D" w:rsidRDefault="00532539" w:rsidP="00532539">
      <w:pPr>
        <w:tabs>
          <w:tab w:val="left" w:pos="3030"/>
          <w:tab w:val="center" w:pos="4116"/>
        </w:tabs>
        <w:spacing w:before="20" w:line="240" w:lineRule="auto"/>
        <w:ind w:right="107"/>
        <w:jc w:val="center"/>
        <w:rPr>
          <w:rFonts w:ascii="Times New Roman" w:eastAsia="Arial" w:hAnsi="Times New Roman" w:cs="Times New Roman"/>
          <w:b/>
          <w:bCs/>
          <w:szCs w:val="24"/>
          <w:lang w:eastAsia="en-PH"/>
        </w:rPr>
      </w:pPr>
    </w:p>
    <w:p w14:paraId="6E7834B9" w14:textId="69F29130" w:rsidR="00532539" w:rsidRPr="0001149D" w:rsidRDefault="00532539" w:rsidP="00532539">
      <w:pPr>
        <w:tabs>
          <w:tab w:val="left" w:pos="3030"/>
          <w:tab w:val="center" w:pos="4116"/>
        </w:tabs>
        <w:spacing w:before="20" w:line="240" w:lineRule="auto"/>
        <w:ind w:right="107"/>
        <w:rPr>
          <w:rFonts w:ascii="Times New Roman" w:eastAsia="Arial" w:hAnsi="Times New Roman" w:cs="Times New Roman"/>
          <w:b/>
          <w:bCs/>
          <w:szCs w:val="24"/>
          <w:lang w:eastAsia="en-PH"/>
        </w:rPr>
      </w:pPr>
      <w:r w:rsidRPr="0001149D">
        <w:rPr>
          <w:rFonts w:ascii="Times New Roman" w:hAnsi="Times New Roman" w:cs="Times New Roman"/>
          <w:szCs w:val="24"/>
        </w:rPr>
        <w:t xml:space="preserve">English is the most widely spoken language globally and serves as a second language for Filipinos, playing a vital role in the Philippine educational system as a primary medium of instruction. However, many learners experience stress, nervousness, and anxiety when learning to speak English, making it challenging to become proficient (Giray et al. 65). Chang observed that language learners often feel frustrated and anxious when learning English, and using English in oral presentations can intensify their anxiety (56). Similarly, (Jugo 2) noted that speaking and expressing ideas in English can significantly heighten language classroom anxiety among learners, which connects to the broader issue of language anxiety. </w:t>
      </w:r>
    </w:p>
    <w:p w14:paraId="148B80A4" w14:textId="77777777" w:rsidR="00532539" w:rsidRPr="0001149D" w:rsidRDefault="00532539" w:rsidP="00532539">
      <w:pPr>
        <w:tabs>
          <w:tab w:val="center" w:pos="1442"/>
        </w:tabs>
        <w:spacing w:before="20" w:after="20" w:line="240" w:lineRule="auto"/>
        <w:ind w:right="107" w:firstLine="851"/>
        <w:rPr>
          <w:rFonts w:ascii="Times New Roman" w:hAnsi="Times New Roman" w:cs="Times New Roman"/>
          <w:szCs w:val="24"/>
        </w:rPr>
      </w:pPr>
      <w:r w:rsidRPr="0001149D">
        <w:rPr>
          <w:rFonts w:ascii="Times New Roman" w:hAnsi="Times New Roman" w:cs="Times New Roman"/>
          <w:szCs w:val="24"/>
        </w:rPr>
        <w:t>On the other hand, Mohammadi (637) added that a high level of second language anxiety interferes with foreign language learning. Hence, foreign language learners equip themselves with language-learning strategies to help them learn the target language and cope with their language-learning anxieties (Mohammadi et al. 637). In this regard, Bajri and Omer (2224) found that effective language-learning strategies reduce language anxiety. Moreover, research shows that language-learning strategies decrease anxiety and enhance learner independence (Bajri and Omer 2225). These strategies consist of specific actions that learners undertake to make acquiring a second language easier, faster, more enjoyable, more self-directed, more effective, and more transferable to new situations (Ghavamnia et al. 1156-1157).</w:t>
      </w:r>
    </w:p>
    <w:p w14:paraId="78B6D43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addition, Abubakar's (61) study found that language classroom anxiety showed a very low positive correlation with language learning strategies. According to the study of Sadeghi, Karim, and Soleimani (70), a very low correlation was observed between language classroom anxiety and language learning strategies. This means that the most anxious and the least ambiguity-tolerant learners use more strategies. It indicates that anxiety is positively correlated and significant towards learning strategies, so a high level of anxiety increases students’ usage of learning strategies.</w:t>
      </w:r>
      <w:r w:rsidRPr="0001149D">
        <w:rPr>
          <w:rFonts w:ascii="Times New Roman" w:hAnsi="Times New Roman" w:cs="Times New Roman"/>
          <w:szCs w:val="24"/>
        </w:rPr>
        <w:tab/>
      </w:r>
    </w:p>
    <w:p w14:paraId="46D2C88D" w14:textId="470DD525"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line with this, the authors found a highly significant correlation between language-learning strategies and students' goal orientation (Wen et al. 6440). These findings suggest that understanding the interplay between goal orientations and language learning strategies can significantly enhance learning outcomes for language learners, teachers, and curriculum developers. The study by Takashiro concluded that College students exhibited an array of goal orientations and learning strategies in the classroom setting. Students demonstrated multidimensional goal orientations and versatile learning strategies tailored to their specific needs in class (180). Similarly, Zeng et al. (5) and Barani et al. (6) found significant positive correlations between language learning strategies and students’ academic goal orientation, consistent with previous studies showing that effective language learning strategies can enhance students' goal orientation.</w:t>
      </w:r>
    </w:p>
    <w:p w14:paraId="1F64B32C" w14:textId="18F831C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Students' goal orientation and language anxiety reveal a complex relationship with language learning outcomes. It may be helpful in the development of effective interventions for language anxiety to identify the specific goal orientations that are associated with high levels of foreign language classroom anxiety (Koul 676). Moreover, Nakayama argued that students’ goal orientation significantly influences learners' anxiety and behaviors (20). Goal orientation is an indispensable part of determining how students think about their academic abilities, how they engage in tasks, and their performance. On the other hand, Chou said that </w:t>
      </w:r>
      <w:r w:rsidRPr="0001149D">
        <w:rPr>
          <w:rFonts w:ascii="Times New Roman" w:hAnsi="Times New Roman" w:cs="Times New Roman"/>
          <w:szCs w:val="24"/>
        </w:rPr>
        <w:lastRenderedPageBreak/>
        <w:t>goal orientation negatively correlates with language anxiety (242). Similarly, Cahalan (95) identified academic goal orientation as a significant predictor of language classroom anxiety, noting that students are often motivated more by a fear of failure than by a desire to demonstrate competence. McKinney (34) further supports this, emphasizing that students’ academic goal orientation influences emotional responses during task performance.</w:t>
      </w:r>
    </w:p>
    <w:p w14:paraId="753A72AD" w14:textId="049A5313"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study is anchored in Krashen’s Affective Filter Hypothesis, which emphasizes the role of emotion in learners' ability to process language input. The theory states that even when teachers provide high-quality language input, negative emotions such as anxiety, low motivation, or low self-esteem may act as a “filter,” preventing students from absorbing and processing the language information. In contrast, when the affective filter is low, learners feel relaxed, motivated, and confident, allowing them to receive and process language input more effectively in second language acquisition (Radzi et al., 6124).</w:t>
      </w:r>
    </w:p>
    <w:p w14:paraId="5E4E52ED" w14:textId="2F71A0B9"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this regard, language anxiety may arise more from negative language-learning experiences than from an initial cause of difficulty (Alamry 26, 28). Notably, researchers believed that language classroom anxiety is not just a state of anxiety associated with the process of language learning and supported their hypothesis by studying a group of learners who did not experience any anxiety while in other classes but felt anxious while learning English as a second language. Language classroom anxiety is a specific type of anxiety that is different from the type of anxiety experienced in regular academic contexts. Horwitz et al. identified three situation-specific anxieties that are only related to language classroom anxiety: communication apprehension, fear of negative evaluation, and test anxiety (Marnani 7).</w:t>
      </w:r>
      <w:r w:rsidRPr="0001149D">
        <w:rPr>
          <w:rFonts w:ascii="Times New Roman" w:hAnsi="Times New Roman" w:cs="Times New Roman"/>
          <w:szCs w:val="24"/>
        </w:rPr>
        <w:tab/>
        <w:t>Furthermore, language learning strategies are anchored to the Strategy Inventory for Language Learning by Oxford (1990) as cited by Hanafiah et al. (1364). Researchers classify language learning strategies into two types: direct and indirect. Direct strategies involve learning and using the target language, which requires mental processing. Indirect strategies involve internalizing the learning process, which supports language learning without directly involving the target (Sie 3). Direct strategies consist of memory, cognitive, and compensation strategies. Memory strategies refer to the ability to store and retrieve new information from the mental lexicon. Cognitive strategies enable learners to understand and produce new language by many different means, such as repeating, analyzing expressions, and summarizing (4). Compensation strategies are the skills that allow learners to use the language despite their often large gaps in language knowledge. Indirect strategies contain metacognitive, affective, and social strategies. Metacognitive strategies "allow learners to control their cognition." Affective strategies help learners to regulate their attitudes, emotions, and motivations. Social strategies help students learn a language by interacting with others through different social contexts (5).</w:t>
      </w:r>
    </w:p>
    <w:p w14:paraId="1BF02B65" w14:textId="77777777" w:rsidR="00597A24" w:rsidRPr="0001149D" w:rsidRDefault="00532539"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study also focuses on students' academic goal orientation, which is anchored in the achievement goal theory of Elliot and McGregor, as cited by Swendseid, who notes that achievement goal Theory is one of the most prominent frameworks for studying motivation (1). Manrique-Abril et al. organize this theory into four dimensions according to the types of academic goal orientation: (i) learning or task goal, (ii) ego self-enhancement goal, (iii) ego self-frustration goal, and (iv) work avoidance goal. On the other hand, learning or task goals focus on developing and mastering competencies. The student with this type of goal focuses on intrinsic stimuli and seeks to assimilate knowledge, acquire skills, and develop a fundamental understanding of the issues. Ego-oriented goals are social, and the student seeks </w:t>
      </w:r>
      <w:r w:rsidRPr="0001149D">
        <w:rPr>
          <w:rFonts w:ascii="Times New Roman" w:hAnsi="Times New Roman" w:cs="Times New Roman"/>
          <w:szCs w:val="24"/>
        </w:rPr>
        <w:lastRenderedPageBreak/>
        <w:t xml:space="preserve">to satisfy extrinsic needs through academic performance. These goals are linked to Ego self-enhancement (seeking favorable results) and Ego self-frustration (having a defensive attitude </w:t>
      </w:r>
    </w:p>
    <w:p w14:paraId="672EA6DA" w14:textId="64814243" w:rsidR="00597A24" w:rsidRPr="0001149D" w:rsidRDefault="00597A24" w:rsidP="00597A24">
      <w:pPr>
        <w:spacing w:line="240" w:lineRule="auto"/>
        <w:jc w:val="center"/>
        <w:rPr>
          <w:rFonts w:ascii="Times New Roman" w:hAnsi="Times New Roman" w:cs="Times New Roman"/>
          <w:i/>
          <w:szCs w:val="24"/>
        </w:rPr>
      </w:pPr>
    </w:p>
    <w:p w14:paraId="7288A0AD" w14:textId="7E88F512" w:rsidR="00597A24" w:rsidRPr="0001149D" w:rsidRDefault="00597A24" w:rsidP="00597A24">
      <w:pPr>
        <w:spacing w:line="240" w:lineRule="auto"/>
        <w:jc w:val="center"/>
        <w:rPr>
          <w:rFonts w:ascii="Times New Roman" w:hAnsi="Times New Roman" w:cs="Times New Roman"/>
          <w:szCs w:val="24"/>
        </w:rPr>
      </w:pPr>
      <w:r w:rsidRPr="0001149D">
        <w:rPr>
          <w:rFonts w:ascii="Times New Roman" w:hAnsi="Times New Roman" w:cs="Times New Roman"/>
          <w:i/>
          <w:szCs w:val="24"/>
        </w:rPr>
        <w:t xml:space="preserve">Figure 1. </w:t>
      </w:r>
      <w:r w:rsidRPr="0001149D">
        <w:rPr>
          <w:rFonts w:ascii="Times New Roman" w:hAnsi="Times New Roman" w:cs="Times New Roman"/>
          <w:szCs w:val="24"/>
        </w:rPr>
        <w:t>Conceptual Framework</w:t>
      </w:r>
    </w:p>
    <w:p w14:paraId="6D5860DB" w14:textId="77777777" w:rsidR="00597A24" w:rsidRPr="0001149D" w:rsidRDefault="00597A24" w:rsidP="00597A24">
      <w:pPr>
        <w:spacing w:before="20" w:after="20" w:line="240" w:lineRule="auto"/>
        <w:ind w:right="107"/>
        <w:rPr>
          <w:rFonts w:ascii="Times New Roman" w:hAnsi="Times New Roman" w:cs="Times New Roman"/>
          <w:szCs w:val="24"/>
        </w:rPr>
      </w:pPr>
    </w:p>
    <w:p w14:paraId="7DD04681" w14:textId="67BD89B2" w:rsidR="00532539" w:rsidRPr="0001149D" w:rsidRDefault="00532539" w:rsidP="00597A24">
      <w:pPr>
        <w:spacing w:before="20" w:after="20" w:line="240" w:lineRule="auto"/>
        <w:ind w:right="107" w:firstLine="0"/>
        <w:rPr>
          <w:rFonts w:ascii="Times New Roman" w:hAnsi="Times New Roman" w:cs="Times New Roman"/>
          <w:szCs w:val="24"/>
        </w:rPr>
      </w:pPr>
      <w:r w:rsidRPr="0001149D">
        <w:rPr>
          <w:rFonts w:ascii="Times New Roman" w:hAnsi="Times New Roman" w:cs="Times New Roman"/>
          <w:szCs w:val="24"/>
        </w:rPr>
        <w:t>and avoiding frustration and an unfavorable image); the fourth type of academic goal orientation is rooted in avoiding work. The student avoids learning situations using common   behaviors such as making minimal effort and avoiding complex tasks (Manrique-Abril F. et al.).</w:t>
      </w:r>
    </w:p>
    <w:p w14:paraId="56E715C2" w14:textId="1EDECD93" w:rsidR="00532539" w:rsidRPr="0001149D" w:rsidRDefault="00532539" w:rsidP="00532539">
      <w:pPr>
        <w:spacing w:before="20" w:after="20" w:line="240" w:lineRule="auto"/>
        <w:ind w:right="107" w:firstLine="567"/>
        <w:rPr>
          <w:rFonts w:ascii="Times New Roman" w:hAnsi="Times New Roman" w:cs="Times New Roman"/>
          <w:szCs w:val="24"/>
        </w:rPr>
      </w:pPr>
      <w:r w:rsidRPr="0001149D">
        <w:rPr>
          <w:rFonts w:ascii="Times New Roman" w:hAnsi="Times New Roman" w:cs="Times New Roman"/>
          <w:szCs w:val="24"/>
        </w:rPr>
        <w:tab/>
        <w:t>Additionally, the research highlighted by various authors is pertinent to the current report since it emphasizes students' goal orientation as a mediating factor in the relationship between language learning strategies and language anxiety. The authors have comprehensively discussed matters that enable the researcher to view students' goal orientation as mediating language learning strategies and language anxiety. However, most students struggle to learn the language, particularly in relation to their goals for the subject and their learning strategies, which may, in turn, affect their language anxiety. Hence, these reasons motivate the researcher to formulate a statement of the problem and identify the indicators. These insights also help support the study's claims and findings.</w:t>
      </w:r>
      <w:r w:rsidRPr="0001149D">
        <w:rPr>
          <w:rFonts w:ascii="Times New Roman" w:hAnsi="Times New Roman" w:cs="Times New Roman"/>
          <w:noProof/>
          <w:szCs w:val="24"/>
          <w:lang w:val="en-IN" w:eastAsia="en-IN"/>
        </w:rPr>
        <mc:AlternateContent>
          <mc:Choice Requires="wpg">
            <w:drawing>
              <wp:anchor distT="0" distB="0" distL="114300" distR="114300" simplePos="0" relativeHeight="251663360" behindDoc="0" locked="0" layoutInCell="1" allowOverlap="1" wp14:anchorId="53D3F04D" wp14:editId="26F0B73D">
                <wp:simplePos x="0" y="0"/>
                <wp:positionH relativeFrom="margin">
                  <wp:posOffset>-118298</wp:posOffset>
                </wp:positionH>
                <wp:positionV relativeFrom="margin">
                  <wp:posOffset>-65405</wp:posOffset>
                </wp:positionV>
                <wp:extent cx="5943600" cy="4057650"/>
                <wp:effectExtent l="0" t="0" r="19050" b="19050"/>
                <wp:wrapSquare wrapText="bothSides"/>
                <wp:docPr id="2" name="Group 2"/>
                <wp:cNvGraphicFramePr/>
                <a:graphic xmlns:a="http://schemas.openxmlformats.org/drawingml/2006/main">
                  <a:graphicData uri="http://schemas.microsoft.com/office/word/2010/wordprocessingGroup">
                    <wpg:wgp>
                      <wpg:cNvGrpSpPr/>
                      <wpg:grpSpPr>
                        <a:xfrm>
                          <a:off x="0" y="0"/>
                          <a:ext cx="5943600" cy="4057650"/>
                          <a:chOff x="0" y="0"/>
                          <a:chExt cx="5943600" cy="4057650"/>
                        </a:xfrm>
                      </wpg:grpSpPr>
                      <wps:wsp>
                        <wps:cNvPr id="3" name="Text Box 3"/>
                        <wps:cNvSpPr txBox="1"/>
                        <wps:spPr>
                          <a:xfrm>
                            <a:off x="1695450" y="428625"/>
                            <a:ext cx="2466975" cy="962025"/>
                          </a:xfrm>
                          <a:prstGeom prst="rect">
                            <a:avLst/>
                          </a:prstGeom>
                          <a:solidFill>
                            <a:schemeClr val="lt1"/>
                          </a:solidFill>
                          <a:ln w="6350">
                            <a:solidFill>
                              <a:prstClr val="black"/>
                            </a:solidFill>
                          </a:ln>
                        </wps:spPr>
                        <wps:txbx>
                          <w:txbxContent>
                            <w:p w14:paraId="7453F972" w14:textId="77777777" w:rsidR="00532539" w:rsidRPr="006A628C" w:rsidRDefault="00532539" w:rsidP="00B22E62">
                              <w:pPr>
                                <w:spacing w:line="240" w:lineRule="auto"/>
                                <w:ind w:firstLine="284"/>
                                <w:rPr>
                                  <w:b/>
                                  <w:szCs w:val="24"/>
                                </w:rPr>
                              </w:pPr>
                              <w:r w:rsidRPr="006A628C">
                                <w:rPr>
                                  <w:b/>
                                  <w:szCs w:val="24"/>
                                </w:rPr>
                                <w:t>Academic Goal Orientation</w:t>
                              </w:r>
                            </w:p>
                            <w:p w14:paraId="549575B6" w14:textId="77777777" w:rsidR="00532539" w:rsidRPr="006A628C" w:rsidRDefault="00532539" w:rsidP="00B22E62">
                              <w:pPr>
                                <w:spacing w:line="240" w:lineRule="auto"/>
                                <w:ind w:firstLine="284"/>
                                <w:rPr>
                                  <w:szCs w:val="24"/>
                                </w:rPr>
                              </w:pPr>
                              <w:r w:rsidRPr="006A628C">
                                <w:rPr>
                                  <w:szCs w:val="24"/>
                                </w:rPr>
                                <w:t>1. Ego Self-Frustation Goal</w:t>
                              </w:r>
                            </w:p>
                            <w:p w14:paraId="04D1A528" w14:textId="77777777" w:rsidR="00532539" w:rsidRPr="006A628C" w:rsidRDefault="00532539" w:rsidP="00B22E62">
                              <w:pPr>
                                <w:spacing w:line="240" w:lineRule="auto"/>
                                <w:ind w:firstLine="284"/>
                                <w:rPr>
                                  <w:szCs w:val="24"/>
                                </w:rPr>
                              </w:pPr>
                              <w:r w:rsidRPr="006A628C">
                                <w:rPr>
                                  <w:szCs w:val="24"/>
                                </w:rPr>
                                <w:t>2. Ego Self-Enhancement Goal</w:t>
                              </w:r>
                            </w:p>
                            <w:p w14:paraId="397C7EC5" w14:textId="77777777" w:rsidR="00B22E62" w:rsidRDefault="00532539" w:rsidP="00B22E62">
                              <w:pPr>
                                <w:spacing w:line="240" w:lineRule="auto"/>
                                <w:ind w:firstLine="284"/>
                                <w:rPr>
                                  <w:szCs w:val="24"/>
                                </w:rPr>
                              </w:pPr>
                              <w:r w:rsidRPr="006A628C">
                                <w:rPr>
                                  <w:szCs w:val="24"/>
                                </w:rPr>
                                <w:t>3. Work Avoidance Goal</w:t>
                              </w:r>
                            </w:p>
                            <w:p w14:paraId="6172F81D" w14:textId="7196991A" w:rsidR="00532539" w:rsidRPr="006A628C" w:rsidRDefault="00532539" w:rsidP="00B22E62">
                              <w:pPr>
                                <w:spacing w:line="240" w:lineRule="auto"/>
                                <w:ind w:firstLine="284"/>
                                <w:rPr>
                                  <w:szCs w:val="24"/>
                                </w:rPr>
                              </w:pPr>
                              <w:r w:rsidRPr="006A628C">
                                <w:rPr>
                                  <w:szCs w:val="24"/>
                                </w:rPr>
                                <w:t>4. Learning or Task 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2752725"/>
                            <a:ext cx="2552700" cy="1304925"/>
                          </a:xfrm>
                          <a:prstGeom prst="rect">
                            <a:avLst/>
                          </a:prstGeom>
                          <a:solidFill>
                            <a:schemeClr val="lt1"/>
                          </a:solidFill>
                          <a:ln w="6350">
                            <a:solidFill>
                              <a:prstClr val="black"/>
                            </a:solidFill>
                          </a:ln>
                        </wps:spPr>
                        <wps:txbx>
                          <w:txbxContent>
                            <w:p w14:paraId="6B8D4640" w14:textId="77777777" w:rsidR="00532539" w:rsidRPr="00FE473C" w:rsidRDefault="00532539" w:rsidP="00B22E62">
                              <w:pPr>
                                <w:spacing w:line="240" w:lineRule="auto"/>
                                <w:ind w:firstLine="142"/>
                                <w:rPr>
                                  <w:b/>
                                  <w:szCs w:val="24"/>
                                </w:rPr>
                              </w:pPr>
                              <w:r w:rsidRPr="00FE473C">
                                <w:rPr>
                                  <w:b/>
                                  <w:szCs w:val="24"/>
                                </w:rPr>
                                <w:t>Language Learning Strategies</w:t>
                              </w:r>
                            </w:p>
                            <w:p w14:paraId="25CCF079" w14:textId="77777777" w:rsidR="00532539" w:rsidRPr="00FE473C" w:rsidRDefault="00532539" w:rsidP="00532539">
                              <w:pPr>
                                <w:spacing w:line="240" w:lineRule="auto"/>
                                <w:rPr>
                                  <w:szCs w:val="24"/>
                                </w:rPr>
                              </w:pPr>
                              <w:r w:rsidRPr="00FE473C">
                                <w:rPr>
                                  <w:szCs w:val="24"/>
                                </w:rPr>
                                <w:t>1. Memory</w:t>
                              </w:r>
                            </w:p>
                            <w:p w14:paraId="42322919" w14:textId="77777777" w:rsidR="00532539" w:rsidRPr="00FE473C" w:rsidRDefault="00532539" w:rsidP="00532539">
                              <w:pPr>
                                <w:spacing w:line="240" w:lineRule="auto"/>
                                <w:rPr>
                                  <w:szCs w:val="24"/>
                                </w:rPr>
                              </w:pPr>
                              <w:r w:rsidRPr="00FE473C">
                                <w:rPr>
                                  <w:szCs w:val="24"/>
                                </w:rPr>
                                <w:t>2. Cognitive</w:t>
                              </w:r>
                            </w:p>
                            <w:p w14:paraId="195F8771" w14:textId="159D713D" w:rsidR="00532539" w:rsidRPr="00FE473C" w:rsidRDefault="00532539" w:rsidP="00532539">
                              <w:pPr>
                                <w:spacing w:line="240" w:lineRule="auto"/>
                                <w:rPr>
                                  <w:szCs w:val="24"/>
                                </w:rPr>
                              </w:pPr>
                              <w:r w:rsidRPr="00FE473C">
                                <w:rPr>
                                  <w:szCs w:val="24"/>
                                </w:rPr>
                                <w:t>3. Compensation</w:t>
                              </w:r>
                            </w:p>
                            <w:p w14:paraId="00DBA7FC" w14:textId="77777777" w:rsidR="00532539" w:rsidRPr="00FE473C" w:rsidRDefault="00532539" w:rsidP="00532539">
                              <w:pPr>
                                <w:spacing w:line="240" w:lineRule="auto"/>
                                <w:rPr>
                                  <w:szCs w:val="24"/>
                                </w:rPr>
                              </w:pPr>
                              <w:r w:rsidRPr="00FE473C">
                                <w:rPr>
                                  <w:szCs w:val="24"/>
                                </w:rPr>
                                <w:t>4. Metacognitive</w:t>
                              </w:r>
                            </w:p>
                            <w:p w14:paraId="05C82F4A" w14:textId="77777777" w:rsidR="00532539" w:rsidRPr="00FE473C" w:rsidRDefault="00532539" w:rsidP="00532539">
                              <w:pPr>
                                <w:spacing w:line="240" w:lineRule="auto"/>
                                <w:rPr>
                                  <w:szCs w:val="24"/>
                                </w:rPr>
                              </w:pPr>
                              <w:r w:rsidRPr="00FE473C">
                                <w:rPr>
                                  <w:szCs w:val="24"/>
                                </w:rPr>
                                <w:t>5. Affective</w:t>
                              </w:r>
                            </w:p>
                            <w:p w14:paraId="6BCADAF6" w14:textId="77777777" w:rsidR="00532539" w:rsidRPr="00FE473C" w:rsidRDefault="00532539" w:rsidP="00532539">
                              <w:pPr>
                                <w:spacing w:line="240" w:lineRule="auto"/>
                                <w:rPr>
                                  <w:szCs w:val="24"/>
                                </w:rPr>
                              </w:pPr>
                              <w:r w:rsidRPr="00FE473C">
                                <w:rPr>
                                  <w:szCs w:val="24"/>
                                </w:rPr>
                                <w:t>6.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3324225" y="2752725"/>
                            <a:ext cx="2619375" cy="1304925"/>
                          </a:xfrm>
                          <a:prstGeom prst="rect">
                            <a:avLst/>
                          </a:prstGeom>
                          <a:solidFill>
                            <a:schemeClr val="lt1"/>
                          </a:solidFill>
                          <a:ln w="6350">
                            <a:solidFill>
                              <a:prstClr val="black"/>
                            </a:solidFill>
                          </a:ln>
                        </wps:spPr>
                        <wps:txbx>
                          <w:txbxContent>
                            <w:p w14:paraId="6A1917C9" w14:textId="77777777" w:rsidR="00532539" w:rsidRPr="00FE473C" w:rsidRDefault="00532539" w:rsidP="00B22E62">
                              <w:pPr>
                                <w:spacing w:line="240" w:lineRule="auto"/>
                                <w:ind w:firstLine="142"/>
                                <w:jc w:val="left"/>
                                <w:rPr>
                                  <w:b/>
                                  <w:szCs w:val="24"/>
                                </w:rPr>
                              </w:pPr>
                              <w:r>
                                <w:rPr>
                                  <w:b/>
                                  <w:szCs w:val="24"/>
                                </w:rPr>
                                <w:t xml:space="preserve">Language Classroom </w:t>
                              </w:r>
                              <w:r w:rsidRPr="00FE473C">
                                <w:rPr>
                                  <w:b/>
                                  <w:szCs w:val="24"/>
                                </w:rPr>
                                <w:t>Anxiety</w:t>
                              </w:r>
                            </w:p>
                            <w:p w14:paraId="5FB26577" w14:textId="77777777" w:rsidR="00532539" w:rsidRPr="00FE473C" w:rsidRDefault="00532539" w:rsidP="00B22E62">
                              <w:pPr>
                                <w:spacing w:line="240" w:lineRule="auto"/>
                                <w:ind w:firstLine="142"/>
                                <w:jc w:val="left"/>
                                <w:rPr>
                                  <w:szCs w:val="24"/>
                                </w:rPr>
                              </w:pPr>
                              <w:r w:rsidRPr="00FE473C">
                                <w:rPr>
                                  <w:szCs w:val="24"/>
                                </w:rPr>
                                <w:t>1. Communication Apprehension</w:t>
                              </w:r>
                            </w:p>
                            <w:p w14:paraId="59EB7233" w14:textId="77777777" w:rsidR="00532539" w:rsidRPr="00FE473C" w:rsidRDefault="00532539" w:rsidP="00B22E62">
                              <w:pPr>
                                <w:spacing w:line="240" w:lineRule="auto"/>
                                <w:ind w:firstLine="142"/>
                                <w:jc w:val="left"/>
                                <w:rPr>
                                  <w:szCs w:val="24"/>
                                </w:rPr>
                              </w:pPr>
                              <w:r w:rsidRPr="00FE473C">
                                <w:rPr>
                                  <w:szCs w:val="24"/>
                                </w:rPr>
                                <w:t>2. Test Anxiety</w:t>
                              </w:r>
                            </w:p>
                            <w:p w14:paraId="388904EA" w14:textId="77777777" w:rsidR="00532539" w:rsidRPr="00FE473C" w:rsidRDefault="00532539" w:rsidP="00B22E62">
                              <w:pPr>
                                <w:spacing w:line="240" w:lineRule="auto"/>
                                <w:ind w:firstLine="142"/>
                                <w:jc w:val="left"/>
                                <w:rPr>
                                  <w:szCs w:val="24"/>
                                </w:rPr>
                              </w:pPr>
                              <w:r w:rsidRPr="00FE473C">
                                <w:rPr>
                                  <w:szCs w:val="24"/>
                                </w:rPr>
                                <w:t>3. Fear of Negative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2324100"/>
                            <a:ext cx="2552700" cy="409575"/>
                          </a:xfrm>
                          <a:prstGeom prst="rect">
                            <a:avLst/>
                          </a:prstGeom>
                          <a:solidFill>
                            <a:schemeClr val="lt1"/>
                          </a:solidFill>
                          <a:ln w="6350">
                            <a:solidFill>
                              <a:prstClr val="black"/>
                            </a:solidFill>
                          </a:ln>
                        </wps:spPr>
                        <wps:txbx>
                          <w:txbxContent>
                            <w:p w14:paraId="1FCDFD06" w14:textId="77777777" w:rsidR="00532539" w:rsidRPr="00FE473C" w:rsidRDefault="00532539" w:rsidP="00532539">
                              <w:pPr>
                                <w:jc w:val="center"/>
                                <w:rPr>
                                  <w:b/>
                                  <w:szCs w:val="24"/>
                                </w:rPr>
                              </w:pPr>
                              <w:r w:rsidRPr="00FE473C">
                                <w:rPr>
                                  <w:b/>
                                  <w:szCs w:val="24"/>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3324225" y="2324100"/>
                            <a:ext cx="2619375" cy="409575"/>
                          </a:xfrm>
                          <a:prstGeom prst="rect">
                            <a:avLst/>
                          </a:prstGeom>
                          <a:solidFill>
                            <a:schemeClr val="lt1"/>
                          </a:solidFill>
                          <a:ln w="6350">
                            <a:solidFill>
                              <a:prstClr val="black"/>
                            </a:solidFill>
                          </a:ln>
                        </wps:spPr>
                        <wps:txbx>
                          <w:txbxContent>
                            <w:p w14:paraId="45BE1CC5" w14:textId="77777777" w:rsidR="00532539" w:rsidRPr="00FE473C" w:rsidRDefault="00532539" w:rsidP="00532539">
                              <w:pPr>
                                <w:jc w:val="center"/>
                                <w:rPr>
                                  <w:b/>
                                  <w:szCs w:val="24"/>
                                </w:rPr>
                              </w:pPr>
                              <w:r w:rsidRPr="00FE473C">
                                <w:rPr>
                                  <w:b/>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695450" y="0"/>
                            <a:ext cx="2466975" cy="409575"/>
                          </a:xfrm>
                          <a:prstGeom prst="rect">
                            <a:avLst/>
                          </a:prstGeom>
                          <a:solidFill>
                            <a:schemeClr val="lt1"/>
                          </a:solidFill>
                          <a:ln w="6350">
                            <a:solidFill>
                              <a:prstClr val="black"/>
                            </a:solidFill>
                          </a:ln>
                        </wps:spPr>
                        <wps:txbx>
                          <w:txbxContent>
                            <w:p w14:paraId="434EB4AE" w14:textId="77777777" w:rsidR="00532539" w:rsidRPr="006A628C" w:rsidRDefault="00532539" w:rsidP="00532539">
                              <w:pPr>
                                <w:jc w:val="center"/>
                                <w:rPr>
                                  <w:b/>
                                  <w:szCs w:val="24"/>
                                </w:rPr>
                              </w:pPr>
                              <w:r w:rsidRPr="006A628C">
                                <w:rPr>
                                  <w:b/>
                                  <w:szCs w:val="24"/>
                                </w:rPr>
                                <w:t>MEDIATING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V="1">
                            <a:off x="1019175" y="1419226"/>
                            <a:ext cx="676275" cy="8096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 name="Straight Arrow Connector 10"/>
                        <wps:cNvCnPr/>
                        <wps:spPr>
                          <a:xfrm>
                            <a:off x="4162425" y="1419226"/>
                            <a:ext cx="685800" cy="8096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 name="Straight Arrow Connector 11"/>
                        <wps:cNvCnPr/>
                        <wps:spPr>
                          <a:xfrm>
                            <a:off x="2619375" y="3476625"/>
                            <a:ext cx="6572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D3F04D" id="Group 2" o:spid="_x0000_s1028" style="position:absolute;left:0;text-align:left;margin-left:-9.3pt;margin-top:-5.15pt;width:468pt;height:319.5pt;z-index:251663360;mso-position-horizontal-relative:margin;mso-position-vertical-relative:margin;mso-width-relative:margin;mso-height-relative:margin" coordsize="59436,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">
                <v:shape id="Text Box 3" o:spid="_x0000_s1029" type="#_x0000_t202" style="position:absolute;left:16954;top:4286;width:24670;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" fillcolor="white [3201]" strokeweight=".5pt">
                  <v:textbox>
                    <w:txbxContent>
                      <w:p w14:paraId="7453F972" w14:textId="77777777" w:rsidR="00532539" w:rsidRPr="006A628C" w:rsidRDefault="00532539" w:rsidP="00B22E62">
                        <w:pPr>
                          <w:spacing w:line="240" w:lineRule="auto"/>
                          <w:ind w:firstLine="284"/>
                          <w:rPr>
                            <w:b/>
                            <w:szCs w:val="24"/>
                          </w:rPr>
                        </w:pPr>
                        <w:r w:rsidRPr="006A628C">
                          <w:rPr>
                            <w:b/>
                            <w:szCs w:val="24"/>
                          </w:rPr>
                          <w:t>Academic Goal Orientation</w:t>
                        </w:r>
                      </w:p>
                      <w:p w14:paraId="549575B6" w14:textId="77777777" w:rsidR="00532539" w:rsidRPr="006A628C" w:rsidRDefault="00532539" w:rsidP="00B22E62">
                        <w:pPr>
                          <w:spacing w:line="240" w:lineRule="auto"/>
                          <w:ind w:firstLine="284"/>
                          <w:rPr>
                            <w:szCs w:val="24"/>
                          </w:rPr>
                        </w:pPr>
                        <w:r w:rsidRPr="006A628C">
                          <w:rPr>
                            <w:szCs w:val="24"/>
                          </w:rPr>
                          <w:t>1. Ego Self-</w:t>
                        </w:r>
                        <w:proofErr w:type="spellStart"/>
                        <w:r w:rsidRPr="006A628C">
                          <w:rPr>
                            <w:szCs w:val="24"/>
                          </w:rPr>
                          <w:t>Frustation</w:t>
                        </w:r>
                        <w:proofErr w:type="spellEnd"/>
                        <w:r w:rsidRPr="006A628C">
                          <w:rPr>
                            <w:szCs w:val="24"/>
                          </w:rPr>
                          <w:t xml:space="preserve"> Goal</w:t>
                        </w:r>
                      </w:p>
                      <w:p w14:paraId="04D1A528" w14:textId="77777777" w:rsidR="00532539" w:rsidRPr="006A628C" w:rsidRDefault="00532539" w:rsidP="00B22E62">
                        <w:pPr>
                          <w:spacing w:line="240" w:lineRule="auto"/>
                          <w:ind w:firstLine="284"/>
                          <w:rPr>
                            <w:szCs w:val="24"/>
                          </w:rPr>
                        </w:pPr>
                        <w:r w:rsidRPr="006A628C">
                          <w:rPr>
                            <w:szCs w:val="24"/>
                          </w:rPr>
                          <w:t>2. Ego Self-Enhancement Goal</w:t>
                        </w:r>
                      </w:p>
                      <w:p w14:paraId="397C7EC5" w14:textId="77777777" w:rsidR="00B22E62" w:rsidRDefault="00532539" w:rsidP="00B22E62">
                        <w:pPr>
                          <w:spacing w:line="240" w:lineRule="auto"/>
                          <w:ind w:firstLine="284"/>
                          <w:rPr>
                            <w:szCs w:val="24"/>
                          </w:rPr>
                        </w:pPr>
                        <w:r w:rsidRPr="006A628C">
                          <w:rPr>
                            <w:szCs w:val="24"/>
                          </w:rPr>
                          <w:t>3. Work Avoidance Goal</w:t>
                        </w:r>
                      </w:p>
                      <w:p w14:paraId="6172F81D" w14:textId="7196991A" w:rsidR="00532539" w:rsidRPr="006A628C" w:rsidRDefault="00532539" w:rsidP="00B22E62">
                        <w:pPr>
                          <w:spacing w:line="240" w:lineRule="auto"/>
                          <w:ind w:firstLine="284"/>
                          <w:rPr>
                            <w:szCs w:val="24"/>
                          </w:rPr>
                        </w:pPr>
                        <w:r w:rsidRPr="006A628C">
                          <w:rPr>
                            <w:szCs w:val="24"/>
                          </w:rPr>
                          <w:t>4. Learning or Task Goal</w:t>
                        </w:r>
                      </w:p>
                    </w:txbxContent>
                  </v:textbox>
                </v:shape>
                <v:shape id="Text Box 4" o:spid="_x0000_s1030" type="#_x0000_t202" style="position:absolute;top:27527;width:25527;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14:paraId="6B8D4640" w14:textId="77777777" w:rsidR="00532539" w:rsidRPr="00FE473C" w:rsidRDefault="00532539" w:rsidP="00B22E62">
                        <w:pPr>
                          <w:spacing w:line="240" w:lineRule="auto"/>
                          <w:ind w:firstLine="142"/>
                          <w:rPr>
                            <w:b/>
                            <w:szCs w:val="24"/>
                          </w:rPr>
                        </w:pPr>
                        <w:r w:rsidRPr="00FE473C">
                          <w:rPr>
                            <w:b/>
                            <w:szCs w:val="24"/>
                          </w:rPr>
                          <w:t>Language Learning Strategies</w:t>
                        </w:r>
                      </w:p>
                      <w:p w14:paraId="25CCF079" w14:textId="77777777" w:rsidR="00532539" w:rsidRPr="00FE473C" w:rsidRDefault="00532539" w:rsidP="00532539">
                        <w:pPr>
                          <w:spacing w:line="240" w:lineRule="auto"/>
                          <w:rPr>
                            <w:szCs w:val="24"/>
                          </w:rPr>
                        </w:pPr>
                        <w:r w:rsidRPr="00FE473C">
                          <w:rPr>
                            <w:szCs w:val="24"/>
                          </w:rPr>
                          <w:t>1. Memory</w:t>
                        </w:r>
                      </w:p>
                      <w:p w14:paraId="42322919" w14:textId="77777777" w:rsidR="00532539" w:rsidRPr="00FE473C" w:rsidRDefault="00532539" w:rsidP="00532539">
                        <w:pPr>
                          <w:spacing w:line="240" w:lineRule="auto"/>
                          <w:rPr>
                            <w:szCs w:val="24"/>
                          </w:rPr>
                        </w:pPr>
                        <w:r w:rsidRPr="00FE473C">
                          <w:rPr>
                            <w:szCs w:val="24"/>
                          </w:rPr>
                          <w:t>2. Cognitive</w:t>
                        </w:r>
                      </w:p>
                      <w:p w14:paraId="195F8771" w14:textId="159D713D" w:rsidR="00532539" w:rsidRPr="00FE473C" w:rsidRDefault="00532539" w:rsidP="00532539">
                        <w:pPr>
                          <w:spacing w:line="240" w:lineRule="auto"/>
                          <w:rPr>
                            <w:szCs w:val="24"/>
                          </w:rPr>
                        </w:pPr>
                        <w:r w:rsidRPr="00FE473C">
                          <w:rPr>
                            <w:szCs w:val="24"/>
                          </w:rPr>
                          <w:t>3. Compensation</w:t>
                        </w:r>
                      </w:p>
                      <w:p w14:paraId="00DBA7FC" w14:textId="77777777" w:rsidR="00532539" w:rsidRPr="00FE473C" w:rsidRDefault="00532539" w:rsidP="00532539">
                        <w:pPr>
                          <w:spacing w:line="240" w:lineRule="auto"/>
                          <w:rPr>
                            <w:szCs w:val="24"/>
                          </w:rPr>
                        </w:pPr>
                        <w:r w:rsidRPr="00FE473C">
                          <w:rPr>
                            <w:szCs w:val="24"/>
                          </w:rPr>
                          <w:t>4. Metacognitive</w:t>
                        </w:r>
                      </w:p>
                      <w:p w14:paraId="05C82F4A" w14:textId="77777777" w:rsidR="00532539" w:rsidRPr="00FE473C" w:rsidRDefault="00532539" w:rsidP="00532539">
                        <w:pPr>
                          <w:spacing w:line="240" w:lineRule="auto"/>
                          <w:rPr>
                            <w:szCs w:val="24"/>
                          </w:rPr>
                        </w:pPr>
                        <w:r w:rsidRPr="00FE473C">
                          <w:rPr>
                            <w:szCs w:val="24"/>
                          </w:rPr>
                          <w:t>5. Affective</w:t>
                        </w:r>
                      </w:p>
                      <w:p w14:paraId="6BCADAF6" w14:textId="77777777" w:rsidR="00532539" w:rsidRPr="00FE473C" w:rsidRDefault="00532539" w:rsidP="00532539">
                        <w:pPr>
                          <w:spacing w:line="240" w:lineRule="auto"/>
                          <w:rPr>
                            <w:szCs w:val="24"/>
                          </w:rPr>
                        </w:pPr>
                        <w:r w:rsidRPr="00FE473C">
                          <w:rPr>
                            <w:szCs w:val="24"/>
                          </w:rPr>
                          <w:t>6. Social</w:t>
                        </w:r>
                      </w:p>
                    </w:txbxContent>
                  </v:textbox>
                </v:shape>
                <v:shape id="Text Box 5" o:spid="_x0000_s1031" type="#_x0000_t202" style="position:absolute;left:33242;top:27527;width:26194;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" fillcolor="white [3201]" strokeweight=".5pt">
                  <v:textbox>
                    <w:txbxContent>
                      <w:p w14:paraId="6A1917C9" w14:textId="77777777" w:rsidR="00532539" w:rsidRPr="00FE473C" w:rsidRDefault="00532539" w:rsidP="00B22E62">
                        <w:pPr>
                          <w:spacing w:line="240" w:lineRule="auto"/>
                          <w:ind w:firstLine="142"/>
                          <w:jc w:val="left"/>
                          <w:rPr>
                            <w:b/>
                            <w:szCs w:val="24"/>
                          </w:rPr>
                        </w:pPr>
                        <w:r>
                          <w:rPr>
                            <w:b/>
                            <w:szCs w:val="24"/>
                          </w:rPr>
                          <w:t xml:space="preserve">Language Classroom </w:t>
                        </w:r>
                        <w:r w:rsidRPr="00FE473C">
                          <w:rPr>
                            <w:b/>
                            <w:szCs w:val="24"/>
                          </w:rPr>
                          <w:t>Anxiety</w:t>
                        </w:r>
                      </w:p>
                      <w:p w14:paraId="5FB26577" w14:textId="77777777" w:rsidR="00532539" w:rsidRPr="00FE473C" w:rsidRDefault="00532539" w:rsidP="00B22E62">
                        <w:pPr>
                          <w:spacing w:line="240" w:lineRule="auto"/>
                          <w:ind w:firstLine="142"/>
                          <w:jc w:val="left"/>
                          <w:rPr>
                            <w:szCs w:val="24"/>
                          </w:rPr>
                        </w:pPr>
                        <w:r w:rsidRPr="00FE473C">
                          <w:rPr>
                            <w:szCs w:val="24"/>
                          </w:rPr>
                          <w:t>1. Communication Apprehension</w:t>
                        </w:r>
                      </w:p>
                      <w:p w14:paraId="59EB7233" w14:textId="77777777" w:rsidR="00532539" w:rsidRPr="00FE473C" w:rsidRDefault="00532539" w:rsidP="00B22E62">
                        <w:pPr>
                          <w:spacing w:line="240" w:lineRule="auto"/>
                          <w:ind w:firstLine="142"/>
                          <w:jc w:val="left"/>
                          <w:rPr>
                            <w:szCs w:val="24"/>
                          </w:rPr>
                        </w:pPr>
                        <w:r w:rsidRPr="00FE473C">
                          <w:rPr>
                            <w:szCs w:val="24"/>
                          </w:rPr>
                          <w:t>2. Test Anxiety</w:t>
                        </w:r>
                      </w:p>
                      <w:p w14:paraId="388904EA" w14:textId="77777777" w:rsidR="00532539" w:rsidRPr="00FE473C" w:rsidRDefault="00532539" w:rsidP="00B22E62">
                        <w:pPr>
                          <w:spacing w:line="240" w:lineRule="auto"/>
                          <w:ind w:firstLine="142"/>
                          <w:jc w:val="left"/>
                          <w:rPr>
                            <w:szCs w:val="24"/>
                          </w:rPr>
                        </w:pPr>
                        <w:r w:rsidRPr="00FE473C">
                          <w:rPr>
                            <w:szCs w:val="24"/>
                          </w:rPr>
                          <w:t>3. Fear of Negative Evaluation</w:t>
                        </w:r>
                      </w:p>
                    </w:txbxContent>
                  </v:textbox>
                </v:shape>
                <v:shape id="Text Box 6" o:spid="_x0000_s1032" type="#_x0000_t202" style="position:absolute;top:23241;width:25527;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" fillcolor="white [3201]" strokeweight=".5pt">
                  <v:textbox>
                    <w:txbxContent>
                      <w:p w14:paraId="1FCDFD06" w14:textId="77777777" w:rsidR="00532539" w:rsidRPr="00FE473C" w:rsidRDefault="00532539" w:rsidP="00532539">
                        <w:pPr>
                          <w:jc w:val="center"/>
                          <w:rPr>
                            <w:b/>
                            <w:szCs w:val="24"/>
                          </w:rPr>
                        </w:pPr>
                        <w:r w:rsidRPr="00FE473C">
                          <w:rPr>
                            <w:b/>
                            <w:szCs w:val="24"/>
                          </w:rPr>
                          <w:t>INDEPENDENT VARIABLE</w:t>
                        </w:r>
                      </w:p>
                    </w:txbxContent>
                  </v:textbox>
                </v:shape>
                <v:shape id="Text Box 7" o:spid="_x0000_s1033" type="#_x0000_t202" style="position:absolute;left:33242;top:23241;width:26194;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" fillcolor="white [3201]" strokeweight=".5pt">
                  <v:textbox>
                    <w:txbxContent>
                      <w:p w14:paraId="45BE1CC5" w14:textId="77777777" w:rsidR="00532539" w:rsidRPr="00FE473C" w:rsidRDefault="00532539" w:rsidP="00532539">
                        <w:pPr>
                          <w:jc w:val="center"/>
                          <w:rPr>
                            <w:b/>
                            <w:szCs w:val="24"/>
                          </w:rPr>
                        </w:pPr>
                        <w:r w:rsidRPr="00FE473C">
                          <w:rPr>
                            <w:b/>
                            <w:szCs w:val="24"/>
                          </w:rPr>
                          <w:t>DEPENDENT VARIABLE</w:t>
                        </w:r>
                      </w:p>
                    </w:txbxContent>
                  </v:textbox>
                </v:shape>
                <v:shape id="Text Box 8" o:spid="_x0000_s1034" type="#_x0000_t202" style="position:absolute;left:16954;width:24670;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" fillcolor="white [3201]" strokeweight=".5pt">
                  <v:textbox>
                    <w:txbxContent>
                      <w:p w14:paraId="434EB4AE" w14:textId="77777777" w:rsidR="00532539" w:rsidRPr="006A628C" w:rsidRDefault="00532539" w:rsidP="00532539">
                        <w:pPr>
                          <w:jc w:val="center"/>
                          <w:rPr>
                            <w:b/>
                            <w:szCs w:val="24"/>
                          </w:rPr>
                        </w:pPr>
                        <w:r w:rsidRPr="006A628C">
                          <w:rPr>
                            <w:b/>
                            <w:szCs w:val="24"/>
                          </w:rPr>
                          <w:t>MEDIATING VARIABLE</w:t>
                        </w:r>
                      </w:p>
                    </w:txbxContent>
                  </v:textbox>
                </v:shape>
                <v:shapetype id="_x0000_t32" coordsize="21600,21600" o:spt="32" o:oned="t" path="m,l21600,21600e" filled="f">
                  <v:path arrowok="t" fillok="f" o:connecttype="none"/>
                  <o:lock v:ext="edit" shapetype="t"/>
                </v:shapetype>
                <v:shape id="Straight Arrow Connector 9" o:spid="_x0000_s1035" type="#_x0000_t32" style="position:absolute;left:10191;top:14192;width:6763;height:8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" strokecolor="black [3200]" strokeweight="1.5pt">
                  <v:stroke endarrow="block" joinstyle="miter"/>
                </v:shape>
                <v:shape id="Straight Arrow Connector 10" o:spid="_x0000_s1036" type="#_x0000_t32" style="position:absolute;left:41624;top:14192;width:6858;height:8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" strokecolor="black [3200]" strokeweight="1.5pt">
                  <v:stroke endarrow="block" joinstyle="miter"/>
                </v:shape>
                <v:shape id="Straight Arrow Connector 11" o:spid="_x0000_s1037" type="#_x0000_t32" style="position:absolute;left:26193;top:34766;width:6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" strokecolor="black [3200]" strokeweight="1.5pt">
                  <v:stroke endarrow="block" joinstyle="miter"/>
                </v:shape>
                <w10:wrap type="square" anchorx="margin" anchory="margin"/>
              </v:group>
            </w:pict>
          </mc:Fallback>
        </mc:AlternateContent>
      </w:r>
    </w:p>
    <w:p w14:paraId="3318706D"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study aims to determine the significance of students' academic goal orientation as a mediator in the relationship between language learning strategies and language classroom anxiety. More specifically, this sought to realize the following objectives: To determine the level of language classroom anxiety, language learning strategies, and students’ academic goal orientation. To determine the significant relationships among </w:t>
      </w:r>
      <w:r w:rsidRPr="0001149D">
        <w:rPr>
          <w:rFonts w:ascii="Times New Roman" w:hAnsi="Times New Roman" w:cs="Times New Roman"/>
          <w:szCs w:val="24"/>
        </w:rPr>
        <w:lastRenderedPageBreak/>
        <w:t>students’ academic goal orientation, language learning strategies, and language anxiety. To determine the significance of students’ academic goal orientation as a mediator in the relationship between language learning strategies and language anxiety. Also, the hypotheses that there is no significant relationship between language classroom anxiety, students' academic goal orientation, and language learning strategies, and that students' academic goal orientation has no significant mediating effect on the relationship between language classroom anxiety and learning strategies and language anxiety will be tested at the 0.05 significance level.</w:t>
      </w:r>
    </w:p>
    <w:p w14:paraId="4B9DDC70" w14:textId="77777777" w:rsidR="00532539" w:rsidRPr="0001149D" w:rsidRDefault="00532539" w:rsidP="00532539">
      <w:pPr>
        <w:spacing w:line="240" w:lineRule="auto"/>
        <w:ind w:right="107"/>
        <w:rPr>
          <w:rFonts w:ascii="Times New Roman" w:hAnsi="Times New Roman" w:cs="Times New Roman"/>
          <w:szCs w:val="24"/>
        </w:rPr>
      </w:pPr>
      <w:r w:rsidRPr="0001149D">
        <w:rPr>
          <w:rFonts w:ascii="Times New Roman" w:hAnsi="Times New Roman" w:cs="Times New Roman"/>
          <w:szCs w:val="24"/>
        </w:rPr>
        <w:t>This study will be beneficial to growing language learning researchers by examining how the students’ academic goal orientation mediates the relationship between language learning strategies and language classroom anxiety. In this more integrated global society, it is crucial to understand the psychological and strategic factors that shape language-learning outcomes. This study offers a critical viewpoint that can inform instructional practices grounded in evidence and implemented across diverse educational contexts. In addition, this study contributes to achieving the United Nations Sustainable Development Goals, particularly in quality education (SDG 4) and good health and well-being (SDG 3).</w:t>
      </w:r>
    </w:p>
    <w:p w14:paraId="021EA289" w14:textId="77777777" w:rsidR="00532539" w:rsidRPr="0001149D" w:rsidRDefault="00532539" w:rsidP="00532539">
      <w:pPr>
        <w:spacing w:line="240" w:lineRule="auto"/>
        <w:ind w:right="107"/>
        <w:rPr>
          <w:rFonts w:ascii="Times New Roman" w:hAnsi="Times New Roman" w:cs="Times New Roman"/>
          <w:szCs w:val="24"/>
        </w:rPr>
      </w:pPr>
      <w:r w:rsidRPr="0001149D">
        <w:rPr>
          <w:rFonts w:ascii="Times New Roman" w:hAnsi="Times New Roman" w:cs="Times New Roman"/>
          <w:szCs w:val="24"/>
        </w:rPr>
        <w:t>This study promotes emotional well-being and adaptive learning strategies by emphasizing ways to reduce language classroom anxiety. Moreover, this study includes students, teachers, school administrators, and curriculum developers. Students will better understand themselves and the relationship between their actions, attitudes, and beliefs that they can influence and their achievement in learning a language. On a micro-scale, this study shall benefit relevant institutions, namely educational stakeholders, experienced teachers, new teachers, coaches, and coordinators, by developing strategies to reduce students' anxiety in language learning and maximize students' English performance. The study would also be helpful to other researchers by supplementing the existing literature on the same study area and providing a rich ground for further research to address the gaps left by this study.</w:t>
      </w:r>
    </w:p>
    <w:p w14:paraId="57C81A50" w14:textId="77777777" w:rsidR="00532539" w:rsidRPr="0001149D" w:rsidRDefault="00532539" w:rsidP="00532539">
      <w:pPr>
        <w:spacing w:line="240" w:lineRule="auto"/>
        <w:ind w:right="107"/>
        <w:jc w:val="center"/>
        <w:rPr>
          <w:rFonts w:ascii="Times New Roman" w:hAnsi="Times New Roman" w:cs="Times New Roman"/>
          <w:b/>
          <w:szCs w:val="24"/>
        </w:rPr>
      </w:pPr>
    </w:p>
    <w:p w14:paraId="6C4E202F" w14:textId="1E5814B5" w:rsidR="00532539" w:rsidRPr="0001149D" w:rsidRDefault="005C65BF" w:rsidP="00532539">
      <w:pPr>
        <w:spacing w:line="240" w:lineRule="auto"/>
        <w:ind w:right="107"/>
        <w:jc w:val="center"/>
        <w:rPr>
          <w:rFonts w:ascii="Times New Roman" w:hAnsi="Times New Roman" w:cs="Times New Roman"/>
          <w:b/>
          <w:szCs w:val="24"/>
        </w:rPr>
      </w:pPr>
      <w:r w:rsidRPr="0001149D">
        <w:rPr>
          <w:rFonts w:ascii="Times New Roman" w:hAnsi="Times New Roman" w:cs="Times New Roman"/>
          <w:b/>
          <w:szCs w:val="24"/>
        </w:rPr>
        <w:t xml:space="preserve">II. </w:t>
      </w:r>
      <w:r w:rsidR="00532539" w:rsidRPr="0001149D">
        <w:rPr>
          <w:rFonts w:ascii="Times New Roman" w:hAnsi="Times New Roman" w:cs="Times New Roman"/>
          <w:b/>
          <w:szCs w:val="24"/>
        </w:rPr>
        <w:t>METHOD</w:t>
      </w:r>
    </w:p>
    <w:p w14:paraId="7DFC3973" w14:textId="77777777" w:rsidR="00532539" w:rsidRPr="0001149D" w:rsidRDefault="00532539" w:rsidP="00532539">
      <w:pPr>
        <w:spacing w:line="240" w:lineRule="auto"/>
        <w:ind w:right="107"/>
        <w:jc w:val="center"/>
        <w:rPr>
          <w:rFonts w:ascii="Times New Roman" w:hAnsi="Times New Roman" w:cs="Times New Roman"/>
          <w:b/>
          <w:szCs w:val="24"/>
        </w:rPr>
      </w:pPr>
    </w:p>
    <w:p w14:paraId="7A9B3F7A" w14:textId="77777777" w:rsidR="00597A24"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section describes the study's methods, including the research respondents, materials and instruments, the design and procedures used to measure the constructs of interest, data collection procedures, statistical tools, and ethical considerations.</w:t>
      </w:r>
    </w:p>
    <w:p w14:paraId="48B3DFBC" w14:textId="77777777" w:rsidR="00597A24" w:rsidRPr="0001149D" w:rsidRDefault="00597A24" w:rsidP="00532539">
      <w:pPr>
        <w:spacing w:before="20" w:after="20" w:line="240" w:lineRule="auto"/>
        <w:ind w:right="107"/>
        <w:rPr>
          <w:rFonts w:ascii="Times New Roman" w:hAnsi="Times New Roman" w:cs="Times New Roman"/>
          <w:b/>
          <w:szCs w:val="24"/>
        </w:rPr>
      </w:pPr>
    </w:p>
    <w:p w14:paraId="1A723A7B" w14:textId="61BA71FD" w:rsidR="00532539" w:rsidRPr="0001149D" w:rsidRDefault="00532539" w:rsidP="00597A24">
      <w:pPr>
        <w:spacing w:before="20" w:after="20" w:line="240" w:lineRule="auto"/>
        <w:ind w:right="107" w:firstLine="0"/>
        <w:rPr>
          <w:rFonts w:ascii="Times New Roman" w:hAnsi="Times New Roman" w:cs="Times New Roman"/>
          <w:szCs w:val="24"/>
        </w:rPr>
      </w:pPr>
      <w:r w:rsidRPr="0001149D">
        <w:rPr>
          <w:rFonts w:ascii="Times New Roman" w:hAnsi="Times New Roman" w:cs="Times New Roman"/>
          <w:b/>
          <w:szCs w:val="24"/>
        </w:rPr>
        <w:t>Research Respondents</w:t>
      </w:r>
    </w:p>
    <w:p w14:paraId="2B3A4ADD" w14:textId="46FFF962"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study included a total of 335 Grade 12 senior high school students, all aged 18 years and above, from Panabo City, Davao del Norte, specifically drawn from four selected institutions in the area. Except for the Grade 11 students, Grade 12 students younger than 18 years old, and students enrolled in schools outside the city proper or in institutions not among the four selected schools. Respondents were free to withdraw from the study at any time without penalty, provided the research had not yet been finalized. Given the situation, the participant may withdraw if they feel threatened or uncomfortable responding to the survey.</w:t>
      </w:r>
    </w:p>
    <w:p w14:paraId="650EF5BF" w14:textId="77777777" w:rsidR="00597A24" w:rsidRPr="0001149D" w:rsidRDefault="00597A24" w:rsidP="00532539">
      <w:pPr>
        <w:spacing w:before="20" w:after="20" w:line="240" w:lineRule="auto"/>
        <w:ind w:right="107"/>
        <w:rPr>
          <w:rFonts w:ascii="Times New Roman" w:hAnsi="Times New Roman" w:cs="Times New Roman"/>
          <w:szCs w:val="24"/>
        </w:rPr>
      </w:pPr>
    </w:p>
    <w:p w14:paraId="7656D361" w14:textId="126AED13" w:rsidR="00532539" w:rsidRPr="0001149D" w:rsidRDefault="00532539" w:rsidP="00597A24">
      <w:pPr>
        <w:spacing w:before="20" w:after="20" w:line="240" w:lineRule="auto"/>
        <w:ind w:right="107" w:firstLine="0"/>
        <w:rPr>
          <w:rFonts w:ascii="Times New Roman" w:hAnsi="Times New Roman" w:cs="Times New Roman"/>
          <w:b/>
          <w:szCs w:val="24"/>
        </w:rPr>
      </w:pPr>
      <w:r w:rsidRPr="0001149D">
        <w:rPr>
          <w:rFonts w:ascii="Times New Roman" w:hAnsi="Times New Roman" w:cs="Times New Roman"/>
          <w:b/>
          <w:szCs w:val="24"/>
        </w:rPr>
        <w:t>Materials and Instruments</w:t>
      </w:r>
    </w:p>
    <w:p w14:paraId="7BF81AEF"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Three sets of survey questionnaires were used to obtain data from the respondents, adopted from previous studies. The survey questionnaires underwent content validity and </w:t>
      </w:r>
      <w:r w:rsidRPr="0001149D">
        <w:rPr>
          <w:rFonts w:ascii="Times New Roman" w:hAnsi="Times New Roman" w:cs="Times New Roman"/>
          <w:szCs w:val="24"/>
        </w:rPr>
        <w:lastRenderedPageBreak/>
        <w:t>reliability analyses to ensure accurate measurement. The reliability results showed that Language Learning Strategies had a Cronbach's alpha of 0.92, Students’ Academic Goal Orientation had a Cronbach's alpha of 0.87, and Language Classroom Anxiety had a Cronbach's alpha of 0.94, indicating acceptable reliability levels. Additionally, the survey instruments were validated by internal and external validators with specialization in social research and statistics expertise.</w:t>
      </w:r>
    </w:p>
    <w:p w14:paraId="782E35D6"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language-learning strategies were adopted from Sie's (2021) research. This tool measured the learner's English learning strategies. The questionnaire is a 5-point Likert Scale from strongly disagree (1), disagree (2), average (3), agree (4), and strongly agree (5), and had two subscales, namely, Direct and Indirect strategies.</w:t>
      </w:r>
    </w:p>
    <w:p w14:paraId="1FD44C0E" w14:textId="09F695BA"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language classroom anxiety questionnaire was adopted from the study of Marnani and Cuocci (2022). The Second Language Classroom Anxiety Scale (SLCAS) is a 5-point Likert scale that measures anxiety by summing the scores of 33 items. SLCAS ranged from 33 to 132 points, and highly anxious learners typically scored higher on this questionnaire (Wang and Liu). These items were graded on a modified five-point Likert scale: (1) strongly disagree, (2) disagree, (3) undecided, (4) agree, and (5) strongly agree.</w:t>
      </w:r>
    </w:p>
    <w:p w14:paraId="2E766B8F" w14:textId="53DAC54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student's goal orientation was adopted from the study of Manrique-Abril F. et al. (2020). The Academic Goals Orientation Questionnaire was used in the study. It has 16 items that raise questions about what guides student learning. The respondents marked the answer that best described their situation with a Likert scale of five levels (1 = in total disagreement; 5 = in total agreement). The items were organized in four dimensions, according to the types of academic goal orientation: (i) Learning or task goal, (ii) Ego self-enhancement goal, (iii) Ego self-frustration goal, and (iv) Work avoidance goal. </w:t>
      </w:r>
    </w:p>
    <w:p w14:paraId="100928D1" w14:textId="0ACF244A" w:rsidR="00532539" w:rsidRPr="0001149D" w:rsidRDefault="00532539" w:rsidP="00532539">
      <w:pPr>
        <w:spacing w:before="20" w:after="20" w:line="240" w:lineRule="auto"/>
        <w:ind w:right="107"/>
        <w:rPr>
          <w:rFonts w:ascii="Times New Roman" w:hAnsi="Times New Roman" w:cs="Times New Roman"/>
          <w:szCs w:val="24"/>
        </w:rPr>
      </w:pPr>
      <w:bookmarkStart w:id="6" w:name="_Hlk200621551"/>
      <w:r w:rsidRPr="0001149D">
        <w:rPr>
          <w:rFonts w:ascii="Times New Roman" w:hAnsi="Times New Roman" w:cs="Times New Roman"/>
          <w:szCs w:val="24"/>
        </w:rPr>
        <w:t>The following scales were used to evaluate the level of language learning strategies and students’ academic goal orientation. Across the range of means, the descriptive levels offered valuable insights into interpreting the data. A range of 4.20 to 5.00 indicated a Very High level, implying that the items associated with language learning strategies and students’ academic goal orientation were consistently put into practice. In the range of 3.40 to 4.19, a High descriptive level suggested that the items concerning language learning strategies and students’ academic goal orientation were frequently practiced. A Moderate level within the 2.60 to 3.39 range indicates that the items related to language learning strategies and students’ academic goal orientation were occasionally implemented. Falling within the range of 1.80 to 2.59 indicated a Low descriptive level, suggesting that the items associated with language learning strategies and students’ academic goal orientation were rarely practiced. Lastly, in the range of 1.00 to 1.79, a Very Low descriptive level conveyed that the items about language learning strategies and students’ academic goal orientation were never put into practice. These ranges and their corresponding descriptive levels provided a comprehensive framework for understanding the extent to which language learning strategies and students’ academic goal orientation were employed, based on the data.</w:t>
      </w:r>
    </w:p>
    <w:bookmarkEnd w:id="6"/>
    <w:p w14:paraId="4A6F8190" w14:textId="47AFE926"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determining the level of language classroom anxiety, the provided outlines the range of means, descriptive levels, and their corresponding interpretations concerning the manifestation of language classroom anxiety. In the range of 4.20 to 5.00, the descriptive level is categorized as Very High, indicating that items associated with language anxiety were consistently and always evident. Within the range of 3.40 to 4.19, the descriptive level becomes High, indicating that items related to language classroom anxiety were frequently observed. As the mean falls within the range of 2.60 to 3.39, the descriptive level was </w:t>
      </w:r>
      <w:r w:rsidRPr="0001149D">
        <w:rPr>
          <w:rFonts w:ascii="Times New Roman" w:hAnsi="Times New Roman" w:cs="Times New Roman"/>
          <w:szCs w:val="24"/>
        </w:rPr>
        <w:lastRenderedPageBreak/>
        <w:t>labeled as Moderate, suggesting that items concerning language anxiety were sometimes evident. Within the range of 1.80 to 2.59, the descriptive level was identified as Low, indicating that items related to language anxiety were rarely manifested. Finally, for means ranging from 1.00 to 1.79, the descriptive level was denoted as Very Low, indicating that items associated with language classroom anxiety were never manifested. This framework helped determine the extent of language classroom anxiety based on the provided data, offering valuable insights into its prevalence.</w:t>
      </w:r>
    </w:p>
    <w:p w14:paraId="3D5900F1" w14:textId="4AD299FF" w:rsidR="00597A24"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To ensure a comprehensive interpretation and analysis of the data, a range of statistical tools had been employed. The mean serves as a measure of language learning strategies, language classroom anxiety, and students' academic goal orientation. The Pearson Product-Moment Correlation has been used to examine the relationships among language learning strategies, language classroom anxiety, and students' goal orientation. Additionally, the methodology involves applying Multiple Regression Analysis, which enables the measurement of the influence of language classroom anxiety on language learning strategies among senior high school students. To assess the mediating effect of students' goal orientation on the relationship between language learning strategies and language classroom anxiety, the Medgraph technique incorporating the Sobel z-test was employed. This comprehensive suite of statistical tools enhanced the depth and insight of the analysis, facilitating a more thorough understanding of the complex interplay among language learning strategies, language classroom anxiety, and students' goal orientation.</w:t>
      </w:r>
    </w:p>
    <w:p w14:paraId="0C6AA016" w14:textId="77777777" w:rsidR="00597A24" w:rsidRPr="0001149D" w:rsidRDefault="00597A24" w:rsidP="00532539">
      <w:pPr>
        <w:spacing w:before="20" w:after="20" w:line="240" w:lineRule="auto"/>
        <w:ind w:right="107"/>
        <w:rPr>
          <w:rFonts w:ascii="Times New Roman" w:hAnsi="Times New Roman" w:cs="Times New Roman"/>
          <w:szCs w:val="24"/>
        </w:rPr>
      </w:pPr>
    </w:p>
    <w:p w14:paraId="16334306" w14:textId="13159099" w:rsidR="00532539" w:rsidRPr="0001149D" w:rsidRDefault="00532539" w:rsidP="00597A24">
      <w:pPr>
        <w:spacing w:before="20" w:after="20" w:line="240" w:lineRule="auto"/>
        <w:ind w:right="107" w:firstLine="0"/>
        <w:rPr>
          <w:rFonts w:ascii="Times New Roman" w:hAnsi="Times New Roman" w:cs="Times New Roman"/>
          <w:szCs w:val="24"/>
        </w:rPr>
      </w:pPr>
      <w:r w:rsidRPr="0001149D">
        <w:rPr>
          <w:rFonts w:ascii="Times New Roman" w:hAnsi="Times New Roman" w:cs="Times New Roman"/>
          <w:b/>
          <w:szCs w:val="24"/>
        </w:rPr>
        <w:t>Design and Procedure</w:t>
      </w:r>
    </w:p>
    <w:p w14:paraId="479EF69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study used a quantitative, non-experimental correlational design, which utilized correlational statistics to define and assess the degree of association (or relationship) between two or more variables or sets of scores (Stuart 17). Furthermore, mediation analysis that stands between the independent and dependent variables mediates the effects of the independent variable on the dependent variable (Liew, Bernard X., et al. 1). According to Ward (1), stratified random sampling narrows the difference between different types of individuals through classification, is conducive to extracting representative samples, and reduces the sample size, and it has relatively remarkable advantages. The study examined students’ goal orientation, language learning strategies, and language classroom anxiety. The mediating effect of students’ goal orientation on the relationship between language learning strategies and language classroom anxiety was also investigated.</w:t>
      </w:r>
    </w:p>
    <w:p w14:paraId="3866447D" w14:textId="718C144D"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researcher also took the following steps in data collection: First, she presented the concept to her adviser before drafting the survey instruments. Second, the survey instruments were validated by the internal and external validators. Third, after the survey instruments were validated, the researcher conducted the pilot test of the reliability index on the scheduled date at the University of Mindanao Panabo College, with the school’s approval. Fourth, the accomplished survey instruments were submitted to the statistician at the University of Mindanao for reliability testing. Fifth, after completing the validation and reliability testing for the survey instruments, the researcher submitted her manuscript to the Ethics Review Committee (ERC) for review. </w:t>
      </w:r>
    </w:p>
    <w:p w14:paraId="465E3624" w14:textId="25F3C389"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the sixth step, a letter was attached to the endorsements and then submitted to the different schools. As soon as individual permission was granted, a schedule was made for the distribution and retrieval of the survey forms. However, as the academic year was nearing its end, the researcher shifted to an online survey. Seventh, the researcher provided clear </w:t>
      </w:r>
      <w:r w:rsidRPr="0001149D">
        <w:rPr>
          <w:rFonts w:ascii="Times New Roman" w:hAnsi="Times New Roman" w:cs="Times New Roman"/>
          <w:szCs w:val="24"/>
        </w:rPr>
        <w:lastRenderedPageBreak/>
        <w:t>instructions to the participants on how to administer the survey instruments. The instructions specified that the survey would be conducted during break times, "toolbox" meetings, and other group activities to maximize time and effectively explain each questionnaire item. Eighth, the researcher collected the questionnaires via Google Forms. After retrieval, the data were screened, encoded, tabulated, and analyzed.</w:t>
      </w:r>
    </w:p>
    <w:p w14:paraId="274FEEE7" w14:textId="13A13876"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research was meticulously executed in strict adherence to the ethical protocols and standards established by the University of Mindanao Ethics Committee. The researcher obtained the requisite permissions from key officials, ensuring compliance with all necessary procedures. Thorough risk analysis and mitigation measures were implemented, covering physical, psychological, and socio-economic aspects. Informed consent was diligently acquired from the study participants, ensuring their interests were fully protected. The researcher prioritized the respondents' views, decisions, and well-being, valuing their contribution to the study. Respecting the principles of voluntary participation, senior high school students of Panabo City were given the freedom to respond to the questionnaire without facing penalties or losses. Privacy and confidentiality were paramount; the researcher ensured that personal information remained confidential and was handled with the utmost discretion. The researcher was unwavering in upholding ethical considerations, guaranteeing respect for participants' opinions and safeguarding the integrity of their data.</w:t>
      </w:r>
    </w:p>
    <w:p w14:paraId="408CD601" w14:textId="79FCFF0D" w:rsidR="00532539" w:rsidRPr="0001149D" w:rsidRDefault="00597A24"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w:t>
      </w:r>
      <w:r w:rsidR="00532539" w:rsidRPr="0001149D">
        <w:rPr>
          <w:rFonts w:ascii="Times New Roman" w:hAnsi="Times New Roman" w:cs="Times New Roman"/>
          <w:szCs w:val="24"/>
        </w:rPr>
        <w:t xml:space="preserve">he informed consent process was transparent, emphasizing the study's benefits for both participants and the school. Recruitment procedures were clarified, inclusion and exclusion criteria were outlined, and the data collection process was detailed. The research posed minimal risks to participants, and potential benefits included improved teaching methodologies, enhanced student perspectives on the English language, and valuable insights for curriculum administrators. Stringent measures were taken to prevent plagiarism, fabrication, and falsification, ensuring the authenticity and accuracy of the data. Conflicts of interest were avoided, and there was no trace of deceit or potential harm to participants. </w:t>
      </w:r>
    </w:p>
    <w:p w14:paraId="75FAC624" w14:textId="79D190AD"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addition, the researcher affirmed that there were no personal, financial, or professional relationships that may have compromised the integrity and objectivity of this study. Although the researcher is affiliated with the same academic institution as some of the potential respondents, no direct teacher-student relationship exists with any of the respondents involved in the data collection.</w:t>
      </w:r>
    </w:p>
    <w:p w14:paraId="309054DB" w14:textId="77A83FE5"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To ensure impartiality, participation was entirely voluntary, and recruitment was conducted transparently and neutrally. The researcher refrained from any form of influence or pressure during the consent and data-collection processes. Furthermore, all responses were collected anonymously through Google Forms to safeguard participant confidentiality and maintain unbiased analysis. Data interpretation and reporting were based solely on the information provided by the participants and followed ethical research standards.</w:t>
      </w:r>
    </w:p>
    <w:p w14:paraId="2C14201D" w14:textId="0CA8288F"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study then proceeded after obtaining formal permission from the relevant school authorities. The researcher, in collaboration with the research adviser, adheres to authorship qualifications, ensuring meaningful contributions to the study's conception, design, data acquisition, analysis, and interpretation. Both parties collaborated on drafting and critically revising the article, underscoring the joint effort that led to the publication of the research. This comprehensive ethical approach underscores the integrity and validity of the study's findings. </w:t>
      </w:r>
    </w:p>
    <w:p w14:paraId="1B20C81D" w14:textId="2A28ACE0" w:rsidR="00532539" w:rsidRPr="0001149D" w:rsidRDefault="00532539" w:rsidP="00532539">
      <w:pPr>
        <w:spacing w:before="20" w:after="20" w:line="240" w:lineRule="auto"/>
        <w:ind w:right="107"/>
        <w:rPr>
          <w:rFonts w:ascii="Times New Roman" w:eastAsia="Times New Roman" w:hAnsi="Times New Roman" w:cs="Times New Roman"/>
          <w:szCs w:val="24"/>
        </w:rPr>
      </w:pPr>
      <w:r w:rsidRPr="0001149D">
        <w:rPr>
          <w:rFonts w:ascii="Times New Roman" w:eastAsia="Times New Roman" w:hAnsi="Times New Roman" w:cs="Times New Roman"/>
          <w:szCs w:val="24"/>
        </w:rPr>
        <w:t xml:space="preserve">The study strictly adhered to ethical standards and protocols approved by the Ethics Committee (UMERC2025-127). Permissions and endorsements were obtained from the </w:t>
      </w:r>
      <w:r w:rsidRPr="0001149D">
        <w:rPr>
          <w:rFonts w:ascii="Times New Roman" w:eastAsia="Times New Roman" w:hAnsi="Times New Roman" w:cs="Times New Roman"/>
          <w:szCs w:val="24"/>
        </w:rPr>
        <w:lastRenderedPageBreak/>
        <w:t>school authorities prior to conducting the research. Respondents' participation was voluntary and limited to Grade 12 learners aged 18 and above from selected institutions. Eligibility to participate was confirmed through an age verification item in the Google Form. A clear consent process was implemented, including a written explanation and a pre-recorded video outlining the study’s purpose , procedures, risks, benefits, and respondents' rights. Only those who provided consent were allowed to proceed. Recruitment followed a fair and unbiased procedure through school-approved channels, and respondents' rights to withdraw or skip questions were emphasized. The research posed no physical or socio-economic risks, with only minimal psychological discomfort possible, and support measures were made available to ensure respondents’ well-being.</w:t>
      </w:r>
    </w:p>
    <w:p w14:paraId="53A9B043" w14:textId="757CC651" w:rsidR="00532539" w:rsidRPr="0001149D" w:rsidRDefault="00532539" w:rsidP="00532539">
      <w:pPr>
        <w:spacing w:before="20" w:after="20" w:line="240" w:lineRule="auto"/>
        <w:ind w:right="107"/>
        <w:rPr>
          <w:rFonts w:ascii="Times New Roman" w:eastAsia="Times New Roman" w:hAnsi="Times New Roman" w:cs="Times New Roman"/>
          <w:szCs w:val="24"/>
        </w:rPr>
      </w:pPr>
      <w:r w:rsidRPr="0001149D">
        <w:rPr>
          <w:rFonts w:ascii="Times New Roman" w:eastAsia="Times New Roman" w:hAnsi="Times New Roman" w:cs="Times New Roman"/>
          <w:szCs w:val="24"/>
        </w:rPr>
        <w:t>Confidentiality and data privacy were strictly maintained, with all personal information securely stored and accessible only to the researcher, in compliance with the Data Privacy Act of 2012. After the data analysis, all questionnaires were properly disposed of. The researcher upheld integrity by avoiding plagiarism, fabrication, and falsification, ensuring accurate citation (MLA 8th edition) and the use of authentic first-hand data. There was no conflict of interest or deceit, and all procedures were communicated transparently to the respondents. The study was implemented with formal approval from the participating schools, and data collection via Google Forms ensured secure, independent responses. Authorship standards were also observed, with the researcher and adviser collaboratively contributing to the study’s design, analysis, and manuscript preparation.</w:t>
      </w:r>
    </w:p>
    <w:p w14:paraId="2FDBEF3B" w14:textId="77777777" w:rsidR="00532539" w:rsidRPr="0001149D" w:rsidRDefault="00532539" w:rsidP="00532539">
      <w:pPr>
        <w:spacing w:before="20" w:after="20" w:line="240" w:lineRule="auto"/>
        <w:ind w:right="107"/>
        <w:rPr>
          <w:rFonts w:ascii="Times New Roman" w:eastAsia="Times New Roman" w:hAnsi="Times New Roman" w:cs="Times New Roman"/>
          <w:szCs w:val="24"/>
        </w:rPr>
      </w:pPr>
    </w:p>
    <w:p w14:paraId="23756BB3" w14:textId="7E9BE129" w:rsidR="00532539" w:rsidRPr="0001149D" w:rsidRDefault="005C65BF" w:rsidP="00532539">
      <w:pPr>
        <w:spacing w:line="240" w:lineRule="auto"/>
        <w:ind w:right="107"/>
        <w:jc w:val="center"/>
        <w:rPr>
          <w:rFonts w:ascii="Times New Roman" w:hAnsi="Times New Roman" w:cs="Times New Roman"/>
          <w:b/>
          <w:szCs w:val="24"/>
        </w:rPr>
      </w:pPr>
      <w:r w:rsidRPr="0001149D">
        <w:rPr>
          <w:rFonts w:ascii="Times New Roman" w:hAnsi="Times New Roman" w:cs="Times New Roman"/>
          <w:b/>
          <w:szCs w:val="24"/>
        </w:rPr>
        <w:t xml:space="preserve">III. </w:t>
      </w:r>
      <w:r w:rsidR="00532539" w:rsidRPr="0001149D">
        <w:rPr>
          <w:rFonts w:ascii="Times New Roman" w:hAnsi="Times New Roman" w:cs="Times New Roman"/>
          <w:b/>
          <w:szCs w:val="24"/>
        </w:rPr>
        <w:t>RESULTS AND DISCUSSION</w:t>
      </w:r>
    </w:p>
    <w:p w14:paraId="33C369B3" w14:textId="77777777" w:rsidR="00532539" w:rsidRPr="0001149D" w:rsidRDefault="00532539" w:rsidP="00532539">
      <w:pPr>
        <w:spacing w:line="240" w:lineRule="auto"/>
        <w:ind w:right="107"/>
        <w:jc w:val="center"/>
        <w:rPr>
          <w:rFonts w:ascii="Times New Roman" w:hAnsi="Times New Roman" w:cs="Times New Roman"/>
          <w:b/>
          <w:szCs w:val="24"/>
        </w:rPr>
      </w:pPr>
    </w:p>
    <w:p w14:paraId="6ABABE75" w14:textId="341F246B"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data obtained from the respondents on language classroom anxiety were presented, analyzed, and interpreted in this section based on the research objectives previously stated. The order of discussions on the mentioned topic is as follows: level of language learning strategies; level of language classroom anxiety; and level of academic goal orientation; correlations between language learning strategies and language classroom anxiety; language learning strategies and academic goal orientation; academic goal orientation and language classroom anxiety; and mediation analysis results.</w:t>
      </w:r>
    </w:p>
    <w:p w14:paraId="07294A81" w14:textId="77777777" w:rsidR="00597A24" w:rsidRPr="0001149D" w:rsidRDefault="00597A24" w:rsidP="00532539">
      <w:pPr>
        <w:spacing w:before="20" w:after="20" w:line="240" w:lineRule="auto"/>
        <w:ind w:right="107"/>
        <w:rPr>
          <w:rFonts w:ascii="Times New Roman" w:hAnsi="Times New Roman" w:cs="Times New Roman"/>
          <w:szCs w:val="24"/>
        </w:rPr>
      </w:pPr>
    </w:p>
    <w:p w14:paraId="192984D2" w14:textId="77777777" w:rsidR="00532539" w:rsidRPr="0001149D" w:rsidRDefault="00532539" w:rsidP="00532539">
      <w:pPr>
        <w:spacing w:line="240" w:lineRule="auto"/>
        <w:ind w:left="1440" w:right="107" w:hanging="1440"/>
        <w:rPr>
          <w:rFonts w:ascii="Times New Roman" w:hAnsi="Times New Roman" w:cs="Times New Roman"/>
          <w:szCs w:val="24"/>
        </w:rPr>
      </w:pPr>
      <w:r w:rsidRPr="0001149D">
        <w:rPr>
          <w:rFonts w:ascii="Times New Roman" w:hAnsi="Times New Roman" w:cs="Times New Roman"/>
          <w:b/>
          <w:szCs w:val="24"/>
        </w:rPr>
        <w:t>Language Learning Strategies</w:t>
      </w:r>
      <w:r w:rsidRPr="0001149D">
        <w:rPr>
          <w:rFonts w:ascii="Times New Roman" w:hAnsi="Times New Roman" w:cs="Times New Roman"/>
          <w:szCs w:val="24"/>
        </w:rPr>
        <w:t xml:space="preserve"> </w:t>
      </w:r>
      <w:r w:rsidRPr="0001149D">
        <w:rPr>
          <w:rFonts w:ascii="Times New Roman" w:hAnsi="Times New Roman" w:cs="Times New Roman"/>
          <w:b/>
          <w:szCs w:val="24"/>
        </w:rPr>
        <w:t>Among</w:t>
      </w:r>
    </w:p>
    <w:p w14:paraId="68D9187F" w14:textId="36FA6D52" w:rsidR="00532539" w:rsidRPr="0001149D" w:rsidRDefault="00532539" w:rsidP="00532539">
      <w:pPr>
        <w:spacing w:line="240" w:lineRule="auto"/>
        <w:ind w:left="1440" w:right="107" w:hanging="1440"/>
        <w:rPr>
          <w:rFonts w:ascii="Times New Roman" w:hAnsi="Times New Roman" w:cs="Times New Roman"/>
          <w:b/>
          <w:szCs w:val="24"/>
        </w:rPr>
      </w:pPr>
      <w:r w:rsidRPr="0001149D">
        <w:rPr>
          <w:rFonts w:ascii="Times New Roman" w:hAnsi="Times New Roman" w:cs="Times New Roman"/>
          <w:b/>
          <w:szCs w:val="24"/>
        </w:rPr>
        <w:t xml:space="preserve">       Senior High School Grade 12 Students</w:t>
      </w:r>
    </w:p>
    <w:p w14:paraId="4040B79C" w14:textId="77777777" w:rsidR="00597A24" w:rsidRPr="0001149D" w:rsidRDefault="00597A24" w:rsidP="00532539">
      <w:pPr>
        <w:spacing w:line="240" w:lineRule="auto"/>
        <w:ind w:left="1440" w:right="107" w:hanging="1440"/>
        <w:rPr>
          <w:rFonts w:ascii="Times New Roman" w:hAnsi="Times New Roman" w:cs="Times New Roman"/>
          <w:b/>
          <w:szCs w:val="24"/>
        </w:rPr>
      </w:pPr>
    </w:p>
    <w:p w14:paraId="038DD796" w14:textId="77777777" w:rsidR="00597A24" w:rsidRPr="0001149D" w:rsidRDefault="00532539" w:rsidP="00597A24">
      <w:pPr>
        <w:spacing w:line="240" w:lineRule="auto"/>
        <w:ind w:left="709" w:right="107" w:hanging="1440"/>
        <w:rPr>
          <w:rFonts w:ascii="Times New Roman" w:hAnsi="Times New Roman" w:cs="Times New Roman"/>
          <w:szCs w:val="24"/>
        </w:rPr>
      </w:pPr>
      <w:r w:rsidRPr="0001149D">
        <w:rPr>
          <w:rFonts w:ascii="Times New Roman" w:hAnsi="Times New Roman" w:cs="Times New Roman"/>
          <w:szCs w:val="24"/>
        </w:rPr>
        <w:tab/>
        <w:t>Shown in Table 1, the descriptive statistics results in assessing the level of</w:t>
      </w:r>
      <w:bookmarkStart w:id="7" w:name="_Hlk66999809"/>
    </w:p>
    <w:p w14:paraId="3350125F" w14:textId="0A80A02F" w:rsidR="00532539" w:rsidRPr="0001149D" w:rsidRDefault="00532539" w:rsidP="00597A24">
      <w:pPr>
        <w:spacing w:line="240" w:lineRule="auto"/>
        <w:ind w:right="107" w:firstLine="0"/>
        <w:rPr>
          <w:rFonts w:ascii="Times New Roman" w:hAnsi="Times New Roman" w:cs="Times New Roman"/>
          <w:szCs w:val="24"/>
        </w:rPr>
      </w:pPr>
      <w:r w:rsidRPr="0001149D">
        <w:rPr>
          <w:rFonts w:ascii="Times New Roman" w:hAnsi="Times New Roman" w:cs="Times New Roman"/>
          <w:szCs w:val="24"/>
        </w:rPr>
        <w:t>language learning strategies, which have an overall mean of 3.84 (</w:t>
      </w:r>
      <w:r w:rsidRPr="0001149D">
        <w:rPr>
          <w:rFonts w:ascii="Times New Roman" w:hAnsi="Times New Roman" w:cs="Times New Roman"/>
          <w:i/>
          <w:szCs w:val="24"/>
        </w:rPr>
        <w:t>SD=0.95</w:t>
      </w:r>
      <w:r w:rsidRPr="0001149D">
        <w:rPr>
          <w:rFonts w:ascii="Times New Roman" w:hAnsi="Times New Roman" w:cs="Times New Roman"/>
          <w:szCs w:val="24"/>
        </w:rPr>
        <w:t xml:space="preserve">), described as high. Taken individually, the indicators of the level of language learning strategies of the participants were as follows: </w:t>
      </w:r>
      <w:r w:rsidRPr="0001149D">
        <w:rPr>
          <w:rFonts w:ascii="Times New Roman" w:hAnsi="Times New Roman" w:cs="Times New Roman"/>
          <w:i/>
          <w:szCs w:val="24"/>
        </w:rPr>
        <w:t>Memory</w:t>
      </w:r>
      <w:r w:rsidRPr="0001149D">
        <w:rPr>
          <w:rFonts w:ascii="Times New Roman" w:hAnsi="Times New Roman"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3.84, SD = 0.91</w:t>
      </w:r>
      <w:r w:rsidRPr="0001149D">
        <w:rPr>
          <w:rFonts w:ascii="Times New Roman" w:hAnsi="Times New Roman" w:cs="Times New Roman"/>
          <w:szCs w:val="24"/>
        </w:rPr>
        <w:t xml:space="preserve">), </w:t>
      </w:r>
      <w:r w:rsidRPr="0001149D">
        <w:rPr>
          <w:rFonts w:ascii="Times New Roman" w:hAnsi="Times New Roman" w:cs="Times New Roman"/>
          <w:i/>
          <w:szCs w:val="24"/>
        </w:rPr>
        <w:t xml:space="preserve">Cognitive </w:t>
      </w:r>
      <w:r w:rsidRPr="0001149D">
        <w:rPr>
          <w:rFonts w:ascii="Times New Roman" w:hAnsi="Times New Roman" w:cs="Times New Roman"/>
          <w:szCs w:val="24"/>
        </w:rPr>
        <w:t>(</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3.94, SD = 0.92</w:t>
      </w:r>
      <w:r w:rsidRPr="0001149D">
        <w:rPr>
          <w:rFonts w:ascii="Times New Roman" w:hAnsi="Times New Roman" w:cs="Times New Roman"/>
          <w:szCs w:val="24"/>
        </w:rPr>
        <w:t>),</w:t>
      </w:r>
      <w:r w:rsidRPr="0001149D">
        <w:rPr>
          <w:rFonts w:ascii="Times New Roman" w:hAnsi="Times New Roman" w:cs="Times New Roman"/>
          <w:i/>
          <w:szCs w:val="24"/>
        </w:rPr>
        <w:t xml:space="preserve"> Compensation</w:t>
      </w:r>
      <w:r w:rsidRPr="0001149D">
        <w:rPr>
          <w:rFonts w:ascii="Times New Roman" w:hAnsi="Times New Roman"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3.61, SD = 1.02</w:t>
      </w:r>
      <w:r w:rsidRPr="0001149D">
        <w:rPr>
          <w:rFonts w:ascii="Times New Roman" w:hAnsi="Times New Roman" w:cs="Times New Roman"/>
          <w:szCs w:val="24"/>
        </w:rPr>
        <w:t>),</w:t>
      </w:r>
      <w:r w:rsidRPr="0001149D">
        <w:rPr>
          <w:rFonts w:ascii="Times New Roman" w:hAnsi="Times New Roman" w:cs="Times New Roman"/>
          <w:i/>
          <w:szCs w:val="24"/>
        </w:rPr>
        <w:t xml:space="preserve"> Metacognitive </w:t>
      </w:r>
      <w:r w:rsidRPr="0001149D">
        <w:rPr>
          <w:rFonts w:ascii="Times New Roman" w:hAnsi="Times New Roman" w:cs="Times New Roman"/>
          <w:szCs w:val="24"/>
        </w:rPr>
        <w:t>(</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3.95, SD = 0.90</w:t>
      </w:r>
      <w:r w:rsidRPr="0001149D">
        <w:rPr>
          <w:rFonts w:ascii="Times New Roman" w:hAnsi="Times New Roman" w:cs="Times New Roman"/>
          <w:szCs w:val="24"/>
        </w:rPr>
        <w:t>),</w:t>
      </w:r>
      <w:r w:rsidRPr="0001149D">
        <w:rPr>
          <w:rFonts w:ascii="Times New Roman" w:hAnsi="Times New Roman" w:cs="Times New Roman"/>
          <w:i/>
          <w:szCs w:val="24"/>
        </w:rPr>
        <w:t xml:space="preserve"> Affective </w:t>
      </w:r>
      <w:r w:rsidRPr="0001149D">
        <w:rPr>
          <w:rFonts w:ascii="Times New Roman" w:hAnsi="Times New Roman" w:cs="Times New Roman"/>
          <w:szCs w:val="24"/>
        </w:rPr>
        <w:t>(</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3.82, SD = 0.99</w:t>
      </w:r>
      <w:r w:rsidRPr="0001149D">
        <w:rPr>
          <w:rFonts w:ascii="Times New Roman" w:hAnsi="Times New Roman" w:cs="Times New Roman"/>
          <w:szCs w:val="24"/>
        </w:rPr>
        <w:t xml:space="preserve">) and </w:t>
      </w:r>
      <w:r w:rsidRPr="0001149D">
        <w:rPr>
          <w:rFonts w:ascii="Times New Roman" w:hAnsi="Times New Roman" w:cs="Times New Roman"/>
          <w:i/>
          <w:szCs w:val="24"/>
        </w:rPr>
        <w:t>Social</w:t>
      </w:r>
      <w:r w:rsidRPr="0001149D">
        <w:rPr>
          <w:rFonts w:ascii="Times New Roman" w:hAnsi="Times New Roman"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3.87, SD = 0.96</w:t>
      </w:r>
      <w:r w:rsidRPr="0001149D">
        <w:rPr>
          <w:rFonts w:ascii="Times New Roman" w:hAnsi="Times New Roman" w:cs="Times New Roman"/>
          <w:szCs w:val="24"/>
        </w:rPr>
        <w:t>), both of which are assessed to be high. This implies that the language learning strategies of grade 12 students are frequently practiced.</w:t>
      </w:r>
      <w:bookmarkStart w:id="8" w:name="_Hlk204782443"/>
      <w:bookmarkEnd w:id="7"/>
    </w:p>
    <w:p w14:paraId="21DD96C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There is a descriptive level of high language learning strategies among senior high school grade 12 students. This means that the students are able to incorporate their </w:t>
      </w:r>
      <w:r w:rsidRPr="0001149D">
        <w:rPr>
          <w:rFonts w:ascii="Times New Roman" w:hAnsi="Times New Roman" w:cs="Times New Roman"/>
          <w:i/>
          <w:iCs/>
          <w:szCs w:val="24"/>
        </w:rPr>
        <w:t xml:space="preserve">memory, cognitive, compensation, metacognitive, affective, </w:t>
      </w:r>
      <w:r w:rsidRPr="0001149D">
        <w:rPr>
          <w:rFonts w:ascii="Times New Roman" w:hAnsi="Times New Roman" w:cs="Times New Roman"/>
          <w:szCs w:val="24"/>
        </w:rPr>
        <w:t xml:space="preserve">and </w:t>
      </w:r>
      <w:r w:rsidRPr="0001149D">
        <w:rPr>
          <w:rFonts w:ascii="Times New Roman" w:hAnsi="Times New Roman" w:cs="Times New Roman"/>
          <w:i/>
          <w:iCs/>
          <w:szCs w:val="24"/>
        </w:rPr>
        <w:t>social skills</w:t>
      </w:r>
      <w:r w:rsidRPr="0001149D">
        <w:rPr>
          <w:rFonts w:ascii="Times New Roman" w:hAnsi="Times New Roman" w:cs="Times New Roman"/>
          <w:szCs w:val="24"/>
        </w:rPr>
        <w:t xml:space="preserve">. This also implies that grade 12 students frequently use language learning strategies. </w:t>
      </w:r>
    </w:p>
    <w:p w14:paraId="4CED7EEC"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lastRenderedPageBreak/>
        <w:t xml:space="preserve">The grade 12 students’ levels of </w:t>
      </w:r>
      <w:r w:rsidRPr="0001149D">
        <w:rPr>
          <w:rFonts w:ascii="Times New Roman" w:hAnsi="Times New Roman" w:cs="Times New Roman"/>
          <w:i/>
          <w:iCs/>
          <w:szCs w:val="24"/>
        </w:rPr>
        <w:t xml:space="preserve">memory, cognitive, compensation, metacognitive, affective, and social skills </w:t>
      </w:r>
      <w:r w:rsidRPr="0001149D">
        <w:rPr>
          <w:rFonts w:ascii="Times New Roman" w:hAnsi="Times New Roman" w:cs="Times New Roman"/>
          <w:szCs w:val="24"/>
        </w:rPr>
        <w:t>are high, which implies that language learning strategies are often practiced by the students. The results align with the study of Hanafiah et al., which employed Oxford’s (1990) Strategy Inventory for Language Learning (SILL) and found that metacognitive, compensation, social, moral, and cognitive strategies were frequently used, while affective strategies were used at a moderate level.</w:t>
      </w:r>
    </w:p>
    <w:p w14:paraId="4E2AF38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These findings suggest that successful language learners possess strong awareness of the strategies they employ. Such strategic awareness supports effective language acquisition and highlights the importance of using varied  and appropriate strategies in learning English (1364).</w:t>
      </w:r>
    </w:p>
    <w:p w14:paraId="1D560C4E"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Cs/>
        </w:rPr>
      </w:pPr>
    </w:p>
    <w:p w14:paraId="0922BD45"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Cs/>
        </w:rPr>
      </w:pPr>
      <w:r w:rsidRPr="0001149D">
        <w:rPr>
          <w:rFonts w:ascii="Times New Roman" w:hAnsi="Times New Roman" w:cs="Times New Roman"/>
          <w:b/>
          <w:iCs/>
        </w:rPr>
        <w:t>Table 1</w:t>
      </w:r>
    </w:p>
    <w:p w14:paraId="14C3A4A2"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
          <w:iCs/>
        </w:rPr>
      </w:pPr>
      <w:r w:rsidRPr="0001149D">
        <w:rPr>
          <w:rFonts w:ascii="Times New Roman" w:hAnsi="Times New Roman" w:cs="Times New Roman"/>
          <w:b/>
          <w:i/>
          <w:iCs/>
        </w:rPr>
        <w:t>Language Learning Strategies among Senior High School Grade 12 Students</w:t>
      </w:r>
    </w:p>
    <w:tbl>
      <w:tblPr>
        <w:tblpPr w:leftFromText="180" w:rightFromText="180" w:vertAnchor="text" w:horzAnchor="margin" w:tblpXSpec="center" w:tblpY="77"/>
        <w:tblW w:w="9986" w:type="dxa"/>
        <w:tblLayout w:type="fixed"/>
        <w:tblCellMar>
          <w:left w:w="0" w:type="dxa"/>
          <w:right w:w="0" w:type="dxa"/>
        </w:tblCellMar>
        <w:tblLook w:val="0000" w:firstRow="0" w:lastRow="0" w:firstColumn="0" w:lastColumn="0" w:noHBand="0" w:noVBand="0"/>
      </w:tblPr>
      <w:tblGrid>
        <w:gridCol w:w="3693"/>
        <w:gridCol w:w="1926"/>
        <w:gridCol w:w="1850"/>
        <w:gridCol w:w="2517"/>
      </w:tblGrid>
      <w:tr w:rsidR="0001149D" w:rsidRPr="0001149D" w14:paraId="5A5F3E4E" w14:textId="77777777" w:rsidTr="00597A24">
        <w:trPr>
          <w:trHeight w:val="361"/>
        </w:trPr>
        <w:tc>
          <w:tcPr>
            <w:tcW w:w="3693" w:type="dxa"/>
            <w:tcBorders>
              <w:top w:val="single" w:sz="4" w:space="0" w:color="000000"/>
              <w:left w:val="none" w:sz="6" w:space="0" w:color="auto"/>
              <w:bottom w:val="single" w:sz="4" w:space="0" w:color="000000"/>
              <w:right w:val="none" w:sz="6" w:space="0" w:color="auto"/>
            </w:tcBorders>
          </w:tcPr>
          <w:p w14:paraId="308FA6E8" w14:textId="77777777" w:rsidR="00532539" w:rsidRPr="0001149D" w:rsidRDefault="00532539" w:rsidP="00597A24">
            <w:pPr>
              <w:kinsoku w:val="0"/>
              <w:overflowPunct w:val="0"/>
              <w:spacing w:line="240" w:lineRule="auto"/>
              <w:ind w:left="61" w:right="107"/>
              <w:rPr>
                <w:rFonts w:ascii="Times New Roman" w:hAnsi="Times New Roman" w:cs="Times New Roman"/>
                <w:b/>
                <w:szCs w:val="24"/>
              </w:rPr>
            </w:pPr>
            <w:r w:rsidRPr="0001149D">
              <w:rPr>
                <w:rFonts w:ascii="Times New Roman" w:hAnsi="Times New Roman" w:cs="Times New Roman"/>
                <w:b/>
                <w:szCs w:val="24"/>
              </w:rPr>
              <w:t>Indicators</w:t>
            </w:r>
          </w:p>
        </w:tc>
        <w:tc>
          <w:tcPr>
            <w:tcW w:w="1926" w:type="dxa"/>
            <w:tcBorders>
              <w:top w:val="single" w:sz="4" w:space="0" w:color="000000"/>
              <w:left w:val="none" w:sz="6" w:space="0" w:color="auto"/>
              <w:bottom w:val="single" w:sz="4" w:space="0" w:color="000000"/>
              <w:right w:val="none" w:sz="6" w:space="0" w:color="auto"/>
            </w:tcBorders>
          </w:tcPr>
          <w:p w14:paraId="1202D3C6" w14:textId="77777777" w:rsidR="00532539" w:rsidRPr="0001149D" w:rsidRDefault="00532539" w:rsidP="00597A24">
            <w:pPr>
              <w:kinsoku w:val="0"/>
              <w:overflowPunct w:val="0"/>
              <w:spacing w:line="240" w:lineRule="auto"/>
              <w:ind w:right="107"/>
              <w:jc w:val="right"/>
              <w:rPr>
                <w:rFonts w:ascii="Times New Roman" w:hAnsi="Times New Roman" w:cs="Times New Roman"/>
                <w:b/>
                <w:szCs w:val="24"/>
              </w:rPr>
            </w:pPr>
            <w:r w:rsidRPr="0001149D">
              <w:rPr>
                <w:rFonts w:ascii="Times New Roman" w:hAnsi="Times New Roman" w:cs="Times New Roman"/>
                <w:b/>
                <w:szCs w:val="24"/>
              </w:rPr>
              <w:t>SD</w:t>
            </w:r>
          </w:p>
        </w:tc>
        <w:tc>
          <w:tcPr>
            <w:tcW w:w="1850" w:type="dxa"/>
            <w:tcBorders>
              <w:top w:val="single" w:sz="4" w:space="0" w:color="000000"/>
              <w:left w:val="none" w:sz="6" w:space="0" w:color="auto"/>
              <w:bottom w:val="single" w:sz="4" w:space="0" w:color="000000"/>
              <w:right w:val="none" w:sz="6" w:space="0" w:color="auto"/>
            </w:tcBorders>
          </w:tcPr>
          <w:p w14:paraId="1182FCF8" w14:textId="77777777" w:rsidR="00532539" w:rsidRPr="0001149D" w:rsidRDefault="00532539" w:rsidP="00597A24">
            <w:pPr>
              <w:kinsoku w:val="0"/>
              <w:overflowPunct w:val="0"/>
              <w:spacing w:line="240" w:lineRule="auto"/>
              <w:ind w:left="320" w:right="107"/>
              <w:rPr>
                <w:rFonts w:ascii="Times New Roman" w:hAnsi="Times New Roman" w:cs="Times New Roman"/>
                <w:b/>
                <w:szCs w:val="24"/>
              </w:rPr>
            </w:pPr>
            <w:r w:rsidRPr="0001149D">
              <w:rPr>
                <w:rFonts w:ascii="Times New Roman" w:hAnsi="Times New Roman" w:cs="Times New Roman"/>
                <w:b/>
                <w:szCs w:val="24"/>
              </w:rPr>
              <w:t>Mean</w:t>
            </w:r>
          </w:p>
        </w:tc>
        <w:tc>
          <w:tcPr>
            <w:tcW w:w="2517" w:type="dxa"/>
            <w:tcBorders>
              <w:top w:val="single" w:sz="4" w:space="0" w:color="000000"/>
              <w:left w:val="none" w:sz="6" w:space="0" w:color="auto"/>
              <w:bottom w:val="single" w:sz="4" w:space="0" w:color="000000"/>
              <w:right w:val="none" w:sz="6" w:space="0" w:color="auto"/>
            </w:tcBorders>
          </w:tcPr>
          <w:p w14:paraId="692F65BF" w14:textId="77777777" w:rsidR="00532539" w:rsidRPr="0001149D" w:rsidRDefault="00532539" w:rsidP="00597A24">
            <w:pPr>
              <w:kinsoku w:val="0"/>
              <w:overflowPunct w:val="0"/>
              <w:spacing w:line="240" w:lineRule="auto"/>
              <w:ind w:left="274" w:right="107"/>
              <w:jc w:val="center"/>
              <w:rPr>
                <w:rFonts w:ascii="Times New Roman" w:hAnsi="Times New Roman" w:cs="Times New Roman"/>
                <w:b/>
                <w:szCs w:val="24"/>
              </w:rPr>
            </w:pPr>
            <w:r w:rsidRPr="0001149D">
              <w:rPr>
                <w:rFonts w:ascii="Times New Roman" w:hAnsi="Times New Roman" w:cs="Times New Roman"/>
                <w:b/>
                <w:szCs w:val="24"/>
              </w:rPr>
              <w:t>Descriptive Level</w:t>
            </w:r>
          </w:p>
        </w:tc>
      </w:tr>
      <w:tr w:rsidR="0001149D" w:rsidRPr="0001149D" w14:paraId="22F2AFB4" w14:textId="77777777" w:rsidTr="00597A24">
        <w:trPr>
          <w:trHeight w:val="276"/>
        </w:trPr>
        <w:tc>
          <w:tcPr>
            <w:tcW w:w="3693" w:type="dxa"/>
            <w:tcBorders>
              <w:top w:val="single" w:sz="4" w:space="0" w:color="000000"/>
              <w:left w:val="none" w:sz="6" w:space="0" w:color="auto"/>
              <w:bottom w:val="none" w:sz="6" w:space="0" w:color="auto"/>
              <w:right w:val="none" w:sz="6" w:space="0" w:color="auto"/>
            </w:tcBorders>
          </w:tcPr>
          <w:p w14:paraId="12E62216"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bookmarkStart w:id="9" w:name="_Hlk201499841"/>
            <w:r w:rsidRPr="0001149D">
              <w:rPr>
                <w:rFonts w:ascii="Times New Roman" w:hAnsi="Times New Roman" w:cs="Times New Roman"/>
                <w:szCs w:val="24"/>
              </w:rPr>
              <w:t>Memory</w:t>
            </w:r>
          </w:p>
        </w:tc>
        <w:tc>
          <w:tcPr>
            <w:tcW w:w="1926" w:type="dxa"/>
            <w:tcBorders>
              <w:top w:val="single" w:sz="4" w:space="0" w:color="000000"/>
              <w:left w:val="none" w:sz="6" w:space="0" w:color="auto"/>
              <w:bottom w:val="none" w:sz="6" w:space="0" w:color="auto"/>
              <w:right w:val="none" w:sz="6" w:space="0" w:color="auto"/>
            </w:tcBorders>
          </w:tcPr>
          <w:p w14:paraId="21B6611D"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0.91</w:t>
            </w:r>
          </w:p>
        </w:tc>
        <w:tc>
          <w:tcPr>
            <w:tcW w:w="1850" w:type="dxa"/>
            <w:tcBorders>
              <w:top w:val="single" w:sz="4" w:space="0" w:color="000000"/>
              <w:left w:val="none" w:sz="6" w:space="0" w:color="auto"/>
              <w:bottom w:val="none" w:sz="6" w:space="0" w:color="auto"/>
              <w:right w:val="none" w:sz="6" w:space="0" w:color="auto"/>
            </w:tcBorders>
          </w:tcPr>
          <w:p w14:paraId="6CB85512"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3.84</w:t>
            </w:r>
          </w:p>
        </w:tc>
        <w:tc>
          <w:tcPr>
            <w:tcW w:w="2517" w:type="dxa"/>
            <w:tcBorders>
              <w:top w:val="single" w:sz="4" w:space="0" w:color="000000"/>
              <w:left w:val="none" w:sz="6" w:space="0" w:color="auto"/>
              <w:bottom w:val="none" w:sz="6" w:space="0" w:color="auto"/>
              <w:right w:val="none" w:sz="6" w:space="0" w:color="auto"/>
            </w:tcBorders>
          </w:tcPr>
          <w:p w14:paraId="76A494F0"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23F8F28D"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534B5140"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Cognitive</w:t>
            </w:r>
          </w:p>
        </w:tc>
        <w:tc>
          <w:tcPr>
            <w:tcW w:w="1926" w:type="dxa"/>
            <w:tcBorders>
              <w:top w:val="none" w:sz="6" w:space="0" w:color="auto"/>
              <w:left w:val="none" w:sz="6" w:space="0" w:color="auto"/>
              <w:bottom w:val="none" w:sz="6" w:space="0" w:color="auto"/>
              <w:right w:val="none" w:sz="6" w:space="0" w:color="auto"/>
            </w:tcBorders>
          </w:tcPr>
          <w:p w14:paraId="0B78DB52"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0.92</w:t>
            </w:r>
          </w:p>
        </w:tc>
        <w:tc>
          <w:tcPr>
            <w:tcW w:w="1850" w:type="dxa"/>
            <w:tcBorders>
              <w:top w:val="none" w:sz="6" w:space="0" w:color="auto"/>
              <w:left w:val="none" w:sz="6" w:space="0" w:color="auto"/>
              <w:bottom w:val="none" w:sz="6" w:space="0" w:color="auto"/>
              <w:right w:val="none" w:sz="6" w:space="0" w:color="auto"/>
            </w:tcBorders>
          </w:tcPr>
          <w:p w14:paraId="36828ED0"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3.94</w:t>
            </w:r>
          </w:p>
        </w:tc>
        <w:tc>
          <w:tcPr>
            <w:tcW w:w="2517" w:type="dxa"/>
            <w:tcBorders>
              <w:top w:val="none" w:sz="6" w:space="0" w:color="auto"/>
              <w:left w:val="none" w:sz="6" w:space="0" w:color="auto"/>
              <w:bottom w:val="none" w:sz="6" w:space="0" w:color="auto"/>
              <w:right w:val="none" w:sz="6" w:space="0" w:color="auto"/>
            </w:tcBorders>
          </w:tcPr>
          <w:p w14:paraId="49AD99FA"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1A03A272"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207DBFD3"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Compensation</w:t>
            </w:r>
          </w:p>
        </w:tc>
        <w:tc>
          <w:tcPr>
            <w:tcW w:w="1926" w:type="dxa"/>
            <w:tcBorders>
              <w:top w:val="none" w:sz="6" w:space="0" w:color="auto"/>
              <w:left w:val="none" w:sz="6" w:space="0" w:color="auto"/>
              <w:bottom w:val="none" w:sz="6" w:space="0" w:color="auto"/>
              <w:right w:val="none" w:sz="6" w:space="0" w:color="auto"/>
            </w:tcBorders>
          </w:tcPr>
          <w:p w14:paraId="1334C8C3"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1.03</w:t>
            </w:r>
          </w:p>
        </w:tc>
        <w:tc>
          <w:tcPr>
            <w:tcW w:w="1850" w:type="dxa"/>
            <w:tcBorders>
              <w:top w:val="none" w:sz="6" w:space="0" w:color="auto"/>
              <w:left w:val="none" w:sz="6" w:space="0" w:color="auto"/>
              <w:bottom w:val="none" w:sz="6" w:space="0" w:color="auto"/>
              <w:right w:val="none" w:sz="6" w:space="0" w:color="auto"/>
            </w:tcBorders>
          </w:tcPr>
          <w:p w14:paraId="6B06A2C6"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3.61</w:t>
            </w:r>
          </w:p>
        </w:tc>
        <w:tc>
          <w:tcPr>
            <w:tcW w:w="2517" w:type="dxa"/>
            <w:tcBorders>
              <w:top w:val="none" w:sz="6" w:space="0" w:color="auto"/>
              <w:left w:val="none" w:sz="6" w:space="0" w:color="auto"/>
              <w:bottom w:val="none" w:sz="6" w:space="0" w:color="auto"/>
              <w:right w:val="none" w:sz="6" w:space="0" w:color="auto"/>
            </w:tcBorders>
          </w:tcPr>
          <w:p w14:paraId="789F8022"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3097CF7C"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187BC044"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Metacognitive</w:t>
            </w:r>
          </w:p>
        </w:tc>
        <w:tc>
          <w:tcPr>
            <w:tcW w:w="1926" w:type="dxa"/>
            <w:tcBorders>
              <w:top w:val="none" w:sz="6" w:space="0" w:color="auto"/>
              <w:left w:val="none" w:sz="6" w:space="0" w:color="auto"/>
              <w:bottom w:val="none" w:sz="6" w:space="0" w:color="auto"/>
              <w:right w:val="none" w:sz="6" w:space="0" w:color="auto"/>
            </w:tcBorders>
          </w:tcPr>
          <w:p w14:paraId="5E8BA3CD"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0.90</w:t>
            </w:r>
          </w:p>
        </w:tc>
        <w:tc>
          <w:tcPr>
            <w:tcW w:w="1850" w:type="dxa"/>
            <w:tcBorders>
              <w:top w:val="none" w:sz="6" w:space="0" w:color="auto"/>
              <w:left w:val="none" w:sz="6" w:space="0" w:color="auto"/>
              <w:bottom w:val="none" w:sz="6" w:space="0" w:color="auto"/>
              <w:right w:val="none" w:sz="6" w:space="0" w:color="auto"/>
            </w:tcBorders>
          </w:tcPr>
          <w:p w14:paraId="2E17EB08"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3.95</w:t>
            </w:r>
          </w:p>
        </w:tc>
        <w:tc>
          <w:tcPr>
            <w:tcW w:w="2517" w:type="dxa"/>
            <w:tcBorders>
              <w:top w:val="none" w:sz="6" w:space="0" w:color="auto"/>
              <w:left w:val="none" w:sz="6" w:space="0" w:color="auto"/>
              <w:bottom w:val="none" w:sz="6" w:space="0" w:color="auto"/>
              <w:right w:val="none" w:sz="6" w:space="0" w:color="auto"/>
            </w:tcBorders>
          </w:tcPr>
          <w:p w14:paraId="66A05989"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6291585D"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4AFFA568"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Affective</w:t>
            </w:r>
          </w:p>
        </w:tc>
        <w:tc>
          <w:tcPr>
            <w:tcW w:w="1926" w:type="dxa"/>
            <w:tcBorders>
              <w:top w:val="none" w:sz="6" w:space="0" w:color="auto"/>
              <w:left w:val="none" w:sz="6" w:space="0" w:color="auto"/>
              <w:bottom w:val="none" w:sz="6" w:space="0" w:color="auto"/>
              <w:right w:val="none" w:sz="6" w:space="0" w:color="auto"/>
            </w:tcBorders>
          </w:tcPr>
          <w:p w14:paraId="4C796D0F"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0.99</w:t>
            </w:r>
          </w:p>
        </w:tc>
        <w:tc>
          <w:tcPr>
            <w:tcW w:w="1850" w:type="dxa"/>
            <w:tcBorders>
              <w:top w:val="none" w:sz="6" w:space="0" w:color="auto"/>
              <w:left w:val="none" w:sz="6" w:space="0" w:color="auto"/>
              <w:bottom w:val="none" w:sz="6" w:space="0" w:color="auto"/>
              <w:right w:val="none" w:sz="6" w:space="0" w:color="auto"/>
            </w:tcBorders>
          </w:tcPr>
          <w:p w14:paraId="6959AFF7"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3.82</w:t>
            </w:r>
          </w:p>
        </w:tc>
        <w:tc>
          <w:tcPr>
            <w:tcW w:w="2517" w:type="dxa"/>
            <w:tcBorders>
              <w:top w:val="none" w:sz="6" w:space="0" w:color="auto"/>
              <w:left w:val="none" w:sz="6" w:space="0" w:color="auto"/>
              <w:bottom w:val="none" w:sz="6" w:space="0" w:color="auto"/>
              <w:right w:val="none" w:sz="6" w:space="0" w:color="auto"/>
            </w:tcBorders>
          </w:tcPr>
          <w:p w14:paraId="30C07691"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146AB303"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7CF7D0C2"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Social</w:t>
            </w:r>
          </w:p>
        </w:tc>
        <w:tc>
          <w:tcPr>
            <w:tcW w:w="1926" w:type="dxa"/>
            <w:tcBorders>
              <w:top w:val="none" w:sz="6" w:space="0" w:color="auto"/>
              <w:left w:val="none" w:sz="6" w:space="0" w:color="auto"/>
              <w:bottom w:val="none" w:sz="6" w:space="0" w:color="auto"/>
              <w:right w:val="none" w:sz="6" w:space="0" w:color="auto"/>
            </w:tcBorders>
          </w:tcPr>
          <w:p w14:paraId="4A108EAC"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0.96</w:t>
            </w:r>
          </w:p>
        </w:tc>
        <w:tc>
          <w:tcPr>
            <w:tcW w:w="1850" w:type="dxa"/>
            <w:tcBorders>
              <w:top w:val="none" w:sz="6" w:space="0" w:color="auto"/>
              <w:left w:val="none" w:sz="6" w:space="0" w:color="auto"/>
              <w:bottom w:val="none" w:sz="6" w:space="0" w:color="auto"/>
              <w:right w:val="none" w:sz="6" w:space="0" w:color="auto"/>
            </w:tcBorders>
          </w:tcPr>
          <w:p w14:paraId="783E4169"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3.87</w:t>
            </w:r>
          </w:p>
        </w:tc>
        <w:tc>
          <w:tcPr>
            <w:tcW w:w="2517" w:type="dxa"/>
            <w:tcBorders>
              <w:top w:val="none" w:sz="6" w:space="0" w:color="auto"/>
              <w:left w:val="none" w:sz="6" w:space="0" w:color="auto"/>
              <w:bottom w:val="none" w:sz="6" w:space="0" w:color="auto"/>
              <w:right w:val="none" w:sz="6" w:space="0" w:color="auto"/>
            </w:tcBorders>
          </w:tcPr>
          <w:p w14:paraId="07604CB0"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6AA14240" w14:textId="77777777" w:rsidTr="00597A24">
        <w:trPr>
          <w:trHeight w:val="497"/>
        </w:trPr>
        <w:tc>
          <w:tcPr>
            <w:tcW w:w="3693" w:type="dxa"/>
            <w:tcBorders>
              <w:top w:val="none" w:sz="6" w:space="0" w:color="auto"/>
              <w:left w:val="none" w:sz="6" w:space="0" w:color="auto"/>
              <w:bottom w:val="single" w:sz="4" w:space="0" w:color="000000"/>
              <w:right w:val="none" w:sz="6" w:space="0" w:color="auto"/>
            </w:tcBorders>
          </w:tcPr>
          <w:p w14:paraId="5C6240F8"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406363DA" w14:textId="77777777" w:rsidR="00532539" w:rsidRPr="0001149D" w:rsidRDefault="00532539" w:rsidP="00597A24">
            <w:pPr>
              <w:kinsoku w:val="0"/>
              <w:overflowPunct w:val="0"/>
              <w:spacing w:line="240" w:lineRule="auto"/>
              <w:ind w:left="61" w:right="107"/>
              <w:rPr>
                <w:rFonts w:ascii="Times New Roman" w:hAnsi="Times New Roman" w:cs="Times New Roman"/>
                <w:b/>
                <w:szCs w:val="24"/>
              </w:rPr>
            </w:pPr>
            <w:r w:rsidRPr="0001149D">
              <w:rPr>
                <w:rFonts w:ascii="Times New Roman" w:hAnsi="Times New Roman" w:cs="Times New Roman"/>
                <w:b/>
                <w:szCs w:val="24"/>
              </w:rPr>
              <w:t>Overall</w:t>
            </w:r>
          </w:p>
        </w:tc>
        <w:tc>
          <w:tcPr>
            <w:tcW w:w="1926" w:type="dxa"/>
            <w:tcBorders>
              <w:top w:val="none" w:sz="6" w:space="0" w:color="auto"/>
              <w:left w:val="none" w:sz="6" w:space="0" w:color="auto"/>
              <w:bottom w:val="single" w:sz="4" w:space="0" w:color="000000"/>
              <w:right w:val="none" w:sz="6" w:space="0" w:color="auto"/>
            </w:tcBorders>
          </w:tcPr>
          <w:p w14:paraId="3FFA8267"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08698BF4" w14:textId="77777777" w:rsidR="00532539" w:rsidRPr="0001149D" w:rsidRDefault="00532539" w:rsidP="00597A24">
            <w:pPr>
              <w:kinsoku w:val="0"/>
              <w:overflowPunct w:val="0"/>
              <w:spacing w:line="240" w:lineRule="auto"/>
              <w:ind w:right="107"/>
              <w:jc w:val="right"/>
              <w:rPr>
                <w:rFonts w:ascii="Times New Roman" w:hAnsi="Times New Roman" w:cs="Times New Roman"/>
                <w:b/>
                <w:bCs/>
                <w:szCs w:val="24"/>
              </w:rPr>
            </w:pPr>
            <w:r w:rsidRPr="0001149D">
              <w:rPr>
                <w:rFonts w:ascii="Times New Roman" w:hAnsi="Times New Roman" w:cs="Times New Roman"/>
                <w:b/>
                <w:bCs/>
                <w:szCs w:val="24"/>
              </w:rPr>
              <w:t>0.95</w:t>
            </w:r>
          </w:p>
        </w:tc>
        <w:tc>
          <w:tcPr>
            <w:tcW w:w="1850" w:type="dxa"/>
            <w:tcBorders>
              <w:top w:val="none" w:sz="6" w:space="0" w:color="auto"/>
              <w:left w:val="none" w:sz="6" w:space="0" w:color="auto"/>
              <w:bottom w:val="single" w:sz="4" w:space="0" w:color="000000"/>
              <w:right w:val="none" w:sz="6" w:space="0" w:color="auto"/>
            </w:tcBorders>
          </w:tcPr>
          <w:p w14:paraId="542ABDA5"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06BA5104" w14:textId="77777777" w:rsidR="00532539" w:rsidRPr="0001149D" w:rsidRDefault="00532539" w:rsidP="00597A24">
            <w:pPr>
              <w:kinsoku w:val="0"/>
              <w:overflowPunct w:val="0"/>
              <w:spacing w:line="240" w:lineRule="auto"/>
              <w:ind w:left="384" w:right="107"/>
              <w:rPr>
                <w:rFonts w:ascii="Times New Roman" w:hAnsi="Times New Roman" w:cs="Times New Roman"/>
                <w:b/>
                <w:bCs/>
                <w:szCs w:val="24"/>
              </w:rPr>
            </w:pPr>
            <w:r w:rsidRPr="0001149D">
              <w:rPr>
                <w:rFonts w:ascii="Times New Roman" w:hAnsi="Times New Roman" w:cs="Times New Roman"/>
                <w:b/>
                <w:bCs/>
                <w:szCs w:val="24"/>
              </w:rPr>
              <w:t>3.84</w:t>
            </w:r>
          </w:p>
        </w:tc>
        <w:tc>
          <w:tcPr>
            <w:tcW w:w="2517" w:type="dxa"/>
            <w:tcBorders>
              <w:top w:val="none" w:sz="6" w:space="0" w:color="auto"/>
              <w:left w:val="none" w:sz="6" w:space="0" w:color="auto"/>
              <w:bottom w:val="single" w:sz="4" w:space="0" w:color="000000"/>
              <w:right w:val="none" w:sz="6" w:space="0" w:color="auto"/>
            </w:tcBorders>
          </w:tcPr>
          <w:p w14:paraId="34C2B369"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2C699C63" w14:textId="77777777" w:rsidR="00532539" w:rsidRPr="0001149D" w:rsidRDefault="00532539" w:rsidP="00597A24">
            <w:pPr>
              <w:kinsoku w:val="0"/>
              <w:overflowPunct w:val="0"/>
              <w:spacing w:line="240" w:lineRule="auto"/>
              <w:ind w:left="274" w:right="107"/>
              <w:jc w:val="center"/>
              <w:rPr>
                <w:rFonts w:ascii="Times New Roman" w:hAnsi="Times New Roman" w:cs="Times New Roman"/>
                <w:b/>
                <w:bCs/>
                <w:szCs w:val="24"/>
              </w:rPr>
            </w:pPr>
            <w:r w:rsidRPr="0001149D">
              <w:rPr>
                <w:rFonts w:ascii="Times New Roman" w:hAnsi="Times New Roman" w:cs="Times New Roman"/>
                <w:b/>
                <w:bCs/>
                <w:szCs w:val="24"/>
              </w:rPr>
              <w:t>High</w:t>
            </w:r>
          </w:p>
        </w:tc>
      </w:tr>
      <w:bookmarkEnd w:id="8"/>
      <w:bookmarkEnd w:id="9"/>
    </w:tbl>
    <w:p w14:paraId="47778B9C" w14:textId="77777777" w:rsidR="00532539" w:rsidRPr="0001149D" w:rsidRDefault="00532539" w:rsidP="00532539">
      <w:pPr>
        <w:pStyle w:val="TableParagraph"/>
        <w:kinsoku w:val="0"/>
        <w:overflowPunct w:val="0"/>
        <w:spacing w:before="20" w:after="20"/>
        <w:ind w:right="107"/>
        <w:jc w:val="both"/>
        <w:rPr>
          <w:rFonts w:ascii="Times New Roman" w:eastAsiaTheme="minorHAnsi" w:hAnsi="Times New Roman" w:cs="Times New Roman"/>
          <w:lang w:val="en-PH"/>
        </w:rPr>
      </w:pPr>
    </w:p>
    <w:p w14:paraId="5033AAE6" w14:textId="30AB87D6" w:rsidR="00532539" w:rsidRPr="0001149D" w:rsidRDefault="00597A24"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Consistent with the results, Hashim (262) also stated that students commonly employ metacognitive, affective, social, and cognitive strategies. </w:t>
      </w:r>
      <w:r w:rsidR="00532539" w:rsidRPr="0001149D">
        <w:rPr>
          <w:rFonts w:ascii="Times New Roman" w:eastAsiaTheme="minorHAnsi" w:hAnsi="Times New Roman" w:cs="Times New Roman"/>
          <w:szCs w:val="24"/>
          <w:lang w:val="en-PH"/>
        </w:rPr>
        <w:t>Similarly, the current study reveals widespread use of these strategies, highlighting their importance in language learning. In addition, Language-learning strategies have been identified as major variables associated with second language acquisition (Flemens, 312). Students used social strategies, followed by memory strategies, compensatory strategies, metacognitive strategies, cognitive strategies, and affective strategies in English writing, respectively (Pongsukvajchakul 3).</w:t>
      </w:r>
    </w:p>
    <w:p w14:paraId="17ABDAED" w14:textId="77777777" w:rsidR="00597A24" w:rsidRPr="0001149D" w:rsidRDefault="00597A24" w:rsidP="00532539">
      <w:pPr>
        <w:pStyle w:val="TableParagraph"/>
        <w:kinsoku w:val="0"/>
        <w:overflowPunct w:val="0"/>
        <w:spacing w:before="20" w:after="20"/>
        <w:ind w:right="107"/>
        <w:jc w:val="both"/>
        <w:rPr>
          <w:rFonts w:ascii="Times New Roman" w:eastAsiaTheme="minorHAnsi" w:hAnsi="Times New Roman" w:cs="Times New Roman"/>
          <w:lang w:val="en-PH"/>
        </w:rPr>
      </w:pPr>
    </w:p>
    <w:p w14:paraId="6930217A"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Language Classroom Anxiety Among</w:t>
      </w:r>
    </w:p>
    <w:p w14:paraId="7681430C"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 xml:space="preserve">       Senior High School Grade 12 Students</w:t>
      </w:r>
    </w:p>
    <w:p w14:paraId="57F61B9E"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p>
    <w:p w14:paraId="178E6AC5" w14:textId="3A4D95A3"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Shown in Table 2 are the descriptive statistics results for measuring the level of language classroom anxiety among grade 12 students. The overall mean of language classroom anxiety is 3.62 (SD = 1.15), assessed to be high. The high level could be attributed to predominantly moderate ratings given by grade 12 students on test anxiety ( = 3.51, SD = 1.13) and fear or negative evaluation ( = 3.69, SD = 1.27), which are the highest, followed by communication apprehension ( = 3.66, SD = 1.07), which is assessed to be high. In general, it is surmised that language classroom anxiety of grade 12 students is frequently manifested. </w:t>
      </w:r>
    </w:p>
    <w:p w14:paraId="3545FE57" w14:textId="56103B74" w:rsidR="00597A24" w:rsidRPr="0001149D" w:rsidRDefault="00597A24"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lastRenderedPageBreak/>
        <w:t xml:space="preserve">The overall level of language classroom anxiety among senior high school grade 12 students is </w:t>
      </w:r>
      <w:r w:rsidRPr="0001149D">
        <w:rPr>
          <w:rFonts w:ascii="Times New Roman" w:hAnsi="Times New Roman" w:cs="Times New Roman"/>
          <w:i/>
          <w:iCs/>
          <w:szCs w:val="24"/>
        </w:rPr>
        <w:t>High</w:t>
      </w:r>
      <w:r w:rsidRPr="0001149D">
        <w:rPr>
          <w:rFonts w:ascii="Times New Roman" w:hAnsi="Times New Roman" w:cs="Times New Roman"/>
          <w:szCs w:val="24"/>
        </w:rPr>
        <w:t xml:space="preserve">, based on respondents' responses in the areas of </w:t>
      </w:r>
      <w:r w:rsidRPr="0001149D">
        <w:rPr>
          <w:rFonts w:ascii="Times New Roman" w:hAnsi="Times New Roman" w:cs="Times New Roman"/>
          <w:i/>
          <w:iCs/>
          <w:szCs w:val="24"/>
        </w:rPr>
        <w:t>communication apprehension</w:t>
      </w:r>
      <w:r w:rsidRPr="0001149D">
        <w:rPr>
          <w:rFonts w:ascii="Times New Roman" w:hAnsi="Times New Roman" w:cs="Times New Roman"/>
          <w:szCs w:val="24"/>
        </w:rPr>
        <w:t xml:space="preserve">, </w:t>
      </w:r>
      <w:r w:rsidRPr="0001149D">
        <w:rPr>
          <w:rFonts w:ascii="Times New Roman" w:hAnsi="Times New Roman" w:cs="Times New Roman"/>
          <w:i/>
          <w:iCs/>
          <w:szCs w:val="24"/>
        </w:rPr>
        <w:t>test anxiety</w:t>
      </w:r>
      <w:r w:rsidRPr="0001149D">
        <w:rPr>
          <w:rFonts w:ascii="Times New Roman" w:hAnsi="Times New Roman" w:cs="Times New Roman"/>
          <w:szCs w:val="24"/>
        </w:rPr>
        <w:t xml:space="preserve">, and </w:t>
      </w:r>
      <w:r w:rsidRPr="0001149D">
        <w:rPr>
          <w:rFonts w:ascii="Times New Roman" w:hAnsi="Times New Roman" w:cs="Times New Roman"/>
          <w:i/>
          <w:iCs/>
          <w:szCs w:val="24"/>
        </w:rPr>
        <w:t>fear of negative evaluation</w:t>
      </w:r>
      <w:r w:rsidRPr="0001149D">
        <w:rPr>
          <w:rFonts w:ascii="Times New Roman" w:hAnsi="Times New Roman" w:cs="Times New Roman"/>
          <w:szCs w:val="24"/>
        </w:rPr>
        <w:t xml:space="preserve">. </w:t>
      </w:r>
    </w:p>
    <w:p w14:paraId="4EC89F8A" w14:textId="4975B241" w:rsidR="00597A24" w:rsidRPr="0001149D" w:rsidRDefault="00597A24"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grade 12 students’ level of </w:t>
      </w:r>
      <w:r w:rsidRPr="0001149D">
        <w:rPr>
          <w:rFonts w:ascii="Times New Roman" w:hAnsi="Times New Roman" w:cs="Times New Roman"/>
          <w:i/>
          <w:iCs/>
          <w:szCs w:val="24"/>
        </w:rPr>
        <w:t>communication apprehension</w:t>
      </w:r>
      <w:r w:rsidRPr="0001149D">
        <w:rPr>
          <w:rFonts w:ascii="Times New Roman" w:hAnsi="Times New Roman" w:cs="Times New Roman"/>
          <w:szCs w:val="24"/>
        </w:rPr>
        <w:t xml:space="preserve"> is high, suggesting that language classroom anxiety frequently manifests as hesitation, panic, nervousness, uncertainty, confusion, feeling overwhelmed by the number of rules, and discomfort with speaking and learning English.</w:t>
      </w:r>
    </w:p>
    <w:p w14:paraId="0D967E80" w14:textId="77777777" w:rsidR="00597A24" w:rsidRPr="0001149D" w:rsidRDefault="00597A24" w:rsidP="00532539">
      <w:pPr>
        <w:spacing w:before="20" w:after="20" w:line="240" w:lineRule="auto"/>
        <w:ind w:right="107"/>
        <w:rPr>
          <w:rFonts w:ascii="Times New Roman" w:hAnsi="Times New Roman" w:cs="Times New Roman"/>
          <w:szCs w:val="24"/>
        </w:rPr>
      </w:pPr>
    </w:p>
    <w:p w14:paraId="4DA2D065" w14:textId="77777777" w:rsidR="00532539" w:rsidRPr="0001149D" w:rsidRDefault="00532539" w:rsidP="00532539">
      <w:pPr>
        <w:spacing w:before="20" w:after="20" w:line="240" w:lineRule="auto"/>
        <w:ind w:right="107"/>
        <w:rPr>
          <w:rFonts w:ascii="Times New Roman" w:hAnsi="Times New Roman" w:cs="Times New Roman"/>
          <w:b/>
          <w:szCs w:val="24"/>
        </w:rPr>
      </w:pPr>
      <w:r w:rsidRPr="0001149D">
        <w:rPr>
          <w:rFonts w:ascii="Times New Roman" w:hAnsi="Times New Roman" w:cs="Times New Roman"/>
          <w:b/>
          <w:szCs w:val="24"/>
        </w:rPr>
        <w:t>Table 2</w:t>
      </w:r>
    </w:p>
    <w:p w14:paraId="7A21A1CF"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
          <w:iCs/>
        </w:rPr>
      </w:pPr>
      <w:bookmarkStart w:id="10" w:name="_Hlk201499850"/>
      <w:r w:rsidRPr="0001149D">
        <w:rPr>
          <w:rFonts w:ascii="Times New Roman" w:hAnsi="Times New Roman" w:cs="Times New Roman"/>
          <w:b/>
          <w:i/>
          <w:iCs/>
        </w:rPr>
        <w:t>Language classroom anxiety among Senior High School Grade 12 Students</w:t>
      </w:r>
    </w:p>
    <w:tbl>
      <w:tblPr>
        <w:tblpPr w:leftFromText="180" w:rightFromText="180" w:vertAnchor="text" w:horzAnchor="margin" w:tblpXSpec="center" w:tblpY="77"/>
        <w:tblW w:w="10484" w:type="dxa"/>
        <w:tblLayout w:type="fixed"/>
        <w:tblCellMar>
          <w:left w:w="0" w:type="dxa"/>
          <w:right w:w="0" w:type="dxa"/>
        </w:tblCellMar>
        <w:tblLook w:val="0000" w:firstRow="0" w:lastRow="0" w:firstColumn="0" w:lastColumn="0" w:noHBand="0" w:noVBand="0"/>
      </w:tblPr>
      <w:tblGrid>
        <w:gridCol w:w="4310"/>
        <w:gridCol w:w="1254"/>
        <w:gridCol w:w="1754"/>
        <w:gridCol w:w="3166"/>
      </w:tblGrid>
      <w:tr w:rsidR="0001149D" w:rsidRPr="0001149D" w14:paraId="646032A2" w14:textId="77777777" w:rsidTr="00597A24">
        <w:trPr>
          <w:trHeight w:val="416"/>
        </w:trPr>
        <w:tc>
          <w:tcPr>
            <w:tcW w:w="4310" w:type="dxa"/>
            <w:tcBorders>
              <w:top w:val="single" w:sz="4" w:space="0" w:color="000000"/>
              <w:left w:val="none" w:sz="6" w:space="0" w:color="auto"/>
              <w:bottom w:val="single" w:sz="4" w:space="0" w:color="000000"/>
              <w:right w:val="none" w:sz="6" w:space="0" w:color="auto"/>
            </w:tcBorders>
          </w:tcPr>
          <w:p w14:paraId="77496A59"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Indicator</w:t>
            </w:r>
          </w:p>
        </w:tc>
        <w:tc>
          <w:tcPr>
            <w:tcW w:w="1254" w:type="dxa"/>
            <w:tcBorders>
              <w:top w:val="single" w:sz="4" w:space="0" w:color="000000"/>
              <w:left w:val="none" w:sz="6" w:space="0" w:color="auto"/>
              <w:bottom w:val="single" w:sz="4" w:space="0" w:color="000000"/>
              <w:right w:val="none" w:sz="6" w:space="0" w:color="auto"/>
            </w:tcBorders>
          </w:tcPr>
          <w:p w14:paraId="5681C4C1"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b/>
                <w:szCs w:val="24"/>
              </w:rPr>
            </w:pPr>
            <w:r w:rsidRPr="0001149D">
              <w:rPr>
                <w:rFonts w:ascii="Times New Roman" w:hAnsi="Times New Roman" w:cs="Times New Roman"/>
                <w:b/>
                <w:szCs w:val="24"/>
              </w:rPr>
              <w:t>SD</w:t>
            </w:r>
          </w:p>
        </w:tc>
        <w:tc>
          <w:tcPr>
            <w:tcW w:w="1754" w:type="dxa"/>
            <w:tcBorders>
              <w:top w:val="single" w:sz="4" w:space="0" w:color="000000"/>
              <w:left w:val="none" w:sz="6" w:space="0" w:color="auto"/>
              <w:bottom w:val="single" w:sz="4" w:space="0" w:color="000000"/>
              <w:right w:val="none" w:sz="6" w:space="0" w:color="auto"/>
            </w:tcBorders>
          </w:tcPr>
          <w:p w14:paraId="4B65F3A8" w14:textId="77777777" w:rsidR="00532539" w:rsidRPr="0001149D" w:rsidRDefault="00532539" w:rsidP="00532539">
            <w:pPr>
              <w:kinsoku w:val="0"/>
              <w:overflowPunct w:val="0"/>
              <w:spacing w:before="20" w:after="20" w:line="240" w:lineRule="auto"/>
              <w:ind w:left="320" w:right="107"/>
              <w:rPr>
                <w:rFonts w:ascii="Times New Roman" w:hAnsi="Times New Roman" w:cs="Times New Roman"/>
                <w:b/>
                <w:szCs w:val="24"/>
              </w:rPr>
            </w:pPr>
            <w:r w:rsidRPr="0001149D">
              <w:rPr>
                <w:rFonts w:ascii="Times New Roman" w:hAnsi="Times New Roman" w:cs="Times New Roman"/>
                <w:b/>
                <w:szCs w:val="24"/>
              </w:rPr>
              <w:t>Mean</w:t>
            </w:r>
          </w:p>
        </w:tc>
        <w:tc>
          <w:tcPr>
            <w:tcW w:w="3166" w:type="dxa"/>
            <w:tcBorders>
              <w:top w:val="single" w:sz="4" w:space="0" w:color="000000"/>
              <w:left w:val="none" w:sz="6" w:space="0" w:color="auto"/>
              <w:bottom w:val="single" w:sz="4" w:space="0" w:color="000000"/>
              <w:right w:val="none" w:sz="6" w:space="0" w:color="auto"/>
            </w:tcBorders>
          </w:tcPr>
          <w:p w14:paraId="2141622E"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szCs w:val="24"/>
              </w:rPr>
            </w:pPr>
            <w:r w:rsidRPr="0001149D">
              <w:rPr>
                <w:rFonts w:ascii="Times New Roman" w:hAnsi="Times New Roman" w:cs="Times New Roman"/>
                <w:b/>
                <w:szCs w:val="24"/>
              </w:rPr>
              <w:t>Descriptive Level</w:t>
            </w:r>
          </w:p>
        </w:tc>
      </w:tr>
      <w:tr w:rsidR="0001149D" w:rsidRPr="0001149D" w14:paraId="6E4B3CE1" w14:textId="77777777" w:rsidTr="00597A24">
        <w:trPr>
          <w:trHeight w:val="318"/>
        </w:trPr>
        <w:tc>
          <w:tcPr>
            <w:tcW w:w="4310" w:type="dxa"/>
            <w:tcBorders>
              <w:top w:val="single" w:sz="4" w:space="0" w:color="000000"/>
              <w:left w:val="none" w:sz="6" w:space="0" w:color="auto"/>
              <w:bottom w:val="none" w:sz="6" w:space="0" w:color="auto"/>
              <w:right w:val="none" w:sz="6" w:space="0" w:color="auto"/>
            </w:tcBorders>
          </w:tcPr>
          <w:p w14:paraId="59836C55"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Communication Apprehension</w:t>
            </w:r>
          </w:p>
        </w:tc>
        <w:tc>
          <w:tcPr>
            <w:tcW w:w="1254" w:type="dxa"/>
            <w:tcBorders>
              <w:top w:val="single" w:sz="4" w:space="0" w:color="000000"/>
              <w:left w:val="none" w:sz="6" w:space="0" w:color="auto"/>
              <w:bottom w:val="none" w:sz="6" w:space="0" w:color="auto"/>
              <w:right w:val="none" w:sz="6" w:space="0" w:color="auto"/>
            </w:tcBorders>
          </w:tcPr>
          <w:p w14:paraId="21DFDFE8"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szCs w:val="24"/>
              </w:rPr>
            </w:pPr>
            <w:r w:rsidRPr="0001149D">
              <w:rPr>
                <w:rFonts w:ascii="Times New Roman" w:hAnsi="Times New Roman" w:cs="Times New Roman"/>
                <w:szCs w:val="24"/>
              </w:rPr>
              <w:t>1.07</w:t>
            </w:r>
          </w:p>
        </w:tc>
        <w:tc>
          <w:tcPr>
            <w:tcW w:w="1754" w:type="dxa"/>
            <w:tcBorders>
              <w:top w:val="single" w:sz="4" w:space="0" w:color="000000"/>
              <w:left w:val="none" w:sz="6" w:space="0" w:color="auto"/>
              <w:bottom w:val="none" w:sz="6" w:space="0" w:color="auto"/>
              <w:right w:val="none" w:sz="6" w:space="0" w:color="auto"/>
            </w:tcBorders>
          </w:tcPr>
          <w:p w14:paraId="249D97C2" w14:textId="77777777" w:rsidR="00532539" w:rsidRPr="0001149D" w:rsidRDefault="00532539" w:rsidP="00532539">
            <w:pPr>
              <w:kinsoku w:val="0"/>
              <w:overflowPunct w:val="0"/>
              <w:spacing w:before="20" w:after="20" w:line="240" w:lineRule="auto"/>
              <w:ind w:left="384" w:right="107"/>
              <w:rPr>
                <w:rFonts w:ascii="Times New Roman" w:hAnsi="Times New Roman" w:cs="Times New Roman"/>
                <w:szCs w:val="24"/>
              </w:rPr>
            </w:pPr>
            <w:r w:rsidRPr="0001149D">
              <w:rPr>
                <w:rFonts w:ascii="Times New Roman" w:hAnsi="Times New Roman" w:cs="Times New Roman"/>
                <w:szCs w:val="24"/>
              </w:rPr>
              <w:t>3.66</w:t>
            </w:r>
          </w:p>
        </w:tc>
        <w:tc>
          <w:tcPr>
            <w:tcW w:w="3166" w:type="dxa"/>
            <w:tcBorders>
              <w:top w:val="single" w:sz="4" w:space="0" w:color="000000"/>
              <w:left w:val="none" w:sz="6" w:space="0" w:color="auto"/>
              <w:bottom w:val="none" w:sz="6" w:space="0" w:color="auto"/>
              <w:right w:val="none" w:sz="6" w:space="0" w:color="auto"/>
            </w:tcBorders>
          </w:tcPr>
          <w:p w14:paraId="4CD3A419"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62BBD6C3" w14:textId="77777777" w:rsidTr="00597A24">
        <w:trPr>
          <w:trHeight w:val="351"/>
        </w:trPr>
        <w:tc>
          <w:tcPr>
            <w:tcW w:w="4310" w:type="dxa"/>
            <w:tcBorders>
              <w:top w:val="none" w:sz="6" w:space="0" w:color="auto"/>
              <w:left w:val="none" w:sz="6" w:space="0" w:color="auto"/>
              <w:bottom w:val="none" w:sz="6" w:space="0" w:color="auto"/>
              <w:right w:val="none" w:sz="6" w:space="0" w:color="auto"/>
            </w:tcBorders>
          </w:tcPr>
          <w:p w14:paraId="576B6FDC"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Test Anxiety</w:t>
            </w:r>
          </w:p>
        </w:tc>
        <w:tc>
          <w:tcPr>
            <w:tcW w:w="1254" w:type="dxa"/>
            <w:tcBorders>
              <w:top w:val="none" w:sz="6" w:space="0" w:color="auto"/>
              <w:left w:val="none" w:sz="6" w:space="0" w:color="auto"/>
              <w:bottom w:val="none" w:sz="6" w:space="0" w:color="auto"/>
              <w:right w:val="none" w:sz="6" w:space="0" w:color="auto"/>
            </w:tcBorders>
          </w:tcPr>
          <w:p w14:paraId="4FAF28F5"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szCs w:val="24"/>
              </w:rPr>
            </w:pPr>
            <w:r w:rsidRPr="0001149D">
              <w:rPr>
                <w:rFonts w:ascii="Times New Roman" w:hAnsi="Times New Roman" w:cs="Times New Roman"/>
                <w:szCs w:val="24"/>
              </w:rPr>
              <w:t>1.13</w:t>
            </w:r>
          </w:p>
        </w:tc>
        <w:tc>
          <w:tcPr>
            <w:tcW w:w="1754" w:type="dxa"/>
            <w:tcBorders>
              <w:top w:val="none" w:sz="6" w:space="0" w:color="auto"/>
              <w:left w:val="none" w:sz="6" w:space="0" w:color="auto"/>
              <w:bottom w:val="none" w:sz="6" w:space="0" w:color="auto"/>
              <w:right w:val="none" w:sz="6" w:space="0" w:color="auto"/>
            </w:tcBorders>
          </w:tcPr>
          <w:p w14:paraId="0DC31746" w14:textId="77777777" w:rsidR="00532539" w:rsidRPr="0001149D" w:rsidRDefault="00532539" w:rsidP="00532539">
            <w:pPr>
              <w:kinsoku w:val="0"/>
              <w:overflowPunct w:val="0"/>
              <w:spacing w:before="20" w:after="20" w:line="240" w:lineRule="auto"/>
              <w:ind w:left="384" w:right="107"/>
              <w:rPr>
                <w:rFonts w:ascii="Times New Roman" w:hAnsi="Times New Roman" w:cs="Times New Roman"/>
                <w:szCs w:val="24"/>
              </w:rPr>
            </w:pPr>
            <w:r w:rsidRPr="0001149D">
              <w:rPr>
                <w:rFonts w:ascii="Times New Roman" w:hAnsi="Times New Roman" w:cs="Times New Roman"/>
                <w:szCs w:val="24"/>
              </w:rPr>
              <w:t>3.51</w:t>
            </w:r>
          </w:p>
        </w:tc>
        <w:tc>
          <w:tcPr>
            <w:tcW w:w="3166" w:type="dxa"/>
            <w:tcBorders>
              <w:top w:val="none" w:sz="6" w:space="0" w:color="auto"/>
              <w:left w:val="none" w:sz="6" w:space="0" w:color="auto"/>
              <w:bottom w:val="none" w:sz="6" w:space="0" w:color="auto"/>
              <w:right w:val="none" w:sz="6" w:space="0" w:color="auto"/>
            </w:tcBorders>
          </w:tcPr>
          <w:p w14:paraId="10608ADC"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0B52AFBE" w14:textId="77777777" w:rsidTr="00597A24">
        <w:trPr>
          <w:trHeight w:val="351"/>
        </w:trPr>
        <w:tc>
          <w:tcPr>
            <w:tcW w:w="4310" w:type="dxa"/>
            <w:tcBorders>
              <w:top w:val="none" w:sz="6" w:space="0" w:color="auto"/>
              <w:left w:val="none" w:sz="6" w:space="0" w:color="auto"/>
              <w:bottom w:val="none" w:sz="6" w:space="0" w:color="auto"/>
              <w:right w:val="none" w:sz="6" w:space="0" w:color="auto"/>
            </w:tcBorders>
          </w:tcPr>
          <w:p w14:paraId="5B2AE38F"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Fear or Negative Evaluation</w:t>
            </w:r>
          </w:p>
        </w:tc>
        <w:tc>
          <w:tcPr>
            <w:tcW w:w="1254" w:type="dxa"/>
            <w:tcBorders>
              <w:top w:val="none" w:sz="6" w:space="0" w:color="auto"/>
              <w:left w:val="none" w:sz="6" w:space="0" w:color="auto"/>
              <w:bottom w:val="none" w:sz="6" w:space="0" w:color="auto"/>
              <w:right w:val="none" w:sz="6" w:space="0" w:color="auto"/>
            </w:tcBorders>
          </w:tcPr>
          <w:p w14:paraId="1768D44C"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szCs w:val="24"/>
              </w:rPr>
            </w:pPr>
            <w:r w:rsidRPr="0001149D">
              <w:rPr>
                <w:rFonts w:ascii="Times New Roman" w:hAnsi="Times New Roman" w:cs="Times New Roman"/>
                <w:szCs w:val="24"/>
              </w:rPr>
              <w:t>1.27</w:t>
            </w:r>
          </w:p>
        </w:tc>
        <w:tc>
          <w:tcPr>
            <w:tcW w:w="1754" w:type="dxa"/>
            <w:tcBorders>
              <w:top w:val="none" w:sz="6" w:space="0" w:color="auto"/>
              <w:left w:val="none" w:sz="6" w:space="0" w:color="auto"/>
              <w:bottom w:val="none" w:sz="6" w:space="0" w:color="auto"/>
              <w:right w:val="none" w:sz="6" w:space="0" w:color="auto"/>
            </w:tcBorders>
          </w:tcPr>
          <w:p w14:paraId="2BA517F1" w14:textId="77777777" w:rsidR="00532539" w:rsidRPr="0001149D" w:rsidRDefault="00532539" w:rsidP="00532539">
            <w:pPr>
              <w:kinsoku w:val="0"/>
              <w:overflowPunct w:val="0"/>
              <w:spacing w:before="20" w:after="20" w:line="240" w:lineRule="auto"/>
              <w:ind w:left="384" w:right="107"/>
              <w:rPr>
                <w:rFonts w:ascii="Times New Roman" w:hAnsi="Times New Roman" w:cs="Times New Roman"/>
                <w:szCs w:val="24"/>
              </w:rPr>
            </w:pPr>
            <w:r w:rsidRPr="0001149D">
              <w:rPr>
                <w:rFonts w:ascii="Times New Roman" w:hAnsi="Times New Roman" w:cs="Times New Roman"/>
                <w:szCs w:val="24"/>
              </w:rPr>
              <w:t>3.69</w:t>
            </w:r>
          </w:p>
        </w:tc>
        <w:tc>
          <w:tcPr>
            <w:tcW w:w="3166" w:type="dxa"/>
            <w:tcBorders>
              <w:top w:val="none" w:sz="6" w:space="0" w:color="auto"/>
              <w:left w:val="none" w:sz="6" w:space="0" w:color="auto"/>
              <w:bottom w:val="none" w:sz="6" w:space="0" w:color="auto"/>
              <w:right w:val="none" w:sz="6" w:space="0" w:color="auto"/>
            </w:tcBorders>
          </w:tcPr>
          <w:p w14:paraId="77943218"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05727C98" w14:textId="77777777" w:rsidTr="00597A24">
        <w:trPr>
          <w:trHeight w:val="572"/>
        </w:trPr>
        <w:tc>
          <w:tcPr>
            <w:tcW w:w="4310" w:type="dxa"/>
            <w:tcBorders>
              <w:top w:val="none" w:sz="6" w:space="0" w:color="auto"/>
              <w:left w:val="none" w:sz="6" w:space="0" w:color="auto"/>
              <w:bottom w:val="single" w:sz="4" w:space="0" w:color="000000"/>
              <w:right w:val="none" w:sz="6" w:space="0" w:color="auto"/>
            </w:tcBorders>
            <w:vAlign w:val="center"/>
          </w:tcPr>
          <w:p w14:paraId="7E2CCA96"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Overall</w:t>
            </w:r>
          </w:p>
        </w:tc>
        <w:tc>
          <w:tcPr>
            <w:tcW w:w="1254" w:type="dxa"/>
            <w:tcBorders>
              <w:top w:val="none" w:sz="6" w:space="0" w:color="auto"/>
              <w:left w:val="none" w:sz="6" w:space="0" w:color="auto"/>
              <w:bottom w:val="single" w:sz="4" w:space="0" w:color="000000"/>
              <w:right w:val="none" w:sz="6" w:space="0" w:color="auto"/>
            </w:tcBorders>
            <w:vAlign w:val="center"/>
          </w:tcPr>
          <w:p w14:paraId="1764D009"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b/>
                <w:bCs/>
                <w:szCs w:val="24"/>
              </w:rPr>
            </w:pPr>
            <w:r w:rsidRPr="0001149D">
              <w:rPr>
                <w:rFonts w:ascii="Times New Roman" w:hAnsi="Times New Roman" w:cs="Times New Roman"/>
                <w:b/>
                <w:bCs/>
                <w:szCs w:val="24"/>
              </w:rPr>
              <w:t>1.15</w:t>
            </w:r>
          </w:p>
        </w:tc>
        <w:tc>
          <w:tcPr>
            <w:tcW w:w="1754" w:type="dxa"/>
            <w:tcBorders>
              <w:top w:val="none" w:sz="6" w:space="0" w:color="auto"/>
              <w:left w:val="none" w:sz="6" w:space="0" w:color="auto"/>
              <w:bottom w:val="single" w:sz="4" w:space="0" w:color="000000"/>
              <w:right w:val="none" w:sz="6" w:space="0" w:color="auto"/>
            </w:tcBorders>
            <w:vAlign w:val="center"/>
          </w:tcPr>
          <w:p w14:paraId="118DA058"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b/>
                <w:bCs/>
                <w:szCs w:val="24"/>
              </w:rPr>
            </w:pPr>
            <w:r w:rsidRPr="0001149D">
              <w:rPr>
                <w:rFonts w:ascii="Times New Roman" w:hAnsi="Times New Roman" w:cs="Times New Roman"/>
                <w:b/>
                <w:bCs/>
                <w:szCs w:val="24"/>
              </w:rPr>
              <w:t>3.62</w:t>
            </w:r>
          </w:p>
        </w:tc>
        <w:tc>
          <w:tcPr>
            <w:tcW w:w="3166" w:type="dxa"/>
            <w:tcBorders>
              <w:top w:val="none" w:sz="6" w:space="0" w:color="auto"/>
              <w:left w:val="none" w:sz="6" w:space="0" w:color="auto"/>
              <w:bottom w:val="single" w:sz="4" w:space="0" w:color="000000"/>
              <w:right w:val="none" w:sz="6" w:space="0" w:color="auto"/>
            </w:tcBorders>
            <w:vAlign w:val="center"/>
          </w:tcPr>
          <w:p w14:paraId="014D16DB"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bCs/>
                <w:szCs w:val="24"/>
              </w:rPr>
            </w:pPr>
            <w:r w:rsidRPr="0001149D">
              <w:rPr>
                <w:rFonts w:ascii="Times New Roman" w:hAnsi="Times New Roman" w:cs="Times New Roman"/>
                <w:b/>
                <w:bCs/>
                <w:szCs w:val="24"/>
              </w:rPr>
              <w:t>High</w:t>
            </w:r>
          </w:p>
        </w:tc>
      </w:tr>
      <w:bookmarkEnd w:id="10"/>
    </w:tbl>
    <w:p w14:paraId="641EF7A6" w14:textId="77777777" w:rsidR="00597A24" w:rsidRPr="0001149D" w:rsidRDefault="00597A24" w:rsidP="00532539">
      <w:pPr>
        <w:spacing w:before="20" w:after="20" w:line="240" w:lineRule="auto"/>
        <w:ind w:right="107"/>
        <w:rPr>
          <w:rFonts w:ascii="Times New Roman" w:hAnsi="Times New Roman" w:cs="Times New Roman"/>
          <w:szCs w:val="24"/>
        </w:rPr>
      </w:pPr>
    </w:p>
    <w:p w14:paraId="4175D3E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A high level of anxiety in verbal activities suggests that students may struggle to process language input effectively, even when they possess adequate language abilities. This supports Krashen’s Affective Filter Hypothesis, which posits that emotional factors – such as stress and anxiety – can hinder learners' ability to fully acquire and internalize language input. When anxiety levels are elevated, the affective filter becomes stronger, thereby limiting meaningful language acquisition (Radzi et al., 1629).</w:t>
      </w:r>
    </w:p>
    <w:p w14:paraId="604F1F21"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These findings are consistent with Jalleh et al. (5), who noted that students may experience high levels of communication apprehension when communicating in English due to their culture, educational background, attitudes towards the role of English in their society, and a lack of opportunities to practice speaking English. Students’ language learning experiences might not have focused on oral communication skills. The results of their study revealed that most students exhibited a high level of communication apprehension, likely because oral communication typically occurred in two specific contexts: group discussions and conversations.</w:t>
      </w:r>
    </w:p>
    <w:p w14:paraId="566A2980"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high level of </w:t>
      </w:r>
      <w:r w:rsidRPr="0001149D">
        <w:rPr>
          <w:rFonts w:ascii="Times New Roman" w:hAnsi="Times New Roman" w:cs="Times New Roman"/>
          <w:i/>
          <w:iCs/>
          <w:szCs w:val="24"/>
        </w:rPr>
        <w:t>test anxiety</w:t>
      </w:r>
      <w:r w:rsidRPr="0001149D">
        <w:rPr>
          <w:rFonts w:ascii="Times New Roman" w:hAnsi="Times New Roman" w:cs="Times New Roman"/>
          <w:szCs w:val="24"/>
        </w:rPr>
        <w:t xml:space="preserve"> indicated language classroom anxiety is frequently manifested among grade 12 students is frequently manifested in terms such as trembling when students are called on in English language class, uneasy during tests, worries so much about the consequences of failing, the more they study for an English language test, the more confused they get, feeling pressured, feel uneasy and confused when studying English. </w:t>
      </w:r>
    </w:p>
    <w:p w14:paraId="41C6FEA6"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study by Waluyo, Zahabi, and Panmei (6) found that students had high test anxiety in English, which negatively affected their English proficiency test results. This indicates that students’ anxiety over the English exam was characterized by four distinct constructs: worry, tension, emotionality, and physical symptoms. In line with this, Aydin et al. (23) added that learners suffer from test anxiety due to several reasons and that they experience physical problems, problems related to tests, and affective problems, whereas they use a limited number of strategies to decrease the level of test anxiety.</w:t>
      </w:r>
    </w:p>
    <w:p w14:paraId="0A23F66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lastRenderedPageBreak/>
        <w:t xml:space="preserve">In addition, the high level of </w:t>
      </w:r>
      <w:r w:rsidRPr="0001149D">
        <w:rPr>
          <w:rFonts w:ascii="Times New Roman" w:hAnsi="Times New Roman" w:cs="Times New Roman"/>
          <w:i/>
          <w:iCs/>
          <w:szCs w:val="24"/>
        </w:rPr>
        <w:t>fear of negative evaluation</w:t>
      </w:r>
      <w:r w:rsidRPr="0001149D">
        <w:rPr>
          <w:rFonts w:ascii="Times New Roman" w:hAnsi="Times New Roman" w:cs="Times New Roman"/>
          <w:szCs w:val="24"/>
        </w:rPr>
        <w:t xml:space="preserve"> indicated that language classroom anxiety is frequently manifested among grade 12 students is frequently manifested in terms such as worrying about making mistakes in English language, keep thinking that the other students are better at English languages than them, embarrassed, afraid that their English language teacher is ready to correct every mistake they make, and afraid that the other students will laugh at them when they speak the English language.</w:t>
      </w:r>
    </w:p>
    <w:p w14:paraId="20B0ADEE" w14:textId="0DD0A6D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statement is akin to the pronouncements of Quvanch, Ziauddin, Ahmad, and Kew (4) that students ' fear of negative evaluation significantly affects their performance. This indicates that students with a fear of negative evaluation tend to have low self-confidence, which results in experiencing higher levels of English language anxiety.</w:t>
      </w:r>
    </w:p>
    <w:p w14:paraId="189CCD9D" w14:textId="77777777" w:rsidR="00597A24" w:rsidRPr="0001149D" w:rsidRDefault="00597A24" w:rsidP="00532539">
      <w:pPr>
        <w:spacing w:before="20" w:after="20" w:line="240" w:lineRule="auto"/>
        <w:ind w:right="107"/>
        <w:rPr>
          <w:rFonts w:ascii="Times New Roman" w:hAnsi="Times New Roman" w:cs="Times New Roman"/>
          <w:szCs w:val="24"/>
        </w:rPr>
      </w:pPr>
    </w:p>
    <w:p w14:paraId="350D3524"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Academic Goal Orientation Among</w:t>
      </w:r>
    </w:p>
    <w:p w14:paraId="56BC69F6"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 xml:space="preserve">       Senior High School Grade 12 Students</w:t>
      </w:r>
    </w:p>
    <w:p w14:paraId="1539F1F0"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p>
    <w:p w14:paraId="6B03496B" w14:textId="43443BD5" w:rsidR="00532539" w:rsidRPr="0001149D" w:rsidRDefault="00532539"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Presented in Table 3 are the descriptive statistics assessing the level of academic goal orientation among grade 12 students, with an overall mean of 3.94 (</w:t>
      </w:r>
      <w:r w:rsidRPr="0001149D">
        <w:rPr>
          <w:rFonts w:ascii="Times New Roman" w:hAnsi="Times New Roman" w:cs="Times New Roman"/>
          <w:i/>
          <w:iCs/>
          <w:szCs w:val="24"/>
        </w:rPr>
        <w:t>SD = 1.02</w:t>
      </w:r>
      <w:r w:rsidRPr="0001149D">
        <w:rPr>
          <w:rFonts w:ascii="Times New Roman" w:hAnsi="Times New Roman" w:cs="Times New Roman"/>
          <w:szCs w:val="24"/>
        </w:rPr>
        <w:t xml:space="preserve">), indicating a high level of academic goal orientation. The high level is also reflective of high to very high levels of its indicators, to include </w:t>
      </w:r>
      <w:r w:rsidRPr="0001149D">
        <w:rPr>
          <w:rFonts w:ascii="Times New Roman" w:hAnsi="Times New Roman" w:cs="Times New Roman"/>
          <w:i/>
          <w:iCs/>
          <w:szCs w:val="24"/>
        </w:rPr>
        <w:t xml:space="preserve">Ego Self-Frustation Goal </w:t>
      </w:r>
      <w:r w:rsidRPr="0001149D">
        <w:rPr>
          <w:rFonts w:ascii="Times New Roman" w:hAnsi="Times New Roman" w:cs="Times New Roman"/>
          <w:szCs w:val="24"/>
        </w:rPr>
        <w:t>(</w:t>
      </w:r>
      <w:r w:rsidRPr="0001149D">
        <w:rPr>
          <w:rFonts w:ascii="Times New Roman" w:hAnsi="Times New Roman" w:cs="Times New Roman"/>
          <w:i/>
          <w:iCs/>
          <w:szCs w:val="24"/>
        </w:rPr>
        <w:t xml:space="preserve"> = 3.86, SD = 1.14</w:t>
      </w:r>
      <w:r w:rsidRPr="0001149D">
        <w:rPr>
          <w:rFonts w:ascii="Times New Roman" w:hAnsi="Times New Roman" w:cs="Times New Roman"/>
          <w:szCs w:val="24"/>
        </w:rPr>
        <w:t xml:space="preserve">), </w:t>
      </w:r>
      <w:r w:rsidRPr="0001149D">
        <w:rPr>
          <w:rFonts w:ascii="Times New Roman" w:hAnsi="Times New Roman" w:cs="Times New Roman"/>
          <w:i/>
          <w:iCs/>
          <w:szCs w:val="24"/>
        </w:rPr>
        <w:t>Ego Self-Enhancement Goal</w:t>
      </w:r>
      <w:r w:rsidRPr="0001149D">
        <w:rPr>
          <w:rFonts w:ascii="Times New Roman" w:hAnsi="Times New Roman" w:cs="Times New Roman"/>
          <w:szCs w:val="24"/>
        </w:rPr>
        <w:t xml:space="preserve"> (</w:t>
      </w:r>
      <w:r w:rsidRPr="0001149D">
        <w:rPr>
          <w:rFonts w:ascii="Times New Roman" w:hAnsi="Times New Roman" w:cs="Times New Roman"/>
          <w:i/>
          <w:iCs/>
          <w:szCs w:val="24"/>
        </w:rPr>
        <w:t xml:space="preserve"> = 3.53, SD = 1.19</w:t>
      </w:r>
      <w:r w:rsidRPr="0001149D">
        <w:rPr>
          <w:rFonts w:ascii="Times New Roman" w:hAnsi="Times New Roman" w:cs="Times New Roman"/>
          <w:szCs w:val="24"/>
        </w:rPr>
        <w:t xml:space="preserve">), </w:t>
      </w:r>
      <w:r w:rsidRPr="0001149D">
        <w:rPr>
          <w:rFonts w:ascii="Times New Roman" w:hAnsi="Times New Roman" w:cs="Times New Roman"/>
          <w:i/>
          <w:iCs/>
          <w:szCs w:val="24"/>
        </w:rPr>
        <w:t xml:space="preserve">Work Avoidance Goal </w:t>
      </w:r>
      <w:r w:rsidRPr="0001149D">
        <w:rPr>
          <w:rFonts w:ascii="Times New Roman" w:hAnsi="Times New Roman" w:cs="Times New Roman"/>
          <w:szCs w:val="24"/>
        </w:rPr>
        <w:t>(</w:t>
      </w:r>
      <w:r w:rsidRPr="0001149D">
        <w:rPr>
          <w:rFonts w:ascii="Times New Roman" w:hAnsi="Times New Roman" w:cs="Times New Roman"/>
          <w:i/>
          <w:iCs/>
          <w:szCs w:val="24"/>
        </w:rPr>
        <w:t xml:space="preserve"> = 4.06, SD = 0.95</w:t>
      </w:r>
      <w:r w:rsidRPr="0001149D">
        <w:rPr>
          <w:rFonts w:ascii="Times New Roman" w:hAnsi="Times New Roman" w:cs="Times New Roman"/>
          <w:szCs w:val="24"/>
        </w:rPr>
        <w:t xml:space="preserve">) both of which are high and </w:t>
      </w:r>
      <w:r w:rsidRPr="0001149D">
        <w:rPr>
          <w:rFonts w:ascii="Times New Roman" w:hAnsi="Times New Roman" w:cs="Times New Roman"/>
          <w:i/>
          <w:iCs/>
          <w:szCs w:val="24"/>
        </w:rPr>
        <w:t xml:space="preserve">Learning or Task Goal </w:t>
      </w:r>
      <w:r w:rsidRPr="0001149D">
        <w:rPr>
          <w:rFonts w:ascii="Times New Roman" w:hAnsi="Times New Roman" w:cs="Times New Roman"/>
          <w:szCs w:val="24"/>
        </w:rPr>
        <w:t>(</w:t>
      </w:r>
      <w:r w:rsidRPr="0001149D">
        <w:rPr>
          <w:rFonts w:ascii="Times New Roman" w:hAnsi="Times New Roman" w:cs="Times New Roman"/>
          <w:i/>
          <w:iCs/>
          <w:szCs w:val="24"/>
        </w:rPr>
        <w:t xml:space="preserve"> = 4.32, SD = 0.81</w:t>
      </w:r>
      <w:r w:rsidRPr="0001149D">
        <w:rPr>
          <w:rFonts w:ascii="Times New Roman" w:hAnsi="Times New Roman" w:cs="Times New Roman"/>
          <w:szCs w:val="24"/>
        </w:rPr>
        <w:t>) being the highest and a measure assessed to be very high. Grade 12 students frequently demonstrate academic goal orientation in learning English. The very high level of learning or task-oriented goals suggests that they are highly motivated to improve their English language skills.</w:t>
      </w:r>
    </w:p>
    <w:p w14:paraId="782487C7" w14:textId="58C451BA" w:rsidR="00532539" w:rsidRPr="0001149D" w:rsidRDefault="00532539"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level of academic goal orientation among senior high school grade 12 students is high for ego self-frustration, ego self-enhancement goal, and work avoidance goals, while the learning or task goal shows a very high level</w:t>
      </w:r>
      <w:r w:rsidR="00597A24" w:rsidRPr="0001149D">
        <w:rPr>
          <w:rFonts w:ascii="Times New Roman" w:hAnsi="Times New Roman" w:cs="Times New Roman"/>
          <w:szCs w:val="24"/>
        </w:rPr>
        <w:t>.</w:t>
      </w:r>
    </w:p>
    <w:p w14:paraId="7E802369" w14:textId="77777777" w:rsidR="00597A24" w:rsidRPr="0001149D" w:rsidRDefault="00597A24" w:rsidP="00597A24">
      <w:pPr>
        <w:spacing w:before="20" w:after="20" w:line="240" w:lineRule="auto"/>
        <w:ind w:right="107"/>
        <w:rPr>
          <w:rFonts w:ascii="Times New Roman" w:hAnsi="Times New Roman" w:cs="Times New Roman"/>
          <w:szCs w:val="24"/>
        </w:rPr>
      </w:pPr>
    </w:p>
    <w:p w14:paraId="2C79CB84" w14:textId="77777777" w:rsidR="00532539" w:rsidRPr="0001149D" w:rsidRDefault="00532539" w:rsidP="00532539">
      <w:pPr>
        <w:spacing w:before="20" w:after="20" w:line="240" w:lineRule="auto"/>
        <w:ind w:right="107"/>
        <w:rPr>
          <w:rFonts w:ascii="Times New Roman" w:hAnsi="Times New Roman" w:cs="Times New Roman"/>
          <w:b/>
          <w:szCs w:val="24"/>
        </w:rPr>
      </w:pPr>
      <w:r w:rsidRPr="0001149D">
        <w:rPr>
          <w:rFonts w:ascii="Times New Roman" w:hAnsi="Times New Roman" w:cs="Times New Roman"/>
          <w:b/>
          <w:szCs w:val="24"/>
        </w:rPr>
        <w:t>Table 3</w:t>
      </w:r>
    </w:p>
    <w:p w14:paraId="578141EC"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
          <w:iCs/>
        </w:rPr>
      </w:pPr>
      <w:bookmarkStart w:id="11" w:name="_Hlk201499858"/>
      <w:r w:rsidRPr="0001149D">
        <w:rPr>
          <w:rFonts w:ascii="Times New Roman" w:hAnsi="Times New Roman" w:cs="Times New Roman"/>
          <w:b/>
          <w:i/>
          <w:iCs/>
        </w:rPr>
        <w:t>Academic Goal Orientation among Senior High School Grade 12 Students</w:t>
      </w:r>
    </w:p>
    <w:tbl>
      <w:tblPr>
        <w:tblpPr w:leftFromText="180" w:rightFromText="180" w:vertAnchor="text" w:horzAnchor="margin" w:tblpXSpec="center" w:tblpY="77"/>
        <w:tblW w:w="10324" w:type="dxa"/>
        <w:tblLayout w:type="fixed"/>
        <w:tblCellMar>
          <w:left w:w="0" w:type="dxa"/>
          <w:right w:w="0" w:type="dxa"/>
        </w:tblCellMar>
        <w:tblLook w:val="0000" w:firstRow="0" w:lastRow="0" w:firstColumn="0" w:lastColumn="0" w:noHBand="0" w:noVBand="0"/>
      </w:tblPr>
      <w:tblGrid>
        <w:gridCol w:w="4134"/>
        <w:gridCol w:w="1257"/>
        <w:gridCol w:w="1759"/>
        <w:gridCol w:w="3174"/>
      </w:tblGrid>
      <w:tr w:rsidR="0001149D" w:rsidRPr="0001149D" w14:paraId="339DF77C" w14:textId="77777777" w:rsidTr="00597A24">
        <w:trPr>
          <w:trHeight w:val="462"/>
        </w:trPr>
        <w:tc>
          <w:tcPr>
            <w:tcW w:w="4134" w:type="dxa"/>
            <w:tcBorders>
              <w:top w:val="single" w:sz="4" w:space="0" w:color="000000"/>
              <w:left w:val="none" w:sz="6" w:space="0" w:color="auto"/>
              <w:bottom w:val="single" w:sz="4" w:space="0" w:color="000000"/>
              <w:right w:val="none" w:sz="6" w:space="0" w:color="auto"/>
            </w:tcBorders>
            <w:vAlign w:val="center"/>
          </w:tcPr>
          <w:p w14:paraId="14CAD2B4"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Indicator</w:t>
            </w:r>
          </w:p>
        </w:tc>
        <w:tc>
          <w:tcPr>
            <w:tcW w:w="1257" w:type="dxa"/>
            <w:tcBorders>
              <w:top w:val="single" w:sz="4" w:space="0" w:color="000000"/>
              <w:left w:val="none" w:sz="6" w:space="0" w:color="auto"/>
              <w:bottom w:val="single" w:sz="4" w:space="0" w:color="000000"/>
              <w:right w:val="none" w:sz="6" w:space="0" w:color="auto"/>
            </w:tcBorders>
            <w:vAlign w:val="center"/>
          </w:tcPr>
          <w:p w14:paraId="4402004F"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SD</w:t>
            </w:r>
          </w:p>
        </w:tc>
        <w:tc>
          <w:tcPr>
            <w:tcW w:w="1759" w:type="dxa"/>
            <w:tcBorders>
              <w:top w:val="single" w:sz="4" w:space="0" w:color="000000"/>
              <w:left w:val="none" w:sz="6" w:space="0" w:color="auto"/>
              <w:bottom w:val="single" w:sz="4" w:space="0" w:color="000000"/>
              <w:right w:val="none" w:sz="6" w:space="0" w:color="auto"/>
            </w:tcBorders>
            <w:vAlign w:val="center"/>
          </w:tcPr>
          <w:p w14:paraId="1BD2A407" w14:textId="77777777" w:rsidR="00532539" w:rsidRPr="0001149D" w:rsidRDefault="00532539" w:rsidP="00532539">
            <w:pPr>
              <w:kinsoku w:val="0"/>
              <w:overflowPunct w:val="0"/>
              <w:spacing w:before="20" w:after="20" w:line="240" w:lineRule="auto"/>
              <w:ind w:left="320" w:right="107"/>
              <w:jc w:val="center"/>
              <w:rPr>
                <w:rFonts w:ascii="Times New Roman" w:hAnsi="Times New Roman" w:cs="Times New Roman"/>
                <w:b/>
                <w:szCs w:val="24"/>
              </w:rPr>
            </w:pPr>
            <w:r w:rsidRPr="0001149D">
              <w:rPr>
                <w:rFonts w:ascii="Times New Roman" w:hAnsi="Times New Roman" w:cs="Times New Roman"/>
                <w:b/>
                <w:szCs w:val="24"/>
              </w:rPr>
              <w:t>Mean</w:t>
            </w:r>
          </w:p>
        </w:tc>
        <w:tc>
          <w:tcPr>
            <w:tcW w:w="3174" w:type="dxa"/>
            <w:tcBorders>
              <w:top w:val="single" w:sz="4" w:space="0" w:color="000000"/>
              <w:left w:val="none" w:sz="6" w:space="0" w:color="auto"/>
              <w:bottom w:val="single" w:sz="4" w:space="0" w:color="000000"/>
              <w:right w:val="none" w:sz="6" w:space="0" w:color="auto"/>
            </w:tcBorders>
            <w:vAlign w:val="center"/>
          </w:tcPr>
          <w:p w14:paraId="7AEB6566"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szCs w:val="24"/>
              </w:rPr>
            </w:pPr>
            <w:r w:rsidRPr="0001149D">
              <w:rPr>
                <w:rFonts w:ascii="Times New Roman" w:hAnsi="Times New Roman" w:cs="Times New Roman"/>
                <w:b/>
                <w:szCs w:val="24"/>
              </w:rPr>
              <w:t>Descriptive Level</w:t>
            </w:r>
          </w:p>
        </w:tc>
      </w:tr>
      <w:tr w:rsidR="0001149D" w:rsidRPr="0001149D" w14:paraId="1BBB1F50" w14:textId="77777777" w:rsidTr="00597A24">
        <w:trPr>
          <w:trHeight w:val="353"/>
        </w:trPr>
        <w:tc>
          <w:tcPr>
            <w:tcW w:w="4134" w:type="dxa"/>
            <w:tcBorders>
              <w:top w:val="single" w:sz="4" w:space="0" w:color="000000"/>
              <w:left w:val="none" w:sz="6" w:space="0" w:color="auto"/>
              <w:bottom w:val="none" w:sz="6" w:space="0" w:color="auto"/>
              <w:right w:val="none" w:sz="6" w:space="0" w:color="auto"/>
            </w:tcBorders>
            <w:vAlign w:val="center"/>
          </w:tcPr>
          <w:p w14:paraId="4E2C2C95"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Ego Self-Frustation Goal</w:t>
            </w:r>
          </w:p>
        </w:tc>
        <w:tc>
          <w:tcPr>
            <w:tcW w:w="1257" w:type="dxa"/>
            <w:tcBorders>
              <w:top w:val="single" w:sz="4" w:space="0" w:color="000000"/>
              <w:left w:val="none" w:sz="6" w:space="0" w:color="auto"/>
              <w:bottom w:val="none" w:sz="6" w:space="0" w:color="auto"/>
              <w:right w:val="none" w:sz="6" w:space="0" w:color="auto"/>
            </w:tcBorders>
            <w:vAlign w:val="center"/>
          </w:tcPr>
          <w:p w14:paraId="0FB7367C"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1.14</w:t>
            </w:r>
          </w:p>
        </w:tc>
        <w:tc>
          <w:tcPr>
            <w:tcW w:w="1759" w:type="dxa"/>
            <w:tcBorders>
              <w:top w:val="single" w:sz="4" w:space="0" w:color="000000"/>
              <w:left w:val="none" w:sz="6" w:space="0" w:color="auto"/>
              <w:bottom w:val="none" w:sz="6" w:space="0" w:color="auto"/>
              <w:right w:val="none" w:sz="6" w:space="0" w:color="auto"/>
            </w:tcBorders>
            <w:vAlign w:val="center"/>
          </w:tcPr>
          <w:p w14:paraId="02B1EB2C"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3.86</w:t>
            </w:r>
          </w:p>
        </w:tc>
        <w:tc>
          <w:tcPr>
            <w:tcW w:w="3174" w:type="dxa"/>
            <w:tcBorders>
              <w:top w:val="single" w:sz="4" w:space="0" w:color="000000"/>
              <w:left w:val="none" w:sz="6" w:space="0" w:color="auto"/>
              <w:bottom w:val="none" w:sz="6" w:space="0" w:color="auto"/>
              <w:right w:val="none" w:sz="6" w:space="0" w:color="auto"/>
            </w:tcBorders>
            <w:vAlign w:val="center"/>
          </w:tcPr>
          <w:p w14:paraId="7E97AC54"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52599810" w14:textId="77777777" w:rsidTr="00597A24">
        <w:trPr>
          <w:trHeight w:val="390"/>
        </w:trPr>
        <w:tc>
          <w:tcPr>
            <w:tcW w:w="4134" w:type="dxa"/>
            <w:tcBorders>
              <w:top w:val="none" w:sz="6" w:space="0" w:color="auto"/>
              <w:left w:val="none" w:sz="6" w:space="0" w:color="auto"/>
              <w:bottom w:val="none" w:sz="6" w:space="0" w:color="auto"/>
              <w:right w:val="none" w:sz="6" w:space="0" w:color="auto"/>
            </w:tcBorders>
            <w:vAlign w:val="center"/>
          </w:tcPr>
          <w:p w14:paraId="74ACEFCA"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Ego Self-Enhancement Goal</w:t>
            </w:r>
          </w:p>
        </w:tc>
        <w:tc>
          <w:tcPr>
            <w:tcW w:w="1257" w:type="dxa"/>
            <w:tcBorders>
              <w:top w:val="none" w:sz="6" w:space="0" w:color="auto"/>
              <w:left w:val="none" w:sz="6" w:space="0" w:color="auto"/>
              <w:bottom w:val="none" w:sz="6" w:space="0" w:color="auto"/>
              <w:right w:val="none" w:sz="6" w:space="0" w:color="auto"/>
            </w:tcBorders>
            <w:vAlign w:val="center"/>
          </w:tcPr>
          <w:p w14:paraId="29780D46"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1.19</w:t>
            </w:r>
          </w:p>
        </w:tc>
        <w:tc>
          <w:tcPr>
            <w:tcW w:w="1759" w:type="dxa"/>
            <w:tcBorders>
              <w:top w:val="none" w:sz="6" w:space="0" w:color="auto"/>
              <w:left w:val="none" w:sz="6" w:space="0" w:color="auto"/>
              <w:bottom w:val="none" w:sz="6" w:space="0" w:color="auto"/>
              <w:right w:val="none" w:sz="6" w:space="0" w:color="auto"/>
            </w:tcBorders>
            <w:vAlign w:val="center"/>
          </w:tcPr>
          <w:p w14:paraId="7DA1F7B0"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3.53</w:t>
            </w:r>
          </w:p>
        </w:tc>
        <w:tc>
          <w:tcPr>
            <w:tcW w:w="3174" w:type="dxa"/>
            <w:tcBorders>
              <w:top w:val="none" w:sz="6" w:space="0" w:color="auto"/>
              <w:left w:val="none" w:sz="6" w:space="0" w:color="auto"/>
              <w:bottom w:val="none" w:sz="6" w:space="0" w:color="auto"/>
              <w:right w:val="none" w:sz="6" w:space="0" w:color="auto"/>
            </w:tcBorders>
            <w:vAlign w:val="center"/>
          </w:tcPr>
          <w:p w14:paraId="49A82328"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3F77C51A" w14:textId="77777777" w:rsidTr="00597A24">
        <w:trPr>
          <w:trHeight w:val="390"/>
        </w:trPr>
        <w:tc>
          <w:tcPr>
            <w:tcW w:w="4134" w:type="dxa"/>
            <w:tcBorders>
              <w:top w:val="none" w:sz="6" w:space="0" w:color="auto"/>
              <w:left w:val="none" w:sz="6" w:space="0" w:color="auto"/>
              <w:bottom w:val="none" w:sz="6" w:space="0" w:color="auto"/>
              <w:right w:val="none" w:sz="6" w:space="0" w:color="auto"/>
            </w:tcBorders>
            <w:vAlign w:val="center"/>
          </w:tcPr>
          <w:p w14:paraId="522B722E"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Work Avoidance Goal</w:t>
            </w:r>
          </w:p>
        </w:tc>
        <w:tc>
          <w:tcPr>
            <w:tcW w:w="1257" w:type="dxa"/>
            <w:tcBorders>
              <w:top w:val="none" w:sz="6" w:space="0" w:color="auto"/>
              <w:left w:val="none" w:sz="6" w:space="0" w:color="auto"/>
              <w:bottom w:val="none" w:sz="6" w:space="0" w:color="auto"/>
              <w:right w:val="none" w:sz="6" w:space="0" w:color="auto"/>
            </w:tcBorders>
            <w:vAlign w:val="center"/>
          </w:tcPr>
          <w:p w14:paraId="67C83CC7"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0.95</w:t>
            </w:r>
          </w:p>
        </w:tc>
        <w:tc>
          <w:tcPr>
            <w:tcW w:w="1759" w:type="dxa"/>
            <w:tcBorders>
              <w:top w:val="none" w:sz="6" w:space="0" w:color="auto"/>
              <w:left w:val="none" w:sz="6" w:space="0" w:color="auto"/>
              <w:bottom w:val="none" w:sz="6" w:space="0" w:color="auto"/>
              <w:right w:val="none" w:sz="6" w:space="0" w:color="auto"/>
            </w:tcBorders>
            <w:vAlign w:val="center"/>
          </w:tcPr>
          <w:p w14:paraId="07D097FB"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4.06</w:t>
            </w:r>
          </w:p>
        </w:tc>
        <w:tc>
          <w:tcPr>
            <w:tcW w:w="3174" w:type="dxa"/>
            <w:tcBorders>
              <w:top w:val="none" w:sz="6" w:space="0" w:color="auto"/>
              <w:left w:val="none" w:sz="6" w:space="0" w:color="auto"/>
              <w:bottom w:val="none" w:sz="6" w:space="0" w:color="auto"/>
              <w:right w:val="none" w:sz="6" w:space="0" w:color="auto"/>
            </w:tcBorders>
            <w:vAlign w:val="center"/>
          </w:tcPr>
          <w:p w14:paraId="68632B0F"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73229A83" w14:textId="77777777" w:rsidTr="00597A24">
        <w:trPr>
          <w:trHeight w:val="390"/>
        </w:trPr>
        <w:tc>
          <w:tcPr>
            <w:tcW w:w="4134" w:type="dxa"/>
            <w:tcBorders>
              <w:top w:val="none" w:sz="6" w:space="0" w:color="auto"/>
              <w:left w:val="none" w:sz="6" w:space="0" w:color="auto"/>
              <w:bottom w:val="none" w:sz="6" w:space="0" w:color="auto"/>
              <w:right w:val="none" w:sz="6" w:space="0" w:color="auto"/>
            </w:tcBorders>
            <w:vAlign w:val="center"/>
          </w:tcPr>
          <w:p w14:paraId="70D14A70"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Learning or Task Goal</w:t>
            </w:r>
          </w:p>
        </w:tc>
        <w:tc>
          <w:tcPr>
            <w:tcW w:w="1257" w:type="dxa"/>
            <w:tcBorders>
              <w:top w:val="none" w:sz="6" w:space="0" w:color="auto"/>
              <w:left w:val="none" w:sz="6" w:space="0" w:color="auto"/>
              <w:bottom w:val="none" w:sz="6" w:space="0" w:color="auto"/>
              <w:right w:val="none" w:sz="6" w:space="0" w:color="auto"/>
            </w:tcBorders>
            <w:vAlign w:val="center"/>
          </w:tcPr>
          <w:p w14:paraId="28219C48"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0.81</w:t>
            </w:r>
          </w:p>
        </w:tc>
        <w:tc>
          <w:tcPr>
            <w:tcW w:w="1759" w:type="dxa"/>
            <w:tcBorders>
              <w:top w:val="none" w:sz="6" w:space="0" w:color="auto"/>
              <w:left w:val="none" w:sz="6" w:space="0" w:color="auto"/>
              <w:bottom w:val="none" w:sz="6" w:space="0" w:color="auto"/>
              <w:right w:val="none" w:sz="6" w:space="0" w:color="auto"/>
            </w:tcBorders>
            <w:vAlign w:val="center"/>
          </w:tcPr>
          <w:p w14:paraId="2C7537B8"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4.32</w:t>
            </w:r>
          </w:p>
        </w:tc>
        <w:tc>
          <w:tcPr>
            <w:tcW w:w="3174" w:type="dxa"/>
            <w:tcBorders>
              <w:top w:val="none" w:sz="6" w:space="0" w:color="auto"/>
              <w:left w:val="none" w:sz="6" w:space="0" w:color="auto"/>
              <w:bottom w:val="none" w:sz="6" w:space="0" w:color="auto"/>
              <w:right w:val="none" w:sz="6" w:space="0" w:color="auto"/>
            </w:tcBorders>
            <w:vAlign w:val="center"/>
          </w:tcPr>
          <w:p w14:paraId="27E76536"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Very High</w:t>
            </w:r>
          </w:p>
        </w:tc>
      </w:tr>
      <w:tr w:rsidR="0001149D" w:rsidRPr="0001149D" w14:paraId="09E8933E" w14:textId="77777777" w:rsidTr="00597A24">
        <w:trPr>
          <w:trHeight w:val="635"/>
        </w:trPr>
        <w:tc>
          <w:tcPr>
            <w:tcW w:w="4134" w:type="dxa"/>
            <w:tcBorders>
              <w:top w:val="none" w:sz="6" w:space="0" w:color="auto"/>
              <w:left w:val="none" w:sz="6" w:space="0" w:color="auto"/>
              <w:bottom w:val="single" w:sz="4" w:space="0" w:color="000000"/>
              <w:right w:val="none" w:sz="6" w:space="0" w:color="auto"/>
            </w:tcBorders>
            <w:vAlign w:val="center"/>
          </w:tcPr>
          <w:p w14:paraId="118E81E3"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Overall</w:t>
            </w:r>
          </w:p>
        </w:tc>
        <w:tc>
          <w:tcPr>
            <w:tcW w:w="1257" w:type="dxa"/>
            <w:tcBorders>
              <w:top w:val="none" w:sz="6" w:space="0" w:color="auto"/>
              <w:left w:val="none" w:sz="6" w:space="0" w:color="auto"/>
              <w:bottom w:val="single" w:sz="4" w:space="0" w:color="000000"/>
              <w:right w:val="none" w:sz="6" w:space="0" w:color="auto"/>
            </w:tcBorders>
            <w:vAlign w:val="center"/>
          </w:tcPr>
          <w:p w14:paraId="2319A354"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b/>
                <w:bCs/>
                <w:szCs w:val="24"/>
              </w:rPr>
            </w:pPr>
            <w:r w:rsidRPr="0001149D">
              <w:rPr>
                <w:rFonts w:ascii="Times New Roman" w:hAnsi="Times New Roman" w:cs="Times New Roman"/>
                <w:b/>
                <w:bCs/>
                <w:szCs w:val="24"/>
              </w:rPr>
              <w:t>1.02</w:t>
            </w:r>
          </w:p>
        </w:tc>
        <w:tc>
          <w:tcPr>
            <w:tcW w:w="1759" w:type="dxa"/>
            <w:tcBorders>
              <w:top w:val="none" w:sz="6" w:space="0" w:color="auto"/>
              <w:left w:val="none" w:sz="6" w:space="0" w:color="auto"/>
              <w:bottom w:val="single" w:sz="4" w:space="0" w:color="000000"/>
              <w:right w:val="none" w:sz="6" w:space="0" w:color="auto"/>
            </w:tcBorders>
            <w:vAlign w:val="center"/>
          </w:tcPr>
          <w:p w14:paraId="299B9A65"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b/>
                <w:bCs/>
                <w:szCs w:val="24"/>
              </w:rPr>
            </w:pPr>
            <w:r w:rsidRPr="0001149D">
              <w:rPr>
                <w:rFonts w:ascii="Times New Roman" w:hAnsi="Times New Roman" w:cs="Times New Roman"/>
                <w:b/>
                <w:bCs/>
                <w:szCs w:val="24"/>
              </w:rPr>
              <w:t>3.94</w:t>
            </w:r>
          </w:p>
        </w:tc>
        <w:tc>
          <w:tcPr>
            <w:tcW w:w="3174" w:type="dxa"/>
            <w:tcBorders>
              <w:top w:val="none" w:sz="6" w:space="0" w:color="auto"/>
              <w:left w:val="none" w:sz="6" w:space="0" w:color="auto"/>
              <w:bottom w:val="single" w:sz="4" w:space="0" w:color="000000"/>
              <w:right w:val="none" w:sz="6" w:space="0" w:color="auto"/>
            </w:tcBorders>
            <w:vAlign w:val="center"/>
          </w:tcPr>
          <w:p w14:paraId="517ED61A"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bCs/>
                <w:szCs w:val="24"/>
              </w:rPr>
            </w:pPr>
            <w:r w:rsidRPr="0001149D">
              <w:rPr>
                <w:rFonts w:ascii="Times New Roman" w:hAnsi="Times New Roman" w:cs="Times New Roman"/>
                <w:b/>
                <w:bCs/>
                <w:szCs w:val="24"/>
              </w:rPr>
              <w:t>High</w:t>
            </w:r>
          </w:p>
        </w:tc>
      </w:tr>
      <w:bookmarkEnd w:id="11"/>
    </w:tbl>
    <w:p w14:paraId="3A65654D" w14:textId="77777777" w:rsidR="00532539" w:rsidRPr="0001149D" w:rsidRDefault="00532539" w:rsidP="00532539">
      <w:pPr>
        <w:spacing w:line="240" w:lineRule="auto"/>
        <w:ind w:right="107"/>
        <w:rPr>
          <w:rFonts w:ascii="Times New Roman" w:hAnsi="Times New Roman" w:cs="Times New Roman"/>
          <w:szCs w:val="24"/>
        </w:rPr>
      </w:pPr>
    </w:p>
    <w:p w14:paraId="5EEC0227" w14:textId="4834165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Meanwhile, the overall mean was described as </w:t>
      </w:r>
      <w:r w:rsidRPr="0001149D">
        <w:rPr>
          <w:rFonts w:ascii="Times New Roman" w:hAnsi="Times New Roman" w:cs="Times New Roman"/>
          <w:i/>
          <w:iCs/>
          <w:szCs w:val="24"/>
        </w:rPr>
        <w:t>high</w:t>
      </w:r>
      <w:r w:rsidRPr="0001149D">
        <w:rPr>
          <w:rFonts w:ascii="Times New Roman" w:hAnsi="Times New Roman" w:cs="Times New Roman"/>
          <w:szCs w:val="24"/>
        </w:rPr>
        <w:t>. This means that academically goal-oriented students frequently demonstrate in learning English. The very high level of learning or task-oriented goals suggests that they are highly motivated to enhance their English language skills. This also implies that students like to learn interesting things, always try to do better than other students, strive for higher grades, are eager to learn new things, and are concerned about improving their skills/abilities in class.</w:t>
      </w:r>
    </w:p>
    <w:p w14:paraId="1F1B8170" w14:textId="599D5880"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lastRenderedPageBreak/>
        <w:t>This corresponds to Rinthapol's (38) statement that high levels of academic goal orientation are more likely to lead to an appropriate response to failure, which helps maintain self-efficacy. Conversely, students with academic goal orientation are more likely to exhibit high levels of effort and persistence. In addition, the positive effects of academic goal orientation on student effort have long been supported. Students who adopt academic goal orientation apply greater effort and persist through difficulties in learning situations (Sapio, 3).</w:t>
      </w:r>
    </w:p>
    <w:p w14:paraId="474472A9" w14:textId="77777777" w:rsidR="00AB189D" w:rsidRPr="0001149D" w:rsidRDefault="00AB189D" w:rsidP="00532539">
      <w:pPr>
        <w:spacing w:line="240" w:lineRule="auto"/>
        <w:ind w:right="107"/>
        <w:rPr>
          <w:rFonts w:ascii="Times New Roman" w:hAnsi="Times New Roman" w:cs="Times New Roman"/>
          <w:b/>
          <w:szCs w:val="24"/>
        </w:rPr>
      </w:pPr>
    </w:p>
    <w:p w14:paraId="7D417568" w14:textId="7316A853" w:rsidR="00532539" w:rsidRPr="0001149D" w:rsidRDefault="00532539" w:rsidP="00AB189D">
      <w:pPr>
        <w:spacing w:line="240" w:lineRule="auto"/>
        <w:ind w:right="107" w:firstLine="0"/>
        <w:rPr>
          <w:rFonts w:ascii="Times New Roman" w:hAnsi="Times New Roman" w:cs="Times New Roman"/>
          <w:b/>
          <w:szCs w:val="24"/>
        </w:rPr>
      </w:pPr>
      <w:r w:rsidRPr="0001149D">
        <w:rPr>
          <w:rFonts w:ascii="Times New Roman" w:hAnsi="Times New Roman" w:cs="Times New Roman"/>
          <w:b/>
          <w:szCs w:val="24"/>
        </w:rPr>
        <w:t xml:space="preserve">Correlations between Language Learning Strategies, </w:t>
      </w:r>
    </w:p>
    <w:p w14:paraId="5342212C"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 xml:space="preserve">Language Classroom Anxiety, And Academic </w:t>
      </w:r>
    </w:p>
    <w:p w14:paraId="2AFF81B5"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 xml:space="preserve">Goal Orientation among Senior High School </w:t>
      </w:r>
    </w:p>
    <w:p w14:paraId="271FC5BC"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Grade 12 Students</w:t>
      </w:r>
    </w:p>
    <w:p w14:paraId="08F193FE" w14:textId="77777777" w:rsidR="00532539" w:rsidRPr="0001149D" w:rsidRDefault="00532539" w:rsidP="00532539">
      <w:pPr>
        <w:spacing w:before="20" w:after="20" w:line="240" w:lineRule="auto"/>
        <w:ind w:right="107"/>
        <w:rPr>
          <w:rFonts w:ascii="Times New Roman" w:hAnsi="Times New Roman" w:cs="Times New Roman"/>
          <w:b/>
          <w:szCs w:val="24"/>
        </w:rPr>
      </w:pPr>
    </w:p>
    <w:p w14:paraId="36C730D2" w14:textId="4B3596DF"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Displayed in Table 4 are the results of the relationship between the independent (Language Learning Strategies), dependent Language Classroom Anxiety), and mediator (Academic Goal Orientation) variables. A bivariate Pearson product-moment correlation was used to assess the relationship between the variables. The first zero-order correlation analysis between Language Learning Strategies and Language classroom anxiety revealed a computed </w:t>
      </w:r>
      <w:r w:rsidRPr="0001149D">
        <w:rPr>
          <w:rFonts w:ascii="Times New Roman" w:hAnsi="Times New Roman" w:cs="Times New Roman"/>
          <w:i/>
          <w:iCs/>
          <w:szCs w:val="24"/>
        </w:rPr>
        <w:t>r</w:t>
      </w:r>
      <w:r w:rsidRPr="0001149D">
        <w:rPr>
          <w:rFonts w:ascii="Times New Roman" w:hAnsi="Times New Roman" w:cs="Times New Roman"/>
          <w:szCs w:val="24"/>
        </w:rPr>
        <w:t>-value of 0.116, with a probability value of p&lt;0.000, which is significant at the 0.05 level. This indicates a strong, positive association between the two variables. Thus, the null hypothesis of no significant relationship is therefore rejected.</w:t>
      </w:r>
    </w:p>
    <w:p w14:paraId="16819306" w14:textId="77777777" w:rsidR="00837EA4" w:rsidRPr="0001149D" w:rsidRDefault="00532539" w:rsidP="00837EA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test of the relationship between language learning strategies and language classroom anxiety revealed a significant relationship. This implies that the language learning strategies of grade 12 senior high school students are correlated with their language classroom anxiety. In other words, it revealed a very low positive correlation between language-learning strategies and language-classroom anxiety. This suggests that language learning strategies and language classroom anxiety have a</w:t>
      </w:r>
      <w:r w:rsidR="00837EA4" w:rsidRPr="0001149D">
        <w:rPr>
          <w:rFonts w:ascii="Times New Roman" w:hAnsi="Times New Roman" w:cs="Times New Roman"/>
          <w:szCs w:val="24"/>
        </w:rPr>
        <w:t xml:space="preserve"> weaker correlation: when language learning strategies increase, language classroom anxiety tends to increase as well, though only weakly or inconsistently.</w:t>
      </w:r>
    </w:p>
    <w:p w14:paraId="12A8AEF3" w14:textId="26D00CA3" w:rsidR="00532539" w:rsidRPr="0001149D" w:rsidRDefault="00532539" w:rsidP="00532539">
      <w:pPr>
        <w:spacing w:before="20" w:after="20" w:line="240" w:lineRule="auto"/>
        <w:ind w:right="107"/>
        <w:rPr>
          <w:rFonts w:ascii="Times New Roman" w:hAnsi="Times New Roman" w:cs="Times New Roman"/>
          <w:szCs w:val="24"/>
        </w:rPr>
      </w:pPr>
    </w:p>
    <w:p w14:paraId="6C4C5EC4" w14:textId="77777777" w:rsidR="00532539" w:rsidRPr="0001149D" w:rsidRDefault="00532539" w:rsidP="00532539">
      <w:pPr>
        <w:spacing w:before="20" w:after="20" w:line="240" w:lineRule="auto"/>
        <w:ind w:right="107"/>
        <w:rPr>
          <w:rFonts w:ascii="Times New Roman" w:hAnsi="Times New Roman" w:cs="Times New Roman"/>
          <w:b/>
          <w:szCs w:val="24"/>
        </w:rPr>
      </w:pPr>
      <w:r w:rsidRPr="0001149D">
        <w:rPr>
          <w:rFonts w:ascii="Times New Roman" w:hAnsi="Times New Roman" w:cs="Times New Roman"/>
          <w:b/>
          <w:szCs w:val="24"/>
        </w:rPr>
        <w:t>Table 4</w:t>
      </w:r>
    </w:p>
    <w:p w14:paraId="48DC71C6" w14:textId="77777777" w:rsidR="00532539" w:rsidRPr="0001149D" w:rsidRDefault="00532539" w:rsidP="00532539">
      <w:pPr>
        <w:pStyle w:val="BodyText"/>
        <w:kinsoku w:val="0"/>
        <w:overflowPunct w:val="0"/>
        <w:spacing w:before="20" w:after="20"/>
        <w:ind w:right="107"/>
        <w:rPr>
          <w:rFonts w:ascii="Times New Roman" w:hAnsi="Times New Roman" w:cs="Times New Roman"/>
          <w:b/>
          <w:i/>
          <w:iCs/>
          <w:szCs w:val="24"/>
        </w:rPr>
      </w:pPr>
      <w:bookmarkStart w:id="12" w:name="_Hlk201499865"/>
      <w:r w:rsidRPr="0001149D">
        <w:rPr>
          <w:rFonts w:ascii="Times New Roman" w:hAnsi="Times New Roman" w:cs="Times New Roman"/>
          <w:b/>
          <w:i/>
          <w:iCs/>
          <w:szCs w:val="24"/>
        </w:rPr>
        <w:t>Correlation analysis of</w:t>
      </w:r>
      <w:r w:rsidRPr="0001149D">
        <w:rPr>
          <w:rFonts w:ascii="Times New Roman" w:hAnsi="Times New Roman" w:cs="Times New Roman"/>
          <w:b/>
          <w:i/>
          <w:iCs/>
          <w:spacing w:val="-1"/>
          <w:szCs w:val="24"/>
        </w:rPr>
        <w:t xml:space="preserve"> </w:t>
      </w:r>
      <w:r w:rsidRPr="0001149D">
        <w:rPr>
          <w:rFonts w:ascii="Times New Roman" w:hAnsi="Times New Roman" w:cs="Times New Roman"/>
          <w:b/>
          <w:i/>
          <w:iCs/>
          <w:szCs w:val="24"/>
        </w:rPr>
        <w:t>the variables</w:t>
      </w:r>
    </w:p>
    <w:tbl>
      <w:tblPr>
        <w:tblStyle w:val="TableGrid"/>
        <w:tblW w:w="10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3043"/>
        <w:gridCol w:w="2146"/>
        <w:gridCol w:w="1827"/>
        <w:gridCol w:w="1753"/>
      </w:tblGrid>
      <w:tr w:rsidR="0001149D" w:rsidRPr="0001149D" w14:paraId="75F7E994" w14:textId="77777777" w:rsidTr="00837EA4">
        <w:trPr>
          <w:trHeight w:val="286"/>
          <w:jc w:val="center"/>
        </w:trPr>
        <w:tc>
          <w:tcPr>
            <w:tcW w:w="1841" w:type="dxa"/>
            <w:tcBorders>
              <w:top w:val="single" w:sz="4" w:space="0" w:color="auto"/>
              <w:bottom w:val="single" w:sz="4" w:space="0" w:color="auto"/>
            </w:tcBorders>
            <w:vAlign w:val="center"/>
          </w:tcPr>
          <w:p w14:paraId="4C059A69"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Pair</w:t>
            </w:r>
          </w:p>
        </w:tc>
        <w:tc>
          <w:tcPr>
            <w:tcW w:w="3043" w:type="dxa"/>
            <w:tcBorders>
              <w:top w:val="single" w:sz="4" w:space="0" w:color="auto"/>
              <w:bottom w:val="single" w:sz="4" w:space="0" w:color="auto"/>
            </w:tcBorders>
            <w:vAlign w:val="center"/>
          </w:tcPr>
          <w:p w14:paraId="0E01940D"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Variables</w:t>
            </w:r>
          </w:p>
        </w:tc>
        <w:tc>
          <w:tcPr>
            <w:tcW w:w="2146" w:type="dxa"/>
            <w:tcBorders>
              <w:top w:val="single" w:sz="4" w:space="0" w:color="auto"/>
              <w:bottom w:val="single" w:sz="4" w:space="0" w:color="auto"/>
            </w:tcBorders>
            <w:vAlign w:val="center"/>
          </w:tcPr>
          <w:p w14:paraId="6D996B65"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Correlation Coefficient</w:t>
            </w:r>
          </w:p>
        </w:tc>
        <w:tc>
          <w:tcPr>
            <w:tcW w:w="1827" w:type="dxa"/>
            <w:tcBorders>
              <w:top w:val="single" w:sz="4" w:space="0" w:color="auto"/>
              <w:bottom w:val="single" w:sz="4" w:space="0" w:color="auto"/>
            </w:tcBorders>
            <w:vAlign w:val="center"/>
          </w:tcPr>
          <w:p w14:paraId="31B9F622"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p-value</w:t>
            </w:r>
          </w:p>
        </w:tc>
        <w:tc>
          <w:tcPr>
            <w:tcW w:w="1753" w:type="dxa"/>
            <w:tcBorders>
              <w:top w:val="single" w:sz="4" w:space="0" w:color="auto"/>
              <w:bottom w:val="single" w:sz="4" w:space="0" w:color="auto"/>
            </w:tcBorders>
            <w:vAlign w:val="center"/>
          </w:tcPr>
          <w:p w14:paraId="46243451"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Decision on Ho</w:t>
            </w:r>
          </w:p>
        </w:tc>
      </w:tr>
      <w:tr w:rsidR="0001149D" w:rsidRPr="0001149D" w14:paraId="35037067" w14:textId="77777777" w:rsidTr="00837EA4">
        <w:trPr>
          <w:trHeight w:val="425"/>
          <w:jc w:val="center"/>
        </w:trPr>
        <w:tc>
          <w:tcPr>
            <w:tcW w:w="1841" w:type="dxa"/>
            <w:tcBorders>
              <w:top w:val="single" w:sz="4" w:space="0" w:color="auto"/>
            </w:tcBorders>
            <w:vAlign w:val="center"/>
          </w:tcPr>
          <w:p w14:paraId="42C8D105" w14:textId="77777777" w:rsidR="00532539" w:rsidRPr="0001149D" w:rsidRDefault="00532539" w:rsidP="00837EA4">
            <w:pPr>
              <w:spacing w:before="20" w:after="20" w:line="240" w:lineRule="auto"/>
              <w:ind w:right="107" w:firstLine="317"/>
              <w:jc w:val="center"/>
              <w:rPr>
                <w:rFonts w:ascii="Times New Roman" w:hAnsi="Times New Roman" w:cs="Times New Roman"/>
                <w:szCs w:val="24"/>
              </w:rPr>
            </w:pPr>
            <w:r w:rsidRPr="0001149D">
              <w:rPr>
                <w:rFonts w:ascii="Times New Roman" w:hAnsi="Times New Roman" w:cs="Times New Roman"/>
                <w:szCs w:val="24"/>
              </w:rPr>
              <w:t>IV and DV</w:t>
            </w:r>
          </w:p>
        </w:tc>
        <w:tc>
          <w:tcPr>
            <w:tcW w:w="3043" w:type="dxa"/>
            <w:tcBorders>
              <w:top w:val="single" w:sz="4" w:space="0" w:color="auto"/>
            </w:tcBorders>
            <w:vAlign w:val="center"/>
          </w:tcPr>
          <w:p w14:paraId="2D078934" w14:textId="77777777" w:rsidR="00532539" w:rsidRPr="0001149D" w:rsidRDefault="00532539" w:rsidP="00837EA4">
            <w:pPr>
              <w:spacing w:before="20" w:after="20" w:line="240" w:lineRule="auto"/>
              <w:ind w:right="107" w:firstLine="467"/>
              <w:jc w:val="center"/>
              <w:rPr>
                <w:rFonts w:ascii="Times New Roman" w:hAnsi="Times New Roman" w:cs="Times New Roman"/>
                <w:szCs w:val="24"/>
              </w:rPr>
            </w:pPr>
            <w:r w:rsidRPr="0001149D">
              <w:rPr>
                <w:rFonts w:ascii="Times New Roman" w:hAnsi="Times New Roman" w:cs="Times New Roman"/>
                <w:szCs w:val="24"/>
              </w:rPr>
              <w:t>Language Learning Strategies and Language Classroom Anxiety</w:t>
            </w:r>
          </w:p>
        </w:tc>
        <w:tc>
          <w:tcPr>
            <w:tcW w:w="2146" w:type="dxa"/>
            <w:tcBorders>
              <w:top w:val="single" w:sz="4" w:space="0" w:color="auto"/>
            </w:tcBorders>
            <w:vAlign w:val="center"/>
          </w:tcPr>
          <w:p w14:paraId="1527684F"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iCs/>
                <w:szCs w:val="24"/>
              </w:rPr>
              <w:t>0.166</w:t>
            </w:r>
          </w:p>
        </w:tc>
        <w:tc>
          <w:tcPr>
            <w:tcW w:w="1827" w:type="dxa"/>
            <w:tcBorders>
              <w:top w:val="single" w:sz="4" w:space="0" w:color="auto"/>
            </w:tcBorders>
            <w:vAlign w:val="center"/>
          </w:tcPr>
          <w:p w14:paraId="23D95F11"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0.003</w:t>
            </w:r>
          </w:p>
        </w:tc>
        <w:tc>
          <w:tcPr>
            <w:tcW w:w="1753" w:type="dxa"/>
            <w:tcBorders>
              <w:top w:val="single" w:sz="4" w:space="0" w:color="auto"/>
            </w:tcBorders>
            <w:vAlign w:val="center"/>
          </w:tcPr>
          <w:p w14:paraId="6520C3C6"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Reject</w:t>
            </w:r>
          </w:p>
        </w:tc>
      </w:tr>
      <w:tr w:rsidR="0001149D" w:rsidRPr="0001149D" w14:paraId="3A1CCFF4" w14:textId="77777777" w:rsidTr="00837EA4">
        <w:trPr>
          <w:trHeight w:val="425"/>
          <w:jc w:val="center"/>
        </w:trPr>
        <w:tc>
          <w:tcPr>
            <w:tcW w:w="1841" w:type="dxa"/>
            <w:vAlign w:val="center"/>
          </w:tcPr>
          <w:p w14:paraId="5FFBE15A" w14:textId="77777777" w:rsidR="00532539" w:rsidRPr="0001149D" w:rsidRDefault="00532539" w:rsidP="00837EA4">
            <w:pPr>
              <w:spacing w:before="20" w:after="20" w:line="240" w:lineRule="auto"/>
              <w:ind w:right="107" w:firstLine="175"/>
              <w:jc w:val="center"/>
              <w:rPr>
                <w:rFonts w:ascii="Times New Roman" w:hAnsi="Times New Roman" w:cs="Times New Roman"/>
                <w:szCs w:val="24"/>
              </w:rPr>
            </w:pPr>
            <w:r w:rsidRPr="0001149D">
              <w:rPr>
                <w:rFonts w:ascii="Times New Roman" w:hAnsi="Times New Roman" w:cs="Times New Roman"/>
                <w:szCs w:val="24"/>
              </w:rPr>
              <w:t>IV and MV</w:t>
            </w:r>
          </w:p>
        </w:tc>
        <w:tc>
          <w:tcPr>
            <w:tcW w:w="3043" w:type="dxa"/>
            <w:vAlign w:val="center"/>
          </w:tcPr>
          <w:p w14:paraId="5D0133E7" w14:textId="77777777" w:rsidR="00532539" w:rsidRPr="0001149D" w:rsidRDefault="00532539" w:rsidP="00837EA4">
            <w:pPr>
              <w:spacing w:before="20" w:after="20" w:line="240" w:lineRule="auto"/>
              <w:ind w:right="107" w:firstLine="467"/>
              <w:jc w:val="center"/>
              <w:rPr>
                <w:rFonts w:ascii="Times New Roman" w:hAnsi="Times New Roman" w:cs="Times New Roman"/>
                <w:szCs w:val="24"/>
              </w:rPr>
            </w:pPr>
            <w:r w:rsidRPr="0001149D">
              <w:rPr>
                <w:rFonts w:ascii="Times New Roman" w:hAnsi="Times New Roman" w:cs="Times New Roman"/>
                <w:szCs w:val="24"/>
              </w:rPr>
              <w:t>Language Learning Strategies and Academic Goal Orientation</w:t>
            </w:r>
          </w:p>
        </w:tc>
        <w:tc>
          <w:tcPr>
            <w:tcW w:w="2146" w:type="dxa"/>
            <w:vAlign w:val="center"/>
          </w:tcPr>
          <w:p w14:paraId="12310893"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0.608</w:t>
            </w:r>
          </w:p>
        </w:tc>
        <w:tc>
          <w:tcPr>
            <w:tcW w:w="1827" w:type="dxa"/>
            <w:vAlign w:val="center"/>
          </w:tcPr>
          <w:p w14:paraId="7E22B934"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0.000</w:t>
            </w:r>
          </w:p>
        </w:tc>
        <w:tc>
          <w:tcPr>
            <w:tcW w:w="1753" w:type="dxa"/>
            <w:vAlign w:val="center"/>
          </w:tcPr>
          <w:p w14:paraId="1527FCE0"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Reject</w:t>
            </w:r>
          </w:p>
        </w:tc>
      </w:tr>
      <w:tr w:rsidR="0001149D" w:rsidRPr="0001149D" w14:paraId="39E9DBE2" w14:textId="77777777" w:rsidTr="00837EA4">
        <w:trPr>
          <w:trHeight w:val="419"/>
          <w:jc w:val="center"/>
        </w:trPr>
        <w:tc>
          <w:tcPr>
            <w:tcW w:w="1841" w:type="dxa"/>
            <w:tcBorders>
              <w:bottom w:val="single" w:sz="4" w:space="0" w:color="auto"/>
            </w:tcBorders>
            <w:vAlign w:val="center"/>
          </w:tcPr>
          <w:p w14:paraId="7E628E6A" w14:textId="77777777" w:rsidR="00532539" w:rsidRPr="0001149D" w:rsidRDefault="00532539" w:rsidP="00837EA4">
            <w:pPr>
              <w:spacing w:before="20" w:after="20" w:line="240" w:lineRule="auto"/>
              <w:ind w:right="107" w:firstLine="175"/>
              <w:jc w:val="center"/>
              <w:rPr>
                <w:rFonts w:ascii="Times New Roman" w:hAnsi="Times New Roman" w:cs="Times New Roman"/>
                <w:szCs w:val="24"/>
              </w:rPr>
            </w:pPr>
            <w:r w:rsidRPr="0001149D">
              <w:rPr>
                <w:rFonts w:ascii="Times New Roman" w:hAnsi="Times New Roman" w:cs="Times New Roman"/>
                <w:szCs w:val="24"/>
              </w:rPr>
              <w:t>MV and DV</w:t>
            </w:r>
          </w:p>
        </w:tc>
        <w:tc>
          <w:tcPr>
            <w:tcW w:w="3043" w:type="dxa"/>
            <w:tcBorders>
              <w:bottom w:val="single" w:sz="4" w:space="0" w:color="auto"/>
            </w:tcBorders>
            <w:vAlign w:val="center"/>
          </w:tcPr>
          <w:p w14:paraId="25FE835A" w14:textId="77777777" w:rsidR="00532539" w:rsidRPr="0001149D" w:rsidRDefault="00532539" w:rsidP="00837EA4">
            <w:pPr>
              <w:spacing w:before="20" w:after="20" w:line="240" w:lineRule="auto"/>
              <w:ind w:right="107" w:firstLine="184"/>
              <w:jc w:val="center"/>
              <w:rPr>
                <w:rFonts w:ascii="Times New Roman" w:hAnsi="Times New Roman" w:cs="Times New Roman"/>
                <w:szCs w:val="24"/>
              </w:rPr>
            </w:pPr>
            <w:r w:rsidRPr="0001149D">
              <w:rPr>
                <w:rFonts w:ascii="Times New Roman" w:hAnsi="Times New Roman" w:cs="Times New Roman"/>
                <w:szCs w:val="24"/>
              </w:rPr>
              <w:t>Academic Goal Orientation and Language Classroom Anxiety</w:t>
            </w:r>
          </w:p>
        </w:tc>
        <w:tc>
          <w:tcPr>
            <w:tcW w:w="2146" w:type="dxa"/>
            <w:tcBorders>
              <w:bottom w:val="single" w:sz="4" w:space="0" w:color="auto"/>
            </w:tcBorders>
            <w:vAlign w:val="center"/>
          </w:tcPr>
          <w:p w14:paraId="3001DD80"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0.366</w:t>
            </w:r>
          </w:p>
        </w:tc>
        <w:tc>
          <w:tcPr>
            <w:tcW w:w="1827" w:type="dxa"/>
            <w:tcBorders>
              <w:bottom w:val="single" w:sz="4" w:space="0" w:color="auto"/>
            </w:tcBorders>
            <w:vAlign w:val="center"/>
          </w:tcPr>
          <w:p w14:paraId="529B4E1E"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0.000</w:t>
            </w:r>
          </w:p>
        </w:tc>
        <w:tc>
          <w:tcPr>
            <w:tcW w:w="1753" w:type="dxa"/>
            <w:tcBorders>
              <w:bottom w:val="single" w:sz="4" w:space="0" w:color="auto"/>
            </w:tcBorders>
            <w:vAlign w:val="center"/>
          </w:tcPr>
          <w:p w14:paraId="2B10ADD7"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Reject</w:t>
            </w:r>
          </w:p>
        </w:tc>
      </w:tr>
      <w:bookmarkEnd w:id="12"/>
    </w:tbl>
    <w:p w14:paraId="5BA55194" w14:textId="77777777" w:rsidR="00532539" w:rsidRPr="0001149D" w:rsidRDefault="00532539" w:rsidP="00532539">
      <w:pPr>
        <w:spacing w:before="20" w:after="20" w:line="240" w:lineRule="auto"/>
        <w:ind w:right="107"/>
        <w:rPr>
          <w:rFonts w:ascii="Times New Roman" w:hAnsi="Times New Roman" w:cs="Times New Roman"/>
          <w:szCs w:val="24"/>
        </w:rPr>
      </w:pPr>
    </w:p>
    <w:p w14:paraId="1DD6E99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lastRenderedPageBreak/>
        <w:t xml:space="preserve">This result aligns with the study by Abubakar (61), which found that language classroom anxiety has a very low positive correlation with language learning strategies. Similarly, the study by Sadeghi, Karim, and Soleimani (70) found a very low correlation between language classroom anxiety and language learning strategies. This suggests that learners who experience higher levels of anxiety may tend to use slightly more language learning strategies, although the effect is weak. </w:t>
      </w:r>
    </w:p>
    <w:p w14:paraId="58CB632C"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this regard, Mohammadi (645) found that there is a negative and significant correlation between language learning strategies and language classroom anxiety. Furthermore, the finding supports an inverse relationship between language-learning strategies and language-classroom anxiety. This means that students who use more language-learning strategies experience less language classroom anxiety. This amount of relationship is also meaningful and significant. Moreover, making extensive use of strategies would especially help students with low proficiency in their second language control their emotions and attitudes in that language, thereby lowering their anxiety levels and increasing their motivation (Mickwitz, 6). Additionally, exploring language learning strategies, such as reducing anxiety and providing encouragement, reveals their significance in creating a supportive, emotionally conducive learning environment, thereby enhancing learners' motivation and persistence (Hashim, 258).</w:t>
      </w:r>
    </w:p>
    <w:p w14:paraId="0DA886B9" w14:textId="251152BF" w:rsidR="00532539" w:rsidRPr="0001149D" w:rsidRDefault="00532539" w:rsidP="00532539">
      <w:pPr>
        <w:spacing w:before="20" w:after="20" w:line="240" w:lineRule="auto"/>
        <w:ind w:right="107"/>
        <w:rPr>
          <w:rFonts w:ascii="Times New Roman" w:hAnsi="Times New Roman" w:cs="Times New Roman"/>
          <w:szCs w:val="24"/>
        </w:rPr>
      </w:pPr>
      <w:bookmarkStart w:id="13" w:name="_Hlk67245872"/>
      <w:r w:rsidRPr="0001149D">
        <w:rPr>
          <w:rFonts w:ascii="Times New Roman" w:hAnsi="Times New Roman" w:cs="Times New Roman"/>
          <w:szCs w:val="24"/>
        </w:rPr>
        <w:t>In the same manner, the second bivariate correlation analysis involving Language Learning Strategies and Academic Goal Orientation yielded an</w:t>
      </w:r>
      <w:r w:rsidRPr="0001149D">
        <w:rPr>
          <w:rFonts w:ascii="Times New Roman" w:hAnsi="Times New Roman" w:cs="Times New Roman"/>
          <w:i/>
          <w:iCs/>
          <w:szCs w:val="24"/>
        </w:rPr>
        <w:t xml:space="preserve"> r</w:t>
      </w:r>
      <w:r w:rsidRPr="0001149D">
        <w:rPr>
          <w:rFonts w:ascii="Times New Roman" w:hAnsi="Times New Roman" w:cs="Times New Roman"/>
          <w:szCs w:val="24"/>
        </w:rPr>
        <w:t>-value of 0.608 and a p-value of &lt;0.000, which is significant at the 0.05 level. This indicates a positive association between the two variables (Wen et al., 6440). Thus, the null hypothesis of no significant relationship is also rejected.</w:t>
      </w:r>
    </w:p>
    <w:bookmarkEnd w:id="13"/>
    <w:p w14:paraId="154524BA" w14:textId="24A027C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test of the relationship between language-learning strategies and academic goal orientation revealed a significant relationship. This implies that the language learning strategies of senior high school students are correlated with their academic goal orientation. This means that the increase in language learning strategies would also likely increase their academic goal orientation towards learning English.</w:t>
      </w:r>
    </w:p>
    <w:p w14:paraId="189EABEB" w14:textId="2F23C91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result is consistent with the study by Zeng et al. (5), which shows a significant positive correlation between language learning strategies and students’ academic goal orientation. Furthermore, this finding is consistent with previous studies demonstrating the significant positive effect of learning strategies on Chinese students' motivation. In addition, Barani et al. (6) found similar results, indicating a significant correlation between language learning strategies and students’ academic goal orientation.</w:t>
      </w:r>
    </w:p>
    <w:p w14:paraId="1A3620A1" w14:textId="0AE5C36F"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Learners with an academic goal orientation not only exhibited higher participation in English learning but also used more language-learning strategies. This means that learners with a higher goal orientation exhibited a significantly greater intention to continue learning. Furthermore, this demonstrates that academic goal orientation positively affects self-language learning strategies (Beik, 3). </w:t>
      </w:r>
    </w:p>
    <w:p w14:paraId="298E7431" w14:textId="2B873186"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third correlational analysis between Academic Goal Orientation and Language classroom anxiety yielded an </w:t>
      </w:r>
      <w:r w:rsidRPr="0001149D">
        <w:rPr>
          <w:rFonts w:ascii="Times New Roman" w:hAnsi="Times New Roman" w:cs="Times New Roman"/>
          <w:i/>
          <w:iCs/>
          <w:szCs w:val="24"/>
        </w:rPr>
        <w:t>r</w:t>
      </w:r>
      <w:r w:rsidRPr="0001149D">
        <w:rPr>
          <w:rFonts w:ascii="Times New Roman" w:hAnsi="Times New Roman" w:cs="Times New Roman"/>
          <w:szCs w:val="24"/>
        </w:rPr>
        <w:t>-value of 0.366 with a probability value of p&lt;0.000, which is significant at the 0.05 level. This indicates a positive association between the two variables (Koul, 676). Thus, the null hypothesis of no significant relationship is rejected.</w:t>
      </w:r>
    </w:p>
    <w:p w14:paraId="590C3C03" w14:textId="7C839DF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test of the relationship between academic goal orientation and language classroom anxiety revealed a significant relationship. This implies that the academic goal orientation of senior high school students is correlated with their language classroom </w:t>
      </w:r>
      <w:r w:rsidRPr="0001149D">
        <w:rPr>
          <w:rFonts w:ascii="Times New Roman" w:hAnsi="Times New Roman" w:cs="Times New Roman"/>
          <w:szCs w:val="24"/>
        </w:rPr>
        <w:lastRenderedPageBreak/>
        <w:t>anxiety. This means that the increase in academic goal orientation would also likely increase their language classroom anxiety in learning English. However, the result shows a low correlation between academic goal orientation and language classroom anxiety.</w:t>
      </w:r>
    </w:p>
    <w:p w14:paraId="4567327B" w14:textId="605121F1"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finding supports Cahalan’s (95) study, which found that students’ academic goal orientation is a significant predictor of language classroom anxiety. Similar results have been found in earlier research, with some scholars proposing that goal orientation is inherently connected to anxiety. This implies that students are often motivated by a strong fear of failure in their academic pursuits. Overall, students seem to adopt academic goal orientations mainly due to language classroom anxiety, such as the fear of failing or being seen as incompetent, rather than a desire to demonstrate their abilities or knowledge. Moreover, McKinney’s (34) study further supports this, emphasizing that goal orientation significantly influences emotional responses during task performance. Individuals with a learning goal orientation typically report lower levels of anxiety, while those with a performance goal orientation are more likely to experience increased anxiety and negative emotions.</w:t>
      </w:r>
    </w:p>
    <w:p w14:paraId="23086809" w14:textId="666B5D4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On the other hand, Miller (91) presents a contrasting finding, indicating that academic goal orientation overall has been shown to have a negative relationship with anxiety (including test anxiety) and a positive relationship with effective stress-coping behaviors. Moreover, both approach and, more notably, avoidance types of performance orientation have been strongly linked to increased classroom anxiety, particularly during evaluative situations such as academic tests. </w:t>
      </w:r>
    </w:p>
    <w:p w14:paraId="3FE771E5" w14:textId="77777777" w:rsidR="00837EA4" w:rsidRPr="0001149D" w:rsidRDefault="00837EA4" w:rsidP="00532539">
      <w:pPr>
        <w:spacing w:before="20" w:after="20" w:line="240" w:lineRule="auto"/>
        <w:ind w:right="107"/>
        <w:rPr>
          <w:rFonts w:ascii="Times New Roman" w:hAnsi="Times New Roman" w:cs="Times New Roman"/>
          <w:szCs w:val="24"/>
        </w:rPr>
      </w:pPr>
    </w:p>
    <w:p w14:paraId="148BE276" w14:textId="77777777" w:rsidR="00532539" w:rsidRPr="0001149D" w:rsidRDefault="00532539" w:rsidP="00837EA4">
      <w:pPr>
        <w:spacing w:line="240" w:lineRule="auto"/>
        <w:ind w:right="107" w:firstLine="0"/>
        <w:rPr>
          <w:rFonts w:ascii="Times New Roman" w:hAnsi="Times New Roman" w:cs="Times New Roman"/>
          <w:b/>
          <w:szCs w:val="24"/>
        </w:rPr>
      </w:pPr>
      <w:r w:rsidRPr="0001149D">
        <w:rPr>
          <w:rFonts w:ascii="Times New Roman" w:hAnsi="Times New Roman" w:cs="Times New Roman"/>
          <w:b/>
          <w:szCs w:val="24"/>
        </w:rPr>
        <w:t>Mediation Analysis of the Three Variables</w:t>
      </w:r>
    </w:p>
    <w:p w14:paraId="557B7D64"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Data were analyzed using the linear regression method as input to the medgraph. Mediation analysis, developed by Baron and Kenny (2001), is the mediating effect of a third variable in the relationship between two variables.</w:t>
      </w:r>
    </w:p>
    <w:p w14:paraId="7D864BD4" w14:textId="1B8F861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There are four steps to be met for a third variable to act as a mediator. In Table 5, these are categorized as steps 1-4. In step 1, language learning strategies, as the independent variable (IV), significantly predict language classroom anxiety among senior high school grade 12 students, the dependent variable (DV) in this study. In step 2, language learning strategies significantly predict academic goal orientation, the mediator (M). In step 3, academic goal orientation significantly predicts language classroom anxiety of grade 12 students.</w:t>
      </w:r>
    </w:p>
    <w:p w14:paraId="2417F070" w14:textId="57259818"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Since the three steps (paths a, b, and c) are significant, further mediation analysis using medgraph is warranted, including the Sobel z test to assess the significance of the mediation effect. If the effect of the independent variable on the dependent variable becomes non-significant at the final step of the analysis, full mediation will be achieved. It means all the effects are mediated by the mediator variable. </w:t>
      </w:r>
    </w:p>
    <w:p w14:paraId="2CCC479B" w14:textId="322251D5" w:rsidR="00837EA4" w:rsidRPr="0001149D" w:rsidRDefault="00532539" w:rsidP="00837EA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ab/>
      </w:r>
    </w:p>
    <w:p w14:paraId="582A3EBF" w14:textId="77777777" w:rsidR="00837EA4" w:rsidRPr="0001149D" w:rsidRDefault="00532539" w:rsidP="00532539">
      <w:pPr>
        <w:spacing w:before="20" w:line="240" w:lineRule="auto"/>
        <w:ind w:right="107"/>
        <w:rPr>
          <w:rFonts w:ascii="Times New Roman" w:hAnsi="Times New Roman" w:cs="Times New Roman"/>
          <w:b/>
          <w:szCs w:val="24"/>
        </w:rPr>
      </w:pPr>
      <w:r w:rsidRPr="0001149D">
        <w:rPr>
          <w:rFonts w:ascii="Times New Roman" w:hAnsi="Times New Roman" w:cs="Times New Roman"/>
          <w:b/>
          <w:szCs w:val="24"/>
        </w:rPr>
        <w:t>Table 5</w:t>
      </w:r>
      <w:bookmarkStart w:id="14" w:name="_Hlk201499876"/>
    </w:p>
    <w:p w14:paraId="6CFAE193" w14:textId="2721D662" w:rsidR="00532539" w:rsidRPr="0001149D" w:rsidRDefault="00532539" w:rsidP="00837EA4">
      <w:pPr>
        <w:spacing w:before="20" w:line="240" w:lineRule="auto"/>
        <w:ind w:right="107" w:firstLine="142"/>
        <w:rPr>
          <w:rFonts w:ascii="Times New Roman" w:hAnsi="Times New Roman" w:cs="Times New Roman"/>
          <w:b/>
          <w:szCs w:val="24"/>
        </w:rPr>
      </w:pPr>
      <w:r w:rsidRPr="0001149D">
        <w:rPr>
          <w:rFonts w:ascii="Times New Roman" w:hAnsi="Times New Roman" w:cs="Times New Roman"/>
          <w:b/>
          <w:i/>
          <w:szCs w:val="24"/>
        </w:rPr>
        <w:t>Regression results of the variables in the four criteria of the presence of mediating effect</w:t>
      </w:r>
    </w:p>
    <w:tbl>
      <w:tblPr>
        <w:tblStyle w:val="TableGrid"/>
        <w:tblW w:w="1059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160"/>
        <w:gridCol w:w="2650"/>
        <w:gridCol w:w="1655"/>
        <w:gridCol w:w="2154"/>
        <w:gridCol w:w="1656"/>
      </w:tblGrid>
      <w:tr w:rsidR="0001149D" w:rsidRPr="0001149D" w14:paraId="66CA01C4" w14:textId="77777777" w:rsidTr="00837EA4">
        <w:trPr>
          <w:trHeight w:val="362"/>
          <w:jc w:val="center"/>
        </w:trPr>
        <w:tc>
          <w:tcPr>
            <w:tcW w:w="1319" w:type="dxa"/>
            <w:tcBorders>
              <w:top w:val="single" w:sz="4" w:space="0" w:color="auto"/>
              <w:bottom w:val="single" w:sz="4" w:space="0" w:color="auto"/>
            </w:tcBorders>
            <w:vAlign w:val="center"/>
          </w:tcPr>
          <w:p w14:paraId="6FACC50D" w14:textId="77777777" w:rsidR="00532539" w:rsidRPr="0001149D" w:rsidRDefault="00532539" w:rsidP="00837EA4">
            <w:pPr>
              <w:tabs>
                <w:tab w:val="left" w:pos="0"/>
              </w:tabs>
              <w:spacing w:line="240" w:lineRule="auto"/>
              <w:ind w:right="107" w:firstLine="33"/>
              <w:rPr>
                <w:rFonts w:ascii="Times New Roman" w:hAnsi="Times New Roman" w:cs="Times New Roman"/>
                <w:b/>
                <w:szCs w:val="24"/>
              </w:rPr>
            </w:pPr>
            <w:r w:rsidRPr="0001149D">
              <w:rPr>
                <w:rFonts w:ascii="Times New Roman" w:hAnsi="Times New Roman" w:cs="Times New Roman"/>
                <w:b/>
                <w:szCs w:val="24"/>
              </w:rPr>
              <w:t>Step</w:t>
            </w:r>
          </w:p>
        </w:tc>
        <w:tc>
          <w:tcPr>
            <w:tcW w:w="1160" w:type="dxa"/>
            <w:tcBorders>
              <w:top w:val="single" w:sz="4" w:space="0" w:color="auto"/>
              <w:bottom w:val="single" w:sz="4" w:space="0" w:color="auto"/>
            </w:tcBorders>
            <w:vAlign w:val="center"/>
          </w:tcPr>
          <w:p w14:paraId="52107F47" w14:textId="77777777" w:rsidR="00532539" w:rsidRPr="0001149D" w:rsidRDefault="00532539" w:rsidP="00837EA4">
            <w:pPr>
              <w:tabs>
                <w:tab w:val="left" w:pos="1024"/>
              </w:tabs>
              <w:spacing w:line="240" w:lineRule="auto"/>
              <w:ind w:right="107" w:firstLine="301"/>
              <w:rPr>
                <w:rFonts w:ascii="Times New Roman" w:hAnsi="Times New Roman" w:cs="Times New Roman"/>
                <w:b/>
                <w:szCs w:val="24"/>
              </w:rPr>
            </w:pPr>
            <w:r w:rsidRPr="0001149D">
              <w:rPr>
                <w:rFonts w:ascii="Times New Roman" w:hAnsi="Times New Roman" w:cs="Times New Roman"/>
                <w:b/>
                <w:szCs w:val="24"/>
              </w:rPr>
              <w:t>Path</w:t>
            </w:r>
          </w:p>
        </w:tc>
        <w:tc>
          <w:tcPr>
            <w:tcW w:w="2650" w:type="dxa"/>
            <w:tcBorders>
              <w:top w:val="single" w:sz="4" w:space="0" w:color="auto"/>
              <w:bottom w:val="single" w:sz="4" w:space="0" w:color="auto"/>
            </w:tcBorders>
            <w:vAlign w:val="center"/>
          </w:tcPr>
          <w:p w14:paraId="5DEFB4DC"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Beta</w:t>
            </w:r>
          </w:p>
          <w:p w14:paraId="4FFA559B" w14:textId="77777777" w:rsidR="00532539" w:rsidRPr="0001149D" w:rsidRDefault="00532539" w:rsidP="00837EA4">
            <w:pPr>
              <w:spacing w:line="240" w:lineRule="auto"/>
              <w:ind w:left="213" w:right="107" w:firstLine="0"/>
              <w:rPr>
                <w:rFonts w:ascii="Times New Roman" w:hAnsi="Times New Roman" w:cs="Times New Roman"/>
                <w:b/>
                <w:szCs w:val="24"/>
              </w:rPr>
            </w:pPr>
            <w:r w:rsidRPr="0001149D">
              <w:rPr>
                <w:rFonts w:ascii="Times New Roman" w:hAnsi="Times New Roman" w:cs="Times New Roman"/>
                <w:b/>
                <w:szCs w:val="24"/>
              </w:rPr>
              <w:t>(Unstandardized)</w:t>
            </w:r>
          </w:p>
        </w:tc>
        <w:tc>
          <w:tcPr>
            <w:tcW w:w="1655" w:type="dxa"/>
            <w:tcBorders>
              <w:top w:val="single" w:sz="4" w:space="0" w:color="auto"/>
              <w:bottom w:val="single" w:sz="4" w:space="0" w:color="auto"/>
            </w:tcBorders>
            <w:vAlign w:val="center"/>
          </w:tcPr>
          <w:p w14:paraId="51B2F48C" w14:textId="77777777" w:rsidR="00532539" w:rsidRPr="0001149D" w:rsidRDefault="00532539" w:rsidP="00837EA4">
            <w:pPr>
              <w:spacing w:line="240" w:lineRule="auto"/>
              <w:ind w:left="362" w:right="-134" w:hanging="77"/>
              <w:rPr>
                <w:rFonts w:ascii="Times New Roman" w:hAnsi="Times New Roman" w:cs="Times New Roman"/>
                <w:b/>
                <w:szCs w:val="24"/>
              </w:rPr>
            </w:pPr>
            <w:r w:rsidRPr="0001149D">
              <w:rPr>
                <w:rFonts w:ascii="Times New Roman" w:hAnsi="Times New Roman" w:cs="Times New Roman"/>
                <w:b/>
                <w:szCs w:val="24"/>
              </w:rPr>
              <w:t>Standard Error</w:t>
            </w:r>
          </w:p>
        </w:tc>
        <w:tc>
          <w:tcPr>
            <w:tcW w:w="2154" w:type="dxa"/>
            <w:tcBorders>
              <w:top w:val="single" w:sz="4" w:space="0" w:color="auto"/>
              <w:bottom w:val="single" w:sz="4" w:space="0" w:color="auto"/>
            </w:tcBorders>
            <w:vAlign w:val="center"/>
          </w:tcPr>
          <w:p w14:paraId="595C8583"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Beta</w:t>
            </w:r>
          </w:p>
          <w:p w14:paraId="4D7AC695" w14:textId="77777777" w:rsidR="00532539" w:rsidRPr="0001149D" w:rsidRDefault="00532539" w:rsidP="00837EA4">
            <w:pPr>
              <w:spacing w:line="240" w:lineRule="auto"/>
              <w:ind w:right="107" w:firstLine="247"/>
              <w:rPr>
                <w:rFonts w:ascii="Times New Roman" w:hAnsi="Times New Roman" w:cs="Times New Roman"/>
                <w:b/>
                <w:szCs w:val="24"/>
              </w:rPr>
            </w:pPr>
            <w:r w:rsidRPr="0001149D">
              <w:rPr>
                <w:rFonts w:ascii="Times New Roman" w:hAnsi="Times New Roman" w:cs="Times New Roman"/>
                <w:b/>
                <w:szCs w:val="24"/>
              </w:rPr>
              <w:t>(Standardized)</w:t>
            </w:r>
          </w:p>
        </w:tc>
        <w:tc>
          <w:tcPr>
            <w:tcW w:w="1656" w:type="dxa"/>
            <w:tcBorders>
              <w:top w:val="single" w:sz="4" w:space="0" w:color="auto"/>
              <w:bottom w:val="single" w:sz="4" w:space="0" w:color="auto"/>
            </w:tcBorders>
            <w:vAlign w:val="center"/>
          </w:tcPr>
          <w:p w14:paraId="7A2133B8"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Sig.</w:t>
            </w:r>
          </w:p>
        </w:tc>
      </w:tr>
      <w:tr w:rsidR="0001149D" w:rsidRPr="0001149D" w14:paraId="210D9833" w14:textId="77777777" w:rsidTr="00837EA4">
        <w:trPr>
          <w:trHeight w:val="255"/>
          <w:jc w:val="center"/>
        </w:trPr>
        <w:tc>
          <w:tcPr>
            <w:tcW w:w="1319" w:type="dxa"/>
            <w:tcBorders>
              <w:top w:val="single" w:sz="4" w:space="0" w:color="auto"/>
            </w:tcBorders>
            <w:vAlign w:val="center"/>
          </w:tcPr>
          <w:p w14:paraId="6EB2BA01" w14:textId="77777777" w:rsidR="00532539" w:rsidRPr="0001149D" w:rsidRDefault="00532539" w:rsidP="00837EA4">
            <w:pPr>
              <w:tabs>
                <w:tab w:val="left" w:pos="0"/>
              </w:tabs>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1</w:t>
            </w:r>
          </w:p>
        </w:tc>
        <w:tc>
          <w:tcPr>
            <w:tcW w:w="1160" w:type="dxa"/>
            <w:tcBorders>
              <w:top w:val="single" w:sz="4" w:space="0" w:color="auto"/>
            </w:tcBorders>
            <w:vAlign w:val="center"/>
          </w:tcPr>
          <w:p w14:paraId="5996B797"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c</w:t>
            </w:r>
          </w:p>
        </w:tc>
        <w:tc>
          <w:tcPr>
            <w:tcW w:w="2650" w:type="dxa"/>
            <w:tcBorders>
              <w:top w:val="single" w:sz="4" w:space="0" w:color="auto"/>
            </w:tcBorders>
            <w:vAlign w:val="center"/>
          </w:tcPr>
          <w:p w14:paraId="060E062F"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0.256</w:t>
            </w:r>
          </w:p>
        </w:tc>
        <w:tc>
          <w:tcPr>
            <w:tcW w:w="1655" w:type="dxa"/>
            <w:tcBorders>
              <w:top w:val="single" w:sz="4" w:space="0" w:color="auto"/>
            </w:tcBorders>
            <w:vAlign w:val="center"/>
          </w:tcPr>
          <w:p w14:paraId="630FE2E2"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0.086</w:t>
            </w:r>
          </w:p>
        </w:tc>
        <w:tc>
          <w:tcPr>
            <w:tcW w:w="2154" w:type="dxa"/>
            <w:tcBorders>
              <w:top w:val="single" w:sz="4" w:space="0" w:color="auto"/>
            </w:tcBorders>
            <w:vAlign w:val="center"/>
          </w:tcPr>
          <w:p w14:paraId="737FDF9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0.166</w:t>
            </w:r>
          </w:p>
        </w:tc>
        <w:tc>
          <w:tcPr>
            <w:tcW w:w="1656" w:type="dxa"/>
            <w:tcBorders>
              <w:top w:val="single" w:sz="4" w:space="0" w:color="auto"/>
            </w:tcBorders>
            <w:vAlign w:val="center"/>
          </w:tcPr>
          <w:p w14:paraId="0BB104B0"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0.003</w:t>
            </w:r>
          </w:p>
        </w:tc>
      </w:tr>
      <w:tr w:rsidR="0001149D" w:rsidRPr="0001149D" w14:paraId="19930D9F" w14:textId="77777777" w:rsidTr="00837EA4">
        <w:trPr>
          <w:trHeight w:val="262"/>
          <w:jc w:val="center"/>
        </w:trPr>
        <w:tc>
          <w:tcPr>
            <w:tcW w:w="1319" w:type="dxa"/>
            <w:vAlign w:val="center"/>
          </w:tcPr>
          <w:p w14:paraId="2194A236" w14:textId="77777777" w:rsidR="00532539" w:rsidRPr="0001149D" w:rsidRDefault="00532539" w:rsidP="00837EA4">
            <w:pPr>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2</w:t>
            </w:r>
          </w:p>
        </w:tc>
        <w:tc>
          <w:tcPr>
            <w:tcW w:w="1160" w:type="dxa"/>
            <w:vAlign w:val="center"/>
          </w:tcPr>
          <w:p w14:paraId="5E1FC89C"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a</w:t>
            </w:r>
          </w:p>
        </w:tc>
        <w:tc>
          <w:tcPr>
            <w:tcW w:w="2650" w:type="dxa"/>
            <w:vAlign w:val="center"/>
          </w:tcPr>
          <w:p w14:paraId="045FDE1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0.689</w:t>
            </w:r>
          </w:p>
        </w:tc>
        <w:tc>
          <w:tcPr>
            <w:tcW w:w="1655" w:type="dxa"/>
            <w:vAlign w:val="center"/>
          </w:tcPr>
          <w:p w14:paraId="6CD7F4E4"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0.051</w:t>
            </w:r>
          </w:p>
        </w:tc>
        <w:tc>
          <w:tcPr>
            <w:tcW w:w="2154" w:type="dxa"/>
            <w:vAlign w:val="center"/>
          </w:tcPr>
          <w:p w14:paraId="33DAB52E"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0.608</w:t>
            </w:r>
          </w:p>
        </w:tc>
        <w:tc>
          <w:tcPr>
            <w:tcW w:w="1656" w:type="dxa"/>
            <w:vAlign w:val="center"/>
          </w:tcPr>
          <w:p w14:paraId="6865845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0.000</w:t>
            </w:r>
          </w:p>
        </w:tc>
      </w:tr>
      <w:tr w:rsidR="0001149D" w:rsidRPr="0001149D" w14:paraId="3BBD6729" w14:textId="77777777" w:rsidTr="00837EA4">
        <w:trPr>
          <w:trHeight w:val="255"/>
          <w:jc w:val="center"/>
        </w:trPr>
        <w:tc>
          <w:tcPr>
            <w:tcW w:w="1319" w:type="dxa"/>
            <w:vAlign w:val="center"/>
          </w:tcPr>
          <w:p w14:paraId="397E4496" w14:textId="77777777" w:rsidR="00532539" w:rsidRPr="0001149D" w:rsidRDefault="00532539" w:rsidP="00837EA4">
            <w:pPr>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3</w:t>
            </w:r>
          </w:p>
        </w:tc>
        <w:tc>
          <w:tcPr>
            <w:tcW w:w="1160" w:type="dxa"/>
            <w:vAlign w:val="center"/>
          </w:tcPr>
          <w:p w14:paraId="3C19EE55"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b</w:t>
            </w:r>
          </w:p>
        </w:tc>
        <w:tc>
          <w:tcPr>
            <w:tcW w:w="2650" w:type="dxa"/>
            <w:vAlign w:val="center"/>
          </w:tcPr>
          <w:p w14:paraId="49D9036D"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0.571</w:t>
            </w:r>
          </w:p>
        </w:tc>
        <w:tc>
          <w:tcPr>
            <w:tcW w:w="1655" w:type="dxa"/>
            <w:vAlign w:val="center"/>
          </w:tcPr>
          <w:p w14:paraId="2565508E"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0.090</w:t>
            </w:r>
          </w:p>
        </w:tc>
        <w:tc>
          <w:tcPr>
            <w:tcW w:w="2154" w:type="dxa"/>
            <w:vAlign w:val="center"/>
          </w:tcPr>
          <w:p w14:paraId="3AD016E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0.420</w:t>
            </w:r>
          </w:p>
        </w:tc>
        <w:tc>
          <w:tcPr>
            <w:tcW w:w="1656" w:type="dxa"/>
            <w:vAlign w:val="center"/>
          </w:tcPr>
          <w:p w14:paraId="5C0B620D"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0.000</w:t>
            </w:r>
          </w:p>
        </w:tc>
      </w:tr>
      <w:tr w:rsidR="0001149D" w:rsidRPr="0001149D" w14:paraId="6A3E45F8" w14:textId="77777777" w:rsidTr="00837EA4">
        <w:trPr>
          <w:trHeight w:val="255"/>
          <w:jc w:val="center"/>
        </w:trPr>
        <w:tc>
          <w:tcPr>
            <w:tcW w:w="1319" w:type="dxa"/>
            <w:vAlign w:val="center"/>
          </w:tcPr>
          <w:p w14:paraId="6C2B72F3" w14:textId="77777777" w:rsidR="00532539" w:rsidRPr="0001149D" w:rsidRDefault="00532539" w:rsidP="00837EA4">
            <w:pPr>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lastRenderedPageBreak/>
              <w:t>Step 4</w:t>
            </w:r>
          </w:p>
        </w:tc>
        <w:tc>
          <w:tcPr>
            <w:tcW w:w="1160" w:type="dxa"/>
            <w:vAlign w:val="center"/>
          </w:tcPr>
          <w:p w14:paraId="59E5B30F"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c’</w:t>
            </w:r>
          </w:p>
        </w:tc>
        <w:tc>
          <w:tcPr>
            <w:tcW w:w="2650" w:type="dxa"/>
            <w:vAlign w:val="center"/>
          </w:tcPr>
          <w:p w14:paraId="5C133E1C"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-0.138</w:t>
            </w:r>
          </w:p>
        </w:tc>
        <w:tc>
          <w:tcPr>
            <w:tcW w:w="1655" w:type="dxa"/>
            <w:vAlign w:val="center"/>
          </w:tcPr>
          <w:p w14:paraId="69429515"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0.102</w:t>
            </w:r>
          </w:p>
        </w:tc>
        <w:tc>
          <w:tcPr>
            <w:tcW w:w="2154" w:type="dxa"/>
            <w:vAlign w:val="center"/>
          </w:tcPr>
          <w:p w14:paraId="3A5E2976"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-0.089</w:t>
            </w:r>
          </w:p>
        </w:tc>
        <w:tc>
          <w:tcPr>
            <w:tcW w:w="1656" w:type="dxa"/>
            <w:vAlign w:val="center"/>
          </w:tcPr>
          <w:p w14:paraId="49695DBF"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0.176</w:t>
            </w:r>
          </w:p>
        </w:tc>
      </w:tr>
      <w:bookmarkEnd w:id="14"/>
    </w:tbl>
    <w:p w14:paraId="720F3646" w14:textId="77777777" w:rsidR="00532539" w:rsidRPr="0001149D" w:rsidRDefault="00532539" w:rsidP="00532539">
      <w:pPr>
        <w:spacing w:before="20" w:after="20" w:line="240" w:lineRule="auto"/>
        <w:ind w:right="107"/>
        <w:rPr>
          <w:rFonts w:ascii="Times New Roman" w:hAnsi="Times New Roman" w:cs="Times New Roman"/>
          <w:szCs w:val="24"/>
        </w:rPr>
      </w:pPr>
    </w:p>
    <w:p w14:paraId="69AA2374" w14:textId="165743AB" w:rsidR="00837EA4" w:rsidRPr="0001149D" w:rsidRDefault="00837EA4" w:rsidP="00837EA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addition, if the regression coefficient is substantially reduced at the final step but remains significant, which implies that part of the independent variable (language learning strategies) is mediated by the mediator (academic goal orientation), but other parts are either direct or mediated by other variables that are not included in the model. In this case, as gleaned in step 4 (denoted as c’), the effect of language learning strategies on language classroom anxiety was even found to reduce after mediated by academic goal orientation. With this, the effect was found to be not significant at p&lt;0.05 level. Furthermore, the results of the mediating-effect computation are shown in Figure 2. The Sobel test yielded a z-value of 5.742717 and a p-value of 0.000001, both significant at the 0.05 level. This indicates that the mediating effect is significant, as the original direct effect of language learning strategies on language classroom anxiety was reduced and became non-significant when academic goal orientation was included. The positive value of Sobel z indicates that the addition of academic goal orientation removes the effect of language learning strategies on language classroom anxiety.</w:t>
      </w:r>
    </w:p>
    <w:p w14:paraId="097AA660" w14:textId="1C0C04E1"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figure also showed the results of the computation of the effect size in the mediation test conducted between the three variables. The effect size measures the extent to which language learning strategies' effect on language classroom anxiety is mediated by the indirect path. The total effect value of 0.166 is the beta of language learning strategies towards language classroom anxiety. The direct effect value of -0.089 is the beta for language learning strategies on language classroom anxiety, with academic goal orientation included in the regression. The indirect effect value of .255 is the amount of the original beta between the language learning strategies and language classroom anxiety that now goes through academic goal orientation to</w:t>
      </w:r>
      <w:r w:rsidR="00837EA4" w:rsidRPr="0001149D">
        <w:rPr>
          <w:rFonts w:ascii="Times New Roman" w:hAnsi="Times New Roman" w:cs="Times New Roman"/>
          <w:szCs w:val="24"/>
        </w:rPr>
        <w:t xml:space="preserve"> </w:t>
      </w:r>
      <w:r w:rsidRPr="0001149D">
        <w:rPr>
          <w:rFonts w:ascii="Times New Roman" w:hAnsi="Times New Roman" w:cs="Times New Roman"/>
          <w:szCs w:val="24"/>
        </w:rPr>
        <w:t xml:space="preserve">language classroom anxiety (a * b, where “a” refers to the path between LLS </w:t>
      </w:r>
      <w:r w:rsidRPr="0001149D">
        <w:rPr>
          <w:rFonts w:ascii="Times New Roman" w:hAnsi="Times New Roman" w:cs="Times New Roman"/>
          <w:szCs w:val="24"/>
        </w:rPr>
        <w:sym w:font="Wingdings" w:char="F0E0"/>
      </w:r>
      <w:r w:rsidRPr="0001149D">
        <w:rPr>
          <w:rFonts w:ascii="Times New Roman" w:hAnsi="Times New Roman" w:cs="Times New Roman"/>
          <w:szCs w:val="24"/>
        </w:rPr>
        <w:t xml:space="preserve">LCA and “b” refers to the path between AGO </w:t>
      </w:r>
      <w:r w:rsidRPr="0001149D">
        <w:rPr>
          <w:rFonts w:ascii="Times New Roman" w:hAnsi="Times New Roman" w:cs="Times New Roman"/>
          <w:szCs w:val="24"/>
        </w:rPr>
        <w:sym w:font="Wingdings" w:char="F0E0"/>
      </w:r>
      <w:r w:rsidRPr="0001149D">
        <w:rPr>
          <w:rFonts w:ascii="Times New Roman" w:hAnsi="Times New Roman" w:cs="Times New Roman"/>
          <w:szCs w:val="24"/>
        </w:rPr>
        <w:t xml:space="preserve"> LCA).</w:t>
      </w:r>
    </w:p>
    <w:p w14:paraId="42B567F3" w14:textId="779B4C16" w:rsidR="005C65BF" w:rsidRPr="0001149D" w:rsidRDefault="005C65BF" w:rsidP="005C65BF">
      <w:pPr>
        <w:spacing w:before="20" w:after="20" w:line="240" w:lineRule="auto"/>
        <w:ind w:right="107"/>
        <w:rPr>
          <w:rFonts w:ascii="Times New Roman" w:hAnsi="Times New Roman" w:cs="Times New Roman"/>
          <w:szCs w:val="24"/>
        </w:rPr>
      </w:pPr>
      <w:r w:rsidRPr="0001149D">
        <w:rPr>
          <w:rFonts w:ascii="Times New Roman" w:hAnsi="Times New Roman" w:cs="Times New Roman"/>
          <w:noProof/>
          <w:szCs w:val="24"/>
          <w:lang w:val="en-IN" w:eastAsia="en-IN"/>
        </w:rPr>
        <w:lastRenderedPageBreak/>
        <w:drawing>
          <wp:anchor distT="0" distB="0" distL="114300" distR="114300" simplePos="0" relativeHeight="251664384" behindDoc="0" locked="0" layoutInCell="1" allowOverlap="1" wp14:anchorId="6B0F4735" wp14:editId="2CAEBF5B">
            <wp:simplePos x="0" y="0"/>
            <wp:positionH relativeFrom="margin">
              <wp:posOffset>-182880</wp:posOffset>
            </wp:positionH>
            <wp:positionV relativeFrom="margin">
              <wp:posOffset>4044914</wp:posOffset>
            </wp:positionV>
            <wp:extent cx="6292850" cy="3890010"/>
            <wp:effectExtent l="0" t="0" r="0" b="0"/>
            <wp:wrapSquare wrapText="bothSides"/>
            <wp:docPr id="12"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8F526E-F047-433C-8EBE-04159814F2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8F526E-F047-433C-8EBE-04159814F28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2850" cy="3890010"/>
                    </a:xfrm>
                    <a:prstGeom prst="rect">
                      <a:avLst/>
                    </a:prstGeom>
                    <a:noFill/>
                    <a:extLst/>
                  </pic:spPr>
                </pic:pic>
              </a:graphicData>
            </a:graphic>
            <wp14:sizeRelH relativeFrom="margin">
              <wp14:pctWidth>0</wp14:pctWidth>
            </wp14:sizeRelH>
            <wp14:sizeRelV relativeFrom="margin">
              <wp14:pctHeight>0</wp14:pctHeight>
            </wp14:sizeRelV>
          </wp:anchor>
        </w:drawing>
      </w:r>
      <w:r w:rsidR="00532539" w:rsidRPr="0001149D">
        <w:rPr>
          <w:rFonts w:ascii="Times New Roman" w:hAnsi="Times New Roman" w:cs="Times New Roman"/>
          <w:szCs w:val="24"/>
        </w:rPr>
        <w:tab/>
        <w:t xml:space="preserve">The mediation analysis revealed that academic goal orientation fully mediates the relationship between language learning strategies and language classroom anxiety. The mediating effect suggests that academic goal orientation is the primary reason language learning strategies can influence language classroom anxiety among senior high school students learning English. This indicates that academic </w:t>
      </w:r>
      <w:r w:rsidRPr="0001149D">
        <w:rPr>
          <w:rFonts w:ascii="Times New Roman" w:hAnsi="Times New Roman" w:cs="Times New Roman"/>
          <w:szCs w:val="24"/>
        </w:rPr>
        <w:t xml:space="preserve">goal orientation can fully explain how language learning strategies influence language classroom anxiety. </w:t>
      </w:r>
      <w:bookmarkStart w:id="15" w:name="_Hlk201499895"/>
    </w:p>
    <w:p w14:paraId="1BC2DF95" w14:textId="77777777" w:rsidR="005C65BF" w:rsidRPr="0001149D" w:rsidRDefault="005C65BF" w:rsidP="005C65BF">
      <w:pPr>
        <w:spacing w:before="20" w:after="20" w:line="240" w:lineRule="auto"/>
        <w:ind w:right="107"/>
        <w:rPr>
          <w:rFonts w:ascii="Times New Roman" w:hAnsi="Times New Roman" w:cs="Times New Roman"/>
          <w:szCs w:val="24"/>
        </w:rPr>
      </w:pPr>
    </w:p>
    <w:p w14:paraId="3AB8F378" w14:textId="2C89EF7D" w:rsidR="00532539" w:rsidRPr="0001149D" w:rsidRDefault="00532539" w:rsidP="00532539">
      <w:pPr>
        <w:widowControl w:val="0"/>
        <w:kinsoku w:val="0"/>
        <w:overflowPunct w:val="0"/>
        <w:autoSpaceDE w:val="0"/>
        <w:autoSpaceDN w:val="0"/>
        <w:adjustRightInd w:val="0"/>
        <w:spacing w:before="20" w:after="20" w:line="240" w:lineRule="auto"/>
        <w:ind w:right="107"/>
        <w:outlineLvl w:val="0"/>
        <w:rPr>
          <w:rFonts w:ascii="Times New Roman" w:eastAsia="Times New Roman" w:hAnsi="Times New Roman" w:cs="Times New Roman"/>
          <w:b/>
          <w:bCs/>
          <w:szCs w:val="24"/>
        </w:rPr>
      </w:pPr>
      <w:r w:rsidRPr="0001149D">
        <w:rPr>
          <w:rFonts w:ascii="Times New Roman" w:eastAsia="Times New Roman" w:hAnsi="Times New Roman" w:cs="Times New Roman"/>
          <w:b/>
          <w:bCs/>
          <w:szCs w:val="24"/>
        </w:rPr>
        <w:t>Results:</w:t>
      </w:r>
    </w:p>
    <w:tbl>
      <w:tblPr>
        <w:tblpPr w:leftFromText="180" w:rightFromText="180" w:vertAnchor="text" w:horzAnchor="margin" w:tblpXSpec="center" w:tblpY="177"/>
        <w:tblW w:w="9377" w:type="dxa"/>
        <w:tblLayout w:type="fixed"/>
        <w:tblCellMar>
          <w:left w:w="0" w:type="dxa"/>
          <w:right w:w="0" w:type="dxa"/>
        </w:tblCellMar>
        <w:tblLook w:val="0000" w:firstRow="0" w:lastRow="0" w:firstColumn="0" w:lastColumn="0" w:noHBand="0" w:noVBand="0"/>
      </w:tblPr>
      <w:tblGrid>
        <w:gridCol w:w="3982"/>
        <w:gridCol w:w="3012"/>
        <w:gridCol w:w="2383"/>
      </w:tblGrid>
      <w:tr w:rsidR="0001149D" w:rsidRPr="0001149D" w14:paraId="6F61DBDA" w14:textId="77777777" w:rsidTr="005C65BF">
        <w:trPr>
          <w:trHeight w:val="166"/>
        </w:trPr>
        <w:tc>
          <w:tcPr>
            <w:tcW w:w="3982" w:type="dxa"/>
            <w:tcBorders>
              <w:top w:val="single" w:sz="4" w:space="0" w:color="auto"/>
            </w:tcBorders>
          </w:tcPr>
          <w:p w14:paraId="6461201A" w14:textId="77777777" w:rsidR="00532539" w:rsidRPr="0001149D" w:rsidRDefault="00532539" w:rsidP="00532539">
            <w:pPr>
              <w:widowControl w:val="0"/>
              <w:kinsoku w:val="0"/>
              <w:overflowPunct w:val="0"/>
              <w:autoSpaceDE w:val="0"/>
              <w:autoSpaceDN w:val="0"/>
              <w:adjustRightInd w:val="0"/>
              <w:spacing w:before="20" w:after="20" w:line="240" w:lineRule="auto"/>
              <w:ind w:left="200" w:right="107"/>
              <w:rPr>
                <w:rFonts w:ascii="Times New Roman" w:eastAsia="Times New Roman" w:hAnsi="Times New Roman" w:cs="Times New Roman"/>
                <w:szCs w:val="24"/>
              </w:rPr>
            </w:pPr>
            <w:r w:rsidRPr="0001149D">
              <w:rPr>
                <w:rFonts w:ascii="Times New Roman" w:eastAsia="Times New Roman" w:hAnsi="Times New Roman" w:cs="Times New Roman"/>
                <w:szCs w:val="24"/>
              </w:rPr>
              <w:t>Significance of Mediation</w:t>
            </w:r>
          </w:p>
        </w:tc>
        <w:tc>
          <w:tcPr>
            <w:tcW w:w="3012" w:type="dxa"/>
            <w:tcBorders>
              <w:top w:val="single" w:sz="4" w:space="0" w:color="auto"/>
            </w:tcBorders>
          </w:tcPr>
          <w:p w14:paraId="7D1979A8"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single" w:sz="4" w:space="0" w:color="auto"/>
            </w:tcBorders>
          </w:tcPr>
          <w:p w14:paraId="555D17AB" w14:textId="77777777" w:rsidR="00532539" w:rsidRPr="0001149D" w:rsidRDefault="00532539" w:rsidP="00532539">
            <w:pPr>
              <w:widowControl w:val="0"/>
              <w:kinsoku w:val="0"/>
              <w:overflowPunct w:val="0"/>
              <w:autoSpaceDE w:val="0"/>
              <w:autoSpaceDN w:val="0"/>
              <w:adjustRightInd w:val="0"/>
              <w:spacing w:before="20" w:after="20" w:line="240" w:lineRule="auto"/>
              <w:ind w:left="312" w:right="107"/>
              <w:rPr>
                <w:rFonts w:ascii="Times New Roman" w:eastAsia="Times New Roman" w:hAnsi="Times New Roman" w:cs="Times New Roman"/>
                <w:szCs w:val="24"/>
              </w:rPr>
            </w:pPr>
            <w:r w:rsidRPr="0001149D">
              <w:rPr>
                <w:rFonts w:ascii="Times New Roman" w:eastAsia="Times New Roman" w:hAnsi="Times New Roman" w:cs="Times New Roman"/>
                <w:szCs w:val="24"/>
              </w:rPr>
              <w:t>Significant</w:t>
            </w:r>
          </w:p>
        </w:tc>
      </w:tr>
      <w:tr w:rsidR="0001149D" w:rsidRPr="0001149D" w14:paraId="53FC5F43" w14:textId="77777777" w:rsidTr="005C65BF">
        <w:trPr>
          <w:trHeight w:val="187"/>
        </w:trPr>
        <w:tc>
          <w:tcPr>
            <w:tcW w:w="3982" w:type="dxa"/>
            <w:tcBorders>
              <w:left w:val="none" w:sz="6" w:space="0" w:color="auto"/>
              <w:bottom w:val="none" w:sz="6" w:space="0" w:color="auto"/>
              <w:right w:val="none" w:sz="6" w:space="0" w:color="auto"/>
            </w:tcBorders>
          </w:tcPr>
          <w:p w14:paraId="183C2725" w14:textId="77777777" w:rsidR="00532539" w:rsidRPr="0001149D" w:rsidRDefault="00532539" w:rsidP="00532539">
            <w:pPr>
              <w:widowControl w:val="0"/>
              <w:kinsoku w:val="0"/>
              <w:overflowPunct w:val="0"/>
              <w:autoSpaceDE w:val="0"/>
              <w:autoSpaceDN w:val="0"/>
              <w:adjustRightInd w:val="0"/>
              <w:spacing w:before="20" w:after="20" w:line="240" w:lineRule="auto"/>
              <w:ind w:left="920" w:right="107"/>
              <w:rPr>
                <w:rFonts w:ascii="Times New Roman" w:eastAsia="Times New Roman" w:hAnsi="Times New Roman" w:cs="Times New Roman"/>
                <w:szCs w:val="24"/>
              </w:rPr>
            </w:pPr>
            <w:r w:rsidRPr="0001149D">
              <w:rPr>
                <w:rFonts w:ascii="Times New Roman" w:eastAsia="Times New Roman" w:hAnsi="Times New Roman" w:cs="Times New Roman"/>
                <w:szCs w:val="24"/>
              </w:rPr>
              <w:t>Sobel z-value</w:t>
            </w:r>
          </w:p>
        </w:tc>
        <w:tc>
          <w:tcPr>
            <w:tcW w:w="3012" w:type="dxa"/>
            <w:tcBorders>
              <w:left w:val="none" w:sz="6" w:space="0" w:color="auto"/>
              <w:bottom w:val="none" w:sz="6" w:space="0" w:color="auto"/>
              <w:right w:val="none" w:sz="6" w:space="0" w:color="auto"/>
            </w:tcBorders>
          </w:tcPr>
          <w:p w14:paraId="56B66E1D"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5.742717</w:t>
            </w:r>
          </w:p>
        </w:tc>
        <w:tc>
          <w:tcPr>
            <w:tcW w:w="2383" w:type="dxa"/>
            <w:tcBorders>
              <w:left w:val="none" w:sz="6" w:space="0" w:color="auto"/>
              <w:bottom w:val="none" w:sz="6" w:space="0" w:color="auto"/>
              <w:right w:val="none" w:sz="6" w:space="0" w:color="auto"/>
            </w:tcBorders>
          </w:tcPr>
          <w:p w14:paraId="2FAB26CD" w14:textId="77777777" w:rsidR="00532539" w:rsidRPr="0001149D" w:rsidRDefault="00532539" w:rsidP="005C65BF">
            <w:pPr>
              <w:widowControl w:val="0"/>
              <w:kinsoku w:val="0"/>
              <w:overflowPunct w:val="0"/>
              <w:autoSpaceDE w:val="0"/>
              <w:autoSpaceDN w:val="0"/>
              <w:adjustRightInd w:val="0"/>
              <w:spacing w:before="20" w:after="20" w:line="240" w:lineRule="auto"/>
              <w:ind w:left="312" w:right="107" w:firstLine="63"/>
              <w:rPr>
                <w:rFonts w:ascii="Times New Roman" w:eastAsia="Times New Roman" w:hAnsi="Times New Roman" w:cs="Times New Roman"/>
                <w:szCs w:val="24"/>
              </w:rPr>
            </w:pPr>
            <w:r w:rsidRPr="0001149D">
              <w:rPr>
                <w:rFonts w:ascii="Times New Roman" w:eastAsia="Times New Roman" w:hAnsi="Times New Roman" w:cs="Times New Roman"/>
                <w:i/>
                <w:iCs/>
                <w:szCs w:val="24"/>
              </w:rPr>
              <w:t xml:space="preserve">p </w:t>
            </w:r>
            <w:r w:rsidRPr="0001149D">
              <w:rPr>
                <w:rFonts w:ascii="Times New Roman" w:eastAsia="Times New Roman" w:hAnsi="Times New Roman" w:cs="Times New Roman"/>
                <w:szCs w:val="24"/>
              </w:rPr>
              <w:t>= &lt; 0.000001</w:t>
            </w:r>
          </w:p>
        </w:tc>
      </w:tr>
      <w:tr w:rsidR="0001149D" w:rsidRPr="0001149D" w14:paraId="191D3A54" w14:textId="77777777" w:rsidTr="005C65BF">
        <w:trPr>
          <w:trHeight w:val="186"/>
        </w:trPr>
        <w:tc>
          <w:tcPr>
            <w:tcW w:w="6994" w:type="dxa"/>
            <w:gridSpan w:val="2"/>
            <w:tcBorders>
              <w:top w:val="none" w:sz="6" w:space="0" w:color="auto"/>
              <w:left w:val="none" w:sz="6" w:space="0" w:color="auto"/>
              <w:bottom w:val="none" w:sz="6" w:space="0" w:color="auto"/>
              <w:right w:val="none" w:sz="6" w:space="0" w:color="auto"/>
            </w:tcBorders>
          </w:tcPr>
          <w:p w14:paraId="13DF708C" w14:textId="77777777" w:rsidR="00532539" w:rsidRPr="0001149D" w:rsidRDefault="00532539" w:rsidP="00532539">
            <w:pPr>
              <w:widowControl w:val="0"/>
              <w:kinsoku w:val="0"/>
              <w:overflowPunct w:val="0"/>
              <w:autoSpaceDE w:val="0"/>
              <w:autoSpaceDN w:val="0"/>
              <w:adjustRightInd w:val="0"/>
              <w:spacing w:before="20" w:after="20" w:line="240" w:lineRule="auto"/>
              <w:ind w:left="200" w:right="107"/>
              <w:rPr>
                <w:rFonts w:ascii="Times New Roman" w:eastAsia="Times New Roman" w:hAnsi="Times New Roman" w:cs="Times New Roman"/>
                <w:szCs w:val="24"/>
              </w:rPr>
            </w:pPr>
            <w:r w:rsidRPr="0001149D">
              <w:rPr>
                <w:rFonts w:ascii="Times New Roman" w:eastAsia="Times New Roman" w:hAnsi="Times New Roman" w:cs="Times New Roman"/>
                <w:szCs w:val="24"/>
              </w:rPr>
              <w:t>95% Symmetrical Confidence Interval</w:t>
            </w:r>
          </w:p>
        </w:tc>
        <w:tc>
          <w:tcPr>
            <w:tcW w:w="2383" w:type="dxa"/>
            <w:tcBorders>
              <w:top w:val="none" w:sz="6" w:space="0" w:color="auto"/>
              <w:left w:val="none" w:sz="6" w:space="0" w:color="auto"/>
              <w:bottom w:val="none" w:sz="6" w:space="0" w:color="auto"/>
              <w:right w:val="none" w:sz="6" w:space="0" w:color="auto"/>
            </w:tcBorders>
          </w:tcPr>
          <w:p w14:paraId="7DED7137"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0319EF74"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115358FF"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Lower</w:t>
            </w:r>
          </w:p>
        </w:tc>
        <w:tc>
          <w:tcPr>
            <w:tcW w:w="3012" w:type="dxa"/>
            <w:tcBorders>
              <w:top w:val="none" w:sz="6" w:space="0" w:color="auto"/>
              <w:left w:val="none" w:sz="6" w:space="0" w:color="auto"/>
              <w:bottom w:val="none" w:sz="6" w:space="0" w:color="auto"/>
              <w:right w:val="none" w:sz="6" w:space="0" w:color="auto"/>
            </w:tcBorders>
          </w:tcPr>
          <w:p w14:paraId="4589F61E"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.25914</w:t>
            </w:r>
          </w:p>
        </w:tc>
        <w:tc>
          <w:tcPr>
            <w:tcW w:w="2383" w:type="dxa"/>
            <w:tcBorders>
              <w:top w:val="none" w:sz="6" w:space="0" w:color="auto"/>
              <w:left w:val="none" w:sz="6" w:space="0" w:color="auto"/>
              <w:bottom w:val="none" w:sz="6" w:space="0" w:color="auto"/>
              <w:right w:val="none" w:sz="6" w:space="0" w:color="auto"/>
            </w:tcBorders>
          </w:tcPr>
          <w:p w14:paraId="58B3C1AD"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75298E9D"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1503F44F"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Upper</w:t>
            </w:r>
          </w:p>
        </w:tc>
        <w:tc>
          <w:tcPr>
            <w:tcW w:w="3012" w:type="dxa"/>
            <w:tcBorders>
              <w:top w:val="none" w:sz="6" w:space="0" w:color="auto"/>
              <w:left w:val="none" w:sz="6" w:space="0" w:color="auto"/>
              <w:bottom w:val="none" w:sz="6" w:space="0" w:color="auto"/>
              <w:right w:val="none" w:sz="6" w:space="0" w:color="auto"/>
            </w:tcBorders>
          </w:tcPr>
          <w:p w14:paraId="53C032E6"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.52769</w:t>
            </w:r>
          </w:p>
        </w:tc>
        <w:tc>
          <w:tcPr>
            <w:tcW w:w="2383" w:type="dxa"/>
            <w:tcBorders>
              <w:top w:val="none" w:sz="6" w:space="0" w:color="auto"/>
              <w:left w:val="none" w:sz="6" w:space="0" w:color="auto"/>
              <w:bottom w:val="none" w:sz="6" w:space="0" w:color="auto"/>
              <w:right w:val="none" w:sz="6" w:space="0" w:color="auto"/>
            </w:tcBorders>
          </w:tcPr>
          <w:p w14:paraId="0F6D74E1"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51C77494"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565103B0" w14:textId="77777777" w:rsidR="00532539" w:rsidRPr="0001149D" w:rsidRDefault="00532539" w:rsidP="00532539">
            <w:pPr>
              <w:widowControl w:val="0"/>
              <w:kinsoku w:val="0"/>
              <w:overflowPunct w:val="0"/>
              <w:autoSpaceDE w:val="0"/>
              <w:autoSpaceDN w:val="0"/>
              <w:adjustRightInd w:val="0"/>
              <w:spacing w:before="20" w:after="20" w:line="240" w:lineRule="auto"/>
              <w:ind w:right="107"/>
              <w:jc w:val="right"/>
              <w:rPr>
                <w:rFonts w:ascii="Times New Roman" w:eastAsia="Times New Roman" w:hAnsi="Times New Roman" w:cs="Times New Roman"/>
                <w:szCs w:val="24"/>
              </w:rPr>
            </w:pPr>
            <w:r w:rsidRPr="0001149D">
              <w:rPr>
                <w:rFonts w:ascii="Times New Roman" w:eastAsia="Times New Roman" w:hAnsi="Times New Roman" w:cs="Times New Roman"/>
                <w:szCs w:val="24"/>
              </w:rPr>
              <w:t>Unstandardized indirect effect</w:t>
            </w:r>
          </w:p>
        </w:tc>
        <w:tc>
          <w:tcPr>
            <w:tcW w:w="3012" w:type="dxa"/>
            <w:tcBorders>
              <w:top w:val="none" w:sz="6" w:space="0" w:color="auto"/>
              <w:left w:val="none" w:sz="6" w:space="0" w:color="auto"/>
              <w:bottom w:val="none" w:sz="6" w:space="0" w:color="auto"/>
              <w:right w:val="none" w:sz="6" w:space="0" w:color="auto"/>
            </w:tcBorders>
          </w:tcPr>
          <w:p w14:paraId="7D074B14" w14:textId="3F6E4FE8"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none" w:sz="6" w:space="0" w:color="auto"/>
              <w:left w:val="none" w:sz="6" w:space="0" w:color="auto"/>
              <w:bottom w:val="none" w:sz="6" w:space="0" w:color="auto"/>
              <w:right w:val="none" w:sz="6" w:space="0" w:color="auto"/>
            </w:tcBorders>
          </w:tcPr>
          <w:p w14:paraId="1BD83DCC"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61AA1E8C"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6BD037D1"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a*b</w:t>
            </w:r>
          </w:p>
        </w:tc>
        <w:tc>
          <w:tcPr>
            <w:tcW w:w="3012" w:type="dxa"/>
            <w:tcBorders>
              <w:top w:val="none" w:sz="6" w:space="0" w:color="auto"/>
              <w:left w:val="none" w:sz="6" w:space="0" w:color="auto"/>
              <w:bottom w:val="none" w:sz="6" w:space="0" w:color="auto"/>
              <w:right w:val="none" w:sz="6" w:space="0" w:color="auto"/>
            </w:tcBorders>
          </w:tcPr>
          <w:p w14:paraId="2DFA35E7"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.39342</w:t>
            </w:r>
          </w:p>
        </w:tc>
        <w:tc>
          <w:tcPr>
            <w:tcW w:w="2383" w:type="dxa"/>
            <w:tcBorders>
              <w:top w:val="none" w:sz="6" w:space="0" w:color="auto"/>
              <w:left w:val="none" w:sz="6" w:space="0" w:color="auto"/>
              <w:bottom w:val="none" w:sz="6" w:space="0" w:color="auto"/>
              <w:right w:val="none" w:sz="6" w:space="0" w:color="auto"/>
            </w:tcBorders>
          </w:tcPr>
          <w:p w14:paraId="72F2A4D3"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2359F37F"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5662D047"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Se</w:t>
            </w:r>
          </w:p>
        </w:tc>
        <w:tc>
          <w:tcPr>
            <w:tcW w:w="3012" w:type="dxa"/>
            <w:tcBorders>
              <w:top w:val="none" w:sz="6" w:space="0" w:color="auto"/>
              <w:left w:val="none" w:sz="6" w:space="0" w:color="auto"/>
              <w:bottom w:val="none" w:sz="6" w:space="0" w:color="auto"/>
              <w:right w:val="none" w:sz="6" w:space="0" w:color="auto"/>
            </w:tcBorders>
          </w:tcPr>
          <w:p w14:paraId="27DD1175"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.06851</w:t>
            </w:r>
          </w:p>
        </w:tc>
        <w:tc>
          <w:tcPr>
            <w:tcW w:w="2383" w:type="dxa"/>
            <w:tcBorders>
              <w:top w:val="none" w:sz="6" w:space="0" w:color="auto"/>
              <w:left w:val="none" w:sz="6" w:space="0" w:color="auto"/>
              <w:bottom w:val="none" w:sz="6" w:space="0" w:color="auto"/>
              <w:right w:val="none" w:sz="6" w:space="0" w:color="auto"/>
            </w:tcBorders>
          </w:tcPr>
          <w:p w14:paraId="66F36AED"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5DC944F1"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4CDF0A1B" w14:textId="77777777" w:rsidR="00532539" w:rsidRPr="0001149D" w:rsidRDefault="00532539" w:rsidP="00532539">
            <w:pPr>
              <w:widowControl w:val="0"/>
              <w:kinsoku w:val="0"/>
              <w:overflowPunct w:val="0"/>
              <w:autoSpaceDE w:val="0"/>
              <w:autoSpaceDN w:val="0"/>
              <w:adjustRightInd w:val="0"/>
              <w:spacing w:before="20" w:after="20" w:line="240" w:lineRule="auto"/>
              <w:ind w:left="200" w:right="107"/>
              <w:rPr>
                <w:rFonts w:ascii="Times New Roman" w:eastAsia="Times New Roman" w:hAnsi="Times New Roman" w:cs="Times New Roman"/>
                <w:szCs w:val="24"/>
              </w:rPr>
            </w:pPr>
            <w:r w:rsidRPr="0001149D">
              <w:rPr>
                <w:rFonts w:ascii="Times New Roman" w:eastAsia="Times New Roman" w:hAnsi="Times New Roman" w:cs="Times New Roman"/>
                <w:szCs w:val="24"/>
              </w:rPr>
              <w:t>Effect size Measures</w:t>
            </w:r>
          </w:p>
        </w:tc>
        <w:tc>
          <w:tcPr>
            <w:tcW w:w="3012" w:type="dxa"/>
            <w:tcBorders>
              <w:top w:val="none" w:sz="6" w:space="0" w:color="auto"/>
              <w:left w:val="none" w:sz="6" w:space="0" w:color="auto"/>
              <w:bottom w:val="none" w:sz="6" w:space="0" w:color="auto"/>
              <w:right w:val="none" w:sz="6" w:space="0" w:color="auto"/>
            </w:tcBorders>
          </w:tcPr>
          <w:p w14:paraId="239385C7"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none" w:sz="6" w:space="0" w:color="auto"/>
              <w:left w:val="none" w:sz="6" w:space="0" w:color="auto"/>
              <w:bottom w:val="none" w:sz="6" w:space="0" w:color="auto"/>
              <w:right w:val="none" w:sz="6" w:space="0" w:color="auto"/>
            </w:tcBorders>
          </w:tcPr>
          <w:p w14:paraId="6D7FE035"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3FA96398"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0D66BCC7" w14:textId="77777777" w:rsidR="00532539" w:rsidRPr="0001149D" w:rsidRDefault="00532539" w:rsidP="00532539">
            <w:pPr>
              <w:widowControl w:val="0"/>
              <w:kinsoku w:val="0"/>
              <w:overflowPunct w:val="0"/>
              <w:autoSpaceDE w:val="0"/>
              <w:autoSpaceDN w:val="0"/>
              <w:adjustRightInd w:val="0"/>
              <w:spacing w:before="20" w:after="20" w:line="240" w:lineRule="auto"/>
              <w:ind w:left="280" w:right="107"/>
              <w:rPr>
                <w:rFonts w:ascii="Times New Roman" w:eastAsia="Times New Roman" w:hAnsi="Times New Roman" w:cs="Times New Roman"/>
                <w:szCs w:val="24"/>
              </w:rPr>
            </w:pPr>
            <w:r w:rsidRPr="0001149D">
              <w:rPr>
                <w:rFonts w:ascii="Times New Roman" w:eastAsia="Times New Roman" w:hAnsi="Times New Roman" w:cs="Times New Roman"/>
                <w:szCs w:val="24"/>
              </w:rPr>
              <w:t>Standardized Coefficients</w:t>
            </w:r>
          </w:p>
        </w:tc>
        <w:tc>
          <w:tcPr>
            <w:tcW w:w="3012" w:type="dxa"/>
            <w:tcBorders>
              <w:top w:val="none" w:sz="6" w:space="0" w:color="auto"/>
              <w:left w:val="none" w:sz="6" w:space="0" w:color="auto"/>
              <w:bottom w:val="none" w:sz="6" w:space="0" w:color="auto"/>
              <w:right w:val="none" w:sz="6" w:space="0" w:color="auto"/>
            </w:tcBorders>
          </w:tcPr>
          <w:p w14:paraId="3964CEFF"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none" w:sz="6" w:space="0" w:color="auto"/>
              <w:left w:val="none" w:sz="6" w:space="0" w:color="auto"/>
              <w:bottom w:val="none" w:sz="6" w:space="0" w:color="auto"/>
              <w:right w:val="none" w:sz="6" w:space="0" w:color="auto"/>
            </w:tcBorders>
          </w:tcPr>
          <w:p w14:paraId="6B65E905"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5E74CEC4"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605EA4F2"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Total:</w:t>
            </w:r>
          </w:p>
        </w:tc>
        <w:tc>
          <w:tcPr>
            <w:tcW w:w="3012" w:type="dxa"/>
            <w:tcBorders>
              <w:top w:val="none" w:sz="6" w:space="0" w:color="auto"/>
              <w:left w:val="none" w:sz="6" w:space="0" w:color="auto"/>
              <w:bottom w:val="none" w:sz="6" w:space="0" w:color="auto"/>
              <w:right w:val="none" w:sz="6" w:space="0" w:color="auto"/>
            </w:tcBorders>
            <w:shd w:val="clear" w:color="auto" w:fill="auto"/>
          </w:tcPr>
          <w:p w14:paraId="29EAB2E1"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.166</w:t>
            </w:r>
          </w:p>
        </w:tc>
        <w:tc>
          <w:tcPr>
            <w:tcW w:w="2383" w:type="dxa"/>
            <w:tcBorders>
              <w:top w:val="none" w:sz="6" w:space="0" w:color="auto"/>
              <w:left w:val="none" w:sz="6" w:space="0" w:color="auto"/>
              <w:bottom w:val="none" w:sz="6" w:space="0" w:color="auto"/>
              <w:right w:val="none" w:sz="6" w:space="0" w:color="auto"/>
            </w:tcBorders>
          </w:tcPr>
          <w:p w14:paraId="2BDD28D9"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4FA77669"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422D2F69"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Direct:</w:t>
            </w:r>
          </w:p>
        </w:tc>
        <w:tc>
          <w:tcPr>
            <w:tcW w:w="3012" w:type="dxa"/>
            <w:tcBorders>
              <w:top w:val="none" w:sz="6" w:space="0" w:color="auto"/>
              <w:left w:val="none" w:sz="6" w:space="0" w:color="auto"/>
              <w:bottom w:val="none" w:sz="6" w:space="0" w:color="auto"/>
              <w:right w:val="none" w:sz="6" w:space="0" w:color="auto"/>
            </w:tcBorders>
            <w:shd w:val="clear" w:color="auto" w:fill="auto"/>
          </w:tcPr>
          <w:p w14:paraId="5A80B2CC"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-.08</w:t>
            </w:r>
          </w:p>
        </w:tc>
        <w:tc>
          <w:tcPr>
            <w:tcW w:w="2383" w:type="dxa"/>
            <w:tcBorders>
              <w:top w:val="none" w:sz="6" w:space="0" w:color="auto"/>
              <w:left w:val="none" w:sz="6" w:space="0" w:color="auto"/>
              <w:bottom w:val="none" w:sz="6" w:space="0" w:color="auto"/>
              <w:right w:val="none" w:sz="6" w:space="0" w:color="auto"/>
            </w:tcBorders>
          </w:tcPr>
          <w:p w14:paraId="16582C48"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223A9D17" w14:textId="77777777" w:rsidTr="005C65BF">
        <w:trPr>
          <w:trHeight w:val="186"/>
        </w:trPr>
        <w:tc>
          <w:tcPr>
            <w:tcW w:w="3982" w:type="dxa"/>
            <w:tcBorders>
              <w:top w:val="none" w:sz="6" w:space="0" w:color="auto"/>
              <w:left w:val="none" w:sz="6" w:space="0" w:color="auto"/>
              <w:right w:val="none" w:sz="6" w:space="0" w:color="auto"/>
            </w:tcBorders>
          </w:tcPr>
          <w:p w14:paraId="66767315"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Indirect:</w:t>
            </w:r>
          </w:p>
        </w:tc>
        <w:tc>
          <w:tcPr>
            <w:tcW w:w="3012" w:type="dxa"/>
            <w:tcBorders>
              <w:top w:val="none" w:sz="6" w:space="0" w:color="auto"/>
              <w:left w:val="none" w:sz="6" w:space="0" w:color="auto"/>
              <w:right w:val="none" w:sz="6" w:space="0" w:color="auto"/>
            </w:tcBorders>
            <w:shd w:val="clear" w:color="auto" w:fill="auto"/>
          </w:tcPr>
          <w:p w14:paraId="6929DDC5"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.255</w:t>
            </w:r>
          </w:p>
        </w:tc>
        <w:tc>
          <w:tcPr>
            <w:tcW w:w="2383" w:type="dxa"/>
            <w:tcBorders>
              <w:top w:val="none" w:sz="6" w:space="0" w:color="auto"/>
              <w:left w:val="none" w:sz="6" w:space="0" w:color="auto"/>
              <w:right w:val="none" w:sz="6" w:space="0" w:color="auto"/>
            </w:tcBorders>
          </w:tcPr>
          <w:p w14:paraId="062DB30D"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24B65A01" w14:textId="77777777" w:rsidTr="005C65BF">
        <w:trPr>
          <w:trHeight w:val="167"/>
        </w:trPr>
        <w:tc>
          <w:tcPr>
            <w:tcW w:w="3982" w:type="dxa"/>
            <w:tcBorders>
              <w:bottom w:val="single" w:sz="4" w:space="0" w:color="auto"/>
            </w:tcBorders>
          </w:tcPr>
          <w:p w14:paraId="3DA94B01" w14:textId="77777777" w:rsidR="00532539" w:rsidRPr="0001149D" w:rsidRDefault="00532539" w:rsidP="00532539">
            <w:pPr>
              <w:widowControl w:val="0"/>
              <w:kinsoku w:val="0"/>
              <w:overflowPunct w:val="0"/>
              <w:autoSpaceDE w:val="0"/>
              <w:autoSpaceDN w:val="0"/>
              <w:adjustRightInd w:val="0"/>
              <w:spacing w:before="20" w:after="20" w:line="240" w:lineRule="auto"/>
              <w:ind w:right="107"/>
              <w:jc w:val="right"/>
              <w:rPr>
                <w:rFonts w:ascii="Times New Roman" w:eastAsia="Times New Roman" w:hAnsi="Times New Roman" w:cs="Times New Roman"/>
                <w:szCs w:val="24"/>
              </w:rPr>
            </w:pPr>
            <w:r w:rsidRPr="0001149D">
              <w:rPr>
                <w:rFonts w:ascii="Times New Roman" w:eastAsia="Times New Roman" w:hAnsi="Times New Roman" w:cs="Times New Roman"/>
                <w:szCs w:val="24"/>
              </w:rPr>
              <w:t>Indirect to Total Ratio:</w:t>
            </w:r>
          </w:p>
        </w:tc>
        <w:tc>
          <w:tcPr>
            <w:tcW w:w="3012" w:type="dxa"/>
            <w:tcBorders>
              <w:bottom w:val="single" w:sz="4" w:space="0" w:color="auto"/>
            </w:tcBorders>
            <w:shd w:val="clear" w:color="auto" w:fill="auto"/>
          </w:tcPr>
          <w:p w14:paraId="22AF426D"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.000</w:t>
            </w:r>
          </w:p>
        </w:tc>
        <w:tc>
          <w:tcPr>
            <w:tcW w:w="2383" w:type="dxa"/>
            <w:tcBorders>
              <w:bottom w:val="single" w:sz="4" w:space="0" w:color="auto"/>
            </w:tcBorders>
          </w:tcPr>
          <w:p w14:paraId="38941A01"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bl>
    <w:p w14:paraId="71590104" w14:textId="77777777" w:rsidR="00532539" w:rsidRPr="0001149D" w:rsidRDefault="00532539" w:rsidP="00532539">
      <w:pPr>
        <w:tabs>
          <w:tab w:val="left" w:pos="2070"/>
        </w:tabs>
        <w:spacing w:before="20" w:after="20" w:line="240" w:lineRule="auto"/>
        <w:ind w:right="107"/>
        <w:jc w:val="center"/>
        <w:rPr>
          <w:rFonts w:ascii="Times New Roman" w:hAnsi="Times New Roman" w:cs="Times New Roman"/>
          <w:i/>
          <w:szCs w:val="24"/>
        </w:rPr>
      </w:pPr>
    </w:p>
    <w:p w14:paraId="7E88E51F" w14:textId="77777777" w:rsidR="00532539" w:rsidRPr="0001149D" w:rsidRDefault="00532539" w:rsidP="00532539">
      <w:pPr>
        <w:tabs>
          <w:tab w:val="left" w:pos="2070"/>
        </w:tabs>
        <w:spacing w:before="20" w:after="20" w:line="240" w:lineRule="auto"/>
        <w:ind w:right="107"/>
        <w:jc w:val="center"/>
        <w:rPr>
          <w:rFonts w:ascii="Times New Roman" w:hAnsi="Times New Roman" w:cs="Times New Roman"/>
          <w:szCs w:val="24"/>
        </w:rPr>
      </w:pPr>
      <w:r w:rsidRPr="0001149D">
        <w:rPr>
          <w:rFonts w:ascii="Times New Roman" w:hAnsi="Times New Roman" w:cs="Times New Roman"/>
          <w:i/>
          <w:szCs w:val="24"/>
        </w:rPr>
        <w:lastRenderedPageBreak/>
        <w:t>Figure 2.</w:t>
      </w:r>
      <w:r w:rsidRPr="0001149D">
        <w:rPr>
          <w:rFonts w:ascii="Times New Roman" w:hAnsi="Times New Roman" w:cs="Times New Roman"/>
          <w:szCs w:val="24"/>
        </w:rPr>
        <w:t xml:space="preserve"> Medgraph Showingthe Variables of the Study</w:t>
      </w:r>
      <w:bookmarkEnd w:id="15"/>
    </w:p>
    <w:p w14:paraId="64CAD1F7" w14:textId="77777777" w:rsidR="00532539" w:rsidRPr="0001149D" w:rsidRDefault="00532539" w:rsidP="00532539">
      <w:pPr>
        <w:spacing w:before="20" w:after="20" w:line="240" w:lineRule="auto"/>
        <w:ind w:right="107"/>
        <w:rPr>
          <w:rFonts w:ascii="Times New Roman" w:hAnsi="Times New Roman" w:cs="Times New Roman"/>
          <w:szCs w:val="24"/>
        </w:rPr>
      </w:pPr>
    </w:p>
    <w:p w14:paraId="36B7D9BD" w14:textId="2B661F4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line with this, academic goal orientation significantly mediated the relationship between language learning strategies and language classroom anxiety; this finding aligns with Sha's (20) pronouncement that academic goal orientation has a full, significant effect on language classroom anxiety. This implies that students with higher levels of fear and anxiety are more likely to adopt an academic goal orientation, and that academic goal orientation, in turn, positively predicts classroom anxiety. This finding suggests that self-described anxious students may fear negative evaluation by classmates and that their performance is being monitored by others. Moreover, they are afraid of taking risks and making mistakes when asked to speak English in front of other classmates, and noted that when students are more anxious, they tend to fear making mistakes.</w:t>
      </w:r>
    </w:p>
    <w:p w14:paraId="462901A6" w14:textId="6E2C035D"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Furthermore, second language learners are often afraid of being laughed at by their peers. Therefore, in a language class, anxious students may keep quiet and sit in the back of the classroom in order to avoid being called on (Chang, 133).</w:t>
      </w:r>
    </w:p>
    <w:p w14:paraId="2E311CEA" w14:textId="77777777" w:rsidR="00532539" w:rsidRPr="0001149D" w:rsidRDefault="00532539" w:rsidP="00532539">
      <w:pPr>
        <w:spacing w:before="20" w:after="20" w:line="240" w:lineRule="auto"/>
        <w:ind w:right="107"/>
        <w:rPr>
          <w:rFonts w:ascii="Times New Roman" w:hAnsi="Times New Roman" w:cs="Times New Roman"/>
          <w:szCs w:val="24"/>
        </w:rPr>
      </w:pPr>
    </w:p>
    <w:p w14:paraId="2D2F0E28" w14:textId="3FDF8E70" w:rsidR="00532539" w:rsidRPr="0001149D" w:rsidRDefault="005C65BF"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 xml:space="preserve">IV. </w:t>
      </w:r>
      <w:r w:rsidR="00532539" w:rsidRPr="0001149D">
        <w:rPr>
          <w:rFonts w:ascii="Times New Roman" w:hAnsi="Times New Roman" w:cs="Times New Roman"/>
          <w:b/>
          <w:szCs w:val="24"/>
        </w:rPr>
        <w:t>CONCLUSIONS AND RECOMMENDATIONS</w:t>
      </w:r>
    </w:p>
    <w:p w14:paraId="64AAB6EF" w14:textId="77777777" w:rsidR="00532539" w:rsidRPr="0001149D" w:rsidRDefault="00532539" w:rsidP="00532539">
      <w:pPr>
        <w:spacing w:before="20" w:after="20" w:line="240" w:lineRule="auto"/>
        <w:ind w:right="107"/>
        <w:jc w:val="center"/>
        <w:rPr>
          <w:rFonts w:ascii="Times New Roman" w:hAnsi="Times New Roman" w:cs="Times New Roman"/>
          <w:b/>
          <w:szCs w:val="24"/>
        </w:rPr>
      </w:pPr>
    </w:p>
    <w:p w14:paraId="0438DE53" w14:textId="315D950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As can be gleaned from the findings of the study, conclusions are drawn in this section. The findings of this study confirmed the assumption that academic goal orientation mediates the relationship between language learning strategies and language classroom anxiety among senior high school students. The academic motivation fully mediates the relationship between language learning strategies and language classroom anxiety, which means that all can be explained by the mediator of the influence of language learning strategies on language classroom anxiety. </w:t>
      </w:r>
    </w:p>
    <w:p w14:paraId="14B5B985" w14:textId="2989F95A"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Moreover, the findings showed that the language-learning strategies of senior high school students were influenced by their language classroom anxiety. In effect, senior high school students exhibit high levels of language learning strategies, language classroom anxiety, and academic goal orientation. It generally indicates a significant relationship among academic goal orientation, language learning strategies, and language classroom anxiety. Furthermore, a full mediation analysis examines the effect of academic goal orientation on the relationship between language learning strategies and language classroom anxiety among senior high school students.</w:t>
      </w:r>
    </w:p>
    <w:p w14:paraId="1A9AF2F8" w14:textId="2D2FC132"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Based on the foregoing findings and conclusions, the following recommendations are offered. Given the high levels of language learning strategies, language classroom anxiety, and academic goal orientation, it is suggested that senior high school students maintain or even improve their levels to better learn English. Furthermore, to improve the use of language-learning strategies, reduce language-classroom anxiety, and enhance academic goal orientation, English teachers shall create a positive, conducive, and attractive learning environment. In addition, teachers shall promote positive goal-setting to reduce the fear of failure in the classroom. Moreover, schools shall offer emotional support, such as counseling services and anxiety management programs, to help students better cope with the emotional demands of language learning.</w:t>
      </w:r>
    </w:p>
    <w:p w14:paraId="4567CACB"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Furthermore, teachers shall focus on this goal orientation to stimulate students and promote their academic efficiency. Language teachers can incorporate discussions of language-learning strategies into their lessons and guide students in using these strategies to </w:t>
      </w:r>
      <w:r w:rsidRPr="0001149D">
        <w:rPr>
          <w:rFonts w:ascii="Times New Roman" w:hAnsi="Times New Roman" w:cs="Times New Roman"/>
          <w:szCs w:val="24"/>
        </w:rPr>
        <w:lastRenderedPageBreak/>
        <w:t>reduce their anxiety. In addition, instructors consider not only learning styles and strategies to help learners learn dexterously but also motivational strategies to raise students' motivation, given their strong effect on success. Hence, teachers shall encourage students to adopt positive academic goals and give them appropriate academic assignments that promote self-esteem and competition without fear of making mistakes or being evaluated by others. Finally, learning environments shall support students in adopting self-, task-, and other-based goal orientations that contribute to their academic success.</w:t>
      </w:r>
    </w:p>
    <w:p w14:paraId="39DB982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  The mediation analysis suggests that educators must design and strictly implement interventions, such as providing positive reinforcement, offering constructive feedback, and fostering a conducive environment and positive peer attitudes, to strengthen students' goal orientation. Finally, future studies should explore other variables that may influence and reduce language classroom anxiety, as this would provide valuable insights for the research community and contribute to the development of more effective educational interventions.</w:t>
      </w:r>
    </w:p>
    <w:p w14:paraId="2845AA2C" w14:textId="77777777" w:rsidR="00532539" w:rsidRPr="0001149D" w:rsidRDefault="00532539" w:rsidP="00532539">
      <w:pPr>
        <w:spacing w:before="20" w:after="20" w:line="240" w:lineRule="auto"/>
        <w:ind w:right="107"/>
        <w:rPr>
          <w:rFonts w:ascii="Times New Roman" w:hAnsi="Times New Roman" w:cs="Times New Roman"/>
          <w:szCs w:val="24"/>
        </w:rPr>
      </w:pPr>
    </w:p>
    <w:p w14:paraId="78726C24" w14:textId="007B3724" w:rsidR="00532539" w:rsidRPr="0001149D" w:rsidRDefault="00532539" w:rsidP="005C65BF">
      <w:pPr>
        <w:spacing w:before="20" w:after="20" w:line="240" w:lineRule="auto"/>
        <w:ind w:right="107"/>
        <w:jc w:val="center"/>
        <w:rPr>
          <w:rFonts w:ascii="Times New Roman" w:eastAsia="Times New Roman" w:hAnsi="Times New Roman" w:cs="Times New Roman"/>
          <w:szCs w:val="24"/>
        </w:rPr>
      </w:pPr>
      <w:r w:rsidRPr="0001149D">
        <w:rPr>
          <w:rFonts w:ascii="Times New Roman" w:hAnsi="Times New Roman" w:cs="Times New Roman"/>
          <w:b/>
          <w:noProof/>
          <w:szCs w:val="24"/>
          <w:lang w:val="en-IN" w:eastAsia="en-IN"/>
        </w:rPr>
        <mc:AlternateContent>
          <mc:Choice Requires="wps">
            <w:drawing>
              <wp:anchor distT="0" distB="0" distL="114300" distR="114300" simplePos="0" relativeHeight="251661312" behindDoc="0" locked="0" layoutInCell="1" allowOverlap="1" wp14:anchorId="59CD6A26" wp14:editId="386E11C4">
                <wp:simplePos x="0" y="0"/>
                <wp:positionH relativeFrom="column">
                  <wp:posOffset>5029200</wp:posOffset>
                </wp:positionH>
                <wp:positionV relativeFrom="paragraph">
                  <wp:posOffset>-542925</wp:posOffset>
                </wp:positionV>
                <wp:extent cx="361950" cy="3714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61950" cy="371475"/>
                        </a:xfrm>
                        <a:prstGeom prst="rect">
                          <a:avLst/>
                        </a:prstGeom>
                        <a:solidFill>
                          <a:schemeClr val="lt1"/>
                        </a:solidFill>
                        <a:ln w="6350">
                          <a:solidFill>
                            <a:schemeClr val="bg1"/>
                          </a:solidFill>
                        </a:ln>
                      </wps:spPr>
                      <wps:txbx>
                        <w:txbxContent>
                          <w:p w14:paraId="7DF0BE53" w14:textId="77777777" w:rsidR="00532539" w:rsidRDefault="00532539" w:rsidP="0053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D6A26" id="Text Box 13" o:spid="_x0000_s1038" type="#_x0000_t202" style="position:absolute;left:0;text-align:left;margin-left:396pt;margin-top:-42.75pt;width:28.5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" fillcolor="white [3201]" strokecolor="white [3212]" strokeweight=".5pt">
                <v:textbox>
                  <w:txbxContent>
                    <w:p w14:paraId="7DF0BE53" w14:textId="77777777" w:rsidR="00532539" w:rsidRDefault="00532539" w:rsidP="00532539"/>
                  </w:txbxContent>
                </v:textbox>
              </v:shape>
            </w:pict>
          </mc:Fallback>
        </mc:AlternateContent>
      </w:r>
      <w:r w:rsidRPr="0001149D">
        <w:rPr>
          <w:rFonts w:ascii="Times New Roman" w:hAnsi="Times New Roman" w:cs="Times New Roman"/>
          <w:b/>
          <w:szCs w:val="24"/>
        </w:rPr>
        <w:t>REFERENCES</w:t>
      </w:r>
    </w:p>
    <w:p w14:paraId="58ABA613" w14:textId="77777777" w:rsidR="00532539" w:rsidRPr="0001149D" w:rsidRDefault="00532539" w:rsidP="00532539">
      <w:pPr>
        <w:spacing w:before="20" w:after="20" w:line="240" w:lineRule="auto"/>
        <w:ind w:right="107"/>
        <w:rPr>
          <w:rFonts w:ascii="Times New Roman" w:hAnsi="Times New Roman" w:cs="Times New Roman"/>
          <w:b/>
          <w:szCs w:val="24"/>
        </w:rPr>
      </w:pPr>
    </w:p>
    <w:p w14:paraId="4C0F10A0" w14:textId="77777777" w:rsidR="00532539" w:rsidRPr="0001149D" w:rsidRDefault="00532539" w:rsidP="00532539">
      <w:pPr>
        <w:spacing w:line="240" w:lineRule="auto"/>
        <w:ind w:left="720" w:right="107" w:hanging="720"/>
        <w:rPr>
          <w:rFonts w:ascii="Times New Roman" w:hAnsi="Times New Roman" w:cs="Times New Roman"/>
          <w:szCs w:val="24"/>
        </w:rPr>
      </w:pPr>
      <w:r w:rsidRPr="0001149D">
        <w:rPr>
          <w:rFonts w:ascii="Times New Roman" w:hAnsi="Times New Roman" w:cs="Times New Roman"/>
          <w:szCs w:val="24"/>
        </w:rPr>
        <w:t>Abubakar, Multazam. “The Interplay Of Anxiety, Learning Strategies And Students’ Reading Comprehension.” Eternal (English, Teaching, Learning, and Research Journal), vol. 6, no. 1, 30 June 2020, p. 52, https://doi.org/10.24252/eternal.v61.2020.a5. Accessed 24 Aug. 2020.</w:t>
      </w:r>
    </w:p>
    <w:p w14:paraId="78FDAF46" w14:textId="77777777" w:rsidR="00532539" w:rsidRPr="0001149D" w:rsidRDefault="00532539" w:rsidP="00532539">
      <w:pPr>
        <w:spacing w:line="240" w:lineRule="auto"/>
        <w:ind w:left="720" w:right="107" w:hanging="720"/>
        <w:rPr>
          <w:rFonts w:ascii="Times New Roman" w:hAnsi="Times New Roman" w:cs="Times New Roman"/>
          <w:szCs w:val="24"/>
        </w:rPr>
      </w:pPr>
    </w:p>
    <w:p w14:paraId="373A18E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Alamry, Ali H. "The Perceived Effects on the Motivation, Anxiety, and Online Language Learning of Saudi EFL Learners during the COVID-19 Pandemic." Order No. 31148031 The University of Mississippi, 2024. United States -- Mississippi: ProQuest. Web. 20 Jan. 2025.</w:t>
      </w:r>
    </w:p>
    <w:p w14:paraId="4AD91A5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5D595E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Aydin, Selami, et al. "Test Anxiety among Foreign Language Learners: A Qualitative Study." The Qualitative Report 25.12 (2020): 4290-309. ProQuest. Web. 22 June 2025.</w:t>
      </w:r>
    </w:p>
    <w:p w14:paraId="6DE4FEF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515EBC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Bajri, Ibtesam A., and Omer E. H. Elmahdi. "Addressing Language Anxiety in the EFL Classroom: EFL Teachers' Perspective." </w:t>
      </w:r>
      <w:r w:rsidRPr="0001149D">
        <w:rPr>
          <w:rFonts w:ascii="Times New Roman" w:hAnsi="Times New Roman" w:cs="Times New Roman"/>
          <w:i/>
          <w:szCs w:val="24"/>
        </w:rPr>
        <w:t>Theory and Practice in Language Studies,</w:t>
      </w:r>
      <w:r w:rsidRPr="0001149D">
        <w:rPr>
          <w:rFonts w:ascii="Times New Roman" w:hAnsi="Times New Roman" w:cs="Times New Roman"/>
          <w:szCs w:val="24"/>
        </w:rPr>
        <w:t xml:space="preserve"> vol. 14, no. 7, 2024, pp. 2222-2232. ProQuest, https://www.proquest.com/scholarly-journals/addressing-language-anxiety-efl-classroom/docview/3090976301/se-2, doi:10.17507/tpls.1407.30.</w:t>
      </w:r>
    </w:p>
    <w:p w14:paraId="3501EA3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582DBB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Barani, Fateme, Ali Roohani, and Mina Naderi. "An Investigation Into Predictive Role Of Learning Styles, Language Learning Strategies, And Motivational Learning Strategies In Learners' L2 Achievement." International Journal of Education and Psychology in the Community, vol. 13, no. 1, 2023, pp. 126-150. ProQuest, https://www.proquest.com/scholarly-journals/investigation-into-predictive-role-learning/docview/3066093898/se-2.</w:t>
      </w:r>
    </w:p>
    <w:p w14:paraId="28336A2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77CF56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lastRenderedPageBreak/>
        <w:t>Beik, Ahrong, and Younghee Cho. "Effects of Goal Orientation on Online Learning: A Meta-Analysis of Differences in Korea and US: Research and Reviews." Current Psychology 43.2 (2024): 1496-506. ProQuest. Web. 30 July 2025.</w:t>
      </w:r>
    </w:p>
    <w:p w14:paraId="6FDF149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C26743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Cahalan, Jacqueline V. "Test Anxiety in Context: Primary Students' Experience of Test Anxiety in an Ecological Framework." Order No. 3332499 New York University, 2008. United States -- New York: ProQuest. Web. 6 Aug. 2025.</w:t>
      </w:r>
    </w:p>
    <w:p w14:paraId="4A466B2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A88AD7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Chang, Hsing-Yi. "The Effect of Situational and Contextual Variables on Taiwanese University Students' Self-Perceived Language Learning Anxiety Levels in the EFL Classroom." Order No. 3451892 Alliant International University, San Diego, 2011. United States -- California: ProQuest. Web. 20 Jan. 2025.</w:t>
      </w:r>
    </w:p>
    <w:p w14:paraId="3872F42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D0DAB8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Chang, Hsing-Yi. "The Effect of Situational and Contextual Variables on Taiwanese University Students' Self-Perceived Language Learning Anxiety Levels in the EFL Classroom." Order No. 3451892 Alliant International University, San Diego, 2011. United States -- California: ProQuest. Web. 6 Aug. 2025.</w:t>
      </w:r>
    </w:p>
    <w:p w14:paraId="007928D7"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32083B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Chou, Mu-Hsuan. "Investigating the Mediating Role of Foreign Language Anxiety in Students' Task Goal Orientations, Perceived Communication Competence, English Ability, and Willingness to Communicate in EMI Classrooms." </w:t>
      </w:r>
      <w:r w:rsidRPr="0001149D">
        <w:rPr>
          <w:rFonts w:ascii="Times New Roman" w:hAnsi="Times New Roman" w:cs="Times New Roman"/>
          <w:i/>
          <w:szCs w:val="24"/>
        </w:rPr>
        <w:t>English Teaching and Learning</w:t>
      </w:r>
      <w:r w:rsidRPr="0001149D">
        <w:rPr>
          <w:rFonts w:ascii="Times New Roman" w:hAnsi="Times New Roman" w:cs="Times New Roman"/>
          <w:szCs w:val="24"/>
        </w:rPr>
        <w:t>, vol. 46, no. 3, 2022, pp. 235-254. ProQuest, https://www.proquest.com/scholarly-journals/investigating-mediating-role-foreign-language/docview/2932718965/se-2, doi:0.1007/s42321-022-00116-7.</w:t>
      </w:r>
    </w:p>
    <w:p w14:paraId="5168F0F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1F247D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El Aouri, Z. “A Closer Look at Moroccan EFL learners’ Use of Language Learning Strategies from a Qualitative Perspective”. </w:t>
      </w:r>
      <w:r w:rsidRPr="0001149D">
        <w:rPr>
          <w:rFonts w:ascii="Times New Roman" w:hAnsi="Times New Roman" w:cs="Times New Roman"/>
          <w:i/>
          <w:szCs w:val="24"/>
        </w:rPr>
        <w:t>The Journal of Quality in Education,</w:t>
      </w:r>
      <w:r w:rsidRPr="0001149D">
        <w:rPr>
          <w:rFonts w:ascii="Times New Roman" w:hAnsi="Times New Roman" w:cs="Times New Roman"/>
          <w:szCs w:val="24"/>
        </w:rPr>
        <w:t xml:space="preserve"> vol. 11, no. 18, Dec. 2021, pp. 47-78. </w:t>
      </w:r>
      <w:hyperlink r:id="rId10" w:history="1">
        <w:r w:rsidRPr="0001149D">
          <w:rPr>
            <w:rStyle w:val="Hyperlink"/>
            <w:rFonts w:ascii="Times New Roman" w:hAnsi="Times New Roman" w:cs="Times New Roman"/>
            <w:color w:val="auto"/>
            <w:szCs w:val="24"/>
            <w:u w:val="none"/>
          </w:rPr>
          <w:t>https://doi.org/10.37870/joqie.v11i18.267</w:t>
        </w:r>
      </w:hyperlink>
      <w:r w:rsidRPr="0001149D">
        <w:rPr>
          <w:rFonts w:ascii="Times New Roman" w:hAnsi="Times New Roman" w:cs="Times New Roman"/>
          <w:szCs w:val="24"/>
        </w:rPr>
        <w:t>.</w:t>
      </w:r>
    </w:p>
    <w:p w14:paraId="06BA0D5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20C81DC" w14:textId="66FBCEAE" w:rsidR="00532539"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Flemens, Kathia. "Motivation, Language-Learning Strategies, and Course Performance among English -Speaking College Students Learning a Romance Language." Order No. 3347093 Lynn University, 2009. United States -- Florida: ProQuest. Web. 22 June 2025.</w:t>
      </w:r>
    </w:p>
    <w:p w14:paraId="6534C752" w14:textId="77777777" w:rsidR="00004F94" w:rsidRPr="0001149D" w:rsidRDefault="00004F94" w:rsidP="00532539">
      <w:pPr>
        <w:spacing w:before="20" w:after="20" w:line="240" w:lineRule="auto"/>
        <w:ind w:left="720" w:right="107" w:hanging="720"/>
        <w:rPr>
          <w:rFonts w:ascii="Times New Roman" w:hAnsi="Times New Roman" w:cs="Times New Roman"/>
          <w:szCs w:val="24"/>
        </w:rPr>
      </w:pPr>
    </w:p>
    <w:p w14:paraId="34DE7A76" w14:textId="77777777" w:rsidR="00532539" w:rsidRPr="0001149D" w:rsidRDefault="00532539" w:rsidP="00532539">
      <w:pPr>
        <w:spacing w:before="20" w:after="20" w:line="240" w:lineRule="auto"/>
        <w:ind w:left="720" w:right="107" w:hanging="720"/>
        <w:rPr>
          <w:rStyle w:val="Hyperlink"/>
          <w:rFonts w:ascii="Times New Roman" w:hAnsi="Times New Roman" w:cs="Times New Roman"/>
          <w:color w:val="auto"/>
          <w:szCs w:val="24"/>
          <w:u w:val="none"/>
        </w:rPr>
      </w:pPr>
      <w:r w:rsidRPr="0001149D">
        <w:rPr>
          <w:rFonts w:ascii="Times New Roman" w:hAnsi="Times New Roman" w:cs="Times New Roman"/>
          <w:szCs w:val="24"/>
        </w:rPr>
        <w:t xml:space="preserve">Ghavamnia, Maedeh, Zohreh Kassaian, and Azizollah Dabaghi. "The Relationship between Language Learning Strategies, Language Learning Beliefs, Motivation, and Proficiency: A Study of EFL Learners in Iran." </w:t>
      </w:r>
      <w:r w:rsidRPr="0001149D">
        <w:rPr>
          <w:rFonts w:ascii="Times New Roman" w:hAnsi="Times New Roman" w:cs="Times New Roman"/>
          <w:i/>
          <w:szCs w:val="24"/>
        </w:rPr>
        <w:t>Journal of Language Teaching and Research,</w:t>
      </w:r>
      <w:r w:rsidRPr="0001149D">
        <w:rPr>
          <w:rFonts w:ascii="Times New Roman" w:hAnsi="Times New Roman" w:cs="Times New Roman"/>
          <w:szCs w:val="24"/>
        </w:rPr>
        <w:t xml:space="preserve"> vol. 2, no. 5, 2011, pp. 1156-1161. ProQuest, </w:t>
      </w:r>
      <w:hyperlink r:id="rId11" w:history="1">
        <w:r w:rsidRPr="0001149D">
          <w:rPr>
            <w:rStyle w:val="Hyperlink"/>
            <w:rFonts w:ascii="Times New Roman" w:hAnsi="Times New Roman" w:cs="Times New Roman"/>
            <w:color w:val="auto"/>
            <w:szCs w:val="24"/>
            <w:u w:val="none"/>
          </w:rPr>
          <w:t>https://www.proquest.com/scholarly-journals/relationship-between-language-learning-strategies/docview/897472758/se-2</w:t>
        </w:r>
      </w:hyperlink>
    </w:p>
    <w:p w14:paraId="560CDAC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6321A4D"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Giray, Louie, et al. “English Language Anxiety Among College Students.”  </w:t>
      </w:r>
      <w:r w:rsidRPr="0001149D">
        <w:rPr>
          <w:rFonts w:ascii="Times New Roman" w:hAnsi="Times New Roman" w:cs="Times New Roman"/>
          <w:i/>
          <w:szCs w:val="24"/>
        </w:rPr>
        <w:t>International Journal of Qualitative Research,</w:t>
      </w:r>
      <w:r w:rsidRPr="0001149D">
        <w:rPr>
          <w:rFonts w:ascii="Times New Roman" w:hAnsi="Times New Roman" w:cs="Times New Roman"/>
          <w:szCs w:val="24"/>
        </w:rPr>
        <w:t xml:space="preserve"> vol. 2, no. 1, July 2022, pp. 65-76.  </w:t>
      </w:r>
      <w:hyperlink r:id="rId12" w:history="1">
        <w:r w:rsidRPr="0001149D">
          <w:rPr>
            <w:rStyle w:val="Hyperlink"/>
            <w:rFonts w:ascii="Times New Roman" w:hAnsi="Times New Roman" w:cs="Times New Roman"/>
            <w:color w:val="auto"/>
            <w:szCs w:val="24"/>
            <w:u w:val="none"/>
          </w:rPr>
          <w:t>https://doi.org/10.47540/ijqr.v2i1.569</w:t>
        </w:r>
      </w:hyperlink>
      <w:r w:rsidRPr="0001149D">
        <w:rPr>
          <w:rFonts w:ascii="Times New Roman" w:hAnsi="Times New Roman" w:cs="Times New Roman"/>
          <w:szCs w:val="24"/>
        </w:rPr>
        <w:t>.</w:t>
      </w:r>
    </w:p>
    <w:p w14:paraId="0B27C82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03735C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lastRenderedPageBreak/>
        <w:t>Gitsaki, Christina. “Second Language Acquisition Theories: Overview and Evaluation.” Journal of Communication and International ..., espace.library.uq.edu.au, 1 Jan. 1998, www.academia.edu/686758/Second_language_acquisition_theories_Overview_and_evaluation.</w:t>
      </w:r>
    </w:p>
    <w:p w14:paraId="3116B51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F2DE3C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Hashim, Jala. "ESL Educators’ Descriptions of how ESL Students use Language Learning Strategies: A Qualitative Study." Order No. 31482285 Grand Canyon University, 2024. United States -- Arizona: ProQuest. https://www.proquest.com/dissertations-theses/esl-educators-descriptions-how-students-use/docview/3078870105/se-2</w:t>
      </w:r>
    </w:p>
    <w:p w14:paraId="2E87705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CEE159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Hashim, Jala. "ESL Educators’ Descriptions of how ESL Students use Language Learning Strategies: A Qualitative Study." Order No. 31482285 Grand Canyon University, 2024. United States -- Arizona: ProQuest. Web. 22 June 2025.</w:t>
      </w:r>
    </w:p>
    <w:p w14:paraId="74BF4D7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A0AF77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Hashim, Jala. "ESL Educators’ Descriptions of how ESL Students use Language Learning Strategies: A Qualitative Study." Order No. 31482285 Grand Canyon University, 2024. United States -- Arizona: ProQuest. Web. 18 July 2025.</w:t>
      </w:r>
    </w:p>
    <w:p w14:paraId="41C45D2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5379C7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Jalleh, Christine Mary, Omer Hassan Ali Mahfoodh, and Manjet Kaur Mehar Singh. "Oral Communication Apprehension among Japanese EFL International Students in a Language Immersion Program in Malaysia." International Journal of Instruction 14.2 (2021): 155-78. ProQuest. Web. 22 June 2025.</w:t>
      </w:r>
    </w:p>
    <w:p w14:paraId="6179F9D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F717B1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Jugo, Rhodora R. “Language Anxiety in Focus: The Case of Filipino Undergraduate Teacher Education Learners.” Education Research International, vol. 2020, June 2020, pp. 1–8. </w:t>
      </w:r>
      <w:hyperlink r:id="rId13" w:history="1">
        <w:r w:rsidRPr="0001149D">
          <w:rPr>
            <w:rStyle w:val="Hyperlink"/>
            <w:rFonts w:ascii="Times New Roman" w:hAnsi="Times New Roman" w:cs="Times New Roman"/>
            <w:color w:val="auto"/>
            <w:szCs w:val="24"/>
            <w:u w:val="none"/>
          </w:rPr>
          <w:t>https://doi.org/10.1155/2020/7049837</w:t>
        </w:r>
      </w:hyperlink>
      <w:r w:rsidRPr="0001149D">
        <w:rPr>
          <w:rFonts w:ascii="Times New Roman" w:hAnsi="Times New Roman" w:cs="Times New Roman"/>
          <w:szCs w:val="24"/>
        </w:rPr>
        <w:t>.</w:t>
      </w:r>
    </w:p>
    <w:p w14:paraId="5F8B71ED"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39E6BC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b/>
          <w:noProof/>
          <w:szCs w:val="24"/>
          <w:lang w:val="en-IN" w:eastAsia="en-IN"/>
        </w:rPr>
        <mc:AlternateContent>
          <mc:Choice Requires="wps">
            <w:drawing>
              <wp:anchor distT="0" distB="0" distL="114300" distR="114300" simplePos="0" relativeHeight="251662336" behindDoc="0" locked="0" layoutInCell="1" allowOverlap="1" wp14:anchorId="71AC5D7F" wp14:editId="7C8BD468">
                <wp:simplePos x="0" y="0"/>
                <wp:positionH relativeFrom="column">
                  <wp:posOffset>4981575</wp:posOffset>
                </wp:positionH>
                <wp:positionV relativeFrom="paragraph">
                  <wp:posOffset>-571500</wp:posOffset>
                </wp:positionV>
                <wp:extent cx="361950" cy="3714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61950" cy="371475"/>
                        </a:xfrm>
                        <a:prstGeom prst="rect">
                          <a:avLst/>
                        </a:prstGeom>
                        <a:solidFill>
                          <a:schemeClr val="lt1"/>
                        </a:solidFill>
                        <a:ln w="6350">
                          <a:solidFill>
                            <a:schemeClr val="bg1"/>
                          </a:solidFill>
                        </a:ln>
                      </wps:spPr>
                      <wps:txbx>
                        <w:txbxContent>
                          <w:p w14:paraId="18B6A4A8" w14:textId="77777777" w:rsidR="00532539" w:rsidRDefault="00532539" w:rsidP="0053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C5D7F" id="Text Box 14" o:spid="_x0000_s1039" type="#_x0000_t202" style="position:absolute;left:0;text-align:left;margin-left:392.25pt;margin-top:-45pt;width:28.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" fillcolor="white [3201]" strokecolor="white [3212]" strokeweight=".5pt">
                <v:textbox>
                  <w:txbxContent>
                    <w:p w14:paraId="18B6A4A8" w14:textId="77777777" w:rsidR="00532539" w:rsidRDefault="00532539" w:rsidP="00532539"/>
                  </w:txbxContent>
                </v:textbox>
              </v:shape>
            </w:pict>
          </mc:Fallback>
        </mc:AlternateContent>
      </w:r>
      <w:r w:rsidRPr="0001149D">
        <w:rPr>
          <w:rFonts w:ascii="Times New Roman" w:hAnsi="Times New Roman" w:cs="Times New Roman"/>
          <w:szCs w:val="24"/>
        </w:rPr>
        <w:t>Koul, Ravinder, et al. “Multiple Goal Orientations and Foreign Language Anxiety.” System, vol. 37, no. 4, Oct. 2009, pp. 676–88. https://doi.org/10.1016/j.system.2009.09.011.</w:t>
      </w:r>
    </w:p>
    <w:p w14:paraId="6F98E96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840401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Liew, Bernard X., et al. "Lower-Limb Stiffness Mediates Speed but Not Turning Angle during Unplanned Side-Step Cutting." Journal of Biomechanics, vol. 115, 2021. ProQuest, https://www.proquest.com/scholarly-journals/lower-limb-stiffness-mediates-speed-not-turning/docview/2479030972/se-2, doi:https://doi.org/10.1016/j.jbiomech.2020.110132.</w:t>
      </w:r>
    </w:p>
    <w:p w14:paraId="33E8448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70996DB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Manrique-Abril, Fred, et al. "Academic Goals Orientation Questionnaire for Colombian Nursing Students: Validity and Reliability Study." Nurse Education Today, vol. 84, 2020. ProQuest, https://www.proquest.com/scholarly-journals/academic-goals-orientation-questionnaire/docview/2338151890/se-2, doi:https://doi.org/10.1016/j.nedt.2019.104226.</w:t>
      </w:r>
    </w:p>
    <w:p w14:paraId="4912152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5C2BB7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bookmarkStart w:id="16" w:name="_Hlk188290995"/>
      <w:r w:rsidRPr="0001149D">
        <w:rPr>
          <w:rFonts w:ascii="Times New Roman" w:hAnsi="Times New Roman" w:cs="Times New Roman"/>
          <w:szCs w:val="24"/>
        </w:rPr>
        <w:t xml:space="preserve">Marnani, Padideh Fattahi, and Sophie Cuocci. “Foreign Language Anxiety: A Review on Theories, Causes, Consequences and Implications for Educators.” </w:t>
      </w:r>
      <w:r w:rsidRPr="0001149D">
        <w:rPr>
          <w:rFonts w:ascii="Times New Roman" w:hAnsi="Times New Roman" w:cs="Times New Roman"/>
          <w:i/>
          <w:szCs w:val="24"/>
        </w:rPr>
        <w:t>STARS,</w:t>
      </w:r>
      <w:r w:rsidRPr="0001149D">
        <w:rPr>
          <w:rFonts w:ascii="Times New Roman" w:hAnsi="Times New Roman" w:cs="Times New Roman"/>
          <w:szCs w:val="24"/>
        </w:rPr>
        <w:t xml:space="preserve"> vol. 14, no. 2, 2022.  www. stars.library.ucf.edu/jele/vol14/iss2/2.</w:t>
      </w:r>
    </w:p>
    <w:p w14:paraId="2A9E511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69ACF0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McKinney, Arlise P. "Goal Orientation: A Test of Competing Models." Order No. 3157771 Virginia Polytechnic Institute and State University, 2003. United States -- Virginia: ProQuest. Web. 6 Aug. 2025.</w:t>
      </w:r>
    </w:p>
    <w:p w14:paraId="4C05254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bookmarkEnd w:id="16"/>
    <w:p w14:paraId="7C74A1B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Mickwitz, Åsa, et al. ""My Goal is to Talk Like a Native": Emergent Bilingual Students' use of Language Learning Strategies." Theory and Practice in Language Studies 14.1 (2024): 1-12. ProQuest. Web. 18 July 2025.</w:t>
      </w:r>
    </w:p>
    <w:p w14:paraId="216C997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E471AC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Miller, Mark Alan. "Understanding Student Goal Orientation Tendencies to Predict Student Performance: A 2x2 Achievement Goal Orientation." Order No. 3574891 University of Phoenix, 2013. United States -- Arizona: ProQuest. Web. 6 Aug. 2025.</w:t>
      </w:r>
    </w:p>
    <w:p w14:paraId="68DA396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6D7FAD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Mohammadi, Ebrahim G., et al. "The Relationship between Foreign Language Anxiety and Language Learning Strategies among University Students." Theory and Practice in Language Studies, vol. 3, no. 4, 2013, pp. 637-646. ProQuest, </w:t>
      </w:r>
      <w:hyperlink r:id="rId14" w:history="1">
        <w:r w:rsidRPr="0001149D">
          <w:rPr>
            <w:rStyle w:val="Hyperlink"/>
            <w:rFonts w:ascii="Times New Roman" w:hAnsi="Times New Roman" w:cs="Times New Roman"/>
            <w:color w:val="auto"/>
            <w:szCs w:val="24"/>
            <w:u w:val="none"/>
          </w:rPr>
          <w:t>https://www.proquest.com/scholarly-journals/relationship-between-foreign-language-anxiety/docview/1366866592/se-2</w:t>
        </w:r>
      </w:hyperlink>
      <w:r w:rsidRPr="0001149D">
        <w:rPr>
          <w:rFonts w:ascii="Times New Roman" w:hAnsi="Times New Roman" w:cs="Times New Roman"/>
          <w:szCs w:val="24"/>
        </w:rPr>
        <w:t xml:space="preserve">, doi:https://doi.org/10.4304/tpls.3.4.637-646. </w:t>
      </w:r>
    </w:p>
    <w:p w14:paraId="76BF7B5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AECE73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Mohammadi, Ebrahim G., et al. "The Relationship between Foreign Language Anxiety and Language Learning Strategies among University Students." Theory and Practice in Language Studies, vol. 3, no. 4, 2013, pp. 637-646. ProQuest, https://www.proquest.com/scholarly-journals/relationship-between-foreign-language-anxiety/docview/1366866592/se-2, doi:https://doi.org/10.4304/tpls.3.4.637-646.</w:t>
      </w:r>
    </w:p>
    <w:p w14:paraId="5D6F24F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BEAC8F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Nakayama, Akira, et al. "The Influence of Goal Orientation, Past Language Studies, Overseas Experiences, and Gender Differences on Japanese EFL Learners' Beliefs, Anxiety, and Behaviors." Apples - Journal of Applied Language Studies, 31 Dec. 2012, apples.journal.fi/article/view/97837.</w:t>
      </w:r>
    </w:p>
    <w:p w14:paraId="492D6BE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E91362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bookmarkStart w:id="17" w:name="_Hlk201502295"/>
      <w:r w:rsidRPr="0001149D">
        <w:rPr>
          <w:rFonts w:ascii="Times New Roman" w:hAnsi="Times New Roman" w:cs="Times New Roman"/>
          <w:szCs w:val="24"/>
        </w:rPr>
        <w:t>Pongsukvajchakul</w:t>
      </w:r>
      <w:bookmarkEnd w:id="17"/>
      <w:r w:rsidRPr="0001149D">
        <w:rPr>
          <w:rFonts w:ascii="Times New Roman" w:hAnsi="Times New Roman" w:cs="Times New Roman"/>
          <w:szCs w:val="24"/>
        </w:rPr>
        <w:t>, Patsara. "Language Learning Strategies used in English Writing by Thai Undergraduate Students." Shanlax International Journal of Education 9.2 (2021): 54-9. ProQuest. Web. 22 June 2025.</w:t>
      </w:r>
    </w:p>
    <w:p w14:paraId="53D7BA67"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616F6D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Quvanch, Ziauddin, Shah Qasemi Ahmad, and Si Na Kew. "Analyzing Levels, Factors and Coping Strategies of Speaking Anxiety among EFL Undergraduates in Afghanistan." Cogent Education 11.1 (2024)ProQuest. Web. 22 June 2025.</w:t>
      </w:r>
    </w:p>
    <w:p w14:paraId="0A08150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731CA57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Radzi, N. a. B. A., Saat, R. B., Idris, N. a. B., Hassan, Z. B., Dzahid, M. Z. B. M., &amp; Jaafar, N. a. B. (2025). Reconceptualized Theoretical Framework of Foreign Language Anxiety (FLA). International Journal of Research and Innovation in Social Science, 9(10), 6122–6135. </w:t>
      </w:r>
      <w:hyperlink r:id="rId15" w:history="1">
        <w:r w:rsidRPr="0001149D">
          <w:rPr>
            <w:rStyle w:val="Hyperlink"/>
            <w:rFonts w:ascii="Times New Roman" w:hAnsi="Times New Roman" w:cs="Times New Roman"/>
            <w:color w:val="auto"/>
            <w:szCs w:val="24"/>
            <w:u w:val="none"/>
          </w:rPr>
          <w:t>https://doi.org/10.47772/ijriss.2025.910000498</w:t>
        </w:r>
      </w:hyperlink>
    </w:p>
    <w:p w14:paraId="2D045E8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BAA756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Rinthapol, Nida. "Goal Orientation and Motivational Patterns among Underrepresented Minority Junior High School Students from Low-Income Immigrant Families in a </w:t>
      </w:r>
      <w:r w:rsidRPr="0001149D">
        <w:rPr>
          <w:rFonts w:ascii="Times New Roman" w:hAnsi="Times New Roman" w:cs="Times New Roman"/>
          <w:szCs w:val="24"/>
        </w:rPr>
        <w:lastRenderedPageBreak/>
        <w:t>College Preparation Program." Order No. 3559832 University of California, Santa Barbara, 2013. United States -- California: ProQuest. Web. 5 July 2025.</w:t>
      </w:r>
    </w:p>
    <w:p w14:paraId="756596A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Sadeghi, Karim and Maryam Soleimani. “The relationship between anxiety, shyness, ambiguity tolerance, and language learning strategies.” International Journal of Pedagogies and Learning 11 (2016): 70 - 87.</w:t>
      </w:r>
    </w:p>
    <w:p w14:paraId="55524A8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1021B9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Sapio, Melissa. "Mastery Goal Orientation, Hope, and Effort among Students with Learning Disabilities." Order No. 3420963 Fordham University, 2010. United States -- New York: ProQuest. Web. 5 July 2025.</w:t>
      </w:r>
    </w:p>
    <w:p w14:paraId="58E98E67"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308ECB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Schuetze, Brendan, and Veronica Yan. "Associations between Goal Orientation and Self-Regulated Learning Strategies are Stable Across Course Types, Underrepresented Minority Status, and Gender: A Replication of Muis and Franco (2009)." </w:t>
      </w:r>
      <w:r w:rsidRPr="0001149D">
        <w:rPr>
          <w:rFonts w:ascii="Times New Roman" w:hAnsi="Times New Roman" w:cs="Times New Roman"/>
          <w:i/>
          <w:szCs w:val="24"/>
        </w:rPr>
        <w:t>Meta-Psychology,</w:t>
      </w:r>
      <w:r w:rsidRPr="0001149D">
        <w:rPr>
          <w:rFonts w:ascii="Times New Roman" w:hAnsi="Times New Roman" w:cs="Times New Roman"/>
          <w:szCs w:val="24"/>
        </w:rPr>
        <w:t xml:space="preserve"> vol. 8, 2024. ProQuest, https://www.proquest.com/scholarly-journals/associations-between-goal-orientation-self/docview/3042949254/se-2, doi:https://doi.org/10.15626/MP.2021.2918.</w:t>
      </w:r>
    </w:p>
    <w:p w14:paraId="586F215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3A60060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Sha, Ting-Ling. "Motivational Beliefs, Ethnic Identity, and Sense of Belonging: Relations to School Engagement and Academic Achievement." Order No. 3411302 University of Houston, 2010. United States -- Texas: ProQuest. Web. 6 Aug. 2025.</w:t>
      </w:r>
    </w:p>
    <w:p w14:paraId="10D38C6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EBD900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Shi, Hong. “ELLs in Higher Education: Learning Strategy Use and Goal Orientation.” </w:t>
      </w:r>
      <w:r w:rsidRPr="0001149D">
        <w:rPr>
          <w:rFonts w:ascii="Times New Roman" w:hAnsi="Times New Roman" w:cs="Times New Roman"/>
          <w:i/>
          <w:szCs w:val="24"/>
        </w:rPr>
        <w:t>World Journal of Education</w:t>
      </w:r>
      <w:r w:rsidRPr="0001149D">
        <w:rPr>
          <w:rFonts w:ascii="Times New Roman" w:hAnsi="Times New Roman" w:cs="Times New Roman"/>
          <w:szCs w:val="24"/>
        </w:rPr>
        <w:t>, vol. 12, no. 1, Feb. 2022, p. 45. https://doi.org/10.5430/wje.v12n1p45.</w:t>
      </w:r>
    </w:p>
    <w:p w14:paraId="694A284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ab/>
      </w:r>
    </w:p>
    <w:p w14:paraId="5CF7917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Sie, Siao-Ying. Teachers’ Understandings of Learning Strategies and their Perspectives of Teaching Language Learning Strategies: A Comparative Study between ESL and EFL Teachers, Alliant International University, United States -- California, 2021. </w:t>
      </w:r>
      <w:r w:rsidRPr="0001149D">
        <w:rPr>
          <w:rFonts w:ascii="Times New Roman" w:hAnsi="Times New Roman" w:cs="Times New Roman"/>
          <w:i/>
          <w:szCs w:val="24"/>
        </w:rPr>
        <w:t>ProQuest,</w:t>
      </w:r>
      <w:r w:rsidRPr="0001149D">
        <w:rPr>
          <w:rFonts w:ascii="Times New Roman" w:hAnsi="Times New Roman" w:cs="Times New Roman"/>
          <w:szCs w:val="24"/>
        </w:rPr>
        <w:t xml:space="preserve"> </w:t>
      </w:r>
      <w:hyperlink r:id="rId16" w:history="1">
        <w:r w:rsidRPr="0001149D">
          <w:rPr>
            <w:rStyle w:val="Hyperlink"/>
            <w:rFonts w:ascii="Times New Roman" w:hAnsi="Times New Roman" w:cs="Times New Roman"/>
            <w:color w:val="auto"/>
            <w:szCs w:val="24"/>
            <w:u w:val="none"/>
          </w:rPr>
          <w:t>https://www.proquest.com/dissertations-theses/teachers-understandings-learning-strategies-their/docview/2617268525/se-2</w:t>
        </w:r>
      </w:hyperlink>
      <w:r w:rsidRPr="0001149D">
        <w:rPr>
          <w:rFonts w:ascii="Times New Roman" w:hAnsi="Times New Roman" w:cs="Times New Roman"/>
          <w:szCs w:val="24"/>
        </w:rPr>
        <w:t xml:space="preserve">. </w:t>
      </w:r>
    </w:p>
    <w:p w14:paraId="209571F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042708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Stalnaker, Fabiana F. Foreign Language Speaking Anxiety: The Case of English as a Foreign Language Brazilian Learners, The University of Texas at San Antonio, United States -- Texas, 2023. ProQuest, </w:t>
      </w:r>
      <w:hyperlink r:id="rId17" w:history="1">
        <w:r w:rsidRPr="0001149D">
          <w:rPr>
            <w:rStyle w:val="Hyperlink"/>
            <w:rFonts w:ascii="Times New Roman" w:hAnsi="Times New Roman" w:cs="Times New Roman"/>
            <w:color w:val="auto"/>
            <w:szCs w:val="24"/>
            <w:u w:val="none"/>
          </w:rPr>
          <w:t>https://www.proquest.com/dissertations-theses/foreign-language-speaking-anxiety-case-english-as/docview/2853735320/se-2</w:t>
        </w:r>
      </w:hyperlink>
      <w:r w:rsidRPr="0001149D">
        <w:rPr>
          <w:rFonts w:ascii="Times New Roman" w:hAnsi="Times New Roman" w:cs="Times New Roman"/>
          <w:szCs w:val="24"/>
        </w:rPr>
        <w:t>.</w:t>
      </w:r>
    </w:p>
    <w:p w14:paraId="2FE44D7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47D180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Stuart, Melinda A. A Quantitative Correlational Study Examining the Relationship between English Language Students’ Lexia PowerUp Usage and English Language Proficiency Scores on ACCESS, American College of Education, United States -- Indiana, 2024. ProQuest, https://www.proquest.com/dissertations-theses/quantitative-correlational-study-examining/docview/3148720437/se-2.</w:t>
      </w:r>
    </w:p>
    <w:p w14:paraId="2E0F0B0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225C5A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Swendseid, Ava. Life Aspirations Predicting Learning Engagement: Mediating Role of Achievement Goal Orientation, Grand Canyon University, United States -- Arizona, </w:t>
      </w:r>
      <w:r w:rsidRPr="0001149D">
        <w:rPr>
          <w:rFonts w:ascii="Times New Roman" w:hAnsi="Times New Roman" w:cs="Times New Roman"/>
          <w:szCs w:val="24"/>
        </w:rPr>
        <w:lastRenderedPageBreak/>
        <w:t xml:space="preserve">2024. ProQuest, </w:t>
      </w:r>
      <w:hyperlink r:id="rId18" w:history="1">
        <w:r w:rsidRPr="0001149D">
          <w:rPr>
            <w:rStyle w:val="Hyperlink"/>
            <w:rFonts w:ascii="Times New Roman" w:hAnsi="Times New Roman" w:cs="Times New Roman"/>
            <w:color w:val="auto"/>
            <w:szCs w:val="24"/>
            <w:u w:val="none"/>
          </w:rPr>
          <w:t>https://www.proquest.com/dissertations-theses/life-aspirations-predicting-learning-engagement/docview/3078389634/se-2</w:t>
        </w:r>
      </w:hyperlink>
      <w:r w:rsidRPr="0001149D">
        <w:rPr>
          <w:rFonts w:ascii="Times New Roman" w:hAnsi="Times New Roman" w:cs="Times New Roman"/>
          <w:szCs w:val="24"/>
        </w:rPr>
        <w:t xml:space="preserve">. </w:t>
      </w:r>
    </w:p>
    <w:p w14:paraId="4E1CA2E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3BA1A4A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Takashiro, Naomi. "What are the Relationships between College Students' Goal Orientations and Learning Strategies?" Psychological Thought, vol. 9, no. 2, 2016, pp. 169-183. ProQuest, https://www.proquest.com/scholarly-journals/what-are-relationships-between-college-students/docview/2545980808/se-2, doi:https://doi.org/10.5964/psyct.v9i2.169. </w:t>
      </w:r>
    </w:p>
    <w:p w14:paraId="43373BE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390178C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Waluyo, Budi, Ali Zahabi, and Benjamin Panmei. "Examining the Correlates and Components of English Test Anxiety in EFL Students: A Quantitative Study." MEXTESOL Journal 49.1 (2025)ProQuest. Web. 22 June 2025.</w:t>
      </w:r>
    </w:p>
    <w:p w14:paraId="0882B00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8A6BDB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Wang, Sandy I. Ching, and Eric Zhi Feng Liu. “Validating Foreign Language classroom anxiety Anxiety Scale for High School Students.” International Journal of Online Pedagogy and Course Design, vol. 14, no. 1, Feb. 2024, pp. 1–15, doi:10.4018/ijopcd.338323.</w:t>
      </w:r>
    </w:p>
    <w:p w14:paraId="4FC863B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5A6BF6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Ward, Barry. "Resolving the Raven Paradox: Simple Random Sampling, Stratified Random Sampling, and Inference to Best Explanation." Philosophy of Science, vol. 89, no. 2, 2022, pp. 360-377. ProQuest, https://www.proquest.com/scholarly-journals/resolving-raven-paradox-simple-random-sampling/docview/2790086523/se-2, doi:https://doi.org/10.1017/psa.2021.26.</w:t>
      </w:r>
    </w:p>
    <w:p w14:paraId="790963F3" w14:textId="77777777" w:rsidR="00532539" w:rsidRPr="0001149D" w:rsidRDefault="00532539" w:rsidP="00532539">
      <w:pPr>
        <w:spacing w:before="20" w:after="20" w:line="240" w:lineRule="auto"/>
        <w:ind w:left="1287" w:right="107" w:hanging="720"/>
        <w:rPr>
          <w:rFonts w:ascii="Times New Roman" w:hAnsi="Times New Roman" w:cs="Times New Roman"/>
          <w:szCs w:val="24"/>
        </w:rPr>
      </w:pPr>
    </w:p>
    <w:p w14:paraId="784C4E7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Wen-Jye Shyr, et al. "The Relationship between Language Learning Strategies and Achievement Goal Orientations from Taiwanese Engineering Students in EFL Learning." Eurasia Journal of Mathematics, Science and Technology Education, vol. 13, no. 10, 2017, pp. 6431-6443. ProQuest, https://www.proquest.com/scholarly-journals/relationship-between-language-learning-strategies/docview/2786529423/se-2, doi:https://doi.org/10.12973/ejmste/76660.</w:t>
      </w:r>
    </w:p>
    <w:p w14:paraId="226A5E4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5AFB52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Zeng, Jie, et al. "The Influence of Learning Strategies and the Environment on Chinese L3 English Learners’ Motivation to Learn Phonetic Symbols: The Mediating Role of Self-Efficacy." PLoS One 18.10 (2023)ProQuest. Web. 30 July 2025.                                                                                                                                                                                                                                                                                                                                                                                                                                                                                                                                                                                                                                                                                                                                                                                     </w:t>
      </w:r>
    </w:p>
    <w:p w14:paraId="20C5F14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4C56B7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bookmarkEnd w:id="5"/>
    <w:p w14:paraId="04B94D37" w14:textId="77777777" w:rsidR="00532539" w:rsidRPr="0001149D" w:rsidRDefault="00532539" w:rsidP="00532539">
      <w:pPr>
        <w:spacing w:before="20" w:after="20" w:line="240" w:lineRule="auto"/>
        <w:ind w:right="107"/>
        <w:rPr>
          <w:rFonts w:ascii="Times New Roman" w:hAnsi="Times New Roman" w:cs="Times New Roman"/>
          <w:szCs w:val="24"/>
        </w:rPr>
      </w:pPr>
    </w:p>
    <w:p w14:paraId="62908566" w14:textId="77777777" w:rsidR="00A82F9C" w:rsidRPr="0001149D" w:rsidRDefault="00A82F9C" w:rsidP="00532539">
      <w:pPr>
        <w:spacing w:line="240" w:lineRule="auto"/>
        <w:rPr>
          <w:rFonts w:ascii="Times New Roman" w:hAnsi="Times New Roman" w:cs="Times New Roman"/>
          <w:szCs w:val="24"/>
        </w:rPr>
      </w:pPr>
    </w:p>
    <w:p w14:paraId="6177B7A1" w14:textId="724855C3" w:rsidR="00D30EB1" w:rsidRPr="0001149D" w:rsidRDefault="00D30EB1" w:rsidP="00532539">
      <w:pPr>
        <w:pStyle w:val="ListParagraph"/>
        <w:spacing w:line="240" w:lineRule="auto"/>
        <w:ind w:left="780" w:firstLine="0"/>
        <w:jc w:val="right"/>
        <w:rPr>
          <w:rFonts w:ascii="Times New Roman" w:hAnsi="Times New Roman" w:cs="Times New Roman"/>
          <w:bCs/>
          <w:i/>
          <w:iCs/>
          <w:szCs w:val="24"/>
        </w:rPr>
      </w:pPr>
    </w:p>
    <w:sectPr w:rsidR="00D30EB1" w:rsidRPr="0001149D" w:rsidSect="00B22E62">
      <w:headerReference w:type="default" r:id="rId19"/>
      <w:pgSz w:w="12240" w:h="15840" w:code="1"/>
      <w:pgMar w:top="1440" w:right="1440"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F5C6A" w14:textId="77777777" w:rsidR="004566BD" w:rsidRDefault="004566BD" w:rsidP="004322B3">
      <w:pPr>
        <w:spacing w:line="240" w:lineRule="auto"/>
      </w:pPr>
      <w:r>
        <w:separator/>
      </w:r>
    </w:p>
  </w:endnote>
  <w:endnote w:type="continuationSeparator" w:id="0">
    <w:p w14:paraId="3468115F" w14:textId="77777777" w:rsidR="004566BD" w:rsidRDefault="004566BD" w:rsidP="00432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8DF4" w14:textId="77777777" w:rsidR="004566BD" w:rsidRDefault="004566BD" w:rsidP="004322B3">
      <w:pPr>
        <w:spacing w:line="240" w:lineRule="auto"/>
      </w:pPr>
      <w:r>
        <w:separator/>
      </w:r>
    </w:p>
  </w:footnote>
  <w:footnote w:type="continuationSeparator" w:id="0">
    <w:p w14:paraId="08F565A8" w14:textId="77777777" w:rsidR="004566BD" w:rsidRDefault="004566BD" w:rsidP="004322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896369"/>
      <w:docPartObj>
        <w:docPartGallery w:val="Page Numbers (Top of Page)"/>
        <w:docPartUnique/>
      </w:docPartObj>
    </w:sdtPr>
    <w:sdtEndPr>
      <w:rPr>
        <w:rFonts w:ascii="Times New Roman" w:hAnsi="Times New Roman" w:cs="Times New Roman"/>
        <w:noProof/>
        <w:szCs w:val="24"/>
      </w:rPr>
    </w:sdtEndPr>
    <w:sdtContent>
      <w:p w14:paraId="5FAE389D" w14:textId="66092C8F" w:rsidR="00B22E62" w:rsidRPr="00424034" w:rsidRDefault="00B22E62">
        <w:pPr>
          <w:pStyle w:val="Header"/>
          <w:jc w:val="right"/>
          <w:rPr>
            <w:rFonts w:ascii="Times New Roman" w:hAnsi="Times New Roman" w:cs="Times New Roman"/>
            <w:szCs w:val="24"/>
          </w:rPr>
        </w:pPr>
        <w:r w:rsidRPr="00424034">
          <w:rPr>
            <w:rFonts w:ascii="Times New Roman" w:hAnsi="Times New Roman" w:cs="Times New Roman"/>
            <w:szCs w:val="24"/>
          </w:rPr>
          <w:fldChar w:fldCharType="begin"/>
        </w:r>
        <w:r w:rsidRPr="00424034">
          <w:rPr>
            <w:rFonts w:ascii="Times New Roman" w:hAnsi="Times New Roman" w:cs="Times New Roman"/>
            <w:szCs w:val="24"/>
          </w:rPr>
          <w:instrText xml:space="preserve"> PAGE   \* MERGEFORMAT </w:instrText>
        </w:r>
        <w:r w:rsidRPr="00424034">
          <w:rPr>
            <w:rFonts w:ascii="Times New Roman" w:hAnsi="Times New Roman" w:cs="Times New Roman"/>
            <w:szCs w:val="24"/>
          </w:rPr>
          <w:fldChar w:fldCharType="separate"/>
        </w:r>
        <w:r w:rsidR="00D70740">
          <w:rPr>
            <w:rFonts w:ascii="Times New Roman" w:hAnsi="Times New Roman" w:cs="Times New Roman"/>
            <w:noProof/>
            <w:szCs w:val="24"/>
          </w:rPr>
          <w:t>24</w:t>
        </w:r>
        <w:r w:rsidRPr="00424034">
          <w:rPr>
            <w:rFonts w:ascii="Times New Roman" w:hAnsi="Times New Roman" w:cs="Times New Roman"/>
            <w:noProof/>
            <w:szCs w:val="24"/>
          </w:rPr>
          <w:fldChar w:fldCharType="end"/>
        </w:r>
      </w:p>
    </w:sdtContent>
  </w:sdt>
  <w:p w14:paraId="4E7E66A6" w14:textId="3F89FD94" w:rsidR="00A62467" w:rsidRDefault="00A62467" w:rsidP="00111D9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964B9"/>
    <w:multiLevelType w:val="hybridMultilevel"/>
    <w:tmpl w:val="D6D8C09C"/>
    <w:lvl w:ilvl="0" w:tplc="B8622AE4">
      <w:numFmt w:val="bullet"/>
      <w:lvlText w:val="-"/>
      <w:lvlJc w:val="left"/>
      <w:pPr>
        <w:ind w:left="780" w:hanging="360"/>
      </w:pPr>
      <w:rPr>
        <w:rFonts w:ascii="Arial" w:eastAsiaTheme="minorEastAsia"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F9E45FA"/>
    <w:multiLevelType w:val="hybridMultilevel"/>
    <w:tmpl w:val="7C72A20C"/>
    <w:lvl w:ilvl="0" w:tplc="10865D1C">
      <w:start w:val="1"/>
      <w:numFmt w:val="decimal"/>
      <w:lvlText w:val="%1"/>
      <w:lvlJc w:val="left"/>
      <w:pPr>
        <w:ind w:left="1440" w:hanging="118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C0NDK3NDWzMLAwMzBR0lEKTi0uzszPAykwNKoFAHuJLq0tAAAA"/>
  </w:docVars>
  <w:rsids>
    <w:rsidRoot w:val="00564232"/>
    <w:rsid w:val="00004F94"/>
    <w:rsid w:val="0001149D"/>
    <w:rsid w:val="0007079A"/>
    <w:rsid w:val="00073AFC"/>
    <w:rsid w:val="00074125"/>
    <w:rsid w:val="000A1CD3"/>
    <w:rsid w:val="000A7E28"/>
    <w:rsid w:val="000D7E07"/>
    <w:rsid w:val="000E2CA0"/>
    <w:rsid w:val="000F29D9"/>
    <w:rsid w:val="000F5A84"/>
    <w:rsid w:val="000F6536"/>
    <w:rsid w:val="00111D94"/>
    <w:rsid w:val="001226F8"/>
    <w:rsid w:val="00140B0C"/>
    <w:rsid w:val="00150E62"/>
    <w:rsid w:val="001536B9"/>
    <w:rsid w:val="001950EB"/>
    <w:rsid w:val="001C2AE1"/>
    <w:rsid w:val="001E3271"/>
    <w:rsid w:val="001E6338"/>
    <w:rsid w:val="00202377"/>
    <w:rsid w:val="00206F92"/>
    <w:rsid w:val="00211BBD"/>
    <w:rsid w:val="0021660A"/>
    <w:rsid w:val="0022430B"/>
    <w:rsid w:val="002270B9"/>
    <w:rsid w:val="00240E32"/>
    <w:rsid w:val="00250E97"/>
    <w:rsid w:val="002833E9"/>
    <w:rsid w:val="002916A8"/>
    <w:rsid w:val="002B6E65"/>
    <w:rsid w:val="002C0D8F"/>
    <w:rsid w:val="002D4DFE"/>
    <w:rsid w:val="002F05A0"/>
    <w:rsid w:val="002F3D2E"/>
    <w:rsid w:val="00300211"/>
    <w:rsid w:val="00324B5D"/>
    <w:rsid w:val="003367F3"/>
    <w:rsid w:val="00337D0F"/>
    <w:rsid w:val="003448E5"/>
    <w:rsid w:val="00360BE1"/>
    <w:rsid w:val="00374EE6"/>
    <w:rsid w:val="00391FBD"/>
    <w:rsid w:val="003B6963"/>
    <w:rsid w:val="003B7823"/>
    <w:rsid w:val="003C1B21"/>
    <w:rsid w:val="003C394A"/>
    <w:rsid w:val="003C6822"/>
    <w:rsid w:val="003E325F"/>
    <w:rsid w:val="0040042E"/>
    <w:rsid w:val="00404839"/>
    <w:rsid w:val="00422285"/>
    <w:rsid w:val="00424034"/>
    <w:rsid w:val="0043207F"/>
    <w:rsid w:val="004322B3"/>
    <w:rsid w:val="00440B8E"/>
    <w:rsid w:val="004566BD"/>
    <w:rsid w:val="0048187B"/>
    <w:rsid w:val="004A3478"/>
    <w:rsid w:val="004A6F98"/>
    <w:rsid w:val="004D4010"/>
    <w:rsid w:val="004F2B5F"/>
    <w:rsid w:val="004F3546"/>
    <w:rsid w:val="004F3EA1"/>
    <w:rsid w:val="00532539"/>
    <w:rsid w:val="00534C0A"/>
    <w:rsid w:val="005352E4"/>
    <w:rsid w:val="005544C7"/>
    <w:rsid w:val="0056073E"/>
    <w:rsid w:val="00564232"/>
    <w:rsid w:val="0058082C"/>
    <w:rsid w:val="00587B74"/>
    <w:rsid w:val="00596B15"/>
    <w:rsid w:val="00597A24"/>
    <w:rsid w:val="005B48F5"/>
    <w:rsid w:val="005C65BF"/>
    <w:rsid w:val="005C6C3E"/>
    <w:rsid w:val="005F3B25"/>
    <w:rsid w:val="005F78FA"/>
    <w:rsid w:val="00604AAE"/>
    <w:rsid w:val="006203DD"/>
    <w:rsid w:val="006341DB"/>
    <w:rsid w:val="00661C6A"/>
    <w:rsid w:val="00661F2B"/>
    <w:rsid w:val="00666267"/>
    <w:rsid w:val="006764F0"/>
    <w:rsid w:val="00682274"/>
    <w:rsid w:val="00683D5D"/>
    <w:rsid w:val="00687DE4"/>
    <w:rsid w:val="006A74E6"/>
    <w:rsid w:val="006F6EA7"/>
    <w:rsid w:val="0070550E"/>
    <w:rsid w:val="00712E0D"/>
    <w:rsid w:val="00717CC9"/>
    <w:rsid w:val="007553BC"/>
    <w:rsid w:val="007D2E87"/>
    <w:rsid w:val="007E4C55"/>
    <w:rsid w:val="007F3F61"/>
    <w:rsid w:val="007F55EC"/>
    <w:rsid w:val="008109ED"/>
    <w:rsid w:val="00837EA4"/>
    <w:rsid w:val="00853DB7"/>
    <w:rsid w:val="00891A0F"/>
    <w:rsid w:val="008A14D3"/>
    <w:rsid w:val="008A2B54"/>
    <w:rsid w:val="008B1AD1"/>
    <w:rsid w:val="008C5B49"/>
    <w:rsid w:val="008C691C"/>
    <w:rsid w:val="008C7BBB"/>
    <w:rsid w:val="00931914"/>
    <w:rsid w:val="00952295"/>
    <w:rsid w:val="0095588C"/>
    <w:rsid w:val="00965B5B"/>
    <w:rsid w:val="009749F3"/>
    <w:rsid w:val="009779F0"/>
    <w:rsid w:val="0098120D"/>
    <w:rsid w:val="00982584"/>
    <w:rsid w:val="00982BE0"/>
    <w:rsid w:val="009A6F53"/>
    <w:rsid w:val="009B1050"/>
    <w:rsid w:val="009B356F"/>
    <w:rsid w:val="009C326D"/>
    <w:rsid w:val="009E6523"/>
    <w:rsid w:val="009F47BE"/>
    <w:rsid w:val="00A31779"/>
    <w:rsid w:val="00A36A0D"/>
    <w:rsid w:val="00A377E0"/>
    <w:rsid w:val="00A62467"/>
    <w:rsid w:val="00A62B7A"/>
    <w:rsid w:val="00A74A0C"/>
    <w:rsid w:val="00A82F9C"/>
    <w:rsid w:val="00A86C75"/>
    <w:rsid w:val="00A92A7B"/>
    <w:rsid w:val="00A96880"/>
    <w:rsid w:val="00AB189D"/>
    <w:rsid w:val="00AE1649"/>
    <w:rsid w:val="00AE7B2F"/>
    <w:rsid w:val="00B22E62"/>
    <w:rsid w:val="00B30C2E"/>
    <w:rsid w:val="00B333A4"/>
    <w:rsid w:val="00B35A01"/>
    <w:rsid w:val="00B43E8B"/>
    <w:rsid w:val="00B45D22"/>
    <w:rsid w:val="00B8451C"/>
    <w:rsid w:val="00B93C22"/>
    <w:rsid w:val="00BB0CD0"/>
    <w:rsid w:val="00C26BF0"/>
    <w:rsid w:val="00C5262F"/>
    <w:rsid w:val="00C6344B"/>
    <w:rsid w:val="00C718E5"/>
    <w:rsid w:val="00C72D1F"/>
    <w:rsid w:val="00C92C74"/>
    <w:rsid w:val="00CB44BB"/>
    <w:rsid w:val="00CC1592"/>
    <w:rsid w:val="00CC3B40"/>
    <w:rsid w:val="00CD017F"/>
    <w:rsid w:val="00D171E7"/>
    <w:rsid w:val="00D30EB1"/>
    <w:rsid w:val="00D31914"/>
    <w:rsid w:val="00D3763B"/>
    <w:rsid w:val="00D4692C"/>
    <w:rsid w:val="00D70740"/>
    <w:rsid w:val="00D76423"/>
    <w:rsid w:val="00D8022B"/>
    <w:rsid w:val="00D848C8"/>
    <w:rsid w:val="00D851A5"/>
    <w:rsid w:val="00D90EFD"/>
    <w:rsid w:val="00DA4763"/>
    <w:rsid w:val="00DD54CC"/>
    <w:rsid w:val="00DF07C3"/>
    <w:rsid w:val="00DF31B9"/>
    <w:rsid w:val="00E10E93"/>
    <w:rsid w:val="00E359DD"/>
    <w:rsid w:val="00E37655"/>
    <w:rsid w:val="00E4027E"/>
    <w:rsid w:val="00E4298F"/>
    <w:rsid w:val="00E55EC2"/>
    <w:rsid w:val="00E62774"/>
    <w:rsid w:val="00E62941"/>
    <w:rsid w:val="00E73332"/>
    <w:rsid w:val="00E96B31"/>
    <w:rsid w:val="00EA5237"/>
    <w:rsid w:val="00EC131E"/>
    <w:rsid w:val="00EE4681"/>
    <w:rsid w:val="00EF4A50"/>
    <w:rsid w:val="00F03357"/>
    <w:rsid w:val="00F1400A"/>
    <w:rsid w:val="00F1530B"/>
    <w:rsid w:val="00F273B0"/>
    <w:rsid w:val="00F521D0"/>
    <w:rsid w:val="00F53F9F"/>
    <w:rsid w:val="00F57C82"/>
    <w:rsid w:val="00F57D0E"/>
    <w:rsid w:val="00F6480C"/>
    <w:rsid w:val="00F72C7F"/>
    <w:rsid w:val="00F828F3"/>
    <w:rsid w:val="00F856B0"/>
    <w:rsid w:val="00FA41EE"/>
    <w:rsid w:val="00FB006E"/>
    <w:rsid w:val="00FD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3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24"/>
    <w:pPr>
      <w:spacing w:after="0" w:line="480" w:lineRule="auto"/>
      <w:ind w:firstLine="720"/>
      <w:jc w:val="both"/>
    </w:pPr>
    <w:rPr>
      <w:rFonts w:ascii="Arial" w:eastAsiaTheme="minorEastAsia" w:hAnsi="Arial" w:cs="Arial"/>
      <w:sz w:val="24"/>
    </w:rPr>
  </w:style>
  <w:style w:type="paragraph" w:styleId="Heading1">
    <w:name w:val="heading 1"/>
    <w:basedOn w:val="Normal"/>
    <w:next w:val="Normal"/>
    <w:link w:val="Heading1Char"/>
    <w:uiPriority w:val="9"/>
    <w:qFormat/>
    <w:rsid w:val="00111D94"/>
    <w:pPr>
      <w:spacing w:after="160" w:line="259" w:lineRule="auto"/>
      <w:ind w:firstLine="0"/>
      <w:jc w:val="center"/>
      <w:outlineLvl w:val="0"/>
    </w:pPr>
    <w:rPr>
      <w:b/>
      <w:bCs/>
    </w:rPr>
  </w:style>
  <w:style w:type="paragraph" w:styleId="Heading3">
    <w:name w:val="heading 3"/>
    <w:basedOn w:val="Normal"/>
    <w:next w:val="Normal"/>
    <w:link w:val="Heading3Char"/>
    <w:uiPriority w:val="9"/>
    <w:semiHidden/>
    <w:unhideWhenUsed/>
    <w:qFormat/>
    <w:rsid w:val="00D376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64232"/>
    <w:pPr>
      <w:spacing w:after="200" w:line="240" w:lineRule="auto"/>
    </w:pPr>
    <w:rPr>
      <w:i/>
      <w:iCs/>
      <w:color w:val="44546A" w:themeColor="text2"/>
      <w:sz w:val="18"/>
      <w:szCs w:val="18"/>
    </w:rPr>
  </w:style>
  <w:style w:type="paragraph" w:customStyle="1" w:styleId="ChapterTitle">
    <w:name w:val="Chapter Title"/>
    <w:basedOn w:val="Heading1"/>
    <w:qFormat/>
    <w:rsid w:val="00564232"/>
    <w:pPr>
      <w:spacing w:after="240"/>
    </w:pPr>
    <w:rPr>
      <w:b w:val="0"/>
      <w:caps/>
    </w:rPr>
  </w:style>
  <w:style w:type="character" w:customStyle="1" w:styleId="Heading1Char">
    <w:name w:val="Heading 1 Char"/>
    <w:basedOn w:val="DefaultParagraphFont"/>
    <w:link w:val="Heading1"/>
    <w:uiPriority w:val="9"/>
    <w:rsid w:val="00111D94"/>
    <w:rPr>
      <w:rFonts w:ascii="Arial" w:eastAsiaTheme="minorEastAsia" w:hAnsi="Arial" w:cs="Arial"/>
      <w:b/>
      <w:bCs/>
      <w:sz w:val="24"/>
    </w:rPr>
  </w:style>
  <w:style w:type="paragraph" w:styleId="Bibliography">
    <w:name w:val="Bibliography"/>
    <w:basedOn w:val="Normal"/>
    <w:next w:val="Normal"/>
    <w:uiPriority w:val="37"/>
    <w:unhideWhenUsed/>
    <w:rsid w:val="00AE7B2F"/>
  </w:style>
  <w:style w:type="paragraph" w:styleId="NoSpacing">
    <w:name w:val="No Spacing"/>
    <w:link w:val="NoSpacingChar"/>
    <w:uiPriority w:val="1"/>
    <w:qFormat/>
    <w:rsid w:val="00206F92"/>
    <w:pPr>
      <w:spacing w:after="0" w:line="240" w:lineRule="auto"/>
    </w:pPr>
    <w:rPr>
      <w:rFonts w:ascii="Arial" w:eastAsiaTheme="minorEastAsia" w:hAnsi="Arial"/>
      <w:sz w:val="24"/>
    </w:rPr>
  </w:style>
  <w:style w:type="table" w:styleId="TableGrid">
    <w:name w:val="Table Grid"/>
    <w:basedOn w:val="TableNormal"/>
    <w:uiPriority w:val="59"/>
    <w:rsid w:val="00DD54C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322B3"/>
    <w:pPr>
      <w:jc w:val="left"/>
      <w:outlineLvl w:val="9"/>
    </w:pPr>
  </w:style>
  <w:style w:type="paragraph" w:styleId="TOC1">
    <w:name w:val="toc 1"/>
    <w:basedOn w:val="Normal"/>
    <w:next w:val="Normal"/>
    <w:autoRedefine/>
    <w:uiPriority w:val="39"/>
    <w:unhideWhenUsed/>
    <w:rsid w:val="004322B3"/>
    <w:pPr>
      <w:spacing w:after="100"/>
    </w:pPr>
  </w:style>
  <w:style w:type="character" w:styleId="Hyperlink">
    <w:name w:val="Hyperlink"/>
    <w:basedOn w:val="DefaultParagraphFont"/>
    <w:uiPriority w:val="99"/>
    <w:unhideWhenUsed/>
    <w:rsid w:val="004322B3"/>
    <w:rPr>
      <w:color w:val="0563C1" w:themeColor="hyperlink"/>
      <w:u w:val="single"/>
    </w:rPr>
  </w:style>
  <w:style w:type="paragraph" w:styleId="Header">
    <w:name w:val="header"/>
    <w:basedOn w:val="Normal"/>
    <w:link w:val="HeaderChar"/>
    <w:uiPriority w:val="99"/>
    <w:unhideWhenUsed/>
    <w:rsid w:val="004322B3"/>
    <w:pPr>
      <w:tabs>
        <w:tab w:val="center" w:pos="4680"/>
        <w:tab w:val="right" w:pos="9360"/>
      </w:tabs>
      <w:spacing w:line="240" w:lineRule="auto"/>
    </w:pPr>
  </w:style>
  <w:style w:type="character" w:customStyle="1" w:styleId="HeaderChar">
    <w:name w:val="Header Char"/>
    <w:basedOn w:val="DefaultParagraphFont"/>
    <w:link w:val="Header"/>
    <w:uiPriority w:val="99"/>
    <w:rsid w:val="004322B3"/>
    <w:rPr>
      <w:rFonts w:ascii="Arial" w:eastAsiaTheme="minorEastAsia" w:hAnsi="Arial" w:cs="Arial"/>
      <w:sz w:val="24"/>
    </w:rPr>
  </w:style>
  <w:style w:type="paragraph" w:styleId="Footer">
    <w:name w:val="footer"/>
    <w:basedOn w:val="Normal"/>
    <w:link w:val="FooterChar"/>
    <w:uiPriority w:val="99"/>
    <w:unhideWhenUsed/>
    <w:rsid w:val="004322B3"/>
    <w:pPr>
      <w:tabs>
        <w:tab w:val="center" w:pos="4680"/>
        <w:tab w:val="right" w:pos="9360"/>
      </w:tabs>
      <w:spacing w:line="240" w:lineRule="auto"/>
    </w:pPr>
  </w:style>
  <w:style w:type="character" w:customStyle="1" w:styleId="FooterChar">
    <w:name w:val="Footer Char"/>
    <w:basedOn w:val="DefaultParagraphFont"/>
    <w:link w:val="Footer"/>
    <w:uiPriority w:val="99"/>
    <w:rsid w:val="004322B3"/>
    <w:rPr>
      <w:rFonts w:ascii="Arial" w:eastAsiaTheme="minorEastAsia" w:hAnsi="Arial" w:cs="Arial"/>
      <w:sz w:val="24"/>
    </w:rPr>
  </w:style>
  <w:style w:type="paragraph" w:styleId="TableofFigures">
    <w:name w:val="table of figures"/>
    <w:basedOn w:val="Normal"/>
    <w:next w:val="Normal"/>
    <w:uiPriority w:val="99"/>
    <w:unhideWhenUsed/>
    <w:rsid w:val="00A62467"/>
  </w:style>
  <w:style w:type="character" w:customStyle="1" w:styleId="Heading3Char">
    <w:name w:val="Heading 3 Char"/>
    <w:basedOn w:val="DefaultParagraphFont"/>
    <w:link w:val="Heading3"/>
    <w:uiPriority w:val="9"/>
    <w:semiHidden/>
    <w:rsid w:val="00D3763B"/>
    <w:rPr>
      <w:rFonts w:asciiTheme="majorHAnsi" w:eastAsiaTheme="majorEastAsia" w:hAnsiTheme="majorHAnsi" w:cstheme="majorBidi"/>
      <w:color w:val="1F3763" w:themeColor="accent1" w:themeShade="7F"/>
      <w:sz w:val="24"/>
      <w:szCs w:val="24"/>
    </w:rPr>
  </w:style>
  <w:style w:type="character" w:customStyle="1" w:styleId="NoSpacingChar">
    <w:name w:val="No Spacing Char"/>
    <w:link w:val="NoSpacing"/>
    <w:uiPriority w:val="1"/>
    <w:qFormat/>
    <w:locked/>
    <w:rsid w:val="000E2CA0"/>
    <w:rPr>
      <w:rFonts w:ascii="Arial" w:eastAsiaTheme="minorEastAsia" w:hAnsi="Arial"/>
      <w:sz w:val="24"/>
    </w:rPr>
  </w:style>
  <w:style w:type="paragraph" w:styleId="BodyText">
    <w:name w:val="Body Text"/>
    <w:basedOn w:val="Normal"/>
    <w:link w:val="BodyTextChar"/>
    <w:semiHidden/>
    <w:rsid w:val="006341DB"/>
    <w:pPr>
      <w:spacing w:line="240" w:lineRule="auto"/>
      <w:ind w:firstLine="0"/>
    </w:pPr>
    <w:rPr>
      <w:rFonts w:eastAsia="Times New Roman"/>
      <w:szCs w:val="20"/>
    </w:rPr>
  </w:style>
  <w:style w:type="character" w:customStyle="1" w:styleId="BodyTextChar">
    <w:name w:val="Body Text Char"/>
    <w:basedOn w:val="DefaultParagraphFont"/>
    <w:link w:val="BodyText"/>
    <w:semiHidden/>
    <w:rsid w:val="006341DB"/>
    <w:rPr>
      <w:rFonts w:ascii="Arial" w:eastAsia="Times New Roman" w:hAnsi="Arial" w:cs="Arial"/>
      <w:sz w:val="24"/>
      <w:szCs w:val="20"/>
    </w:rPr>
  </w:style>
  <w:style w:type="paragraph" w:styleId="BalloonText">
    <w:name w:val="Balloon Text"/>
    <w:basedOn w:val="Normal"/>
    <w:link w:val="BalloonTextChar"/>
    <w:uiPriority w:val="99"/>
    <w:semiHidden/>
    <w:unhideWhenUsed/>
    <w:rsid w:val="003E32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5F"/>
    <w:rPr>
      <w:rFonts w:ascii="Segoe UI" w:eastAsiaTheme="minorEastAsia" w:hAnsi="Segoe UI" w:cs="Segoe UI"/>
      <w:sz w:val="18"/>
      <w:szCs w:val="18"/>
    </w:rPr>
  </w:style>
  <w:style w:type="paragraph" w:styleId="NormalWeb">
    <w:name w:val="Normal (Web)"/>
    <w:basedOn w:val="Normal"/>
    <w:uiPriority w:val="99"/>
    <w:semiHidden/>
    <w:unhideWhenUsed/>
    <w:rsid w:val="00FD5466"/>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Emphasis">
    <w:name w:val="Emphasis"/>
    <w:basedOn w:val="DefaultParagraphFont"/>
    <w:uiPriority w:val="20"/>
    <w:qFormat/>
    <w:rsid w:val="00FD5466"/>
    <w:rPr>
      <w:i/>
      <w:iCs/>
    </w:rPr>
  </w:style>
  <w:style w:type="paragraph" w:styleId="ListParagraph">
    <w:name w:val="List Paragraph"/>
    <w:basedOn w:val="Normal"/>
    <w:uiPriority w:val="34"/>
    <w:qFormat/>
    <w:rsid w:val="00E96B31"/>
    <w:pPr>
      <w:ind w:left="720"/>
      <w:contextualSpacing/>
    </w:pPr>
  </w:style>
  <w:style w:type="paragraph" w:customStyle="1" w:styleId="TableParagraph">
    <w:name w:val="Table Paragraph"/>
    <w:basedOn w:val="Normal"/>
    <w:uiPriority w:val="1"/>
    <w:qFormat/>
    <w:rsid w:val="00532539"/>
    <w:pPr>
      <w:widowControl w:val="0"/>
      <w:autoSpaceDE w:val="0"/>
      <w:autoSpaceDN w:val="0"/>
      <w:adjustRightInd w:val="0"/>
      <w:spacing w:line="240" w:lineRule="auto"/>
      <w:ind w:firstLine="0"/>
      <w:jc w:val="left"/>
    </w:pPr>
    <w:rPr>
      <w:rFonts w:eastAsia="Times New Roman"/>
      <w:szCs w:val="24"/>
    </w:rPr>
  </w:style>
  <w:style w:type="character" w:customStyle="1" w:styleId="UnresolvedMention">
    <w:name w:val="Unresolved Mention"/>
    <w:basedOn w:val="DefaultParagraphFont"/>
    <w:uiPriority w:val="99"/>
    <w:semiHidden/>
    <w:unhideWhenUsed/>
    <w:rsid w:val="004F2B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24"/>
    <w:pPr>
      <w:spacing w:after="0" w:line="480" w:lineRule="auto"/>
      <w:ind w:firstLine="720"/>
      <w:jc w:val="both"/>
    </w:pPr>
    <w:rPr>
      <w:rFonts w:ascii="Arial" w:eastAsiaTheme="minorEastAsia" w:hAnsi="Arial" w:cs="Arial"/>
      <w:sz w:val="24"/>
    </w:rPr>
  </w:style>
  <w:style w:type="paragraph" w:styleId="Heading1">
    <w:name w:val="heading 1"/>
    <w:basedOn w:val="Normal"/>
    <w:next w:val="Normal"/>
    <w:link w:val="Heading1Char"/>
    <w:uiPriority w:val="9"/>
    <w:qFormat/>
    <w:rsid w:val="00111D94"/>
    <w:pPr>
      <w:spacing w:after="160" w:line="259" w:lineRule="auto"/>
      <w:ind w:firstLine="0"/>
      <w:jc w:val="center"/>
      <w:outlineLvl w:val="0"/>
    </w:pPr>
    <w:rPr>
      <w:b/>
      <w:bCs/>
    </w:rPr>
  </w:style>
  <w:style w:type="paragraph" w:styleId="Heading3">
    <w:name w:val="heading 3"/>
    <w:basedOn w:val="Normal"/>
    <w:next w:val="Normal"/>
    <w:link w:val="Heading3Char"/>
    <w:uiPriority w:val="9"/>
    <w:semiHidden/>
    <w:unhideWhenUsed/>
    <w:qFormat/>
    <w:rsid w:val="00D376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64232"/>
    <w:pPr>
      <w:spacing w:after="200" w:line="240" w:lineRule="auto"/>
    </w:pPr>
    <w:rPr>
      <w:i/>
      <w:iCs/>
      <w:color w:val="44546A" w:themeColor="text2"/>
      <w:sz w:val="18"/>
      <w:szCs w:val="18"/>
    </w:rPr>
  </w:style>
  <w:style w:type="paragraph" w:customStyle="1" w:styleId="ChapterTitle">
    <w:name w:val="Chapter Title"/>
    <w:basedOn w:val="Heading1"/>
    <w:qFormat/>
    <w:rsid w:val="00564232"/>
    <w:pPr>
      <w:spacing w:after="240"/>
    </w:pPr>
    <w:rPr>
      <w:b w:val="0"/>
      <w:caps/>
    </w:rPr>
  </w:style>
  <w:style w:type="character" w:customStyle="1" w:styleId="Heading1Char">
    <w:name w:val="Heading 1 Char"/>
    <w:basedOn w:val="DefaultParagraphFont"/>
    <w:link w:val="Heading1"/>
    <w:uiPriority w:val="9"/>
    <w:rsid w:val="00111D94"/>
    <w:rPr>
      <w:rFonts w:ascii="Arial" w:eastAsiaTheme="minorEastAsia" w:hAnsi="Arial" w:cs="Arial"/>
      <w:b/>
      <w:bCs/>
      <w:sz w:val="24"/>
    </w:rPr>
  </w:style>
  <w:style w:type="paragraph" w:styleId="Bibliography">
    <w:name w:val="Bibliography"/>
    <w:basedOn w:val="Normal"/>
    <w:next w:val="Normal"/>
    <w:uiPriority w:val="37"/>
    <w:unhideWhenUsed/>
    <w:rsid w:val="00AE7B2F"/>
  </w:style>
  <w:style w:type="paragraph" w:styleId="NoSpacing">
    <w:name w:val="No Spacing"/>
    <w:link w:val="NoSpacingChar"/>
    <w:uiPriority w:val="1"/>
    <w:qFormat/>
    <w:rsid w:val="00206F92"/>
    <w:pPr>
      <w:spacing w:after="0" w:line="240" w:lineRule="auto"/>
    </w:pPr>
    <w:rPr>
      <w:rFonts w:ascii="Arial" w:eastAsiaTheme="minorEastAsia" w:hAnsi="Arial"/>
      <w:sz w:val="24"/>
    </w:rPr>
  </w:style>
  <w:style w:type="table" w:styleId="TableGrid">
    <w:name w:val="Table Grid"/>
    <w:basedOn w:val="TableNormal"/>
    <w:uiPriority w:val="59"/>
    <w:rsid w:val="00DD54C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322B3"/>
    <w:pPr>
      <w:jc w:val="left"/>
      <w:outlineLvl w:val="9"/>
    </w:pPr>
  </w:style>
  <w:style w:type="paragraph" w:styleId="TOC1">
    <w:name w:val="toc 1"/>
    <w:basedOn w:val="Normal"/>
    <w:next w:val="Normal"/>
    <w:autoRedefine/>
    <w:uiPriority w:val="39"/>
    <w:unhideWhenUsed/>
    <w:rsid w:val="004322B3"/>
    <w:pPr>
      <w:spacing w:after="100"/>
    </w:pPr>
  </w:style>
  <w:style w:type="character" w:styleId="Hyperlink">
    <w:name w:val="Hyperlink"/>
    <w:basedOn w:val="DefaultParagraphFont"/>
    <w:uiPriority w:val="99"/>
    <w:unhideWhenUsed/>
    <w:rsid w:val="004322B3"/>
    <w:rPr>
      <w:color w:val="0563C1" w:themeColor="hyperlink"/>
      <w:u w:val="single"/>
    </w:rPr>
  </w:style>
  <w:style w:type="paragraph" w:styleId="Header">
    <w:name w:val="header"/>
    <w:basedOn w:val="Normal"/>
    <w:link w:val="HeaderChar"/>
    <w:uiPriority w:val="99"/>
    <w:unhideWhenUsed/>
    <w:rsid w:val="004322B3"/>
    <w:pPr>
      <w:tabs>
        <w:tab w:val="center" w:pos="4680"/>
        <w:tab w:val="right" w:pos="9360"/>
      </w:tabs>
      <w:spacing w:line="240" w:lineRule="auto"/>
    </w:pPr>
  </w:style>
  <w:style w:type="character" w:customStyle="1" w:styleId="HeaderChar">
    <w:name w:val="Header Char"/>
    <w:basedOn w:val="DefaultParagraphFont"/>
    <w:link w:val="Header"/>
    <w:uiPriority w:val="99"/>
    <w:rsid w:val="004322B3"/>
    <w:rPr>
      <w:rFonts w:ascii="Arial" w:eastAsiaTheme="minorEastAsia" w:hAnsi="Arial" w:cs="Arial"/>
      <w:sz w:val="24"/>
    </w:rPr>
  </w:style>
  <w:style w:type="paragraph" w:styleId="Footer">
    <w:name w:val="footer"/>
    <w:basedOn w:val="Normal"/>
    <w:link w:val="FooterChar"/>
    <w:uiPriority w:val="99"/>
    <w:unhideWhenUsed/>
    <w:rsid w:val="004322B3"/>
    <w:pPr>
      <w:tabs>
        <w:tab w:val="center" w:pos="4680"/>
        <w:tab w:val="right" w:pos="9360"/>
      </w:tabs>
      <w:spacing w:line="240" w:lineRule="auto"/>
    </w:pPr>
  </w:style>
  <w:style w:type="character" w:customStyle="1" w:styleId="FooterChar">
    <w:name w:val="Footer Char"/>
    <w:basedOn w:val="DefaultParagraphFont"/>
    <w:link w:val="Footer"/>
    <w:uiPriority w:val="99"/>
    <w:rsid w:val="004322B3"/>
    <w:rPr>
      <w:rFonts w:ascii="Arial" w:eastAsiaTheme="minorEastAsia" w:hAnsi="Arial" w:cs="Arial"/>
      <w:sz w:val="24"/>
    </w:rPr>
  </w:style>
  <w:style w:type="paragraph" w:styleId="TableofFigures">
    <w:name w:val="table of figures"/>
    <w:basedOn w:val="Normal"/>
    <w:next w:val="Normal"/>
    <w:uiPriority w:val="99"/>
    <w:unhideWhenUsed/>
    <w:rsid w:val="00A62467"/>
  </w:style>
  <w:style w:type="character" w:customStyle="1" w:styleId="Heading3Char">
    <w:name w:val="Heading 3 Char"/>
    <w:basedOn w:val="DefaultParagraphFont"/>
    <w:link w:val="Heading3"/>
    <w:uiPriority w:val="9"/>
    <w:semiHidden/>
    <w:rsid w:val="00D3763B"/>
    <w:rPr>
      <w:rFonts w:asciiTheme="majorHAnsi" w:eastAsiaTheme="majorEastAsia" w:hAnsiTheme="majorHAnsi" w:cstheme="majorBidi"/>
      <w:color w:val="1F3763" w:themeColor="accent1" w:themeShade="7F"/>
      <w:sz w:val="24"/>
      <w:szCs w:val="24"/>
    </w:rPr>
  </w:style>
  <w:style w:type="character" w:customStyle="1" w:styleId="NoSpacingChar">
    <w:name w:val="No Spacing Char"/>
    <w:link w:val="NoSpacing"/>
    <w:uiPriority w:val="1"/>
    <w:qFormat/>
    <w:locked/>
    <w:rsid w:val="000E2CA0"/>
    <w:rPr>
      <w:rFonts w:ascii="Arial" w:eastAsiaTheme="minorEastAsia" w:hAnsi="Arial"/>
      <w:sz w:val="24"/>
    </w:rPr>
  </w:style>
  <w:style w:type="paragraph" w:styleId="BodyText">
    <w:name w:val="Body Text"/>
    <w:basedOn w:val="Normal"/>
    <w:link w:val="BodyTextChar"/>
    <w:semiHidden/>
    <w:rsid w:val="006341DB"/>
    <w:pPr>
      <w:spacing w:line="240" w:lineRule="auto"/>
      <w:ind w:firstLine="0"/>
    </w:pPr>
    <w:rPr>
      <w:rFonts w:eastAsia="Times New Roman"/>
      <w:szCs w:val="20"/>
    </w:rPr>
  </w:style>
  <w:style w:type="character" w:customStyle="1" w:styleId="BodyTextChar">
    <w:name w:val="Body Text Char"/>
    <w:basedOn w:val="DefaultParagraphFont"/>
    <w:link w:val="BodyText"/>
    <w:semiHidden/>
    <w:rsid w:val="006341DB"/>
    <w:rPr>
      <w:rFonts w:ascii="Arial" w:eastAsia="Times New Roman" w:hAnsi="Arial" w:cs="Arial"/>
      <w:sz w:val="24"/>
      <w:szCs w:val="20"/>
    </w:rPr>
  </w:style>
  <w:style w:type="paragraph" w:styleId="BalloonText">
    <w:name w:val="Balloon Text"/>
    <w:basedOn w:val="Normal"/>
    <w:link w:val="BalloonTextChar"/>
    <w:uiPriority w:val="99"/>
    <w:semiHidden/>
    <w:unhideWhenUsed/>
    <w:rsid w:val="003E32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5F"/>
    <w:rPr>
      <w:rFonts w:ascii="Segoe UI" w:eastAsiaTheme="minorEastAsia" w:hAnsi="Segoe UI" w:cs="Segoe UI"/>
      <w:sz w:val="18"/>
      <w:szCs w:val="18"/>
    </w:rPr>
  </w:style>
  <w:style w:type="paragraph" w:styleId="NormalWeb">
    <w:name w:val="Normal (Web)"/>
    <w:basedOn w:val="Normal"/>
    <w:uiPriority w:val="99"/>
    <w:semiHidden/>
    <w:unhideWhenUsed/>
    <w:rsid w:val="00FD5466"/>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Emphasis">
    <w:name w:val="Emphasis"/>
    <w:basedOn w:val="DefaultParagraphFont"/>
    <w:uiPriority w:val="20"/>
    <w:qFormat/>
    <w:rsid w:val="00FD5466"/>
    <w:rPr>
      <w:i/>
      <w:iCs/>
    </w:rPr>
  </w:style>
  <w:style w:type="paragraph" w:styleId="ListParagraph">
    <w:name w:val="List Paragraph"/>
    <w:basedOn w:val="Normal"/>
    <w:uiPriority w:val="34"/>
    <w:qFormat/>
    <w:rsid w:val="00E96B31"/>
    <w:pPr>
      <w:ind w:left="720"/>
      <w:contextualSpacing/>
    </w:pPr>
  </w:style>
  <w:style w:type="paragraph" w:customStyle="1" w:styleId="TableParagraph">
    <w:name w:val="Table Paragraph"/>
    <w:basedOn w:val="Normal"/>
    <w:uiPriority w:val="1"/>
    <w:qFormat/>
    <w:rsid w:val="00532539"/>
    <w:pPr>
      <w:widowControl w:val="0"/>
      <w:autoSpaceDE w:val="0"/>
      <w:autoSpaceDN w:val="0"/>
      <w:adjustRightInd w:val="0"/>
      <w:spacing w:line="240" w:lineRule="auto"/>
      <w:ind w:firstLine="0"/>
      <w:jc w:val="left"/>
    </w:pPr>
    <w:rPr>
      <w:rFonts w:eastAsia="Times New Roman"/>
      <w:szCs w:val="24"/>
    </w:rPr>
  </w:style>
  <w:style w:type="character" w:customStyle="1" w:styleId="UnresolvedMention">
    <w:name w:val="Unresolved Mention"/>
    <w:basedOn w:val="DefaultParagraphFont"/>
    <w:uiPriority w:val="99"/>
    <w:semiHidden/>
    <w:unhideWhenUsed/>
    <w:rsid w:val="004F2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781">
      <w:bodyDiv w:val="1"/>
      <w:marLeft w:val="0"/>
      <w:marRight w:val="0"/>
      <w:marTop w:val="0"/>
      <w:marBottom w:val="0"/>
      <w:divBdr>
        <w:top w:val="none" w:sz="0" w:space="0" w:color="auto"/>
        <w:left w:val="none" w:sz="0" w:space="0" w:color="auto"/>
        <w:bottom w:val="none" w:sz="0" w:space="0" w:color="auto"/>
        <w:right w:val="none" w:sz="0" w:space="0" w:color="auto"/>
      </w:divBdr>
    </w:div>
    <w:div w:id="75060223">
      <w:bodyDiv w:val="1"/>
      <w:marLeft w:val="0"/>
      <w:marRight w:val="0"/>
      <w:marTop w:val="0"/>
      <w:marBottom w:val="0"/>
      <w:divBdr>
        <w:top w:val="none" w:sz="0" w:space="0" w:color="auto"/>
        <w:left w:val="none" w:sz="0" w:space="0" w:color="auto"/>
        <w:bottom w:val="none" w:sz="0" w:space="0" w:color="auto"/>
        <w:right w:val="none" w:sz="0" w:space="0" w:color="auto"/>
      </w:divBdr>
    </w:div>
    <w:div w:id="100492969">
      <w:bodyDiv w:val="1"/>
      <w:marLeft w:val="0"/>
      <w:marRight w:val="0"/>
      <w:marTop w:val="0"/>
      <w:marBottom w:val="0"/>
      <w:divBdr>
        <w:top w:val="none" w:sz="0" w:space="0" w:color="auto"/>
        <w:left w:val="none" w:sz="0" w:space="0" w:color="auto"/>
        <w:bottom w:val="none" w:sz="0" w:space="0" w:color="auto"/>
        <w:right w:val="none" w:sz="0" w:space="0" w:color="auto"/>
      </w:divBdr>
    </w:div>
    <w:div w:id="126902371">
      <w:bodyDiv w:val="1"/>
      <w:marLeft w:val="0"/>
      <w:marRight w:val="0"/>
      <w:marTop w:val="0"/>
      <w:marBottom w:val="0"/>
      <w:divBdr>
        <w:top w:val="none" w:sz="0" w:space="0" w:color="auto"/>
        <w:left w:val="none" w:sz="0" w:space="0" w:color="auto"/>
        <w:bottom w:val="none" w:sz="0" w:space="0" w:color="auto"/>
        <w:right w:val="none" w:sz="0" w:space="0" w:color="auto"/>
      </w:divBdr>
    </w:div>
    <w:div w:id="166091440">
      <w:bodyDiv w:val="1"/>
      <w:marLeft w:val="0"/>
      <w:marRight w:val="0"/>
      <w:marTop w:val="0"/>
      <w:marBottom w:val="0"/>
      <w:divBdr>
        <w:top w:val="none" w:sz="0" w:space="0" w:color="auto"/>
        <w:left w:val="none" w:sz="0" w:space="0" w:color="auto"/>
        <w:bottom w:val="none" w:sz="0" w:space="0" w:color="auto"/>
        <w:right w:val="none" w:sz="0" w:space="0" w:color="auto"/>
      </w:divBdr>
    </w:div>
    <w:div w:id="205412515">
      <w:bodyDiv w:val="1"/>
      <w:marLeft w:val="0"/>
      <w:marRight w:val="0"/>
      <w:marTop w:val="0"/>
      <w:marBottom w:val="0"/>
      <w:divBdr>
        <w:top w:val="none" w:sz="0" w:space="0" w:color="auto"/>
        <w:left w:val="none" w:sz="0" w:space="0" w:color="auto"/>
        <w:bottom w:val="none" w:sz="0" w:space="0" w:color="auto"/>
        <w:right w:val="none" w:sz="0" w:space="0" w:color="auto"/>
      </w:divBdr>
    </w:div>
    <w:div w:id="212468756">
      <w:bodyDiv w:val="1"/>
      <w:marLeft w:val="0"/>
      <w:marRight w:val="0"/>
      <w:marTop w:val="0"/>
      <w:marBottom w:val="0"/>
      <w:divBdr>
        <w:top w:val="none" w:sz="0" w:space="0" w:color="auto"/>
        <w:left w:val="none" w:sz="0" w:space="0" w:color="auto"/>
        <w:bottom w:val="none" w:sz="0" w:space="0" w:color="auto"/>
        <w:right w:val="none" w:sz="0" w:space="0" w:color="auto"/>
      </w:divBdr>
    </w:div>
    <w:div w:id="253637916">
      <w:bodyDiv w:val="1"/>
      <w:marLeft w:val="0"/>
      <w:marRight w:val="0"/>
      <w:marTop w:val="0"/>
      <w:marBottom w:val="0"/>
      <w:divBdr>
        <w:top w:val="none" w:sz="0" w:space="0" w:color="auto"/>
        <w:left w:val="none" w:sz="0" w:space="0" w:color="auto"/>
        <w:bottom w:val="none" w:sz="0" w:space="0" w:color="auto"/>
        <w:right w:val="none" w:sz="0" w:space="0" w:color="auto"/>
      </w:divBdr>
    </w:div>
    <w:div w:id="269826877">
      <w:bodyDiv w:val="1"/>
      <w:marLeft w:val="0"/>
      <w:marRight w:val="0"/>
      <w:marTop w:val="0"/>
      <w:marBottom w:val="0"/>
      <w:divBdr>
        <w:top w:val="none" w:sz="0" w:space="0" w:color="auto"/>
        <w:left w:val="none" w:sz="0" w:space="0" w:color="auto"/>
        <w:bottom w:val="none" w:sz="0" w:space="0" w:color="auto"/>
        <w:right w:val="none" w:sz="0" w:space="0" w:color="auto"/>
      </w:divBdr>
    </w:div>
    <w:div w:id="275795917">
      <w:bodyDiv w:val="1"/>
      <w:marLeft w:val="0"/>
      <w:marRight w:val="0"/>
      <w:marTop w:val="0"/>
      <w:marBottom w:val="0"/>
      <w:divBdr>
        <w:top w:val="none" w:sz="0" w:space="0" w:color="auto"/>
        <w:left w:val="none" w:sz="0" w:space="0" w:color="auto"/>
        <w:bottom w:val="none" w:sz="0" w:space="0" w:color="auto"/>
        <w:right w:val="none" w:sz="0" w:space="0" w:color="auto"/>
      </w:divBdr>
    </w:div>
    <w:div w:id="287274306">
      <w:bodyDiv w:val="1"/>
      <w:marLeft w:val="0"/>
      <w:marRight w:val="0"/>
      <w:marTop w:val="0"/>
      <w:marBottom w:val="0"/>
      <w:divBdr>
        <w:top w:val="none" w:sz="0" w:space="0" w:color="auto"/>
        <w:left w:val="none" w:sz="0" w:space="0" w:color="auto"/>
        <w:bottom w:val="none" w:sz="0" w:space="0" w:color="auto"/>
        <w:right w:val="none" w:sz="0" w:space="0" w:color="auto"/>
      </w:divBdr>
    </w:div>
    <w:div w:id="352343641">
      <w:bodyDiv w:val="1"/>
      <w:marLeft w:val="0"/>
      <w:marRight w:val="0"/>
      <w:marTop w:val="0"/>
      <w:marBottom w:val="0"/>
      <w:divBdr>
        <w:top w:val="none" w:sz="0" w:space="0" w:color="auto"/>
        <w:left w:val="none" w:sz="0" w:space="0" w:color="auto"/>
        <w:bottom w:val="none" w:sz="0" w:space="0" w:color="auto"/>
        <w:right w:val="none" w:sz="0" w:space="0" w:color="auto"/>
      </w:divBdr>
    </w:div>
    <w:div w:id="475680114">
      <w:bodyDiv w:val="1"/>
      <w:marLeft w:val="0"/>
      <w:marRight w:val="0"/>
      <w:marTop w:val="0"/>
      <w:marBottom w:val="0"/>
      <w:divBdr>
        <w:top w:val="none" w:sz="0" w:space="0" w:color="auto"/>
        <w:left w:val="none" w:sz="0" w:space="0" w:color="auto"/>
        <w:bottom w:val="none" w:sz="0" w:space="0" w:color="auto"/>
        <w:right w:val="none" w:sz="0" w:space="0" w:color="auto"/>
      </w:divBdr>
    </w:div>
    <w:div w:id="505243450">
      <w:bodyDiv w:val="1"/>
      <w:marLeft w:val="0"/>
      <w:marRight w:val="0"/>
      <w:marTop w:val="0"/>
      <w:marBottom w:val="0"/>
      <w:divBdr>
        <w:top w:val="none" w:sz="0" w:space="0" w:color="auto"/>
        <w:left w:val="none" w:sz="0" w:space="0" w:color="auto"/>
        <w:bottom w:val="none" w:sz="0" w:space="0" w:color="auto"/>
        <w:right w:val="none" w:sz="0" w:space="0" w:color="auto"/>
      </w:divBdr>
    </w:div>
    <w:div w:id="518084146">
      <w:bodyDiv w:val="1"/>
      <w:marLeft w:val="0"/>
      <w:marRight w:val="0"/>
      <w:marTop w:val="0"/>
      <w:marBottom w:val="0"/>
      <w:divBdr>
        <w:top w:val="none" w:sz="0" w:space="0" w:color="auto"/>
        <w:left w:val="none" w:sz="0" w:space="0" w:color="auto"/>
        <w:bottom w:val="none" w:sz="0" w:space="0" w:color="auto"/>
        <w:right w:val="none" w:sz="0" w:space="0" w:color="auto"/>
      </w:divBdr>
    </w:div>
    <w:div w:id="585387024">
      <w:bodyDiv w:val="1"/>
      <w:marLeft w:val="0"/>
      <w:marRight w:val="0"/>
      <w:marTop w:val="0"/>
      <w:marBottom w:val="0"/>
      <w:divBdr>
        <w:top w:val="none" w:sz="0" w:space="0" w:color="auto"/>
        <w:left w:val="none" w:sz="0" w:space="0" w:color="auto"/>
        <w:bottom w:val="none" w:sz="0" w:space="0" w:color="auto"/>
        <w:right w:val="none" w:sz="0" w:space="0" w:color="auto"/>
      </w:divBdr>
    </w:div>
    <w:div w:id="599485430">
      <w:bodyDiv w:val="1"/>
      <w:marLeft w:val="0"/>
      <w:marRight w:val="0"/>
      <w:marTop w:val="0"/>
      <w:marBottom w:val="0"/>
      <w:divBdr>
        <w:top w:val="none" w:sz="0" w:space="0" w:color="auto"/>
        <w:left w:val="none" w:sz="0" w:space="0" w:color="auto"/>
        <w:bottom w:val="none" w:sz="0" w:space="0" w:color="auto"/>
        <w:right w:val="none" w:sz="0" w:space="0" w:color="auto"/>
      </w:divBdr>
    </w:div>
    <w:div w:id="638386620">
      <w:bodyDiv w:val="1"/>
      <w:marLeft w:val="0"/>
      <w:marRight w:val="0"/>
      <w:marTop w:val="0"/>
      <w:marBottom w:val="0"/>
      <w:divBdr>
        <w:top w:val="none" w:sz="0" w:space="0" w:color="auto"/>
        <w:left w:val="none" w:sz="0" w:space="0" w:color="auto"/>
        <w:bottom w:val="none" w:sz="0" w:space="0" w:color="auto"/>
        <w:right w:val="none" w:sz="0" w:space="0" w:color="auto"/>
      </w:divBdr>
    </w:div>
    <w:div w:id="646208131">
      <w:bodyDiv w:val="1"/>
      <w:marLeft w:val="0"/>
      <w:marRight w:val="0"/>
      <w:marTop w:val="0"/>
      <w:marBottom w:val="0"/>
      <w:divBdr>
        <w:top w:val="none" w:sz="0" w:space="0" w:color="auto"/>
        <w:left w:val="none" w:sz="0" w:space="0" w:color="auto"/>
        <w:bottom w:val="none" w:sz="0" w:space="0" w:color="auto"/>
        <w:right w:val="none" w:sz="0" w:space="0" w:color="auto"/>
      </w:divBdr>
    </w:div>
    <w:div w:id="646786594">
      <w:bodyDiv w:val="1"/>
      <w:marLeft w:val="0"/>
      <w:marRight w:val="0"/>
      <w:marTop w:val="0"/>
      <w:marBottom w:val="0"/>
      <w:divBdr>
        <w:top w:val="none" w:sz="0" w:space="0" w:color="auto"/>
        <w:left w:val="none" w:sz="0" w:space="0" w:color="auto"/>
        <w:bottom w:val="none" w:sz="0" w:space="0" w:color="auto"/>
        <w:right w:val="none" w:sz="0" w:space="0" w:color="auto"/>
      </w:divBdr>
    </w:div>
    <w:div w:id="685443262">
      <w:bodyDiv w:val="1"/>
      <w:marLeft w:val="0"/>
      <w:marRight w:val="0"/>
      <w:marTop w:val="0"/>
      <w:marBottom w:val="0"/>
      <w:divBdr>
        <w:top w:val="none" w:sz="0" w:space="0" w:color="auto"/>
        <w:left w:val="none" w:sz="0" w:space="0" w:color="auto"/>
        <w:bottom w:val="none" w:sz="0" w:space="0" w:color="auto"/>
        <w:right w:val="none" w:sz="0" w:space="0" w:color="auto"/>
      </w:divBdr>
    </w:div>
    <w:div w:id="717825568">
      <w:bodyDiv w:val="1"/>
      <w:marLeft w:val="0"/>
      <w:marRight w:val="0"/>
      <w:marTop w:val="0"/>
      <w:marBottom w:val="0"/>
      <w:divBdr>
        <w:top w:val="none" w:sz="0" w:space="0" w:color="auto"/>
        <w:left w:val="none" w:sz="0" w:space="0" w:color="auto"/>
        <w:bottom w:val="none" w:sz="0" w:space="0" w:color="auto"/>
        <w:right w:val="none" w:sz="0" w:space="0" w:color="auto"/>
      </w:divBdr>
    </w:div>
    <w:div w:id="718362850">
      <w:bodyDiv w:val="1"/>
      <w:marLeft w:val="0"/>
      <w:marRight w:val="0"/>
      <w:marTop w:val="0"/>
      <w:marBottom w:val="0"/>
      <w:divBdr>
        <w:top w:val="none" w:sz="0" w:space="0" w:color="auto"/>
        <w:left w:val="none" w:sz="0" w:space="0" w:color="auto"/>
        <w:bottom w:val="none" w:sz="0" w:space="0" w:color="auto"/>
        <w:right w:val="none" w:sz="0" w:space="0" w:color="auto"/>
      </w:divBdr>
    </w:div>
    <w:div w:id="778253943">
      <w:bodyDiv w:val="1"/>
      <w:marLeft w:val="0"/>
      <w:marRight w:val="0"/>
      <w:marTop w:val="0"/>
      <w:marBottom w:val="0"/>
      <w:divBdr>
        <w:top w:val="none" w:sz="0" w:space="0" w:color="auto"/>
        <w:left w:val="none" w:sz="0" w:space="0" w:color="auto"/>
        <w:bottom w:val="none" w:sz="0" w:space="0" w:color="auto"/>
        <w:right w:val="none" w:sz="0" w:space="0" w:color="auto"/>
      </w:divBdr>
    </w:div>
    <w:div w:id="790823954">
      <w:bodyDiv w:val="1"/>
      <w:marLeft w:val="0"/>
      <w:marRight w:val="0"/>
      <w:marTop w:val="0"/>
      <w:marBottom w:val="0"/>
      <w:divBdr>
        <w:top w:val="none" w:sz="0" w:space="0" w:color="auto"/>
        <w:left w:val="none" w:sz="0" w:space="0" w:color="auto"/>
        <w:bottom w:val="none" w:sz="0" w:space="0" w:color="auto"/>
        <w:right w:val="none" w:sz="0" w:space="0" w:color="auto"/>
      </w:divBdr>
    </w:div>
    <w:div w:id="811288353">
      <w:bodyDiv w:val="1"/>
      <w:marLeft w:val="0"/>
      <w:marRight w:val="0"/>
      <w:marTop w:val="0"/>
      <w:marBottom w:val="0"/>
      <w:divBdr>
        <w:top w:val="none" w:sz="0" w:space="0" w:color="auto"/>
        <w:left w:val="none" w:sz="0" w:space="0" w:color="auto"/>
        <w:bottom w:val="none" w:sz="0" w:space="0" w:color="auto"/>
        <w:right w:val="none" w:sz="0" w:space="0" w:color="auto"/>
      </w:divBdr>
    </w:div>
    <w:div w:id="859203727">
      <w:bodyDiv w:val="1"/>
      <w:marLeft w:val="0"/>
      <w:marRight w:val="0"/>
      <w:marTop w:val="0"/>
      <w:marBottom w:val="0"/>
      <w:divBdr>
        <w:top w:val="none" w:sz="0" w:space="0" w:color="auto"/>
        <w:left w:val="none" w:sz="0" w:space="0" w:color="auto"/>
        <w:bottom w:val="none" w:sz="0" w:space="0" w:color="auto"/>
        <w:right w:val="none" w:sz="0" w:space="0" w:color="auto"/>
      </w:divBdr>
    </w:div>
    <w:div w:id="908148602">
      <w:bodyDiv w:val="1"/>
      <w:marLeft w:val="0"/>
      <w:marRight w:val="0"/>
      <w:marTop w:val="0"/>
      <w:marBottom w:val="0"/>
      <w:divBdr>
        <w:top w:val="none" w:sz="0" w:space="0" w:color="auto"/>
        <w:left w:val="none" w:sz="0" w:space="0" w:color="auto"/>
        <w:bottom w:val="none" w:sz="0" w:space="0" w:color="auto"/>
        <w:right w:val="none" w:sz="0" w:space="0" w:color="auto"/>
      </w:divBdr>
    </w:div>
    <w:div w:id="958681901">
      <w:bodyDiv w:val="1"/>
      <w:marLeft w:val="0"/>
      <w:marRight w:val="0"/>
      <w:marTop w:val="0"/>
      <w:marBottom w:val="0"/>
      <w:divBdr>
        <w:top w:val="none" w:sz="0" w:space="0" w:color="auto"/>
        <w:left w:val="none" w:sz="0" w:space="0" w:color="auto"/>
        <w:bottom w:val="none" w:sz="0" w:space="0" w:color="auto"/>
        <w:right w:val="none" w:sz="0" w:space="0" w:color="auto"/>
      </w:divBdr>
    </w:div>
    <w:div w:id="962736676">
      <w:bodyDiv w:val="1"/>
      <w:marLeft w:val="0"/>
      <w:marRight w:val="0"/>
      <w:marTop w:val="0"/>
      <w:marBottom w:val="0"/>
      <w:divBdr>
        <w:top w:val="none" w:sz="0" w:space="0" w:color="auto"/>
        <w:left w:val="none" w:sz="0" w:space="0" w:color="auto"/>
        <w:bottom w:val="none" w:sz="0" w:space="0" w:color="auto"/>
        <w:right w:val="none" w:sz="0" w:space="0" w:color="auto"/>
      </w:divBdr>
    </w:div>
    <w:div w:id="964196359">
      <w:bodyDiv w:val="1"/>
      <w:marLeft w:val="0"/>
      <w:marRight w:val="0"/>
      <w:marTop w:val="0"/>
      <w:marBottom w:val="0"/>
      <w:divBdr>
        <w:top w:val="none" w:sz="0" w:space="0" w:color="auto"/>
        <w:left w:val="none" w:sz="0" w:space="0" w:color="auto"/>
        <w:bottom w:val="none" w:sz="0" w:space="0" w:color="auto"/>
        <w:right w:val="none" w:sz="0" w:space="0" w:color="auto"/>
      </w:divBdr>
    </w:div>
    <w:div w:id="970601010">
      <w:bodyDiv w:val="1"/>
      <w:marLeft w:val="0"/>
      <w:marRight w:val="0"/>
      <w:marTop w:val="0"/>
      <w:marBottom w:val="0"/>
      <w:divBdr>
        <w:top w:val="none" w:sz="0" w:space="0" w:color="auto"/>
        <w:left w:val="none" w:sz="0" w:space="0" w:color="auto"/>
        <w:bottom w:val="none" w:sz="0" w:space="0" w:color="auto"/>
        <w:right w:val="none" w:sz="0" w:space="0" w:color="auto"/>
      </w:divBdr>
    </w:div>
    <w:div w:id="1010595570">
      <w:bodyDiv w:val="1"/>
      <w:marLeft w:val="0"/>
      <w:marRight w:val="0"/>
      <w:marTop w:val="0"/>
      <w:marBottom w:val="0"/>
      <w:divBdr>
        <w:top w:val="none" w:sz="0" w:space="0" w:color="auto"/>
        <w:left w:val="none" w:sz="0" w:space="0" w:color="auto"/>
        <w:bottom w:val="none" w:sz="0" w:space="0" w:color="auto"/>
        <w:right w:val="none" w:sz="0" w:space="0" w:color="auto"/>
      </w:divBdr>
    </w:div>
    <w:div w:id="1050038172">
      <w:bodyDiv w:val="1"/>
      <w:marLeft w:val="0"/>
      <w:marRight w:val="0"/>
      <w:marTop w:val="0"/>
      <w:marBottom w:val="0"/>
      <w:divBdr>
        <w:top w:val="none" w:sz="0" w:space="0" w:color="auto"/>
        <w:left w:val="none" w:sz="0" w:space="0" w:color="auto"/>
        <w:bottom w:val="none" w:sz="0" w:space="0" w:color="auto"/>
        <w:right w:val="none" w:sz="0" w:space="0" w:color="auto"/>
      </w:divBdr>
    </w:div>
    <w:div w:id="1154953677">
      <w:bodyDiv w:val="1"/>
      <w:marLeft w:val="0"/>
      <w:marRight w:val="0"/>
      <w:marTop w:val="0"/>
      <w:marBottom w:val="0"/>
      <w:divBdr>
        <w:top w:val="none" w:sz="0" w:space="0" w:color="auto"/>
        <w:left w:val="none" w:sz="0" w:space="0" w:color="auto"/>
        <w:bottom w:val="none" w:sz="0" w:space="0" w:color="auto"/>
        <w:right w:val="none" w:sz="0" w:space="0" w:color="auto"/>
      </w:divBdr>
    </w:div>
    <w:div w:id="1157066776">
      <w:bodyDiv w:val="1"/>
      <w:marLeft w:val="0"/>
      <w:marRight w:val="0"/>
      <w:marTop w:val="0"/>
      <w:marBottom w:val="0"/>
      <w:divBdr>
        <w:top w:val="none" w:sz="0" w:space="0" w:color="auto"/>
        <w:left w:val="none" w:sz="0" w:space="0" w:color="auto"/>
        <w:bottom w:val="none" w:sz="0" w:space="0" w:color="auto"/>
        <w:right w:val="none" w:sz="0" w:space="0" w:color="auto"/>
      </w:divBdr>
    </w:div>
    <w:div w:id="1185754015">
      <w:bodyDiv w:val="1"/>
      <w:marLeft w:val="0"/>
      <w:marRight w:val="0"/>
      <w:marTop w:val="0"/>
      <w:marBottom w:val="0"/>
      <w:divBdr>
        <w:top w:val="none" w:sz="0" w:space="0" w:color="auto"/>
        <w:left w:val="none" w:sz="0" w:space="0" w:color="auto"/>
        <w:bottom w:val="none" w:sz="0" w:space="0" w:color="auto"/>
        <w:right w:val="none" w:sz="0" w:space="0" w:color="auto"/>
      </w:divBdr>
    </w:div>
    <w:div w:id="1193345853">
      <w:bodyDiv w:val="1"/>
      <w:marLeft w:val="0"/>
      <w:marRight w:val="0"/>
      <w:marTop w:val="0"/>
      <w:marBottom w:val="0"/>
      <w:divBdr>
        <w:top w:val="none" w:sz="0" w:space="0" w:color="auto"/>
        <w:left w:val="none" w:sz="0" w:space="0" w:color="auto"/>
        <w:bottom w:val="none" w:sz="0" w:space="0" w:color="auto"/>
        <w:right w:val="none" w:sz="0" w:space="0" w:color="auto"/>
      </w:divBdr>
    </w:div>
    <w:div w:id="1210537176">
      <w:bodyDiv w:val="1"/>
      <w:marLeft w:val="0"/>
      <w:marRight w:val="0"/>
      <w:marTop w:val="0"/>
      <w:marBottom w:val="0"/>
      <w:divBdr>
        <w:top w:val="none" w:sz="0" w:space="0" w:color="auto"/>
        <w:left w:val="none" w:sz="0" w:space="0" w:color="auto"/>
        <w:bottom w:val="none" w:sz="0" w:space="0" w:color="auto"/>
        <w:right w:val="none" w:sz="0" w:space="0" w:color="auto"/>
      </w:divBdr>
    </w:div>
    <w:div w:id="1309239919">
      <w:bodyDiv w:val="1"/>
      <w:marLeft w:val="0"/>
      <w:marRight w:val="0"/>
      <w:marTop w:val="0"/>
      <w:marBottom w:val="0"/>
      <w:divBdr>
        <w:top w:val="none" w:sz="0" w:space="0" w:color="auto"/>
        <w:left w:val="none" w:sz="0" w:space="0" w:color="auto"/>
        <w:bottom w:val="none" w:sz="0" w:space="0" w:color="auto"/>
        <w:right w:val="none" w:sz="0" w:space="0" w:color="auto"/>
      </w:divBdr>
    </w:div>
    <w:div w:id="1316256486">
      <w:bodyDiv w:val="1"/>
      <w:marLeft w:val="0"/>
      <w:marRight w:val="0"/>
      <w:marTop w:val="0"/>
      <w:marBottom w:val="0"/>
      <w:divBdr>
        <w:top w:val="none" w:sz="0" w:space="0" w:color="auto"/>
        <w:left w:val="none" w:sz="0" w:space="0" w:color="auto"/>
        <w:bottom w:val="none" w:sz="0" w:space="0" w:color="auto"/>
        <w:right w:val="none" w:sz="0" w:space="0" w:color="auto"/>
      </w:divBdr>
    </w:div>
    <w:div w:id="1316643419">
      <w:bodyDiv w:val="1"/>
      <w:marLeft w:val="0"/>
      <w:marRight w:val="0"/>
      <w:marTop w:val="0"/>
      <w:marBottom w:val="0"/>
      <w:divBdr>
        <w:top w:val="none" w:sz="0" w:space="0" w:color="auto"/>
        <w:left w:val="none" w:sz="0" w:space="0" w:color="auto"/>
        <w:bottom w:val="none" w:sz="0" w:space="0" w:color="auto"/>
        <w:right w:val="none" w:sz="0" w:space="0" w:color="auto"/>
      </w:divBdr>
    </w:div>
    <w:div w:id="1320887814">
      <w:bodyDiv w:val="1"/>
      <w:marLeft w:val="0"/>
      <w:marRight w:val="0"/>
      <w:marTop w:val="0"/>
      <w:marBottom w:val="0"/>
      <w:divBdr>
        <w:top w:val="none" w:sz="0" w:space="0" w:color="auto"/>
        <w:left w:val="none" w:sz="0" w:space="0" w:color="auto"/>
        <w:bottom w:val="none" w:sz="0" w:space="0" w:color="auto"/>
        <w:right w:val="none" w:sz="0" w:space="0" w:color="auto"/>
      </w:divBdr>
    </w:div>
    <w:div w:id="1327051206">
      <w:bodyDiv w:val="1"/>
      <w:marLeft w:val="0"/>
      <w:marRight w:val="0"/>
      <w:marTop w:val="0"/>
      <w:marBottom w:val="0"/>
      <w:divBdr>
        <w:top w:val="none" w:sz="0" w:space="0" w:color="auto"/>
        <w:left w:val="none" w:sz="0" w:space="0" w:color="auto"/>
        <w:bottom w:val="none" w:sz="0" w:space="0" w:color="auto"/>
        <w:right w:val="none" w:sz="0" w:space="0" w:color="auto"/>
      </w:divBdr>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
    <w:div w:id="1369910938">
      <w:bodyDiv w:val="1"/>
      <w:marLeft w:val="0"/>
      <w:marRight w:val="0"/>
      <w:marTop w:val="0"/>
      <w:marBottom w:val="0"/>
      <w:divBdr>
        <w:top w:val="none" w:sz="0" w:space="0" w:color="auto"/>
        <w:left w:val="none" w:sz="0" w:space="0" w:color="auto"/>
        <w:bottom w:val="none" w:sz="0" w:space="0" w:color="auto"/>
        <w:right w:val="none" w:sz="0" w:space="0" w:color="auto"/>
      </w:divBdr>
    </w:div>
    <w:div w:id="1380982192">
      <w:bodyDiv w:val="1"/>
      <w:marLeft w:val="0"/>
      <w:marRight w:val="0"/>
      <w:marTop w:val="0"/>
      <w:marBottom w:val="0"/>
      <w:divBdr>
        <w:top w:val="none" w:sz="0" w:space="0" w:color="auto"/>
        <w:left w:val="none" w:sz="0" w:space="0" w:color="auto"/>
        <w:bottom w:val="none" w:sz="0" w:space="0" w:color="auto"/>
        <w:right w:val="none" w:sz="0" w:space="0" w:color="auto"/>
      </w:divBdr>
    </w:div>
    <w:div w:id="1385450679">
      <w:bodyDiv w:val="1"/>
      <w:marLeft w:val="0"/>
      <w:marRight w:val="0"/>
      <w:marTop w:val="0"/>
      <w:marBottom w:val="0"/>
      <w:divBdr>
        <w:top w:val="none" w:sz="0" w:space="0" w:color="auto"/>
        <w:left w:val="none" w:sz="0" w:space="0" w:color="auto"/>
        <w:bottom w:val="none" w:sz="0" w:space="0" w:color="auto"/>
        <w:right w:val="none" w:sz="0" w:space="0" w:color="auto"/>
      </w:divBdr>
    </w:div>
    <w:div w:id="1388724983">
      <w:bodyDiv w:val="1"/>
      <w:marLeft w:val="0"/>
      <w:marRight w:val="0"/>
      <w:marTop w:val="0"/>
      <w:marBottom w:val="0"/>
      <w:divBdr>
        <w:top w:val="none" w:sz="0" w:space="0" w:color="auto"/>
        <w:left w:val="none" w:sz="0" w:space="0" w:color="auto"/>
        <w:bottom w:val="none" w:sz="0" w:space="0" w:color="auto"/>
        <w:right w:val="none" w:sz="0" w:space="0" w:color="auto"/>
      </w:divBdr>
    </w:div>
    <w:div w:id="1449084212">
      <w:bodyDiv w:val="1"/>
      <w:marLeft w:val="0"/>
      <w:marRight w:val="0"/>
      <w:marTop w:val="0"/>
      <w:marBottom w:val="0"/>
      <w:divBdr>
        <w:top w:val="none" w:sz="0" w:space="0" w:color="auto"/>
        <w:left w:val="none" w:sz="0" w:space="0" w:color="auto"/>
        <w:bottom w:val="none" w:sz="0" w:space="0" w:color="auto"/>
        <w:right w:val="none" w:sz="0" w:space="0" w:color="auto"/>
      </w:divBdr>
    </w:div>
    <w:div w:id="1475291832">
      <w:bodyDiv w:val="1"/>
      <w:marLeft w:val="0"/>
      <w:marRight w:val="0"/>
      <w:marTop w:val="0"/>
      <w:marBottom w:val="0"/>
      <w:divBdr>
        <w:top w:val="none" w:sz="0" w:space="0" w:color="auto"/>
        <w:left w:val="none" w:sz="0" w:space="0" w:color="auto"/>
        <w:bottom w:val="none" w:sz="0" w:space="0" w:color="auto"/>
        <w:right w:val="none" w:sz="0" w:space="0" w:color="auto"/>
      </w:divBdr>
    </w:div>
    <w:div w:id="1516649070">
      <w:bodyDiv w:val="1"/>
      <w:marLeft w:val="0"/>
      <w:marRight w:val="0"/>
      <w:marTop w:val="0"/>
      <w:marBottom w:val="0"/>
      <w:divBdr>
        <w:top w:val="none" w:sz="0" w:space="0" w:color="auto"/>
        <w:left w:val="none" w:sz="0" w:space="0" w:color="auto"/>
        <w:bottom w:val="none" w:sz="0" w:space="0" w:color="auto"/>
        <w:right w:val="none" w:sz="0" w:space="0" w:color="auto"/>
      </w:divBdr>
    </w:div>
    <w:div w:id="1522550920">
      <w:bodyDiv w:val="1"/>
      <w:marLeft w:val="0"/>
      <w:marRight w:val="0"/>
      <w:marTop w:val="0"/>
      <w:marBottom w:val="0"/>
      <w:divBdr>
        <w:top w:val="none" w:sz="0" w:space="0" w:color="auto"/>
        <w:left w:val="none" w:sz="0" w:space="0" w:color="auto"/>
        <w:bottom w:val="none" w:sz="0" w:space="0" w:color="auto"/>
        <w:right w:val="none" w:sz="0" w:space="0" w:color="auto"/>
      </w:divBdr>
    </w:div>
    <w:div w:id="1527715615">
      <w:bodyDiv w:val="1"/>
      <w:marLeft w:val="0"/>
      <w:marRight w:val="0"/>
      <w:marTop w:val="0"/>
      <w:marBottom w:val="0"/>
      <w:divBdr>
        <w:top w:val="none" w:sz="0" w:space="0" w:color="auto"/>
        <w:left w:val="none" w:sz="0" w:space="0" w:color="auto"/>
        <w:bottom w:val="none" w:sz="0" w:space="0" w:color="auto"/>
        <w:right w:val="none" w:sz="0" w:space="0" w:color="auto"/>
      </w:divBdr>
    </w:div>
    <w:div w:id="1539707699">
      <w:bodyDiv w:val="1"/>
      <w:marLeft w:val="0"/>
      <w:marRight w:val="0"/>
      <w:marTop w:val="0"/>
      <w:marBottom w:val="0"/>
      <w:divBdr>
        <w:top w:val="none" w:sz="0" w:space="0" w:color="auto"/>
        <w:left w:val="none" w:sz="0" w:space="0" w:color="auto"/>
        <w:bottom w:val="none" w:sz="0" w:space="0" w:color="auto"/>
        <w:right w:val="none" w:sz="0" w:space="0" w:color="auto"/>
      </w:divBdr>
    </w:div>
    <w:div w:id="1610359381">
      <w:bodyDiv w:val="1"/>
      <w:marLeft w:val="0"/>
      <w:marRight w:val="0"/>
      <w:marTop w:val="0"/>
      <w:marBottom w:val="0"/>
      <w:divBdr>
        <w:top w:val="none" w:sz="0" w:space="0" w:color="auto"/>
        <w:left w:val="none" w:sz="0" w:space="0" w:color="auto"/>
        <w:bottom w:val="none" w:sz="0" w:space="0" w:color="auto"/>
        <w:right w:val="none" w:sz="0" w:space="0" w:color="auto"/>
      </w:divBdr>
    </w:div>
    <w:div w:id="1643389707">
      <w:bodyDiv w:val="1"/>
      <w:marLeft w:val="0"/>
      <w:marRight w:val="0"/>
      <w:marTop w:val="0"/>
      <w:marBottom w:val="0"/>
      <w:divBdr>
        <w:top w:val="none" w:sz="0" w:space="0" w:color="auto"/>
        <w:left w:val="none" w:sz="0" w:space="0" w:color="auto"/>
        <w:bottom w:val="none" w:sz="0" w:space="0" w:color="auto"/>
        <w:right w:val="none" w:sz="0" w:space="0" w:color="auto"/>
      </w:divBdr>
    </w:div>
    <w:div w:id="1722627354">
      <w:bodyDiv w:val="1"/>
      <w:marLeft w:val="0"/>
      <w:marRight w:val="0"/>
      <w:marTop w:val="0"/>
      <w:marBottom w:val="0"/>
      <w:divBdr>
        <w:top w:val="none" w:sz="0" w:space="0" w:color="auto"/>
        <w:left w:val="none" w:sz="0" w:space="0" w:color="auto"/>
        <w:bottom w:val="none" w:sz="0" w:space="0" w:color="auto"/>
        <w:right w:val="none" w:sz="0" w:space="0" w:color="auto"/>
      </w:divBdr>
    </w:div>
    <w:div w:id="1784375318">
      <w:bodyDiv w:val="1"/>
      <w:marLeft w:val="0"/>
      <w:marRight w:val="0"/>
      <w:marTop w:val="0"/>
      <w:marBottom w:val="0"/>
      <w:divBdr>
        <w:top w:val="none" w:sz="0" w:space="0" w:color="auto"/>
        <w:left w:val="none" w:sz="0" w:space="0" w:color="auto"/>
        <w:bottom w:val="none" w:sz="0" w:space="0" w:color="auto"/>
        <w:right w:val="none" w:sz="0" w:space="0" w:color="auto"/>
      </w:divBdr>
    </w:div>
    <w:div w:id="1838694586">
      <w:bodyDiv w:val="1"/>
      <w:marLeft w:val="0"/>
      <w:marRight w:val="0"/>
      <w:marTop w:val="0"/>
      <w:marBottom w:val="0"/>
      <w:divBdr>
        <w:top w:val="none" w:sz="0" w:space="0" w:color="auto"/>
        <w:left w:val="none" w:sz="0" w:space="0" w:color="auto"/>
        <w:bottom w:val="none" w:sz="0" w:space="0" w:color="auto"/>
        <w:right w:val="none" w:sz="0" w:space="0" w:color="auto"/>
      </w:divBdr>
    </w:div>
    <w:div w:id="1879664861">
      <w:bodyDiv w:val="1"/>
      <w:marLeft w:val="0"/>
      <w:marRight w:val="0"/>
      <w:marTop w:val="0"/>
      <w:marBottom w:val="0"/>
      <w:divBdr>
        <w:top w:val="none" w:sz="0" w:space="0" w:color="auto"/>
        <w:left w:val="none" w:sz="0" w:space="0" w:color="auto"/>
        <w:bottom w:val="none" w:sz="0" w:space="0" w:color="auto"/>
        <w:right w:val="none" w:sz="0" w:space="0" w:color="auto"/>
      </w:divBdr>
    </w:div>
    <w:div w:id="1880701294">
      <w:bodyDiv w:val="1"/>
      <w:marLeft w:val="0"/>
      <w:marRight w:val="0"/>
      <w:marTop w:val="0"/>
      <w:marBottom w:val="0"/>
      <w:divBdr>
        <w:top w:val="none" w:sz="0" w:space="0" w:color="auto"/>
        <w:left w:val="none" w:sz="0" w:space="0" w:color="auto"/>
        <w:bottom w:val="none" w:sz="0" w:space="0" w:color="auto"/>
        <w:right w:val="none" w:sz="0" w:space="0" w:color="auto"/>
      </w:divBdr>
    </w:div>
    <w:div w:id="1936595231">
      <w:bodyDiv w:val="1"/>
      <w:marLeft w:val="0"/>
      <w:marRight w:val="0"/>
      <w:marTop w:val="0"/>
      <w:marBottom w:val="0"/>
      <w:divBdr>
        <w:top w:val="none" w:sz="0" w:space="0" w:color="auto"/>
        <w:left w:val="none" w:sz="0" w:space="0" w:color="auto"/>
        <w:bottom w:val="none" w:sz="0" w:space="0" w:color="auto"/>
        <w:right w:val="none" w:sz="0" w:space="0" w:color="auto"/>
      </w:divBdr>
    </w:div>
    <w:div w:id="1970040467">
      <w:bodyDiv w:val="1"/>
      <w:marLeft w:val="0"/>
      <w:marRight w:val="0"/>
      <w:marTop w:val="0"/>
      <w:marBottom w:val="0"/>
      <w:divBdr>
        <w:top w:val="none" w:sz="0" w:space="0" w:color="auto"/>
        <w:left w:val="none" w:sz="0" w:space="0" w:color="auto"/>
        <w:bottom w:val="none" w:sz="0" w:space="0" w:color="auto"/>
        <w:right w:val="none" w:sz="0" w:space="0" w:color="auto"/>
      </w:divBdr>
    </w:div>
    <w:div w:id="1975675341">
      <w:bodyDiv w:val="1"/>
      <w:marLeft w:val="0"/>
      <w:marRight w:val="0"/>
      <w:marTop w:val="0"/>
      <w:marBottom w:val="0"/>
      <w:divBdr>
        <w:top w:val="none" w:sz="0" w:space="0" w:color="auto"/>
        <w:left w:val="none" w:sz="0" w:space="0" w:color="auto"/>
        <w:bottom w:val="none" w:sz="0" w:space="0" w:color="auto"/>
        <w:right w:val="none" w:sz="0" w:space="0" w:color="auto"/>
      </w:divBdr>
    </w:div>
    <w:div w:id="2021345426">
      <w:bodyDiv w:val="1"/>
      <w:marLeft w:val="0"/>
      <w:marRight w:val="0"/>
      <w:marTop w:val="0"/>
      <w:marBottom w:val="0"/>
      <w:divBdr>
        <w:top w:val="none" w:sz="0" w:space="0" w:color="auto"/>
        <w:left w:val="none" w:sz="0" w:space="0" w:color="auto"/>
        <w:bottom w:val="none" w:sz="0" w:space="0" w:color="auto"/>
        <w:right w:val="none" w:sz="0" w:space="0" w:color="auto"/>
      </w:divBdr>
    </w:div>
    <w:div w:id="2023583677">
      <w:bodyDiv w:val="1"/>
      <w:marLeft w:val="0"/>
      <w:marRight w:val="0"/>
      <w:marTop w:val="0"/>
      <w:marBottom w:val="0"/>
      <w:divBdr>
        <w:top w:val="none" w:sz="0" w:space="0" w:color="auto"/>
        <w:left w:val="none" w:sz="0" w:space="0" w:color="auto"/>
        <w:bottom w:val="none" w:sz="0" w:space="0" w:color="auto"/>
        <w:right w:val="none" w:sz="0" w:space="0" w:color="auto"/>
      </w:divBdr>
    </w:div>
    <w:div w:id="2029939954">
      <w:bodyDiv w:val="1"/>
      <w:marLeft w:val="0"/>
      <w:marRight w:val="0"/>
      <w:marTop w:val="0"/>
      <w:marBottom w:val="0"/>
      <w:divBdr>
        <w:top w:val="none" w:sz="0" w:space="0" w:color="auto"/>
        <w:left w:val="none" w:sz="0" w:space="0" w:color="auto"/>
        <w:bottom w:val="none" w:sz="0" w:space="0" w:color="auto"/>
        <w:right w:val="none" w:sz="0" w:space="0" w:color="auto"/>
      </w:divBdr>
    </w:div>
    <w:div w:id="2143183192">
      <w:bodyDiv w:val="1"/>
      <w:marLeft w:val="0"/>
      <w:marRight w:val="0"/>
      <w:marTop w:val="0"/>
      <w:marBottom w:val="0"/>
      <w:divBdr>
        <w:top w:val="none" w:sz="0" w:space="0" w:color="auto"/>
        <w:left w:val="none" w:sz="0" w:space="0" w:color="auto"/>
        <w:bottom w:val="none" w:sz="0" w:space="0" w:color="auto"/>
        <w:right w:val="none" w:sz="0" w:space="0" w:color="auto"/>
      </w:divBdr>
    </w:div>
    <w:div w:id="214534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55/2020/7049837" TargetMode="External"/><Relationship Id="rId18" Type="http://schemas.openxmlformats.org/officeDocument/2006/relationships/hyperlink" Target="https://www.proquest.com/dissertations-theses/life-aspirations-predicting-learning-engagement/docview/3078389634/se-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47540/ijqr.v2i1.569" TargetMode="External"/><Relationship Id="rId17" Type="http://schemas.openxmlformats.org/officeDocument/2006/relationships/hyperlink" Target="https://www.proquest.com/dissertations-theses/foreign-language-speaking-anxiety-case-english-as/docview/2853735320/se-2" TargetMode="External"/><Relationship Id="rId2" Type="http://schemas.openxmlformats.org/officeDocument/2006/relationships/numbering" Target="numbering.xml"/><Relationship Id="rId16" Type="http://schemas.openxmlformats.org/officeDocument/2006/relationships/hyperlink" Target="https://www.proquest.com/dissertations-theses/teachers-understandings-learning-strategies-their/docview/2617268525/se-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quest.com/scholarly-journals/relationship-between-language-learning-strategies/docview/897472758/se-2" TargetMode="External"/><Relationship Id="rId5" Type="http://schemas.openxmlformats.org/officeDocument/2006/relationships/settings" Target="settings.xml"/><Relationship Id="rId15" Type="http://schemas.openxmlformats.org/officeDocument/2006/relationships/hyperlink" Target="https://doi.org/10.47772/ijriss.2025.910000498" TargetMode="External"/><Relationship Id="rId10" Type="http://schemas.openxmlformats.org/officeDocument/2006/relationships/hyperlink" Target="https://doi.org/10.37870/joqie.v11i18.267"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proquest.com/scholarly-journals/relationship-between-foreign-language-anxiety/docview/1366866592/s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Goe11</b:Tag>
    <b:SourceType>JournalArticle</b:SourceType>
    <b:Guid>{34D1E558-6524-4D12-B909-6837BD6023F4}</b:Guid>
    <b:Author>
      <b:Author>
        <b:NameList>
          <b:Person>
            <b:Last>Goetz</b:Last>
            <b:First>Joseph</b:First>
          </b:Person>
          <b:Person>
            <b:Last>Zhu</b:Last>
            <b:First>Dandan</b:First>
          </b:Person>
          <b:Person>
            <b:Last>Hampton</b:Last>
            <b:First>Vickie</b:First>
          </b:Person>
          <b:Person>
            <b:Last>Chatterjee</b:Last>
            <b:First>Swarn</b:First>
          </b:Person>
          <b:Person>
            <b:Last>Salter</b:Last>
            <b:First>John</b:First>
          </b:Person>
        </b:NameList>
      </b:Author>
    </b:Author>
    <b:Title>Integration Of Professional Certification Examinations With The Financial Planning Curriculum: Increasing Efficiency, Motivation, And Professional Success</b:Title>
    <b:JournalName>American Journal of Business Education</b:JournalName>
    <b:Year>2011</b:Year>
    <b:Pages>35-46</b:Pages>
    <b:RefOrder>1</b:RefOrder>
  </b:Source>
  <b:Source>
    <b:Tag>Mar10</b:Tag>
    <b:SourceType>JournalArticle</b:SourceType>
    <b:Guid>{9DF0A10D-5851-4A2B-94DC-701B492249B9}</b:Guid>
    <b:Author>
      <b:Author>
        <b:NameList>
          <b:Person>
            <b:Last>Marson</b:Last>
            <b:First>Stephen</b:First>
          </b:Person>
          <b:Person>
            <b:Last>DeAngelis</b:Last>
            <b:First>Donna</b:First>
          </b:Person>
          <b:Person>
            <b:Last>Mittal</b:Last>
            <b:First>Nisha</b:First>
          </b:Person>
        </b:NameList>
      </b:Author>
    </b:Author>
    <b:Title>The Association of Social Work Boards’ Licensure Examinations</b:Title>
    <b:JournalName>Research on Social Work Practic</b:JournalName>
    <b:Year>2010</b:Year>
    <b:Pages>87-99</b:Pages>
    <b:RefOrder>2</b:RefOrder>
  </b:Source>
  <b:Source>
    <b:Tag>Pro23</b:Tag>
    <b:SourceType>InternetSite</b:SourceType>
    <b:Guid>{EC52C253-0C8F-4C3D-B735-BD35EDC02C17}</b:Guid>
    <b:Author>
      <b:Author>
        <b:Corporate>Professional Regulatory Commission</b:Corporate>
      </b:Author>
    </b:Author>
    <b:Title>Professional Regulatory Commission</b:Title>
    <b:Year>2023</b:Year>
    <b:InternetSiteTitle>https://www.prc.gov.ph/article/january-2023-licensure-examination-architects-results-released-three-3-working-days/6204#:~:text=The%20examination%20was%20held%20in,01%20dated%20January%2023%2C%202023.</b:InternetSiteTitle>
    <b:Month>April</b:Month>
    <b:Day>14</b:Day>
    <b:URL>https://www.prc.gov.ph/article/january-2023-licensure-examination-architects-results-released-three-3-working-days/6204#:~:text=The%20examination%20was%20held%20in,01%20dated%20January%2023%2C%202023.</b:URL>
    <b:RefOrder>3</b:RefOrder>
  </b:Source>
  <b:Source>
    <b:Tag>Gon16</b:Tag>
    <b:SourceType>JournalArticle</b:SourceType>
    <b:Guid>{5A47954C-E2CC-4ACC-AC42-3279E091C2A7}</b:Guid>
    <b:Author>
      <b:Author>
        <b:NameList>
          <b:Person>
            <b:Last>Gono</b:Last>
            <b:First>Exequiel</b:First>
            <b:Middle>Jr. R.</b:Middle>
          </b:Person>
        </b:NameList>
      </b:Author>
    </b:Author>
    <b:Title>Probabilistic estimation of passing the Pharmacist licensure examination</b:Title>
    <b:JournalName>University of Mindanao International Multidisciplinal Research Journal</b:JournalName>
    <b:Year>2016</b:Year>
    <b:Pages>132-139</b:Pages>
    <b:RefOrder>4</b:RefOrder>
  </b:Source>
  <b:Source>
    <b:Tag>DeL11</b:Tag>
    <b:SourceType>JournalArticle</b:SourceType>
    <b:Guid>{BADD678E-5805-4CB1-950D-B17EE18193CE}</b:Guid>
    <b:Title>Looking at the past to change the future: a retrospective study of associate degree in nursing graduates' National Council Licensure Examination scores</b:Title>
    <b:Year>2011</b:Year>
    <b:Author>
      <b:Author>
        <b:NameList>
          <b:Person>
            <b:Last>De Lima</b:Last>
            <b:First>Michelle</b:First>
          </b:Person>
          <b:Person>
            <b:Last>London</b:Last>
            <b:First>LaJune</b:First>
          </b:Person>
        </b:NameList>
      </b:Author>
    </b:Author>
    <b:JournalName>Teaching and Learning in Nursing</b:JournalName>
    <b:Pages>119-123</b:Pages>
    <b:RefOrder>5</b:RefOrder>
  </b:Source>
  <b:Source>
    <b:Tag>Oka17</b:Tag>
    <b:SourceType>JournalArticle</b:SourceType>
    <b:Guid>{65FD0E84-C13E-4A49-BFD0-5B602689D37C}</b:Guid>
    <b:Author>
      <b:Author>
        <b:NameList>
          <b:Person>
            <b:Last>Okanga</b:Last>
            <b:First>Anne</b:First>
            <b:Middle>Asiko</b:Middle>
          </b:Person>
          <b:Person>
            <b:Last>Ogur</b:Last>
            <b:First>John</b:First>
            <b:Middle>Okoth</b:Middle>
          </b:Person>
          <b:Person>
            <b:Last>Arudo</b:Last>
            <b:First>John</b:First>
          </b:Person>
        </b:NameList>
      </b:Author>
    </b:Author>
    <b:Title>Institutional Characteristics Influencing Bachelor of Science Nursing Student Performance in the Nursing Council of Kenya Licensure Examinations in Kenya</b:Title>
    <b:JournalName>Journal of Education and e-Learning Research</b:JournalName>
    <b:Year>2017</b:Year>
    <b:Pages>28-36</b:Pages>
    <b:RefOrder>6</b:RefOrder>
  </b:Source>
  <b:Source>
    <b:Tag>Apg22</b:Tag>
    <b:SourceType>JournalArticle</b:SourceType>
    <b:Guid>{C45F230E-AAB9-4094-BBBF-CE998E9902F8}</b:Guid>
    <b:Author>
      <b:Author>
        <b:NameList>
          <b:Person>
            <b:Last>Apgar</b:Last>
            <b:First>Dawn</b:First>
          </b:Person>
        </b:NameList>
      </b:Author>
    </b:Author>
    <b:Title>Linking Social Work Licensure Examination Pass Rates to Accreditation: The Merits, Challenges, and Implications for Social Work Education</b:Title>
    <b:JournalName>Journal of Teaching Social Work</b:JournalName>
    <b:Year>2022</b:Year>
    <b:Pages>335-353</b:Pages>
    <b:RefOrder>7</b:RefOrder>
  </b:Source>
  <b:Source>
    <b:Tag>Her85</b:Tag>
    <b:SourceType>JournalArticle</b:SourceType>
    <b:Guid>{4F31EB03-3CCA-4771-A36D-C0265EFEA465}</b:Guid>
    <b:Title>Challenging licensure and certification.</b:Title>
    <b:Year>1985</b:Year>
    <b:Pages>1165-1178</b:Pages>
    <b:Author>
      <b:Author>
        <b:NameList>
          <b:Person>
            <b:Last>Herbsleb</b:Last>
            <b:First>J.</b:First>
            <b:Middle>D.</b:Middle>
          </b:Person>
          <b:Person>
            <b:Last>Sales</b:Last>
            <b:First>B.</b:First>
            <b:Middle>D.</b:Middle>
          </b:Person>
          <b:Person>
            <b:Last>Overcast</b:Last>
            <b:First>T.</b:First>
            <b:Middle>D.</b:Middle>
          </b:Person>
        </b:NameList>
      </b:Author>
    </b:Author>
    <b:JournalName>American Psychology</b:JournalName>
    <b:RefOrder>8</b:RefOrder>
  </b:Source>
  <b:Source>
    <b:Tag>Elm13</b:Tag>
    <b:SourceType>JournalArticle</b:SourceType>
    <b:Guid>{AF21CB35-9BBB-46CA-A49A-001DCE53416F}</b:Guid>
    <b:Author>
      <b:Author>
        <b:NameList>
          <b:Person>
            <b:Last>Davis</b:Last>
            <b:First>Stephen</b:First>
            <b:Middle>F.</b:Middle>
          </b:Person>
          <b:Person>
            <b:Last>Giordano</b:Last>
            <b:First>Peter</b:First>
            <b:Middle>J.</b:Middle>
          </b:Person>
          <b:Person>
            <b:Last>Licht</b:Last>
            <b:First>Carolyn</b:First>
            <b:Middle>A.</b:Middle>
          </b:Person>
        </b:NameList>
      </b:Author>
    </b:Author>
    <b:Title>Your Career in Psychology: Putting Your Graduate Degree to Work</b:Title>
    <b:Year>2009</b:Year>
    <b:JournalName>Career in Psychology</b:JournalName>
    <b:RefOrder>14</b:RefOrder>
  </b:Source>
  <b:Source>
    <b:Tag>Man80</b:Tag>
    <b:SourceType>JournalArticle</b:SourceType>
    <b:Guid>{74DA37AD-5412-4443-8C60-05128206F7C9}</b:Guid>
    <b:Author>
      <b:Author>
        <b:NameList>
          <b:Person>
            <b:Last>Manasse</b:Last>
            <b:First>Henri</b:First>
            <b:Middle>R.</b:Middle>
          </b:Person>
          <b:Person>
            <b:Last>Others</b:Last>
            <b:First>And</b:First>
          </b:Person>
        </b:NameList>
      </b:Author>
    </b:Author>
    <b:Title>Relationship between Collegiate Performance and Performance on NABPLEX.</b:Title>
    <b:JournalName>American Journal of Pharmaceutical Education</b:JournalName>
    <b:Year>1980</b:Year>
    <b:Pages>1-5</b:Pages>
    <b:RefOrder>9</b:RefOrder>
  </b:Source>
  <b:Source>
    <b:Tag>Ong12</b:Tag>
    <b:SourceType>JournalArticle</b:SourceType>
    <b:Guid>{7066DEA0-F260-4073-81F9-A1F2625236E5}</b:Guid>
    <b:Author>
      <b:Author>
        <b:NameList>
          <b:Person>
            <b:Last>Ong</b:Last>
            <b:First>Marylou</b:First>
            <b:Middle>B.</b:Middle>
          </b:Person>
          <b:Person>
            <b:Last>Palompon</b:Last>
            <b:First>Daisy</b:First>
            <b:Middle>R.</b:Middle>
          </b:Person>
          <b:Person>
            <b:Last>Banico</b:Last>
            <b:First>Lucia</b:First>
          </b:Person>
        </b:NameList>
      </b:Author>
    </b:Author>
    <b:Title>Predictors of nurses' licensure examination performance of graduates in Cebu Normal University, Philippines</b:Title>
    <b:JournalName>Asian Journal of Health</b:JournalName>
    <b:Year>2012</b:Year>
    <b:RefOrder>10</b:RefOrder>
  </b:Source>
  <b:Source>
    <b:Tag>Pas12</b:Tag>
    <b:SourceType>JournalArticle</b:SourceType>
    <b:Guid>{9C79D808-B9DC-490F-88F3-28963397F63D}</b:Guid>
    <b:Author>
      <b:Author>
        <b:NameList>
          <b:Person>
            <b:Last>Pasia</b:Last>
            <b:First>Jasmen</b:First>
            <b:Middle>S.</b:Middle>
          </b:Person>
          <b:Person>
            <b:Last>Garzon</b:Last>
            <b:First>Marilyn</b:First>
            <b:Middle>U.</b:Middle>
          </b:Person>
          <b:Person>
            <b:Last>Bauyot</b:Last>
            <b:First>Marleonie</b:First>
            <b:Middle>M.</b:Middle>
          </b:Person>
        </b:NameList>
      </b:Author>
    </b:Author>
    <b:Title>Determinants of performance of graduates in the medical technologist licensure examination</b:Title>
    <b:JournalName>Asian Journal of Health</b:JournalName>
    <b:Year>2012</b:Year>
    <b:RefOrder>11</b:RefOrder>
  </b:Source>
  <b:Source>
    <b:Tag>Nav11</b:Tag>
    <b:SourceType>JournalArticle</b:SourceType>
    <b:Guid>{C6AD874C-E5D8-4737-948F-DF1668EF7AB7}</b:Guid>
    <b:Author>
      <b:Author>
        <b:NameList>
          <b:Person>
            <b:Last>Navarro</b:Last>
            <b:First>R</b:First>
          </b:Person>
          <b:Person>
            <b:Last>Vitamog</b:Last>
            <b:First>A.</b:First>
          </b:Person>
          <b:Person>
            <b:Last>Tierra</b:Last>
            <b:First>R</b:First>
          </b:Person>
          <b:Person>
            <b:Last>Gonzalez</b:Last>
            <b:First>D</b:First>
          </b:Person>
        </b:NameList>
      </b:Author>
    </b:Author>
    <b:Title>Predictors of Nursing Board Examination Performance</b:Title>
    <b:JournalName>JPAIR  Multidisciplinary Journal</b:JournalName>
    <b:Year>2011</b:Year>
    <b:Pages>232-248</b:Pages>
    <b:RefOrder>12</b:RefOrder>
  </b:Source>
  <b:Source>
    <b:Tag>Her05</b:Tag>
    <b:SourceType>JournalArticle</b:SourceType>
    <b:Guid>{B0D6100E-89ED-4828-91EB-017671F89056}</b:Guid>
    <b:Author>
      <b:Author>
        <b:NameList>
          <b:Person>
            <b:Last>Hermosisima</b:Last>
            <b:First>M.V.</b:First>
          </b:Person>
        </b:NameList>
      </b:Author>
    </b:Author>
    <b:Title>The Philippine Normal University (PNU) graduate’s performance in the licensure examination for teachers (2000–2002): Approximating sources of variance</b:Title>
    <b:JournalName>The Normal Lights 1</b:JournalName>
    <b:Year>2005</b:Year>
    <b:RefOrder>13</b:RefOrder>
  </b:Source>
</b:Sources>
</file>

<file path=customXml/itemProps1.xml><?xml version="1.0" encoding="utf-8"?>
<ds:datastoreItem xmlns:ds="http://schemas.openxmlformats.org/officeDocument/2006/customXml" ds:itemID="{045B5C8A-B466-4E8B-AE8E-C2EFDD1F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10616</Words>
  <Characters>60513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Nurvin Zary Bustillo</dc:creator>
  <cp:keywords/>
  <dc:description/>
  <cp:lastModifiedBy>qwert</cp:lastModifiedBy>
  <cp:revision>79</cp:revision>
  <cp:lastPrinted>2026-04-07T17:01:00Z</cp:lastPrinted>
  <dcterms:created xsi:type="dcterms:W3CDTF">2026-03-25T12:20:00Z</dcterms:created>
  <dcterms:modified xsi:type="dcterms:W3CDTF">2026-04-20T09:45:00Z</dcterms:modified>
</cp:coreProperties>
</file>