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27CB5" w14:textId="6A493821" w:rsidR="006A63B4" w:rsidRPr="00E918F2" w:rsidRDefault="006A63B4" w:rsidP="008A4A28">
      <w:pPr>
        <w:ind w:left="720" w:hanging="360"/>
        <w:jc w:val="both"/>
        <w:rPr>
          <w:rFonts w:ascii="Times New Roman" w:hAnsi="Times New Roman" w:cs="Times New Roman"/>
          <w:b/>
          <w:bCs/>
          <w:sz w:val="44"/>
          <w:szCs w:val="44"/>
        </w:rPr>
      </w:pPr>
      <w:r w:rsidRPr="00E918F2">
        <w:rPr>
          <w:rFonts w:ascii="Times New Roman" w:hAnsi="Times New Roman" w:cs="Times New Roman"/>
          <w:b/>
          <w:bCs/>
          <w:sz w:val="44"/>
          <w:szCs w:val="44"/>
        </w:rPr>
        <w:t>Lived Experiences of Filipin</w:t>
      </w:r>
      <w:r w:rsidR="00A576D0" w:rsidRPr="00E918F2">
        <w:rPr>
          <w:rFonts w:ascii="Times New Roman" w:hAnsi="Times New Roman" w:cs="Times New Roman"/>
          <w:b/>
          <w:bCs/>
          <w:sz w:val="44"/>
          <w:szCs w:val="44"/>
        </w:rPr>
        <w:t>o</w:t>
      </w:r>
      <w:r w:rsidRPr="00E918F2">
        <w:rPr>
          <w:rFonts w:ascii="Times New Roman" w:hAnsi="Times New Roman" w:cs="Times New Roman"/>
          <w:b/>
          <w:bCs/>
          <w:sz w:val="44"/>
          <w:szCs w:val="44"/>
        </w:rPr>
        <w:t xml:space="preserve"> Students Pursuing Advanced Degrees in Foreign</w:t>
      </w:r>
      <w:r w:rsidR="008A4A28" w:rsidRPr="00E918F2">
        <w:rPr>
          <w:rFonts w:ascii="Times New Roman" w:hAnsi="Times New Roman" w:cs="Times New Roman"/>
          <w:b/>
          <w:bCs/>
          <w:sz w:val="44"/>
          <w:szCs w:val="44"/>
        </w:rPr>
        <w:t xml:space="preserve"> </w:t>
      </w:r>
      <w:r w:rsidRPr="00E918F2">
        <w:rPr>
          <w:rFonts w:ascii="Times New Roman" w:hAnsi="Times New Roman" w:cs="Times New Roman"/>
          <w:b/>
          <w:bCs/>
          <w:sz w:val="44"/>
          <w:szCs w:val="44"/>
        </w:rPr>
        <w:t>Countries</w:t>
      </w:r>
    </w:p>
    <w:p w14:paraId="00926736" w14:textId="77777777" w:rsidR="00BB6AB3" w:rsidRPr="00E918F2" w:rsidRDefault="00BB6AB3" w:rsidP="008A4A28">
      <w:pPr>
        <w:ind w:left="720" w:hanging="360"/>
        <w:jc w:val="both"/>
        <w:rPr>
          <w:rFonts w:ascii="Times New Roman" w:hAnsi="Times New Roman" w:cs="Times New Roman"/>
          <w:b/>
          <w:bCs/>
        </w:rPr>
      </w:pPr>
    </w:p>
    <w:p w14:paraId="74045DE8" w14:textId="77777777" w:rsidR="00CE46B4" w:rsidRDefault="00CE46B4" w:rsidP="003869D1">
      <w:pPr>
        <w:spacing w:line="240" w:lineRule="auto"/>
        <w:jc w:val="center"/>
        <w:rPr>
          <w:rFonts w:ascii="Cambria" w:hAnsi="Cambria"/>
          <w:b/>
          <w:bCs/>
        </w:rPr>
      </w:pPr>
      <w:bookmarkStart w:id="0" w:name="_GoBack"/>
      <w:bookmarkEnd w:id="0"/>
    </w:p>
    <w:p w14:paraId="24FFBF8B" w14:textId="4168FED1" w:rsidR="003A0171" w:rsidRPr="009A239D" w:rsidRDefault="00E037C8" w:rsidP="003869D1">
      <w:pPr>
        <w:spacing w:line="240" w:lineRule="auto"/>
        <w:jc w:val="center"/>
        <w:rPr>
          <w:rFonts w:ascii="Times New Roman" w:hAnsi="Times New Roman" w:cs="Times New Roman"/>
          <w:b/>
          <w:bCs/>
        </w:rPr>
      </w:pPr>
      <w:r w:rsidRPr="009A239D">
        <w:rPr>
          <w:rFonts w:ascii="Times New Roman" w:hAnsi="Times New Roman" w:cs="Times New Roman"/>
          <w:b/>
          <w:bCs/>
        </w:rPr>
        <w:t>ABSTRACT</w:t>
      </w:r>
    </w:p>
    <w:p w14:paraId="3FF96923" w14:textId="77777777" w:rsidR="00E037C8" w:rsidRPr="009A239D" w:rsidRDefault="00E037C8" w:rsidP="003869D1">
      <w:pPr>
        <w:spacing w:line="240" w:lineRule="auto"/>
        <w:jc w:val="center"/>
        <w:rPr>
          <w:rFonts w:ascii="Times New Roman" w:hAnsi="Times New Roman" w:cs="Times New Roman"/>
          <w:b/>
          <w:bCs/>
        </w:rPr>
      </w:pPr>
    </w:p>
    <w:p w14:paraId="509D788F" w14:textId="6250C5EB" w:rsidR="003A0171" w:rsidRPr="009A239D" w:rsidRDefault="003A0171" w:rsidP="003A0171">
      <w:pPr>
        <w:spacing w:line="240" w:lineRule="auto"/>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The globalization of higher education has intensified student mobility, with many Filipino students pursuing advanced degrees abroad to access specialized programs, advanced research facilities, and global career opportunities. However, limited research has examined the lived experiences of Filipino students in scientific disciplines, particularly in chemistry, where gaps in laboratory training and research exposure remain evident. This study aimed to explore the motivations, challenges, coping strategies, and developmental outcomes of Filipino students studying abroad, as well as to assess how undergraduate preparation in the Philippines influences their readiness for international graduate education. Using a qualitative phenomenological approach, data were collected through semi-structured virtual and written interviews and analyzed via reflexive thematic analysis. Findings revealed that students are driven by local limitations in specialization and research infrastructure, while facing socio-cultural and emotional challenges such as homesickness, language barriers, and cultural adaptation. An “instrumentation gap” in laboratory skills was identified despite strong theoretical foundations. Nevertheless, students demonstrated resilience through support systems and adaptive strategies, leading to transformative growth and a strong commitment to national contribution. These findings highlight the need for reforms in curriculum, research infrastructure, and global engagement to enhance competitiveness and promote brain circulation.</w:t>
      </w:r>
    </w:p>
    <w:p w14:paraId="6704994E" w14:textId="77777777" w:rsidR="003A0171" w:rsidRPr="009A239D" w:rsidRDefault="003A0171" w:rsidP="003A0171">
      <w:pPr>
        <w:spacing w:line="240" w:lineRule="auto"/>
        <w:jc w:val="both"/>
        <w:rPr>
          <w:rFonts w:ascii="Times New Roman" w:hAnsi="Times New Roman" w:cs="Times New Roman"/>
          <w:sz w:val="20"/>
          <w:szCs w:val="20"/>
          <w:lang w:val="en-US"/>
        </w:rPr>
      </w:pPr>
    </w:p>
    <w:p w14:paraId="4426EB2D" w14:textId="534E4184" w:rsidR="003A0171" w:rsidRPr="009A239D" w:rsidRDefault="003A0171" w:rsidP="003A0171">
      <w:pPr>
        <w:spacing w:line="240" w:lineRule="auto"/>
        <w:jc w:val="both"/>
        <w:rPr>
          <w:rFonts w:ascii="Times New Roman" w:hAnsi="Times New Roman" w:cs="Times New Roman"/>
          <w:sz w:val="20"/>
          <w:szCs w:val="20"/>
          <w:lang w:val="en-US"/>
        </w:rPr>
      </w:pPr>
      <w:r w:rsidRPr="009A239D">
        <w:rPr>
          <w:rFonts w:ascii="Times New Roman" w:hAnsi="Times New Roman" w:cs="Times New Roman"/>
          <w:b/>
          <w:bCs/>
          <w:sz w:val="20"/>
          <w:szCs w:val="20"/>
          <w:lang w:val="en-US"/>
        </w:rPr>
        <w:t>Keywords:</w:t>
      </w:r>
      <w:r w:rsidR="00305C7D" w:rsidRPr="009A239D">
        <w:rPr>
          <w:rFonts w:ascii="Times New Roman" w:hAnsi="Times New Roman" w:cs="Times New Roman"/>
          <w:sz w:val="20"/>
          <w:szCs w:val="20"/>
          <w:lang w:val="en-US"/>
        </w:rPr>
        <w:t xml:space="preserve"> Filipino </w:t>
      </w:r>
      <w:r w:rsidR="00370EE5" w:rsidRPr="009A239D">
        <w:rPr>
          <w:rFonts w:ascii="Times New Roman" w:hAnsi="Times New Roman" w:cs="Times New Roman"/>
          <w:sz w:val="20"/>
          <w:szCs w:val="20"/>
          <w:lang w:val="en-US"/>
        </w:rPr>
        <w:t>students; international</w:t>
      </w:r>
      <w:r w:rsidRPr="009A239D">
        <w:rPr>
          <w:rFonts w:ascii="Times New Roman" w:hAnsi="Times New Roman" w:cs="Times New Roman"/>
          <w:sz w:val="20"/>
          <w:szCs w:val="20"/>
          <w:lang w:val="en-US"/>
        </w:rPr>
        <w:t xml:space="preserve"> student mobility; phenomenology; higher education; intercultural adaptation; research preparedness; brain circulation;</w:t>
      </w:r>
      <w:r w:rsidR="002209CB" w:rsidRPr="009A239D">
        <w:rPr>
          <w:rFonts w:ascii="Times New Roman" w:hAnsi="Times New Roman" w:cs="Times New Roman"/>
          <w:sz w:val="20"/>
          <w:szCs w:val="20"/>
          <w:lang w:val="en-US"/>
        </w:rPr>
        <w:t xml:space="preserve"> student resilience</w:t>
      </w:r>
      <w:r w:rsidR="00FB3C8B" w:rsidRPr="009A239D">
        <w:rPr>
          <w:rFonts w:ascii="Times New Roman" w:hAnsi="Times New Roman" w:cs="Times New Roman"/>
          <w:sz w:val="20"/>
          <w:szCs w:val="20"/>
          <w:lang w:val="en-US"/>
        </w:rPr>
        <w:t>.</w:t>
      </w:r>
    </w:p>
    <w:p w14:paraId="70E06A41" w14:textId="77777777" w:rsidR="003A0171" w:rsidRDefault="003A0171" w:rsidP="003869D1">
      <w:pPr>
        <w:spacing w:line="240" w:lineRule="auto"/>
        <w:jc w:val="center"/>
        <w:rPr>
          <w:rFonts w:ascii="Cambria" w:hAnsi="Cambria" w:cs="Courier New"/>
          <w:sz w:val="18"/>
          <w:szCs w:val="18"/>
          <w:u w:val="single"/>
        </w:rPr>
      </w:pPr>
    </w:p>
    <w:p w14:paraId="137CF3FB" w14:textId="4B4CC27C" w:rsidR="00305C7D" w:rsidRPr="0075243D" w:rsidRDefault="00305C7D" w:rsidP="00370EE5">
      <w:pPr>
        <w:spacing w:line="240" w:lineRule="auto"/>
        <w:rPr>
          <w:rFonts w:ascii="Cambria" w:hAnsi="Cambria" w:cs="Courier New"/>
          <w:sz w:val="18"/>
          <w:szCs w:val="18"/>
          <w:u w:val="single"/>
        </w:rPr>
        <w:sectPr w:rsidR="00305C7D" w:rsidRPr="0075243D" w:rsidSect="00555D2C">
          <w:pgSz w:w="12240" w:h="15840"/>
          <w:pgMar w:top="1080" w:right="907" w:bottom="1440" w:left="907" w:header="720" w:footer="720" w:gutter="0"/>
          <w:cols w:space="720"/>
          <w:docGrid w:linePitch="360"/>
        </w:sectPr>
      </w:pPr>
    </w:p>
    <w:p w14:paraId="3BA88F91" w14:textId="77777777" w:rsidR="00310BEE" w:rsidRPr="00403D3B" w:rsidRDefault="00310BEE" w:rsidP="007273CC">
      <w:pPr>
        <w:spacing w:line="240" w:lineRule="auto"/>
        <w:rPr>
          <w:rFonts w:ascii="Cambria" w:hAnsi="Cambria"/>
          <w:sz w:val="20"/>
          <w:szCs w:val="20"/>
        </w:rPr>
        <w:sectPr w:rsidR="00310BEE" w:rsidRPr="00403D3B" w:rsidSect="008D614E">
          <w:type w:val="continuous"/>
          <w:pgSz w:w="12240" w:h="15840"/>
          <w:pgMar w:top="1080" w:right="907" w:bottom="1440" w:left="907" w:header="720" w:footer="720" w:gutter="0"/>
          <w:cols w:num="2" w:space="720"/>
          <w:docGrid w:linePitch="360"/>
        </w:sectPr>
      </w:pPr>
    </w:p>
    <w:p w14:paraId="5A8A3E91" w14:textId="646B71B5" w:rsidR="008022A5" w:rsidRPr="009A239D" w:rsidRDefault="00E1319B" w:rsidP="005E64ED">
      <w:pPr>
        <w:spacing w:before="120" w:after="120"/>
        <w:jc w:val="center"/>
        <w:rPr>
          <w:rFonts w:ascii="Times New Roman" w:hAnsi="Times New Roman" w:cs="Times New Roman"/>
        </w:rPr>
      </w:pPr>
      <w:r w:rsidRPr="009A239D">
        <w:rPr>
          <w:rFonts w:ascii="Times New Roman" w:hAnsi="Times New Roman" w:cs="Times New Roman"/>
          <w:b/>
          <w:bCs/>
          <w:sz w:val="20"/>
          <w:szCs w:val="20"/>
        </w:rPr>
        <w:lastRenderedPageBreak/>
        <w:t xml:space="preserve">1. </w:t>
      </w:r>
      <w:r w:rsidR="00310BEE" w:rsidRPr="009A239D">
        <w:rPr>
          <w:rFonts w:ascii="Times New Roman" w:hAnsi="Times New Roman" w:cs="Times New Roman"/>
          <w:b/>
          <w:bCs/>
          <w:sz w:val="20"/>
          <w:szCs w:val="20"/>
        </w:rPr>
        <w:t>INTRODUCTION</w:t>
      </w:r>
    </w:p>
    <w:p w14:paraId="04EFA439" w14:textId="77777777" w:rsidR="0040329F" w:rsidRPr="009A239D" w:rsidRDefault="005E64ED" w:rsidP="0040329F">
      <w:pPr>
        <w:jc w:val="both"/>
        <w:rPr>
          <w:rFonts w:ascii="Times New Roman" w:hAnsi="Times New Roman" w:cs="Times New Roman"/>
          <w:sz w:val="20"/>
          <w:szCs w:val="20"/>
        </w:rPr>
      </w:pPr>
      <w:r w:rsidRPr="009A239D">
        <w:rPr>
          <w:rFonts w:ascii="Times New Roman" w:hAnsi="Times New Roman" w:cs="Times New Roman"/>
          <w:sz w:val="20"/>
          <w:szCs w:val="20"/>
        </w:rPr>
        <w:t>The globalization of higher education</w:t>
      </w:r>
      <w:r w:rsidR="0040329F" w:rsidRPr="009A239D">
        <w:rPr>
          <w:rFonts w:ascii="Times New Roman" w:hAnsi="Times New Roman" w:cs="Times New Roman"/>
          <w:sz w:val="20"/>
          <w:szCs w:val="20"/>
        </w:rPr>
        <w:t xml:space="preserve"> has led to a steady increase in student mobility, with many Filipino students pursuing advanced degrees abroad to access high-quality education, advanced research facilities, and broader career opportunities. In the field of chemistry, this trend is particularly evident as students seek specialized programs, better laboratory resources, and international exposure that may not be readily available locally. Studies have shown that international education continues to expand, with millions of students studying outside their home countries (UNESCO, 2021) reflecting its growing importance in developing globally competitive graduates (OECD, 2023).</w:t>
      </w:r>
    </w:p>
    <w:p w14:paraId="3FF34BAD" w14:textId="7CEF3526" w:rsidR="0057103D" w:rsidRPr="009A239D" w:rsidRDefault="0057103D" w:rsidP="0057103D">
      <w:pPr>
        <w:jc w:val="both"/>
        <w:rPr>
          <w:rFonts w:ascii="Times New Roman" w:hAnsi="Times New Roman" w:cs="Times New Roman"/>
          <w:sz w:val="20"/>
          <w:szCs w:val="20"/>
        </w:rPr>
      </w:pPr>
      <w:r w:rsidRPr="009A239D">
        <w:rPr>
          <w:rFonts w:ascii="Times New Roman" w:hAnsi="Times New Roman" w:cs="Times New Roman"/>
          <w:sz w:val="20"/>
          <w:szCs w:val="20"/>
        </w:rPr>
        <w:t xml:space="preserve">Despite these opportunities, significant gaps </w:t>
      </w:r>
      <w:r w:rsidR="00FA54DC" w:rsidRPr="009A239D">
        <w:rPr>
          <w:rFonts w:ascii="Times New Roman" w:hAnsi="Times New Roman" w:cs="Times New Roman"/>
          <w:sz w:val="20"/>
          <w:szCs w:val="20"/>
        </w:rPr>
        <w:t xml:space="preserve">remain evident </w:t>
      </w:r>
      <w:r w:rsidRPr="009A239D">
        <w:rPr>
          <w:rFonts w:ascii="Times New Roman" w:hAnsi="Times New Roman" w:cs="Times New Roman"/>
          <w:sz w:val="20"/>
          <w:szCs w:val="20"/>
        </w:rPr>
        <w:t xml:space="preserve">in understanding the lived experiences of Filipino students abroad. Much of the existing literature focuses on general international student experiences, with limited attention to challenges unique to scientific fields such as chemistry. Findings from this study reveal recurring issues including language barriers, cultural adjustment, homesickness, and gaps in laboratory skills—particularly in advanced instrumentation and research exposure. These challenges point to broader systemic concerns in Philippine higher education, particularly in terms of research infrastructure and practical </w:t>
      </w:r>
      <w:r w:rsidRPr="009A239D">
        <w:rPr>
          <w:rFonts w:ascii="Times New Roman" w:hAnsi="Times New Roman" w:cs="Times New Roman"/>
          <w:sz w:val="20"/>
          <w:szCs w:val="20"/>
        </w:rPr>
        <w:lastRenderedPageBreak/>
        <w:t xml:space="preserve">training, which may affect students’ preparedness for graduate studies in foreign institutions. </w:t>
      </w:r>
    </w:p>
    <w:p w14:paraId="79F2252C" w14:textId="3AB46A8C" w:rsidR="00DC0529" w:rsidRPr="009A239D" w:rsidRDefault="001A2B75" w:rsidP="001A2B75">
      <w:pPr>
        <w:jc w:val="both"/>
        <w:rPr>
          <w:rFonts w:ascii="Times New Roman" w:hAnsi="Times New Roman" w:cs="Times New Roman"/>
          <w:sz w:val="20"/>
          <w:szCs w:val="20"/>
        </w:rPr>
      </w:pPr>
      <w:r w:rsidRPr="009A239D">
        <w:rPr>
          <w:rFonts w:ascii="Times New Roman" w:hAnsi="Times New Roman" w:cs="Times New Roman"/>
          <w:sz w:val="20"/>
          <w:szCs w:val="20"/>
        </w:rPr>
        <w:t>Recent studies support these observations, emphasizing both the opportunities and challenges associated with international education. For instance, (</w:t>
      </w:r>
      <w:proofErr w:type="spellStart"/>
      <w:r w:rsidRPr="009A239D">
        <w:rPr>
          <w:rFonts w:ascii="Times New Roman" w:hAnsi="Times New Roman" w:cs="Times New Roman"/>
          <w:sz w:val="20"/>
          <w:szCs w:val="20"/>
        </w:rPr>
        <w:t>Marginson</w:t>
      </w:r>
      <w:proofErr w:type="spellEnd"/>
      <w:r w:rsidRPr="009A239D">
        <w:rPr>
          <w:rFonts w:ascii="Times New Roman" w:hAnsi="Times New Roman" w:cs="Times New Roman"/>
          <w:sz w:val="20"/>
          <w:szCs w:val="20"/>
        </w:rPr>
        <w:t>, 2019) emphasized that international students often face structural and cultural adjustment challenges that impact academic performance and well-being. Additionally, Filipino students are recognized for their adaptability and resilience, yet they may encounter limitations in research training due to resource constraints in local institutions (Orbeta et al., 2020; Salazar-</w:t>
      </w:r>
      <w:proofErr w:type="spellStart"/>
      <w:r w:rsidRPr="009A239D">
        <w:rPr>
          <w:rFonts w:ascii="Times New Roman" w:hAnsi="Times New Roman" w:cs="Times New Roman"/>
          <w:sz w:val="20"/>
          <w:szCs w:val="20"/>
        </w:rPr>
        <w:t>Clemeña</w:t>
      </w:r>
      <w:proofErr w:type="spellEnd"/>
      <w:r w:rsidRPr="009A239D">
        <w:rPr>
          <w:rFonts w:ascii="Times New Roman" w:hAnsi="Times New Roman" w:cs="Times New Roman"/>
          <w:sz w:val="20"/>
          <w:szCs w:val="20"/>
        </w:rPr>
        <w:t xml:space="preserve"> &amp; </w:t>
      </w:r>
      <w:proofErr w:type="spellStart"/>
      <w:r w:rsidRPr="009A239D">
        <w:rPr>
          <w:rFonts w:ascii="Times New Roman" w:hAnsi="Times New Roman" w:cs="Times New Roman"/>
          <w:sz w:val="20"/>
          <w:szCs w:val="20"/>
        </w:rPr>
        <w:t>Almonte</w:t>
      </w:r>
      <w:proofErr w:type="spellEnd"/>
      <w:r w:rsidRPr="009A239D">
        <w:rPr>
          <w:rFonts w:ascii="Times New Roman" w:hAnsi="Times New Roman" w:cs="Times New Roman"/>
          <w:sz w:val="20"/>
          <w:szCs w:val="20"/>
        </w:rPr>
        <w:t>-Acosta, 2021). Internationally, (Glass et al., 20</w:t>
      </w:r>
      <w:r w:rsidR="00CE7F66" w:rsidRPr="009A239D">
        <w:rPr>
          <w:rFonts w:ascii="Times New Roman" w:hAnsi="Times New Roman" w:cs="Times New Roman"/>
          <w:sz w:val="20"/>
          <w:szCs w:val="20"/>
        </w:rPr>
        <w:t>15</w:t>
      </w:r>
      <w:r w:rsidRPr="009A239D">
        <w:rPr>
          <w:rFonts w:ascii="Times New Roman" w:hAnsi="Times New Roman" w:cs="Times New Roman"/>
          <w:sz w:val="20"/>
          <w:szCs w:val="20"/>
        </w:rPr>
        <w:t>) found that participation in global education enhances intercultural competence but also requires strong institutional support systems. Furthermore, more recent discussions (UNESCO, 2024) continue to highlight inequities in global education systems, reinforcing the importance of understanding how students from countries like the Philippines experience and respond to these disparities.</w:t>
      </w:r>
    </w:p>
    <w:p w14:paraId="395016CB" w14:textId="1A7CBB1B" w:rsidR="008A3F5E" w:rsidRPr="009A239D" w:rsidRDefault="00DC2393" w:rsidP="00A64965">
      <w:pPr>
        <w:jc w:val="both"/>
        <w:rPr>
          <w:rFonts w:ascii="Times New Roman" w:hAnsi="Times New Roman" w:cs="Times New Roman"/>
          <w:sz w:val="20"/>
          <w:szCs w:val="20"/>
        </w:rPr>
      </w:pPr>
      <w:r w:rsidRPr="009A239D">
        <w:rPr>
          <w:rFonts w:ascii="Times New Roman" w:hAnsi="Times New Roman" w:cs="Times New Roman"/>
          <w:sz w:val="20"/>
          <w:szCs w:val="20"/>
        </w:rPr>
        <w:t xml:space="preserve">This study investigated the lived experiences of Filipino chemistry students </w:t>
      </w:r>
      <w:r w:rsidR="005D6217" w:rsidRPr="009A239D">
        <w:rPr>
          <w:rFonts w:ascii="Times New Roman" w:hAnsi="Times New Roman" w:cs="Times New Roman"/>
          <w:sz w:val="20"/>
          <w:szCs w:val="20"/>
        </w:rPr>
        <w:t xml:space="preserve">who pursue advanced degrees in </w:t>
      </w:r>
      <w:r w:rsidR="00D001A5" w:rsidRPr="009A239D">
        <w:rPr>
          <w:rFonts w:ascii="Times New Roman" w:hAnsi="Times New Roman" w:cs="Times New Roman"/>
          <w:sz w:val="20"/>
          <w:szCs w:val="20"/>
        </w:rPr>
        <w:t>foreign countries</w:t>
      </w:r>
      <w:r w:rsidR="00C0438C" w:rsidRPr="009A239D">
        <w:rPr>
          <w:rFonts w:ascii="Times New Roman" w:hAnsi="Times New Roman" w:cs="Times New Roman"/>
          <w:sz w:val="20"/>
          <w:szCs w:val="20"/>
        </w:rPr>
        <w:t>, aiming to understand their motivations</w:t>
      </w:r>
      <w:r w:rsidR="000C4724" w:rsidRPr="009A239D">
        <w:rPr>
          <w:rFonts w:ascii="Times New Roman" w:hAnsi="Times New Roman" w:cs="Times New Roman"/>
          <w:sz w:val="20"/>
          <w:szCs w:val="20"/>
        </w:rPr>
        <w:t xml:space="preserve"> and adaptation strategies.</w:t>
      </w:r>
      <w:r w:rsidR="001A2B75" w:rsidRPr="009A239D">
        <w:rPr>
          <w:rFonts w:ascii="Times New Roman" w:hAnsi="Times New Roman" w:cs="Times New Roman"/>
          <w:sz w:val="20"/>
          <w:szCs w:val="20"/>
        </w:rPr>
        <w:t xml:space="preserve"> By </w:t>
      </w:r>
      <w:r w:rsidR="000C4724" w:rsidRPr="009A239D">
        <w:rPr>
          <w:rFonts w:ascii="Times New Roman" w:hAnsi="Times New Roman" w:cs="Times New Roman"/>
          <w:sz w:val="20"/>
          <w:szCs w:val="20"/>
        </w:rPr>
        <w:t xml:space="preserve">documenting </w:t>
      </w:r>
      <w:r w:rsidR="00BB417B" w:rsidRPr="009A239D">
        <w:rPr>
          <w:rFonts w:ascii="Times New Roman" w:hAnsi="Times New Roman" w:cs="Times New Roman"/>
          <w:sz w:val="20"/>
          <w:szCs w:val="20"/>
        </w:rPr>
        <w:t xml:space="preserve">these narratives, </w:t>
      </w:r>
      <w:r w:rsidR="001A2B75" w:rsidRPr="009A239D">
        <w:rPr>
          <w:rFonts w:ascii="Times New Roman" w:hAnsi="Times New Roman" w:cs="Times New Roman"/>
          <w:sz w:val="20"/>
          <w:szCs w:val="20"/>
        </w:rPr>
        <w:t>th</w:t>
      </w:r>
      <w:r w:rsidR="004B1AB0" w:rsidRPr="009A239D">
        <w:rPr>
          <w:rFonts w:ascii="Times New Roman" w:hAnsi="Times New Roman" w:cs="Times New Roman"/>
          <w:sz w:val="20"/>
          <w:szCs w:val="20"/>
        </w:rPr>
        <w:t>e</w:t>
      </w:r>
      <w:r w:rsidR="001A2B75" w:rsidRPr="009A239D">
        <w:rPr>
          <w:rFonts w:ascii="Times New Roman" w:hAnsi="Times New Roman" w:cs="Times New Roman"/>
          <w:sz w:val="20"/>
          <w:szCs w:val="20"/>
        </w:rPr>
        <w:t xml:space="preserve"> study contributes to addressing the gaps and provides insights that may inform curriculum development, institutional </w:t>
      </w:r>
      <w:r w:rsidR="001A2B75" w:rsidRPr="009A239D">
        <w:rPr>
          <w:rFonts w:ascii="Times New Roman" w:hAnsi="Times New Roman" w:cs="Times New Roman"/>
          <w:sz w:val="20"/>
          <w:szCs w:val="20"/>
        </w:rPr>
        <w:lastRenderedPageBreak/>
        <w:t xml:space="preserve">support, and policies aimed at strengthening global competitiveness </w:t>
      </w:r>
    </w:p>
    <w:p w14:paraId="08B68B82" w14:textId="07499BF4" w:rsidR="008022A5" w:rsidRPr="009A239D" w:rsidRDefault="00267511" w:rsidP="00A64965">
      <w:pPr>
        <w:pStyle w:val="ListParagraph"/>
        <w:numPr>
          <w:ilvl w:val="1"/>
          <w:numId w:val="4"/>
        </w:numPr>
        <w:spacing w:before="240" w:line="240" w:lineRule="auto"/>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Research </w:t>
      </w:r>
      <w:r w:rsidR="00E1319B" w:rsidRPr="009A239D">
        <w:rPr>
          <w:rFonts w:ascii="Times New Roman" w:hAnsi="Times New Roman" w:cs="Times New Roman"/>
          <w:b/>
          <w:bCs/>
          <w:i/>
          <w:iCs/>
          <w:sz w:val="20"/>
          <w:szCs w:val="20"/>
        </w:rPr>
        <w:t>Objectives</w:t>
      </w:r>
    </w:p>
    <w:p w14:paraId="5AA52AC1" w14:textId="77777777" w:rsidR="00411776" w:rsidRPr="009A239D" w:rsidRDefault="00411776" w:rsidP="00A64965">
      <w:pPr>
        <w:pStyle w:val="ListParagraph"/>
        <w:spacing w:before="240" w:line="240" w:lineRule="auto"/>
        <w:ind w:left="360"/>
        <w:rPr>
          <w:rFonts w:ascii="Times New Roman" w:hAnsi="Times New Roman" w:cs="Times New Roman"/>
          <w:b/>
          <w:bCs/>
          <w:i/>
          <w:iCs/>
          <w:sz w:val="20"/>
          <w:szCs w:val="20"/>
        </w:rPr>
      </w:pPr>
    </w:p>
    <w:p w14:paraId="52D6DA00" w14:textId="1020482B" w:rsidR="007273CC" w:rsidRPr="009A239D" w:rsidRDefault="007273CC" w:rsidP="001A401C">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w:t>
      </w:r>
      <w:r w:rsidR="00EE1CFB" w:rsidRPr="009A239D">
        <w:rPr>
          <w:rFonts w:ascii="Times New Roman" w:hAnsi="Times New Roman" w:cs="Times New Roman"/>
          <w:sz w:val="20"/>
          <w:szCs w:val="20"/>
        </w:rPr>
        <w:t xml:space="preserve">research </w:t>
      </w:r>
      <w:r w:rsidRPr="009A239D">
        <w:rPr>
          <w:rFonts w:ascii="Times New Roman" w:hAnsi="Times New Roman" w:cs="Times New Roman"/>
          <w:sz w:val="20"/>
          <w:szCs w:val="20"/>
        </w:rPr>
        <w:t>explore</w:t>
      </w:r>
      <w:r w:rsidR="00DC7751" w:rsidRPr="009A239D">
        <w:rPr>
          <w:rFonts w:ascii="Times New Roman" w:hAnsi="Times New Roman" w:cs="Times New Roman"/>
          <w:sz w:val="20"/>
          <w:szCs w:val="20"/>
        </w:rPr>
        <w:t xml:space="preserve">d the live experiences of Filipino students </w:t>
      </w:r>
      <w:r w:rsidR="00E57BAA" w:rsidRPr="009A239D">
        <w:rPr>
          <w:rFonts w:ascii="Times New Roman" w:hAnsi="Times New Roman" w:cs="Times New Roman"/>
          <w:sz w:val="20"/>
          <w:szCs w:val="20"/>
        </w:rPr>
        <w:t>who</w:t>
      </w:r>
      <w:r w:rsidR="007848E0" w:rsidRPr="009A239D">
        <w:rPr>
          <w:rFonts w:ascii="Times New Roman" w:hAnsi="Times New Roman" w:cs="Times New Roman"/>
          <w:sz w:val="20"/>
          <w:szCs w:val="20"/>
        </w:rPr>
        <w:t xml:space="preserve"> </w:t>
      </w:r>
      <w:r w:rsidR="00E57BAA" w:rsidRPr="009A239D">
        <w:rPr>
          <w:rFonts w:ascii="Times New Roman" w:hAnsi="Times New Roman" w:cs="Times New Roman"/>
          <w:sz w:val="20"/>
          <w:szCs w:val="20"/>
        </w:rPr>
        <w:t>pursuing advance degree in foreign countries, focusing on their challenges, motivations, coping strategies, and developmental outcomes.</w:t>
      </w:r>
      <w:r w:rsidRPr="009A239D">
        <w:rPr>
          <w:rFonts w:ascii="Times New Roman" w:hAnsi="Times New Roman" w:cs="Times New Roman"/>
          <w:sz w:val="20"/>
          <w:szCs w:val="20"/>
        </w:rPr>
        <w:t xml:space="preserve"> </w:t>
      </w:r>
      <w:r w:rsidR="008022A5" w:rsidRPr="009A239D">
        <w:rPr>
          <w:rFonts w:ascii="Times New Roman" w:hAnsi="Times New Roman" w:cs="Times New Roman"/>
          <w:sz w:val="20"/>
          <w:szCs w:val="20"/>
        </w:rPr>
        <w:t xml:space="preserve">Specifically, this </w:t>
      </w:r>
      <w:r w:rsidR="004B5C84" w:rsidRPr="009A239D">
        <w:rPr>
          <w:rFonts w:ascii="Times New Roman" w:hAnsi="Times New Roman" w:cs="Times New Roman"/>
          <w:sz w:val="20"/>
          <w:szCs w:val="20"/>
        </w:rPr>
        <w:t>research</w:t>
      </w:r>
      <w:r w:rsidR="008022A5" w:rsidRPr="009A239D">
        <w:rPr>
          <w:rFonts w:ascii="Times New Roman" w:hAnsi="Times New Roman" w:cs="Times New Roman"/>
          <w:sz w:val="20"/>
          <w:szCs w:val="20"/>
        </w:rPr>
        <w:t xml:space="preserve"> aimed to: </w:t>
      </w:r>
    </w:p>
    <w:p w14:paraId="7D9F19C9" w14:textId="77777777" w:rsidR="001A401C" w:rsidRPr="009A239D" w:rsidRDefault="001A401C" w:rsidP="001A401C">
      <w:pPr>
        <w:spacing w:line="240" w:lineRule="auto"/>
        <w:jc w:val="both"/>
        <w:rPr>
          <w:rFonts w:ascii="Times New Roman" w:hAnsi="Times New Roman" w:cs="Times New Roman"/>
          <w:sz w:val="20"/>
          <w:szCs w:val="20"/>
        </w:rPr>
      </w:pPr>
    </w:p>
    <w:p w14:paraId="2147A27D" w14:textId="5442B0AB" w:rsidR="007273CC" w:rsidRPr="009A239D" w:rsidRDefault="007273CC" w:rsidP="007273CC">
      <w:pPr>
        <w:spacing w:after="160" w:line="240" w:lineRule="auto"/>
        <w:jc w:val="both"/>
        <w:rPr>
          <w:rFonts w:ascii="Times New Roman" w:hAnsi="Times New Roman" w:cs="Times New Roman"/>
          <w:sz w:val="20"/>
          <w:szCs w:val="20"/>
        </w:rPr>
      </w:pPr>
      <w:r w:rsidRPr="009A239D">
        <w:rPr>
          <w:rFonts w:ascii="Times New Roman" w:hAnsi="Times New Roman" w:cs="Times New Roman"/>
          <w:sz w:val="20"/>
          <w:szCs w:val="20"/>
        </w:rPr>
        <w:t>1.</w:t>
      </w:r>
      <w:r w:rsidR="00D11D7D" w:rsidRPr="009A239D">
        <w:rPr>
          <w:rFonts w:ascii="Times New Roman" w:hAnsi="Times New Roman" w:cs="Times New Roman"/>
          <w:sz w:val="20"/>
          <w:szCs w:val="20"/>
        </w:rPr>
        <w:t xml:space="preserve"> </w:t>
      </w:r>
      <w:r w:rsidR="00CE2DC8" w:rsidRPr="009A239D">
        <w:rPr>
          <w:rFonts w:ascii="Times New Roman" w:hAnsi="Times New Roman" w:cs="Times New Roman"/>
          <w:sz w:val="20"/>
          <w:szCs w:val="20"/>
        </w:rPr>
        <w:t xml:space="preserve">Explore the motivations and </w:t>
      </w:r>
      <w:r w:rsidR="007C03D3" w:rsidRPr="009A239D">
        <w:rPr>
          <w:rFonts w:ascii="Times New Roman" w:hAnsi="Times New Roman" w:cs="Times New Roman"/>
          <w:sz w:val="20"/>
          <w:szCs w:val="20"/>
        </w:rPr>
        <w:t>factors that drive Filipino students to pursue advanced degrees in foreign countries.</w:t>
      </w:r>
      <w:r w:rsidR="0017074E" w:rsidRPr="009A239D">
        <w:rPr>
          <w:rFonts w:ascii="Times New Roman" w:hAnsi="Times New Roman" w:cs="Times New Roman"/>
          <w:sz w:val="20"/>
          <w:szCs w:val="20"/>
        </w:rPr>
        <w:t xml:space="preserve"> </w:t>
      </w:r>
      <w:r w:rsidR="00D11D7D" w:rsidRPr="009A239D">
        <w:rPr>
          <w:rFonts w:ascii="Times New Roman" w:hAnsi="Times New Roman" w:cs="Times New Roman"/>
          <w:sz w:val="20"/>
          <w:szCs w:val="20"/>
        </w:rPr>
        <w:t xml:space="preserve"> </w:t>
      </w:r>
    </w:p>
    <w:p w14:paraId="2E25C1CE" w14:textId="643ECD47" w:rsidR="008022A5" w:rsidRPr="009A239D" w:rsidRDefault="008022A5"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2. </w:t>
      </w:r>
      <w:r w:rsidR="0082197E" w:rsidRPr="009A239D">
        <w:rPr>
          <w:rFonts w:ascii="Times New Roman" w:hAnsi="Times New Roman" w:cs="Times New Roman"/>
          <w:sz w:val="20"/>
          <w:szCs w:val="20"/>
        </w:rPr>
        <w:t xml:space="preserve">Identify the </w:t>
      </w:r>
      <w:r w:rsidR="002B6CB2" w:rsidRPr="009A239D">
        <w:rPr>
          <w:rFonts w:ascii="Times New Roman" w:hAnsi="Times New Roman" w:cs="Times New Roman"/>
          <w:sz w:val="20"/>
          <w:szCs w:val="20"/>
        </w:rPr>
        <w:t xml:space="preserve">challenges faced by Filipino students </w:t>
      </w:r>
      <w:r w:rsidR="00CA2AC2" w:rsidRPr="009A239D">
        <w:rPr>
          <w:rFonts w:ascii="Times New Roman" w:hAnsi="Times New Roman" w:cs="Times New Roman"/>
          <w:sz w:val="20"/>
          <w:szCs w:val="20"/>
        </w:rPr>
        <w:t>while studying abroad.</w:t>
      </w:r>
    </w:p>
    <w:p w14:paraId="0E9A40A1" w14:textId="4414CB98" w:rsidR="008022A5" w:rsidRPr="009A239D" w:rsidRDefault="00C7151E"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3</w:t>
      </w:r>
      <w:r w:rsidR="008022A5" w:rsidRPr="009A239D">
        <w:rPr>
          <w:rFonts w:ascii="Times New Roman" w:hAnsi="Times New Roman" w:cs="Times New Roman"/>
          <w:sz w:val="20"/>
          <w:szCs w:val="20"/>
        </w:rPr>
        <w:t>.</w:t>
      </w:r>
      <w:r w:rsidR="00187DF7" w:rsidRPr="009A239D">
        <w:rPr>
          <w:rFonts w:ascii="Times New Roman" w:hAnsi="Times New Roman" w:cs="Times New Roman"/>
          <w:sz w:val="20"/>
          <w:szCs w:val="20"/>
        </w:rPr>
        <w:t xml:space="preserve"> </w:t>
      </w:r>
      <w:r w:rsidR="009B0657" w:rsidRPr="009A239D">
        <w:rPr>
          <w:rFonts w:ascii="Times New Roman" w:hAnsi="Times New Roman" w:cs="Times New Roman"/>
          <w:sz w:val="20"/>
          <w:szCs w:val="20"/>
        </w:rPr>
        <w:t xml:space="preserve">Investigate the coping strategies </w:t>
      </w:r>
      <w:r w:rsidR="003659E2" w:rsidRPr="009A239D">
        <w:rPr>
          <w:rFonts w:ascii="Times New Roman" w:hAnsi="Times New Roman" w:cs="Times New Roman"/>
          <w:sz w:val="20"/>
          <w:szCs w:val="20"/>
        </w:rPr>
        <w:t>and intercultural development of Filipino students studying abroad</w:t>
      </w:r>
      <w:r w:rsidR="007273CC" w:rsidRPr="009A239D">
        <w:rPr>
          <w:rFonts w:ascii="Times New Roman" w:hAnsi="Times New Roman" w:cs="Times New Roman"/>
          <w:sz w:val="20"/>
          <w:szCs w:val="20"/>
        </w:rPr>
        <w:t xml:space="preserve">. </w:t>
      </w:r>
    </w:p>
    <w:p w14:paraId="105B207D" w14:textId="56100C36" w:rsidR="006D3E29" w:rsidRPr="009A239D" w:rsidRDefault="00C7151E"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4</w:t>
      </w:r>
      <w:r w:rsidR="006D3E29" w:rsidRPr="009A239D">
        <w:rPr>
          <w:rFonts w:ascii="Times New Roman" w:hAnsi="Times New Roman" w:cs="Times New Roman"/>
          <w:sz w:val="20"/>
          <w:szCs w:val="20"/>
        </w:rPr>
        <w:t xml:space="preserve">. </w:t>
      </w:r>
      <w:r w:rsidR="003D0286" w:rsidRPr="009A239D">
        <w:rPr>
          <w:rFonts w:ascii="Times New Roman" w:hAnsi="Times New Roman" w:cs="Times New Roman"/>
          <w:sz w:val="20"/>
          <w:szCs w:val="20"/>
        </w:rPr>
        <w:t>Analyze the influence of undergraduate chemistry education in the Philippines on students’ preparedness for graduate studies abroad, including perceived gaps in skills and competencies.</w:t>
      </w:r>
    </w:p>
    <w:p w14:paraId="2C18C9D8" w14:textId="56D6CA83" w:rsidR="003D0286" w:rsidRPr="009A239D" w:rsidRDefault="003D0286" w:rsidP="006928F4">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5. </w:t>
      </w:r>
      <w:r w:rsidR="007335B0" w:rsidRPr="009A239D">
        <w:rPr>
          <w:rFonts w:ascii="Times New Roman" w:hAnsi="Times New Roman" w:cs="Times New Roman"/>
          <w:sz w:val="20"/>
          <w:szCs w:val="20"/>
        </w:rPr>
        <w:t>Synthesiz</w:t>
      </w:r>
      <w:r w:rsidR="00BD1567" w:rsidRPr="009A239D">
        <w:rPr>
          <w:rFonts w:ascii="Times New Roman" w:hAnsi="Times New Roman" w:cs="Times New Roman"/>
          <w:sz w:val="20"/>
          <w:szCs w:val="20"/>
        </w:rPr>
        <w:t>e the</w:t>
      </w:r>
      <w:r w:rsidR="00055A51" w:rsidRPr="009A239D">
        <w:rPr>
          <w:rFonts w:ascii="Times New Roman" w:hAnsi="Times New Roman" w:cs="Times New Roman"/>
          <w:sz w:val="20"/>
          <w:szCs w:val="20"/>
        </w:rPr>
        <w:t xml:space="preserve"> recommendations and </w:t>
      </w:r>
      <w:r w:rsidR="00D52E7C" w:rsidRPr="009A239D">
        <w:rPr>
          <w:rFonts w:ascii="Times New Roman" w:hAnsi="Times New Roman" w:cs="Times New Roman"/>
          <w:sz w:val="20"/>
          <w:szCs w:val="20"/>
        </w:rPr>
        <w:t>advice</w:t>
      </w:r>
      <w:r w:rsidR="00055A51" w:rsidRPr="009A239D">
        <w:rPr>
          <w:rFonts w:ascii="Times New Roman" w:hAnsi="Times New Roman" w:cs="Times New Roman"/>
          <w:sz w:val="20"/>
          <w:szCs w:val="20"/>
        </w:rPr>
        <w:t xml:space="preserve"> </w:t>
      </w:r>
      <w:r w:rsidR="00BD1567" w:rsidRPr="009A239D">
        <w:rPr>
          <w:rFonts w:ascii="Times New Roman" w:hAnsi="Times New Roman" w:cs="Times New Roman"/>
          <w:sz w:val="20"/>
          <w:szCs w:val="20"/>
        </w:rPr>
        <w:t>of</w:t>
      </w:r>
      <w:r w:rsidR="00055A51" w:rsidRPr="009A239D">
        <w:rPr>
          <w:rFonts w:ascii="Times New Roman" w:hAnsi="Times New Roman" w:cs="Times New Roman"/>
          <w:sz w:val="20"/>
          <w:szCs w:val="20"/>
        </w:rPr>
        <w:t xml:space="preserve"> Filipino students</w:t>
      </w:r>
      <w:r w:rsidR="009465F3" w:rsidRPr="009A239D">
        <w:rPr>
          <w:rFonts w:ascii="Times New Roman" w:hAnsi="Times New Roman" w:cs="Times New Roman"/>
          <w:sz w:val="20"/>
          <w:szCs w:val="20"/>
        </w:rPr>
        <w:t>, to guide Filipino students who aspire to pursue advanced degrees in foreign countries.</w:t>
      </w:r>
    </w:p>
    <w:p w14:paraId="3BA8B835" w14:textId="77777777" w:rsidR="00411776" w:rsidRPr="009A239D" w:rsidRDefault="00411776" w:rsidP="00411776">
      <w:pPr>
        <w:spacing w:line="240" w:lineRule="auto"/>
        <w:jc w:val="both"/>
        <w:rPr>
          <w:rFonts w:ascii="Times New Roman" w:hAnsi="Times New Roman" w:cs="Times New Roman"/>
          <w:sz w:val="20"/>
          <w:szCs w:val="20"/>
        </w:rPr>
      </w:pPr>
    </w:p>
    <w:p w14:paraId="22458398" w14:textId="594ACC1B" w:rsidR="00802645" w:rsidRPr="009A239D" w:rsidRDefault="00802645" w:rsidP="00411776">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color w:val="000000" w:themeColor="text1"/>
          <w:sz w:val="20"/>
          <w:szCs w:val="20"/>
        </w:rPr>
        <w:t xml:space="preserve">1.2 </w:t>
      </w:r>
      <w:r w:rsidR="00BD113F" w:rsidRPr="009A239D">
        <w:rPr>
          <w:rFonts w:ascii="Times New Roman" w:hAnsi="Times New Roman" w:cs="Times New Roman"/>
          <w:b/>
          <w:bCs/>
          <w:i/>
          <w:iCs/>
          <w:color w:val="000000" w:themeColor="text1"/>
          <w:sz w:val="20"/>
          <w:szCs w:val="20"/>
        </w:rPr>
        <w:t>Research Questions</w:t>
      </w:r>
    </w:p>
    <w:p w14:paraId="1DE1921A" w14:textId="77777777" w:rsidR="00411776" w:rsidRPr="009A239D" w:rsidRDefault="00411776" w:rsidP="00411776">
      <w:pPr>
        <w:pStyle w:val="NoSpacing"/>
        <w:jc w:val="center"/>
        <w:rPr>
          <w:rFonts w:ascii="Times New Roman" w:hAnsi="Times New Roman" w:cs="Times New Roman"/>
          <w:b/>
          <w:bCs/>
          <w:color w:val="000000" w:themeColor="text1"/>
          <w:sz w:val="20"/>
          <w:szCs w:val="20"/>
        </w:rPr>
      </w:pPr>
    </w:p>
    <w:p w14:paraId="51BF4161" w14:textId="0270FBBB" w:rsidR="00E5042B" w:rsidRPr="009A239D" w:rsidRDefault="00802645" w:rsidP="00411776">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This study explore</w:t>
      </w:r>
      <w:r w:rsidR="00B659F0" w:rsidRPr="009A239D">
        <w:rPr>
          <w:rFonts w:ascii="Times New Roman" w:hAnsi="Times New Roman" w:cs="Times New Roman"/>
          <w:sz w:val="20"/>
          <w:szCs w:val="20"/>
        </w:rPr>
        <w:t xml:space="preserve">d the lived experiences of </w:t>
      </w:r>
      <w:r w:rsidR="00D70CE1" w:rsidRPr="009A239D">
        <w:rPr>
          <w:rFonts w:ascii="Times New Roman" w:hAnsi="Times New Roman" w:cs="Times New Roman"/>
          <w:sz w:val="20"/>
          <w:szCs w:val="20"/>
        </w:rPr>
        <w:t>Filipino students who pursuing advance degrees in the foreign countries</w:t>
      </w:r>
      <w:r w:rsidR="00E5042B" w:rsidRPr="009A239D">
        <w:rPr>
          <w:rFonts w:ascii="Times New Roman" w:hAnsi="Times New Roman" w:cs="Times New Roman"/>
          <w:sz w:val="20"/>
          <w:szCs w:val="20"/>
        </w:rPr>
        <w:t>,</w:t>
      </w:r>
      <w:r w:rsidRPr="009A239D">
        <w:rPr>
          <w:rFonts w:ascii="Times New Roman" w:hAnsi="Times New Roman" w:cs="Times New Roman"/>
          <w:sz w:val="20"/>
          <w:szCs w:val="20"/>
        </w:rPr>
        <w:t xml:space="preserve"> </w:t>
      </w:r>
      <w:r w:rsidR="00E5042B" w:rsidRPr="009A239D">
        <w:rPr>
          <w:rFonts w:ascii="Times New Roman" w:hAnsi="Times New Roman" w:cs="Times New Roman"/>
          <w:sz w:val="20"/>
          <w:szCs w:val="20"/>
        </w:rPr>
        <w:t xml:space="preserve">focusing on their challenges, motivations, coping strategies, and developmental outcomes. Specifically, it sought to answer the following questions:  </w:t>
      </w:r>
    </w:p>
    <w:p w14:paraId="102F7E5F" w14:textId="77777777" w:rsidR="00802645" w:rsidRPr="009A239D" w:rsidRDefault="00802645" w:rsidP="00802645">
      <w:pPr>
        <w:spacing w:line="240" w:lineRule="auto"/>
        <w:jc w:val="both"/>
        <w:rPr>
          <w:rFonts w:ascii="Times New Roman" w:hAnsi="Times New Roman" w:cs="Times New Roman"/>
          <w:sz w:val="20"/>
          <w:szCs w:val="20"/>
        </w:rPr>
      </w:pPr>
    </w:p>
    <w:p w14:paraId="49C4EC64" w14:textId="5B7E1F53" w:rsidR="00802645" w:rsidRPr="009A239D" w:rsidRDefault="00D677DD" w:rsidP="009D1329">
      <w:pPr>
        <w:pStyle w:val="ListParagraph"/>
        <w:numPr>
          <w:ilvl w:val="0"/>
          <w:numId w:val="9"/>
        </w:numPr>
        <w:spacing w:after="160" w:line="240" w:lineRule="auto"/>
        <w:ind w:left="180" w:hanging="180"/>
        <w:jc w:val="both"/>
        <w:rPr>
          <w:rFonts w:ascii="Times New Roman" w:hAnsi="Times New Roman" w:cs="Times New Roman"/>
          <w:sz w:val="20"/>
          <w:szCs w:val="20"/>
        </w:rPr>
      </w:pPr>
      <w:r w:rsidRPr="009A239D">
        <w:rPr>
          <w:rFonts w:ascii="Times New Roman" w:hAnsi="Times New Roman" w:cs="Times New Roman"/>
          <w:sz w:val="20"/>
          <w:szCs w:val="20"/>
        </w:rPr>
        <w:t xml:space="preserve">What </w:t>
      </w:r>
      <w:r w:rsidR="000F29F9" w:rsidRPr="009A239D">
        <w:rPr>
          <w:rFonts w:ascii="Times New Roman" w:hAnsi="Times New Roman" w:cs="Times New Roman"/>
          <w:sz w:val="20"/>
          <w:szCs w:val="20"/>
        </w:rPr>
        <w:t xml:space="preserve">motivations and </w:t>
      </w:r>
      <w:r w:rsidR="002D4600" w:rsidRPr="009A239D">
        <w:rPr>
          <w:rFonts w:ascii="Times New Roman" w:hAnsi="Times New Roman" w:cs="Times New Roman"/>
          <w:sz w:val="20"/>
          <w:szCs w:val="20"/>
        </w:rPr>
        <w:t>factors influence</w:t>
      </w:r>
      <w:r w:rsidR="000F29F9" w:rsidRPr="009A239D">
        <w:rPr>
          <w:rFonts w:ascii="Times New Roman" w:hAnsi="Times New Roman" w:cs="Times New Roman"/>
          <w:sz w:val="20"/>
          <w:szCs w:val="20"/>
        </w:rPr>
        <w:t>d</w:t>
      </w:r>
      <w:r w:rsidR="002D4600" w:rsidRPr="009A239D">
        <w:rPr>
          <w:rFonts w:ascii="Times New Roman" w:hAnsi="Times New Roman" w:cs="Times New Roman"/>
          <w:sz w:val="20"/>
          <w:szCs w:val="20"/>
        </w:rPr>
        <w:t xml:space="preserve"> </w:t>
      </w:r>
      <w:r w:rsidR="00C10E1D" w:rsidRPr="009A239D">
        <w:rPr>
          <w:rFonts w:ascii="Times New Roman" w:hAnsi="Times New Roman" w:cs="Times New Roman"/>
          <w:sz w:val="20"/>
          <w:szCs w:val="20"/>
        </w:rPr>
        <w:t>professional</w:t>
      </w:r>
      <w:r w:rsidR="009F4161" w:rsidRPr="009A239D">
        <w:rPr>
          <w:rFonts w:ascii="Times New Roman" w:hAnsi="Times New Roman" w:cs="Times New Roman"/>
          <w:sz w:val="20"/>
          <w:szCs w:val="20"/>
        </w:rPr>
        <w:t>s’</w:t>
      </w:r>
      <w:r w:rsidR="00C10E1D" w:rsidRPr="009A239D">
        <w:rPr>
          <w:rFonts w:ascii="Times New Roman" w:hAnsi="Times New Roman" w:cs="Times New Roman"/>
          <w:sz w:val="20"/>
          <w:szCs w:val="20"/>
        </w:rPr>
        <w:t xml:space="preserve"> choice</w:t>
      </w:r>
      <w:r w:rsidR="006373EC" w:rsidRPr="009A239D">
        <w:rPr>
          <w:rFonts w:ascii="Times New Roman" w:hAnsi="Times New Roman" w:cs="Times New Roman"/>
          <w:sz w:val="20"/>
          <w:szCs w:val="20"/>
        </w:rPr>
        <w:t xml:space="preserve"> of Filipino students</w:t>
      </w:r>
      <w:r w:rsidR="00C10E1D" w:rsidRPr="009A239D">
        <w:rPr>
          <w:rFonts w:ascii="Times New Roman" w:hAnsi="Times New Roman" w:cs="Times New Roman"/>
          <w:sz w:val="20"/>
          <w:szCs w:val="20"/>
        </w:rPr>
        <w:t xml:space="preserve"> to pursue an advanced degree in </w:t>
      </w:r>
      <w:r w:rsidR="008760C2" w:rsidRPr="009A239D">
        <w:rPr>
          <w:rFonts w:ascii="Times New Roman" w:hAnsi="Times New Roman" w:cs="Times New Roman"/>
          <w:sz w:val="20"/>
          <w:szCs w:val="20"/>
        </w:rPr>
        <w:t>foreign countr</w:t>
      </w:r>
      <w:r w:rsidR="00EF4AC8" w:rsidRPr="009A239D">
        <w:rPr>
          <w:rFonts w:ascii="Times New Roman" w:hAnsi="Times New Roman" w:cs="Times New Roman"/>
          <w:sz w:val="20"/>
          <w:szCs w:val="20"/>
        </w:rPr>
        <w:t>ies</w:t>
      </w:r>
      <w:r w:rsidR="008760C2" w:rsidRPr="009A239D">
        <w:rPr>
          <w:rFonts w:ascii="Times New Roman" w:hAnsi="Times New Roman" w:cs="Times New Roman"/>
          <w:sz w:val="20"/>
          <w:szCs w:val="20"/>
        </w:rPr>
        <w:t>?</w:t>
      </w:r>
    </w:p>
    <w:p w14:paraId="7A00B3F1" w14:textId="14C6AE55" w:rsidR="00802645" w:rsidRPr="009A239D" w:rsidRDefault="00802645"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2. </w:t>
      </w:r>
      <w:r w:rsidR="006373EC" w:rsidRPr="009A239D">
        <w:rPr>
          <w:rFonts w:ascii="Times New Roman" w:hAnsi="Times New Roman" w:cs="Times New Roman"/>
          <w:sz w:val="20"/>
          <w:szCs w:val="20"/>
        </w:rPr>
        <w:t xml:space="preserve">What </w:t>
      </w:r>
      <w:r w:rsidR="0085507A" w:rsidRPr="009A239D">
        <w:rPr>
          <w:rFonts w:ascii="Times New Roman" w:hAnsi="Times New Roman" w:cs="Times New Roman"/>
          <w:sz w:val="20"/>
          <w:szCs w:val="20"/>
        </w:rPr>
        <w:t xml:space="preserve">difficulties </w:t>
      </w:r>
      <w:r w:rsidR="006373EC" w:rsidRPr="009A239D">
        <w:rPr>
          <w:rFonts w:ascii="Times New Roman" w:hAnsi="Times New Roman" w:cs="Times New Roman"/>
          <w:sz w:val="20"/>
          <w:szCs w:val="20"/>
        </w:rPr>
        <w:t xml:space="preserve">did </w:t>
      </w:r>
      <w:r w:rsidR="0085507A" w:rsidRPr="009A239D">
        <w:rPr>
          <w:rFonts w:ascii="Times New Roman" w:hAnsi="Times New Roman" w:cs="Times New Roman"/>
          <w:sz w:val="20"/>
          <w:szCs w:val="20"/>
        </w:rPr>
        <w:t>they encounter</w:t>
      </w:r>
      <w:r w:rsidR="004645F5" w:rsidRPr="009A239D">
        <w:rPr>
          <w:rFonts w:ascii="Times New Roman" w:hAnsi="Times New Roman" w:cs="Times New Roman"/>
          <w:sz w:val="20"/>
          <w:szCs w:val="20"/>
        </w:rPr>
        <w:t xml:space="preserve"> in adapting </w:t>
      </w:r>
      <w:r w:rsidR="00B82F85" w:rsidRPr="009A239D">
        <w:rPr>
          <w:rFonts w:ascii="Times New Roman" w:hAnsi="Times New Roman" w:cs="Times New Roman"/>
          <w:sz w:val="20"/>
          <w:szCs w:val="20"/>
        </w:rPr>
        <w:t xml:space="preserve">to the </w:t>
      </w:r>
      <w:r w:rsidR="00AF240A" w:rsidRPr="009A239D">
        <w:rPr>
          <w:rFonts w:ascii="Times New Roman" w:hAnsi="Times New Roman" w:cs="Times New Roman"/>
          <w:sz w:val="20"/>
          <w:szCs w:val="20"/>
        </w:rPr>
        <w:t>cultural and academ</w:t>
      </w:r>
      <w:r w:rsidR="00323020" w:rsidRPr="009A239D">
        <w:rPr>
          <w:rFonts w:ascii="Times New Roman" w:hAnsi="Times New Roman" w:cs="Times New Roman"/>
          <w:sz w:val="20"/>
          <w:szCs w:val="20"/>
        </w:rPr>
        <w:t xml:space="preserve">e </w:t>
      </w:r>
      <w:r w:rsidR="00EF4AC8" w:rsidRPr="009A239D">
        <w:rPr>
          <w:rFonts w:ascii="Times New Roman" w:hAnsi="Times New Roman" w:cs="Times New Roman"/>
          <w:sz w:val="20"/>
          <w:szCs w:val="20"/>
        </w:rPr>
        <w:t>while stud</w:t>
      </w:r>
      <w:r w:rsidR="00E929A2" w:rsidRPr="009A239D">
        <w:rPr>
          <w:rFonts w:ascii="Times New Roman" w:hAnsi="Times New Roman" w:cs="Times New Roman"/>
          <w:sz w:val="20"/>
          <w:szCs w:val="20"/>
        </w:rPr>
        <w:t>ying abroad?</w:t>
      </w:r>
    </w:p>
    <w:p w14:paraId="08042236" w14:textId="4368DAED" w:rsidR="00802645" w:rsidRPr="009A239D" w:rsidRDefault="00C7151E"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3</w:t>
      </w:r>
      <w:r w:rsidR="00802645" w:rsidRPr="009A239D">
        <w:rPr>
          <w:rFonts w:ascii="Times New Roman" w:hAnsi="Times New Roman" w:cs="Times New Roman"/>
          <w:sz w:val="20"/>
          <w:szCs w:val="20"/>
        </w:rPr>
        <w:t xml:space="preserve">. </w:t>
      </w:r>
      <w:r w:rsidR="00E929A2" w:rsidRPr="009A239D">
        <w:rPr>
          <w:rFonts w:ascii="Times New Roman" w:hAnsi="Times New Roman" w:cs="Times New Roman"/>
          <w:sz w:val="20"/>
          <w:szCs w:val="20"/>
        </w:rPr>
        <w:t xml:space="preserve">What coping strategies did they </w:t>
      </w:r>
      <w:r w:rsidR="00DE45D5" w:rsidRPr="009A239D">
        <w:rPr>
          <w:rFonts w:ascii="Times New Roman" w:hAnsi="Times New Roman" w:cs="Times New Roman"/>
          <w:sz w:val="20"/>
          <w:szCs w:val="20"/>
        </w:rPr>
        <w:t>employ and how did these experiences contribute to their intercul</w:t>
      </w:r>
      <w:r w:rsidR="00297C61" w:rsidRPr="009A239D">
        <w:rPr>
          <w:rFonts w:ascii="Times New Roman" w:hAnsi="Times New Roman" w:cs="Times New Roman"/>
          <w:sz w:val="20"/>
          <w:szCs w:val="20"/>
        </w:rPr>
        <w:t>tural development?</w:t>
      </w:r>
    </w:p>
    <w:p w14:paraId="277F28B9" w14:textId="53454526" w:rsidR="00297C61" w:rsidRPr="009A239D" w:rsidRDefault="00297C61"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4. How did </w:t>
      </w:r>
      <w:r w:rsidR="00C21E0F" w:rsidRPr="009A239D">
        <w:rPr>
          <w:rFonts w:ascii="Times New Roman" w:hAnsi="Times New Roman" w:cs="Times New Roman"/>
          <w:sz w:val="20"/>
          <w:szCs w:val="20"/>
        </w:rPr>
        <w:t>undergraduate chemistry education in the Philippines influence students’ preparedness for graduate studies abroad</w:t>
      </w:r>
      <w:r w:rsidR="00A8129F" w:rsidRPr="009A239D">
        <w:rPr>
          <w:rFonts w:ascii="Times New Roman" w:hAnsi="Times New Roman" w:cs="Times New Roman"/>
          <w:sz w:val="20"/>
          <w:szCs w:val="20"/>
        </w:rPr>
        <w:t>, including perceived gaps in skills and competencies?</w:t>
      </w:r>
    </w:p>
    <w:p w14:paraId="7CE619C7" w14:textId="2B0833B3" w:rsidR="00ED738E" w:rsidRPr="009A239D" w:rsidRDefault="00A8129F" w:rsidP="00802645">
      <w:pPr>
        <w:spacing w:before="240"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5. What recommendations and advice did they provide to guide </w:t>
      </w:r>
      <w:r w:rsidR="00ED738E" w:rsidRPr="009A239D">
        <w:rPr>
          <w:rFonts w:ascii="Times New Roman" w:hAnsi="Times New Roman" w:cs="Times New Roman"/>
          <w:sz w:val="20"/>
          <w:szCs w:val="20"/>
        </w:rPr>
        <w:t>those who aspire to pursue advanced degrees in foreign countries?</w:t>
      </w:r>
    </w:p>
    <w:p w14:paraId="138E08E4" w14:textId="77777777" w:rsidR="0094782C" w:rsidRPr="009A239D" w:rsidRDefault="0094782C" w:rsidP="0094782C">
      <w:pPr>
        <w:spacing w:line="240" w:lineRule="auto"/>
        <w:jc w:val="both"/>
        <w:rPr>
          <w:rFonts w:ascii="Times New Roman" w:hAnsi="Times New Roman" w:cs="Times New Roman"/>
          <w:sz w:val="20"/>
          <w:szCs w:val="20"/>
        </w:rPr>
      </w:pPr>
    </w:p>
    <w:p w14:paraId="66D8D141" w14:textId="70F103D1" w:rsidR="00310BEE" w:rsidRPr="009A239D" w:rsidRDefault="00E1319B" w:rsidP="00F25842">
      <w:pPr>
        <w:spacing w:line="240" w:lineRule="auto"/>
        <w:jc w:val="center"/>
        <w:rPr>
          <w:rFonts w:ascii="Times New Roman" w:hAnsi="Times New Roman" w:cs="Times New Roman"/>
          <w:b/>
          <w:bCs/>
          <w:sz w:val="20"/>
          <w:szCs w:val="20"/>
        </w:rPr>
      </w:pPr>
      <w:r w:rsidRPr="009A239D">
        <w:rPr>
          <w:rFonts w:ascii="Times New Roman" w:hAnsi="Times New Roman" w:cs="Times New Roman"/>
          <w:b/>
          <w:bCs/>
          <w:sz w:val="20"/>
          <w:szCs w:val="20"/>
        </w:rPr>
        <w:t xml:space="preserve">2. </w:t>
      </w:r>
      <w:r w:rsidR="00310BEE" w:rsidRPr="009A239D">
        <w:rPr>
          <w:rFonts w:ascii="Times New Roman" w:hAnsi="Times New Roman" w:cs="Times New Roman"/>
          <w:b/>
          <w:bCs/>
          <w:color w:val="000000" w:themeColor="text1"/>
          <w:sz w:val="20"/>
          <w:szCs w:val="20"/>
        </w:rPr>
        <w:t>METHODOLOGY</w:t>
      </w:r>
    </w:p>
    <w:p w14:paraId="26E08A86" w14:textId="77777777" w:rsidR="00310BEE" w:rsidRPr="009A239D" w:rsidRDefault="00E1319B" w:rsidP="00F25842">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lastRenderedPageBreak/>
        <w:t xml:space="preserve">2.1 </w:t>
      </w:r>
      <w:r w:rsidR="00310BEE" w:rsidRPr="009A239D">
        <w:rPr>
          <w:rFonts w:ascii="Times New Roman" w:hAnsi="Times New Roman" w:cs="Times New Roman"/>
          <w:b/>
          <w:bCs/>
          <w:i/>
          <w:iCs/>
          <w:color w:val="000000" w:themeColor="text1"/>
          <w:sz w:val="20"/>
          <w:szCs w:val="20"/>
        </w:rPr>
        <w:t>Research Design</w:t>
      </w:r>
    </w:p>
    <w:p w14:paraId="0F2EFD57" w14:textId="77777777" w:rsidR="00C16CED" w:rsidRPr="009A239D" w:rsidRDefault="00C16CED" w:rsidP="00403D3B">
      <w:pPr>
        <w:pStyle w:val="NoSpacing"/>
        <w:jc w:val="both"/>
        <w:rPr>
          <w:rFonts w:ascii="Times New Roman" w:hAnsi="Times New Roman" w:cs="Times New Roman"/>
          <w:color w:val="000000" w:themeColor="text1"/>
          <w:sz w:val="20"/>
          <w:szCs w:val="20"/>
        </w:rPr>
      </w:pPr>
    </w:p>
    <w:p w14:paraId="18B9B119" w14:textId="43BD7CED" w:rsidR="00C16CED" w:rsidRPr="009A239D" w:rsidRDefault="00D907F0" w:rsidP="006928F4">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study adopted a qualitative </w:t>
      </w:r>
      <w:r w:rsidR="00136A34" w:rsidRPr="009A239D">
        <w:rPr>
          <w:rFonts w:ascii="Times New Roman" w:hAnsi="Times New Roman" w:cs="Times New Roman"/>
          <w:sz w:val="20"/>
          <w:szCs w:val="20"/>
        </w:rPr>
        <w:t xml:space="preserve">phenomenological approach to explore the lived experiences </w:t>
      </w:r>
      <w:r w:rsidR="00EF4E2C" w:rsidRPr="009A239D">
        <w:rPr>
          <w:rFonts w:ascii="Times New Roman" w:hAnsi="Times New Roman" w:cs="Times New Roman"/>
          <w:sz w:val="20"/>
          <w:szCs w:val="20"/>
        </w:rPr>
        <w:t>of Filipino students pursuing advance degrees in foreign countries. Phenome</w:t>
      </w:r>
      <w:r w:rsidR="00C476C7" w:rsidRPr="009A239D">
        <w:rPr>
          <w:rFonts w:ascii="Times New Roman" w:hAnsi="Times New Roman" w:cs="Times New Roman"/>
          <w:sz w:val="20"/>
          <w:szCs w:val="20"/>
        </w:rPr>
        <w:t>nology was chosen as it allows to capture and interpret participants’ subjective perspective within their personal, academic, and professional contexts. The study focused on key aspects</w:t>
      </w:r>
      <w:r w:rsidR="00181B61" w:rsidRPr="009A239D">
        <w:rPr>
          <w:rFonts w:ascii="Times New Roman" w:hAnsi="Times New Roman" w:cs="Times New Roman"/>
          <w:sz w:val="20"/>
          <w:szCs w:val="20"/>
        </w:rPr>
        <w:t xml:space="preserve"> such as challenges, motivations, coping strategies and personal and intercultural development, aiming to identify common themes that characterized their experiences abroad. Through these narratives</w:t>
      </w:r>
      <w:r w:rsidR="00034E2F" w:rsidRPr="009A239D">
        <w:rPr>
          <w:rFonts w:ascii="Times New Roman" w:hAnsi="Times New Roman" w:cs="Times New Roman"/>
          <w:sz w:val="20"/>
          <w:szCs w:val="20"/>
        </w:rPr>
        <w:t>, the research generated meani</w:t>
      </w:r>
      <w:r w:rsidR="001E671C" w:rsidRPr="009A239D">
        <w:rPr>
          <w:rFonts w:ascii="Times New Roman" w:hAnsi="Times New Roman" w:cs="Times New Roman"/>
          <w:sz w:val="20"/>
          <w:szCs w:val="20"/>
        </w:rPr>
        <w:t>ng</w:t>
      </w:r>
      <w:r w:rsidR="00034E2F" w:rsidRPr="009A239D">
        <w:rPr>
          <w:rFonts w:ascii="Times New Roman" w:hAnsi="Times New Roman" w:cs="Times New Roman"/>
          <w:sz w:val="20"/>
          <w:szCs w:val="20"/>
        </w:rPr>
        <w:t xml:space="preserve">ful </w:t>
      </w:r>
      <w:r w:rsidR="001E671C" w:rsidRPr="009A239D">
        <w:rPr>
          <w:rFonts w:ascii="Times New Roman" w:hAnsi="Times New Roman" w:cs="Times New Roman"/>
          <w:sz w:val="20"/>
          <w:szCs w:val="20"/>
        </w:rPr>
        <w:t>insights</w:t>
      </w:r>
      <w:r w:rsidR="00034E2F" w:rsidRPr="009A239D">
        <w:rPr>
          <w:rFonts w:ascii="Times New Roman" w:hAnsi="Times New Roman" w:cs="Times New Roman"/>
          <w:sz w:val="20"/>
          <w:szCs w:val="20"/>
        </w:rPr>
        <w:t xml:space="preserve"> and practical </w:t>
      </w:r>
      <w:r w:rsidR="00551E6C" w:rsidRPr="009A239D">
        <w:rPr>
          <w:rFonts w:ascii="Times New Roman" w:hAnsi="Times New Roman" w:cs="Times New Roman"/>
          <w:sz w:val="20"/>
          <w:szCs w:val="20"/>
        </w:rPr>
        <w:t xml:space="preserve">recommendation </w:t>
      </w:r>
      <w:r w:rsidR="001E671C" w:rsidRPr="009A239D">
        <w:rPr>
          <w:rFonts w:ascii="Times New Roman" w:hAnsi="Times New Roman" w:cs="Times New Roman"/>
          <w:sz w:val="20"/>
          <w:szCs w:val="20"/>
        </w:rPr>
        <w:t>to guide</w:t>
      </w:r>
      <w:r w:rsidR="00551E6C" w:rsidRPr="009A239D">
        <w:rPr>
          <w:rFonts w:ascii="Times New Roman" w:hAnsi="Times New Roman" w:cs="Times New Roman"/>
          <w:sz w:val="20"/>
          <w:szCs w:val="20"/>
        </w:rPr>
        <w:t xml:space="preserve"> future Filipino students who aspire to pursue advanced degrees in foreign countries.</w:t>
      </w:r>
    </w:p>
    <w:p w14:paraId="26CBD24B" w14:textId="77777777" w:rsidR="00C84641" w:rsidRPr="009A239D" w:rsidRDefault="00E1319B" w:rsidP="004C439B">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2.2 </w:t>
      </w:r>
      <w:r w:rsidR="00310BEE" w:rsidRPr="009A239D">
        <w:rPr>
          <w:rFonts w:ascii="Times New Roman" w:hAnsi="Times New Roman" w:cs="Times New Roman"/>
          <w:b/>
          <w:bCs/>
          <w:i/>
          <w:iCs/>
          <w:color w:val="000000" w:themeColor="text1"/>
          <w:sz w:val="20"/>
          <w:szCs w:val="20"/>
        </w:rPr>
        <w:t>Participants of the Study</w:t>
      </w:r>
    </w:p>
    <w:p w14:paraId="47710DE1" w14:textId="77777777" w:rsidR="004C439B" w:rsidRPr="009A239D" w:rsidRDefault="004C439B" w:rsidP="004C439B">
      <w:pPr>
        <w:pStyle w:val="NoSpacing"/>
        <w:jc w:val="center"/>
        <w:rPr>
          <w:rFonts w:ascii="Times New Roman" w:hAnsi="Times New Roman" w:cs="Times New Roman"/>
          <w:b/>
          <w:bCs/>
          <w:i/>
          <w:iCs/>
          <w:color w:val="000000" w:themeColor="text1"/>
          <w:sz w:val="20"/>
          <w:szCs w:val="20"/>
        </w:rPr>
      </w:pPr>
    </w:p>
    <w:p w14:paraId="781E63FA" w14:textId="14116F73" w:rsidR="006D3E29" w:rsidRPr="009A239D" w:rsidRDefault="008022A5" w:rsidP="00426485">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The</w:t>
      </w:r>
      <w:r w:rsidR="000F4C0D" w:rsidRPr="009A239D">
        <w:rPr>
          <w:rFonts w:ascii="Times New Roman" w:hAnsi="Times New Roman" w:cs="Times New Roman"/>
          <w:sz w:val="20"/>
          <w:szCs w:val="20"/>
        </w:rPr>
        <w:t xml:space="preserve"> study utilized purposive </w:t>
      </w:r>
      <w:r w:rsidR="00046AE1" w:rsidRPr="009A239D">
        <w:rPr>
          <w:rFonts w:ascii="Times New Roman" w:hAnsi="Times New Roman" w:cs="Times New Roman"/>
          <w:sz w:val="20"/>
          <w:szCs w:val="20"/>
        </w:rPr>
        <w:t xml:space="preserve">sampling to select Filipino </w:t>
      </w:r>
      <w:r w:rsidR="00E9294B" w:rsidRPr="009A239D">
        <w:rPr>
          <w:rFonts w:ascii="Times New Roman" w:hAnsi="Times New Roman" w:cs="Times New Roman"/>
          <w:sz w:val="20"/>
          <w:szCs w:val="20"/>
        </w:rPr>
        <w:t>chemistry s</w:t>
      </w:r>
      <w:r w:rsidR="00046AE1" w:rsidRPr="009A239D">
        <w:rPr>
          <w:rFonts w:ascii="Times New Roman" w:hAnsi="Times New Roman" w:cs="Times New Roman"/>
          <w:sz w:val="20"/>
          <w:szCs w:val="20"/>
        </w:rPr>
        <w:t>tudents</w:t>
      </w:r>
      <w:r w:rsidR="00EC5468" w:rsidRPr="009A239D">
        <w:rPr>
          <w:rFonts w:ascii="Times New Roman" w:hAnsi="Times New Roman" w:cs="Times New Roman"/>
          <w:sz w:val="20"/>
          <w:szCs w:val="20"/>
        </w:rPr>
        <w:t xml:space="preserve"> enrolled in graduate programs in foreign instituti</w:t>
      </w:r>
      <w:r w:rsidR="00453673" w:rsidRPr="009A239D">
        <w:rPr>
          <w:rFonts w:ascii="Times New Roman" w:hAnsi="Times New Roman" w:cs="Times New Roman"/>
          <w:sz w:val="20"/>
          <w:szCs w:val="20"/>
        </w:rPr>
        <w:t>o</w:t>
      </w:r>
      <w:r w:rsidR="00EC5468" w:rsidRPr="009A239D">
        <w:rPr>
          <w:rFonts w:ascii="Times New Roman" w:hAnsi="Times New Roman" w:cs="Times New Roman"/>
          <w:sz w:val="20"/>
          <w:szCs w:val="20"/>
        </w:rPr>
        <w:t xml:space="preserve">ns, </w:t>
      </w:r>
      <w:r w:rsidR="00453673" w:rsidRPr="009A239D">
        <w:rPr>
          <w:rFonts w:ascii="Times New Roman" w:hAnsi="Times New Roman" w:cs="Times New Roman"/>
          <w:sz w:val="20"/>
          <w:szCs w:val="20"/>
        </w:rPr>
        <w:t>ensuring</w:t>
      </w:r>
      <w:r w:rsidR="00EC5468" w:rsidRPr="009A239D">
        <w:rPr>
          <w:rFonts w:ascii="Times New Roman" w:hAnsi="Times New Roman" w:cs="Times New Roman"/>
          <w:sz w:val="20"/>
          <w:szCs w:val="20"/>
        </w:rPr>
        <w:t xml:space="preserve"> that part</w:t>
      </w:r>
      <w:r w:rsidR="00453673" w:rsidRPr="009A239D">
        <w:rPr>
          <w:rFonts w:ascii="Times New Roman" w:hAnsi="Times New Roman" w:cs="Times New Roman"/>
          <w:sz w:val="20"/>
          <w:szCs w:val="20"/>
        </w:rPr>
        <w:t xml:space="preserve">icipants possessed relevant and information-rich experiences. Respondents were chosen based on the three key criteria: they must currently </w:t>
      </w:r>
      <w:r w:rsidR="00E9294B" w:rsidRPr="009A239D">
        <w:rPr>
          <w:rFonts w:ascii="Times New Roman" w:hAnsi="Times New Roman" w:cs="Times New Roman"/>
          <w:sz w:val="20"/>
          <w:szCs w:val="20"/>
        </w:rPr>
        <w:t xml:space="preserve">be enrolled in a foreign chemistry </w:t>
      </w:r>
      <w:r w:rsidR="004F35C0" w:rsidRPr="009A239D">
        <w:rPr>
          <w:rFonts w:ascii="Times New Roman" w:hAnsi="Times New Roman" w:cs="Times New Roman"/>
          <w:sz w:val="20"/>
          <w:szCs w:val="20"/>
        </w:rPr>
        <w:t xml:space="preserve">graduate program, had completed their </w:t>
      </w:r>
      <w:r w:rsidR="002D1EEB" w:rsidRPr="009A239D">
        <w:rPr>
          <w:rFonts w:ascii="Times New Roman" w:hAnsi="Times New Roman" w:cs="Times New Roman"/>
          <w:sz w:val="20"/>
          <w:szCs w:val="20"/>
        </w:rPr>
        <w:t>undergraduate</w:t>
      </w:r>
      <w:r w:rsidR="004F35C0" w:rsidRPr="009A239D">
        <w:rPr>
          <w:rFonts w:ascii="Times New Roman" w:hAnsi="Times New Roman" w:cs="Times New Roman"/>
          <w:sz w:val="20"/>
          <w:szCs w:val="20"/>
        </w:rPr>
        <w:t xml:space="preserve"> training in the Philippines, were full-time MS or PhD candidates, and w</w:t>
      </w:r>
      <w:r w:rsidR="00527657" w:rsidRPr="009A239D">
        <w:rPr>
          <w:rFonts w:ascii="Times New Roman" w:hAnsi="Times New Roman" w:cs="Times New Roman"/>
          <w:sz w:val="20"/>
          <w:szCs w:val="20"/>
        </w:rPr>
        <w:t xml:space="preserve">ere willing to share </w:t>
      </w:r>
      <w:r w:rsidR="002D1EEB" w:rsidRPr="009A239D">
        <w:rPr>
          <w:rFonts w:ascii="Times New Roman" w:hAnsi="Times New Roman" w:cs="Times New Roman"/>
          <w:sz w:val="20"/>
          <w:szCs w:val="20"/>
        </w:rPr>
        <w:t>detailed</w:t>
      </w:r>
      <w:r w:rsidR="00527657" w:rsidRPr="009A239D">
        <w:rPr>
          <w:rFonts w:ascii="Times New Roman" w:hAnsi="Times New Roman" w:cs="Times New Roman"/>
          <w:sz w:val="20"/>
          <w:szCs w:val="20"/>
        </w:rPr>
        <w:t xml:space="preserve"> accounts of their experiences. To expand </w:t>
      </w:r>
      <w:r w:rsidR="002D1EEB" w:rsidRPr="009A239D">
        <w:rPr>
          <w:rFonts w:ascii="Times New Roman" w:hAnsi="Times New Roman" w:cs="Times New Roman"/>
          <w:sz w:val="20"/>
          <w:szCs w:val="20"/>
        </w:rPr>
        <w:t>participant recruitment</w:t>
      </w:r>
      <w:r w:rsidR="00527657" w:rsidRPr="009A239D">
        <w:rPr>
          <w:rFonts w:ascii="Times New Roman" w:hAnsi="Times New Roman" w:cs="Times New Roman"/>
          <w:sz w:val="20"/>
          <w:szCs w:val="20"/>
        </w:rPr>
        <w:t>, snowball sampling was also employed through professional</w:t>
      </w:r>
      <w:r w:rsidR="00002AD6" w:rsidRPr="009A239D">
        <w:rPr>
          <w:rFonts w:ascii="Times New Roman" w:hAnsi="Times New Roman" w:cs="Times New Roman"/>
          <w:sz w:val="20"/>
          <w:szCs w:val="20"/>
        </w:rPr>
        <w:t xml:space="preserve"> networks and academic associations</w:t>
      </w:r>
      <w:r w:rsidR="00EB4C6B" w:rsidRPr="009A239D">
        <w:rPr>
          <w:rFonts w:ascii="Times New Roman" w:hAnsi="Times New Roman" w:cs="Times New Roman"/>
          <w:sz w:val="20"/>
          <w:szCs w:val="20"/>
        </w:rPr>
        <w:t>,</w:t>
      </w:r>
      <w:r w:rsidR="00002AD6" w:rsidRPr="009A239D">
        <w:rPr>
          <w:rFonts w:ascii="Times New Roman" w:hAnsi="Times New Roman" w:cs="Times New Roman"/>
          <w:sz w:val="20"/>
          <w:szCs w:val="20"/>
        </w:rPr>
        <w:t xml:space="preserve"> with </w:t>
      </w:r>
      <w:r w:rsidR="00EB4C6B" w:rsidRPr="009A239D">
        <w:rPr>
          <w:rFonts w:ascii="Times New Roman" w:hAnsi="Times New Roman" w:cs="Times New Roman"/>
          <w:sz w:val="20"/>
          <w:szCs w:val="20"/>
        </w:rPr>
        <w:t>initial screening</w:t>
      </w:r>
      <w:r w:rsidR="00002AD6" w:rsidRPr="009A239D">
        <w:rPr>
          <w:rFonts w:ascii="Times New Roman" w:hAnsi="Times New Roman" w:cs="Times New Roman"/>
          <w:sz w:val="20"/>
          <w:szCs w:val="20"/>
        </w:rPr>
        <w:t xml:space="preserve"> conducted to verify </w:t>
      </w:r>
      <w:r w:rsidR="00F54FFE" w:rsidRPr="009A239D">
        <w:rPr>
          <w:rFonts w:ascii="Times New Roman" w:hAnsi="Times New Roman" w:cs="Times New Roman"/>
          <w:sz w:val="20"/>
          <w:szCs w:val="20"/>
        </w:rPr>
        <w:t xml:space="preserve">participants’ eligibility prior to their inclusion in the study.  </w:t>
      </w:r>
    </w:p>
    <w:p w14:paraId="1FAEEFD2" w14:textId="4ED9F06C" w:rsidR="002D4132" w:rsidRPr="009A239D" w:rsidRDefault="00E1319B" w:rsidP="00A126EC">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2.3 </w:t>
      </w:r>
      <w:r w:rsidR="00BB34E6" w:rsidRPr="009A239D">
        <w:rPr>
          <w:rFonts w:ascii="Times New Roman" w:hAnsi="Times New Roman" w:cs="Times New Roman"/>
          <w:b/>
          <w:bCs/>
          <w:i/>
          <w:iCs/>
          <w:color w:val="000000" w:themeColor="text1"/>
          <w:sz w:val="20"/>
          <w:szCs w:val="20"/>
        </w:rPr>
        <w:t>Locale of the Study</w:t>
      </w:r>
    </w:p>
    <w:p w14:paraId="6A941164" w14:textId="77777777" w:rsidR="00A126EC" w:rsidRPr="009A239D" w:rsidRDefault="00A126EC" w:rsidP="00A126EC">
      <w:pPr>
        <w:pStyle w:val="NoSpacing"/>
        <w:jc w:val="center"/>
        <w:rPr>
          <w:rFonts w:ascii="Times New Roman" w:hAnsi="Times New Roman" w:cs="Times New Roman"/>
          <w:b/>
          <w:bCs/>
          <w:i/>
          <w:iCs/>
          <w:color w:val="000000" w:themeColor="text1"/>
          <w:sz w:val="20"/>
          <w:szCs w:val="20"/>
        </w:rPr>
      </w:pPr>
    </w:p>
    <w:p w14:paraId="15A9D87E" w14:textId="29FB913C" w:rsidR="00E846EF" w:rsidRPr="009A239D" w:rsidRDefault="006D3E29" w:rsidP="0080595A">
      <w:pPr>
        <w:jc w:val="both"/>
        <w:rPr>
          <w:rFonts w:ascii="Times New Roman" w:hAnsi="Times New Roman" w:cs="Times New Roman"/>
          <w:sz w:val="20"/>
          <w:szCs w:val="20"/>
        </w:rPr>
      </w:pPr>
      <w:r w:rsidRPr="009A239D">
        <w:rPr>
          <w:rFonts w:ascii="Times New Roman" w:hAnsi="Times New Roman" w:cs="Times New Roman"/>
          <w:sz w:val="20"/>
          <w:szCs w:val="20"/>
        </w:rPr>
        <w:t>The study</w:t>
      </w:r>
      <w:r w:rsidR="00A126EC" w:rsidRPr="009A239D">
        <w:rPr>
          <w:rFonts w:ascii="Times New Roman" w:hAnsi="Times New Roman" w:cs="Times New Roman"/>
          <w:sz w:val="20"/>
          <w:szCs w:val="20"/>
        </w:rPr>
        <w:t xml:space="preserve"> focused on </w:t>
      </w:r>
      <w:r w:rsidR="00E846EF" w:rsidRPr="009A239D">
        <w:rPr>
          <w:rFonts w:ascii="Times New Roman" w:hAnsi="Times New Roman" w:cs="Times New Roman"/>
          <w:sz w:val="20"/>
          <w:szCs w:val="20"/>
        </w:rPr>
        <w:t>Filipino chemistry</w:t>
      </w:r>
      <w:r w:rsidR="00B93748" w:rsidRPr="009A239D">
        <w:rPr>
          <w:rFonts w:ascii="Times New Roman" w:hAnsi="Times New Roman" w:cs="Times New Roman"/>
          <w:sz w:val="20"/>
          <w:szCs w:val="20"/>
        </w:rPr>
        <w:t xml:space="preserve"> students</w:t>
      </w:r>
      <w:r w:rsidR="00E751B8" w:rsidRPr="009A239D">
        <w:rPr>
          <w:rFonts w:ascii="Times New Roman" w:hAnsi="Times New Roman" w:cs="Times New Roman"/>
          <w:sz w:val="20"/>
          <w:szCs w:val="20"/>
        </w:rPr>
        <w:t xml:space="preserve"> who were pursuing</w:t>
      </w:r>
      <w:r w:rsidR="0050030F" w:rsidRPr="009A239D">
        <w:rPr>
          <w:rFonts w:ascii="Times New Roman" w:hAnsi="Times New Roman" w:cs="Times New Roman"/>
          <w:sz w:val="20"/>
          <w:szCs w:val="20"/>
        </w:rPr>
        <w:t xml:space="preserve"> advanced degrees in various foreign countries, particularly in Southeast Asia and Europe. These regions provide diverse academic and cultural contexts, offering valuable insights into the international experiences of Filipino graduate students. </w:t>
      </w:r>
      <w:r w:rsidR="00E846EF" w:rsidRPr="009A239D">
        <w:rPr>
          <w:rFonts w:ascii="Times New Roman" w:hAnsi="Times New Roman" w:cs="Times New Roman"/>
          <w:sz w:val="20"/>
          <w:szCs w:val="20"/>
        </w:rPr>
        <w:t>While the scope was limited to selected regions, it allowed for an in-depth exploration of</w:t>
      </w:r>
      <w:r w:rsidR="00E846EF" w:rsidRPr="00E846EF">
        <w:rPr>
          <w:rFonts w:ascii="Cambria" w:hAnsi="Cambria"/>
          <w:sz w:val="20"/>
          <w:szCs w:val="20"/>
        </w:rPr>
        <w:t xml:space="preserve"> </w:t>
      </w:r>
      <w:r w:rsidR="00685488" w:rsidRPr="009A239D">
        <w:rPr>
          <w:rFonts w:ascii="Times New Roman" w:hAnsi="Times New Roman" w:cs="Times New Roman"/>
          <w:sz w:val="20"/>
          <w:szCs w:val="20"/>
        </w:rPr>
        <w:t>participants</w:t>
      </w:r>
      <w:r w:rsidR="00E846EF" w:rsidRPr="009A239D">
        <w:rPr>
          <w:rFonts w:ascii="Times New Roman" w:hAnsi="Times New Roman" w:cs="Times New Roman"/>
          <w:sz w:val="20"/>
          <w:szCs w:val="20"/>
        </w:rPr>
        <w:t xml:space="preserve"> lived experiences within comparable educational and sociocultural environments.</w:t>
      </w:r>
    </w:p>
    <w:p w14:paraId="38D1F476" w14:textId="2FE3284D" w:rsidR="006D3E29" w:rsidRPr="009A239D" w:rsidRDefault="006D3E29" w:rsidP="00A126EC">
      <w:pPr>
        <w:tabs>
          <w:tab w:val="left" w:pos="5347"/>
        </w:tabs>
        <w:spacing w:line="240" w:lineRule="auto"/>
        <w:jc w:val="both"/>
        <w:rPr>
          <w:rFonts w:ascii="Times New Roman" w:hAnsi="Times New Roman" w:cs="Times New Roman"/>
          <w:sz w:val="20"/>
          <w:szCs w:val="20"/>
          <w:highlight w:val="yellow"/>
        </w:rPr>
      </w:pPr>
    </w:p>
    <w:p w14:paraId="0CFF10E5" w14:textId="6484AA53" w:rsidR="006C4CFA" w:rsidRPr="009A239D" w:rsidRDefault="00E1319B" w:rsidP="00F8146B">
      <w:pPr>
        <w:pStyle w:val="NoSpacing"/>
        <w:jc w:val="center"/>
        <w:rPr>
          <w:rFonts w:ascii="Times New Roman" w:hAnsi="Times New Roman" w:cs="Times New Roman"/>
          <w:b/>
          <w:bCs/>
          <w:i/>
          <w:iCs/>
          <w:color w:val="000000" w:themeColor="text1"/>
          <w:sz w:val="20"/>
          <w:szCs w:val="20"/>
        </w:rPr>
      </w:pPr>
      <w:r w:rsidRPr="009A239D">
        <w:rPr>
          <w:rFonts w:ascii="Times New Roman" w:hAnsi="Times New Roman" w:cs="Times New Roman"/>
          <w:b/>
          <w:bCs/>
          <w:i/>
          <w:iCs/>
          <w:color w:val="000000" w:themeColor="text1"/>
          <w:sz w:val="20"/>
          <w:szCs w:val="20"/>
        </w:rPr>
        <w:t xml:space="preserve">2.4 </w:t>
      </w:r>
      <w:r w:rsidR="00A443BF" w:rsidRPr="009A239D">
        <w:rPr>
          <w:rFonts w:ascii="Times New Roman" w:hAnsi="Times New Roman" w:cs="Times New Roman"/>
          <w:b/>
          <w:bCs/>
          <w:i/>
          <w:iCs/>
          <w:color w:val="000000" w:themeColor="text1"/>
          <w:sz w:val="20"/>
          <w:szCs w:val="20"/>
        </w:rPr>
        <w:t xml:space="preserve">Data </w:t>
      </w:r>
      <w:r w:rsidR="00F8146B" w:rsidRPr="009A239D">
        <w:rPr>
          <w:rFonts w:ascii="Times New Roman" w:hAnsi="Times New Roman" w:cs="Times New Roman"/>
          <w:b/>
          <w:bCs/>
          <w:i/>
          <w:iCs/>
          <w:color w:val="000000" w:themeColor="text1"/>
          <w:sz w:val="20"/>
          <w:szCs w:val="20"/>
        </w:rPr>
        <w:t>Collection</w:t>
      </w:r>
    </w:p>
    <w:p w14:paraId="69E949AA" w14:textId="77777777" w:rsidR="00F8146B" w:rsidRPr="009A239D" w:rsidRDefault="00F8146B" w:rsidP="00F8146B">
      <w:pPr>
        <w:pStyle w:val="NoSpacing"/>
        <w:jc w:val="center"/>
        <w:rPr>
          <w:rFonts w:ascii="Times New Roman" w:hAnsi="Times New Roman" w:cs="Times New Roman"/>
          <w:b/>
          <w:bCs/>
          <w:i/>
          <w:iCs/>
          <w:color w:val="000000" w:themeColor="text1"/>
          <w:sz w:val="20"/>
          <w:szCs w:val="20"/>
        </w:rPr>
      </w:pPr>
    </w:p>
    <w:p w14:paraId="020B7E6E" w14:textId="660F8D5D" w:rsidR="00EB7109" w:rsidRPr="009A239D" w:rsidRDefault="00001E15" w:rsidP="00EB7109">
      <w:pPr>
        <w:jc w:val="both"/>
        <w:rPr>
          <w:rFonts w:ascii="Times New Roman" w:hAnsi="Times New Roman" w:cs="Times New Roman"/>
          <w:sz w:val="20"/>
          <w:szCs w:val="20"/>
        </w:rPr>
      </w:pPr>
      <w:r w:rsidRPr="009A239D">
        <w:rPr>
          <w:rFonts w:ascii="Times New Roman" w:hAnsi="Times New Roman" w:cs="Times New Roman"/>
          <w:sz w:val="20"/>
          <w:szCs w:val="20"/>
        </w:rPr>
        <w:t xml:space="preserve">This study primarily collected data through semi-structured virtual and written interviews </w:t>
      </w:r>
      <w:r w:rsidR="00EB7109" w:rsidRPr="009A239D">
        <w:rPr>
          <w:rFonts w:ascii="Times New Roman" w:hAnsi="Times New Roman" w:cs="Times New Roman"/>
          <w:sz w:val="20"/>
          <w:szCs w:val="20"/>
        </w:rPr>
        <w:t xml:space="preserve">conducted via </w:t>
      </w:r>
      <w:r w:rsidR="0021726D" w:rsidRPr="009A239D">
        <w:rPr>
          <w:rFonts w:ascii="Times New Roman" w:hAnsi="Times New Roman" w:cs="Times New Roman"/>
          <w:sz w:val="20"/>
          <w:szCs w:val="20"/>
        </w:rPr>
        <w:t>google meet</w:t>
      </w:r>
      <w:r w:rsidR="00EB7109" w:rsidRPr="009A239D">
        <w:rPr>
          <w:rFonts w:ascii="Times New Roman" w:hAnsi="Times New Roman" w:cs="Times New Roman"/>
          <w:sz w:val="20"/>
          <w:szCs w:val="20"/>
        </w:rPr>
        <w:t xml:space="preserve"> and Messenger, with supplementary follow-up interactions for clarifications as needed. This format ensured coverage of the key research questions while allowing emergent ideas and insights to surface naturally during conversations. The approach proved especially effective for international participants across time zones, enabling thoughtful, detailed responses without rigid scheduling constraints.</w:t>
      </w:r>
    </w:p>
    <w:p w14:paraId="0DA18F23" w14:textId="0DFDF331" w:rsidR="00A443BF" w:rsidRPr="00EB7109" w:rsidRDefault="00A443BF" w:rsidP="00F8146B">
      <w:pPr>
        <w:spacing w:line="240" w:lineRule="auto"/>
        <w:jc w:val="both"/>
        <w:rPr>
          <w:rFonts w:ascii="Cambria" w:hAnsi="Cambria"/>
          <w:sz w:val="20"/>
          <w:szCs w:val="20"/>
        </w:rPr>
      </w:pPr>
    </w:p>
    <w:p w14:paraId="3AA491B9" w14:textId="65F68D03" w:rsidR="00C207C8" w:rsidRPr="009A239D" w:rsidRDefault="00D02FB9" w:rsidP="008A4A28">
      <w:pPr>
        <w:pStyle w:val="NoSpacing"/>
        <w:jc w:val="center"/>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 xml:space="preserve">2.5 </w:t>
      </w:r>
      <w:r w:rsidR="00587B2B" w:rsidRPr="009A239D">
        <w:rPr>
          <w:rFonts w:ascii="Times New Roman" w:hAnsi="Times New Roman" w:cs="Times New Roman"/>
          <w:b/>
          <w:bCs/>
          <w:i/>
          <w:iCs/>
          <w:color w:val="000000" w:themeColor="text1"/>
          <w:sz w:val="20"/>
          <w:szCs w:val="20"/>
        </w:rPr>
        <w:t>Ethical</w:t>
      </w:r>
      <w:r w:rsidR="00587B2B" w:rsidRPr="009A239D">
        <w:rPr>
          <w:rFonts w:ascii="Times New Roman" w:hAnsi="Times New Roman" w:cs="Times New Roman"/>
          <w:b/>
          <w:bCs/>
          <w:color w:val="000000" w:themeColor="text1"/>
          <w:sz w:val="20"/>
          <w:szCs w:val="20"/>
        </w:rPr>
        <w:t xml:space="preserve"> </w:t>
      </w:r>
      <w:r w:rsidR="00587B2B" w:rsidRPr="009A239D">
        <w:rPr>
          <w:rFonts w:ascii="Times New Roman" w:hAnsi="Times New Roman" w:cs="Times New Roman"/>
          <w:b/>
          <w:bCs/>
          <w:i/>
          <w:iCs/>
          <w:color w:val="000000" w:themeColor="text1"/>
          <w:sz w:val="20"/>
          <w:szCs w:val="20"/>
        </w:rPr>
        <w:t>Considerations</w:t>
      </w:r>
    </w:p>
    <w:p w14:paraId="344D7B58" w14:textId="77777777" w:rsidR="00587B2B" w:rsidRPr="009A239D" w:rsidRDefault="00587B2B" w:rsidP="00587B2B">
      <w:pPr>
        <w:pStyle w:val="NoSpacing"/>
        <w:jc w:val="both"/>
        <w:rPr>
          <w:rFonts w:ascii="Times New Roman" w:hAnsi="Times New Roman" w:cs="Times New Roman"/>
          <w:b/>
          <w:bCs/>
          <w:color w:val="000000" w:themeColor="text1"/>
          <w:sz w:val="20"/>
          <w:szCs w:val="20"/>
        </w:rPr>
      </w:pPr>
    </w:p>
    <w:p w14:paraId="29D88875" w14:textId="72490E53" w:rsidR="00604F3D" w:rsidRPr="009A239D" w:rsidRDefault="00F61168" w:rsidP="00364D28">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lastRenderedPageBreak/>
        <w:t xml:space="preserve">This study </w:t>
      </w:r>
      <w:r w:rsidR="00A66436" w:rsidRPr="009A239D">
        <w:rPr>
          <w:rFonts w:ascii="Times New Roman" w:hAnsi="Times New Roman" w:cs="Times New Roman"/>
          <w:sz w:val="20"/>
          <w:szCs w:val="20"/>
        </w:rPr>
        <w:t xml:space="preserve">adhered to standard ethical protocols. Participants provided </w:t>
      </w:r>
      <w:r w:rsidR="008C32A7" w:rsidRPr="009A239D">
        <w:rPr>
          <w:rFonts w:ascii="Times New Roman" w:hAnsi="Times New Roman" w:cs="Times New Roman"/>
          <w:sz w:val="20"/>
          <w:szCs w:val="20"/>
        </w:rPr>
        <w:t>informed written consent through</w:t>
      </w:r>
      <w:r w:rsidR="0077018A" w:rsidRPr="009A239D">
        <w:rPr>
          <w:rFonts w:ascii="Times New Roman" w:hAnsi="Times New Roman" w:cs="Times New Roman"/>
          <w:sz w:val="20"/>
          <w:szCs w:val="20"/>
        </w:rPr>
        <w:t xml:space="preserve"> Google meet</w:t>
      </w:r>
      <w:proofErr w:type="gramStart"/>
      <w:r w:rsidR="0077018A" w:rsidRPr="009A239D">
        <w:rPr>
          <w:rFonts w:ascii="Times New Roman" w:hAnsi="Times New Roman" w:cs="Times New Roman"/>
          <w:sz w:val="20"/>
          <w:szCs w:val="20"/>
        </w:rPr>
        <w:t xml:space="preserve">, </w:t>
      </w:r>
      <w:r w:rsidR="008C32A7" w:rsidRPr="009A239D">
        <w:rPr>
          <w:rFonts w:ascii="Times New Roman" w:hAnsi="Times New Roman" w:cs="Times New Roman"/>
          <w:sz w:val="20"/>
          <w:szCs w:val="20"/>
        </w:rPr>
        <w:t xml:space="preserve"> email</w:t>
      </w:r>
      <w:proofErr w:type="gramEnd"/>
      <w:r w:rsidR="008C32A7" w:rsidRPr="009A239D">
        <w:rPr>
          <w:rFonts w:ascii="Times New Roman" w:hAnsi="Times New Roman" w:cs="Times New Roman"/>
          <w:sz w:val="20"/>
          <w:szCs w:val="20"/>
        </w:rPr>
        <w:t xml:space="preserve"> or Messenger and were explicitly notified</w:t>
      </w:r>
      <w:r w:rsidR="00033FDC" w:rsidRPr="009A239D">
        <w:rPr>
          <w:rFonts w:ascii="Times New Roman" w:hAnsi="Times New Roman" w:cs="Times New Roman"/>
          <w:sz w:val="20"/>
          <w:szCs w:val="20"/>
        </w:rPr>
        <w:t xml:space="preserve"> of their right to withdraw at any time without consequence</w:t>
      </w:r>
      <w:r w:rsidR="00BF2B60" w:rsidRPr="009A239D">
        <w:rPr>
          <w:rFonts w:ascii="Times New Roman" w:hAnsi="Times New Roman" w:cs="Times New Roman"/>
          <w:sz w:val="20"/>
          <w:szCs w:val="20"/>
        </w:rPr>
        <w:t>s</w:t>
      </w:r>
      <w:r w:rsidR="00B57E26" w:rsidRPr="009A239D">
        <w:rPr>
          <w:rFonts w:ascii="Times New Roman" w:hAnsi="Times New Roman" w:cs="Times New Roman"/>
          <w:sz w:val="20"/>
          <w:szCs w:val="20"/>
        </w:rPr>
        <w:t>. All data were anonymized using pseudonyms to protect participants</w:t>
      </w:r>
      <w:r w:rsidR="009830D1" w:rsidRPr="009A239D">
        <w:rPr>
          <w:rFonts w:ascii="Times New Roman" w:hAnsi="Times New Roman" w:cs="Times New Roman"/>
          <w:sz w:val="20"/>
          <w:szCs w:val="20"/>
        </w:rPr>
        <w:t>’ identities and were stored securely to ensure confidentiality and data protection.</w:t>
      </w:r>
      <w:r w:rsidR="008C32A7" w:rsidRPr="009A239D">
        <w:rPr>
          <w:rFonts w:ascii="Times New Roman" w:hAnsi="Times New Roman" w:cs="Times New Roman"/>
          <w:sz w:val="20"/>
          <w:szCs w:val="20"/>
        </w:rPr>
        <w:t xml:space="preserve"> </w:t>
      </w:r>
    </w:p>
    <w:p w14:paraId="2C130699" w14:textId="77777777" w:rsidR="00B87E6B" w:rsidRPr="009A239D" w:rsidRDefault="00B87E6B" w:rsidP="00364D28">
      <w:pPr>
        <w:spacing w:line="240" w:lineRule="auto"/>
        <w:jc w:val="both"/>
        <w:rPr>
          <w:rFonts w:ascii="Times New Roman" w:hAnsi="Times New Roman" w:cs="Times New Roman"/>
          <w:sz w:val="20"/>
          <w:szCs w:val="20"/>
        </w:rPr>
      </w:pPr>
    </w:p>
    <w:p w14:paraId="178BBE1E" w14:textId="58D84A3E" w:rsidR="00B87E6B" w:rsidRPr="009A239D" w:rsidRDefault="00B87E6B" w:rsidP="00B87E6B">
      <w:pPr>
        <w:pStyle w:val="NoSpacing"/>
        <w:jc w:val="center"/>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 xml:space="preserve">2.6 </w:t>
      </w:r>
      <w:r w:rsidRPr="009A239D">
        <w:rPr>
          <w:rFonts w:ascii="Times New Roman" w:hAnsi="Times New Roman" w:cs="Times New Roman"/>
          <w:b/>
          <w:bCs/>
          <w:i/>
          <w:iCs/>
          <w:color w:val="000000" w:themeColor="text1"/>
          <w:sz w:val="20"/>
          <w:szCs w:val="20"/>
        </w:rPr>
        <w:t>Data Analysis</w:t>
      </w:r>
    </w:p>
    <w:p w14:paraId="67093603" w14:textId="77777777" w:rsidR="00B87E6B" w:rsidRPr="009A239D" w:rsidRDefault="00B87E6B" w:rsidP="00B87E6B">
      <w:pPr>
        <w:pStyle w:val="NoSpacing"/>
        <w:jc w:val="both"/>
        <w:rPr>
          <w:rFonts w:ascii="Times New Roman" w:hAnsi="Times New Roman" w:cs="Times New Roman"/>
          <w:b/>
          <w:bCs/>
          <w:color w:val="000000" w:themeColor="text1"/>
          <w:sz w:val="20"/>
          <w:szCs w:val="20"/>
        </w:rPr>
      </w:pPr>
    </w:p>
    <w:p w14:paraId="02D44BF6" w14:textId="3D1205A6" w:rsidR="003A6F83" w:rsidRPr="002D1E21" w:rsidRDefault="003A6F83" w:rsidP="002D1E21">
      <w:pPr>
        <w:spacing w:after="160" w:line="240" w:lineRule="auto"/>
        <w:jc w:val="both"/>
        <w:rPr>
          <w:rFonts w:ascii="Times New Roman" w:hAnsi="Times New Roman" w:cs="Times New Roman"/>
          <w:sz w:val="20"/>
          <w:szCs w:val="20"/>
        </w:rPr>
      </w:pPr>
      <w:r w:rsidRPr="009A239D">
        <w:rPr>
          <w:rFonts w:ascii="Times New Roman" w:hAnsi="Times New Roman" w:cs="Times New Roman"/>
          <w:sz w:val="20"/>
          <w:szCs w:val="20"/>
        </w:rPr>
        <w:t>Th</w:t>
      </w:r>
      <w:r w:rsidR="000B69B7" w:rsidRPr="009A239D">
        <w:rPr>
          <w:rFonts w:ascii="Times New Roman" w:hAnsi="Times New Roman" w:cs="Times New Roman"/>
          <w:sz w:val="20"/>
          <w:szCs w:val="20"/>
        </w:rPr>
        <w:t xml:space="preserve">is </w:t>
      </w:r>
      <w:r w:rsidRPr="009A239D">
        <w:rPr>
          <w:rFonts w:ascii="Times New Roman" w:hAnsi="Times New Roman" w:cs="Times New Roman"/>
          <w:sz w:val="20"/>
          <w:szCs w:val="20"/>
        </w:rPr>
        <w:t>study employed reflexive thematic analysis (Braun &amp; Clarke, 2022) to systematically analyze qualitative data derived from compiled written responses collected through Google Meet, email, and Messenger interviews. Following contemporary qualitative standards (Byrne, 2022), the responses were carefully reviewed to achieve data familiarization. Initial codes were generated inductively, focusing on socio-cultural challenges, academic differences, motivations, and support systems, and were subsequently grouped into themes through iterative comparison. To ensure rigor, peer debriefing (Nowell et al., 2017) and member checking (Birt et al., 201</w:t>
      </w:r>
      <w:r w:rsidR="00E76639" w:rsidRPr="009A239D">
        <w:rPr>
          <w:rFonts w:ascii="Times New Roman" w:hAnsi="Times New Roman" w:cs="Times New Roman"/>
          <w:sz w:val="20"/>
          <w:szCs w:val="20"/>
        </w:rPr>
        <w:t>6</w:t>
      </w:r>
      <w:r w:rsidRPr="009A239D">
        <w:rPr>
          <w:rFonts w:ascii="Times New Roman" w:hAnsi="Times New Roman" w:cs="Times New Roman"/>
          <w:sz w:val="20"/>
          <w:szCs w:val="20"/>
        </w:rPr>
        <w:t>) were employed. Themes were then interpreted in relation to the research questions and substantiated with relevant literature from 2019 to 2026 to strengthen credibility and contextual depth.</w:t>
      </w:r>
    </w:p>
    <w:p w14:paraId="586AACBD" w14:textId="77777777" w:rsidR="007C63C9" w:rsidRPr="009A239D" w:rsidRDefault="007C63C9" w:rsidP="00963F64">
      <w:pPr>
        <w:spacing w:line="240" w:lineRule="auto"/>
        <w:jc w:val="both"/>
        <w:rPr>
          <w:rFonts w:ascii="Times New Roman" w:hAnsi="Times New Roman" w:cs="Times New Roman"/>
          <w:sz w:val="20"/>
          <w:szCs w:val="20"/>
          <w:lang w:val="en-US"/>
        </w:rPr>
      </w:pPr>
    </w:p>
    <w:p w14:paraId="24F4275A" w14:textId="43FEA0EE" w:rsidR="007C63C9" w:rsidRPr="009A239D" w:rsidRDefault="007C63C9" w:rsidP="00827947">
      <w:pPr>
        <w:pStyle w:val="ListParagraph"/>
        <w:numPr>
          <w:ilvl w:val="0"/>
          <w:numId w:val="10"/>
        </w:numPr>
        <w:spacing w:line="240" w:lineRule="auto"/>
        <w:rPr>
          <w:rFonts w:ascii="Times New Roman" w:hAnsi="Times New Roman" w:cs="Times New Roman"/>
          <w:b/>
          <w:bCs/>
          <w:color w:val="000000" w:themeColor="text1"/>
          <w:sz w:val="20"/>
          <w:szCs w:val="20"/>
        </w:rPr>
      </w:pPr>
      <w:r w:rsidRPr="009A239D">
        <w:rPr>
          <w:rFonts w:ascii="Times New Roman" w:hAnsi="Times New Roman" w:cs="Times New Roman"/>
          <w:b/>
          <w:bCs/>
          <w:color w:val="000000" w:themeColor="text1"/>
          <w:sz w:val="20"/>
          <w:szCs w:val="20"/>
        </w:rPr>
        <w:t>RESULTS AND DISCUSSION</w:t>
      </w:r>
    </w:p>
    <w:p w14:paraId="54EAF1DA" w14:textId="77777777" w:rsidR="00827947" w:rsidRPr="009A239D" w:rsidRDefault="00827947" w:rsidP="00827947">
      <w:pPr>
        <w:spacing w:line="240" w:lineRule="auto"/>
        <w:ind w:left="720"/>
        <w:rPr>
          <w:rFonts w:ascii="Times New Roman" w:hAnsi="Times New Roman" w:cs="Times New Roman"/>
          <w:b/>
          <w:bCs/>
          <w:sz w:val="20"/>
          <w:szCs w:val="20"/>
        </w:rPr>
      </w:pPr>
    </w:p>
    <w:p w14:paraId="3C737FEB" w14:textId="24C4B9FC" w:rsidR="00685488" w:rsidRPr="009A239D" w:rsidRDefault="00685488" w:rsidP="00D672C1">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3.1 </w:t>
      </w:r>
      <w:r w:rsidR="00827947"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 xml:space="preserve">n the </w:t>
      </w:r>
      <w:r w:rsidR="00827947" w:rsidRPr="009A239D">
        <w:rPr>
          <w:rFonts w:ascii="Times New Roman" w:hAnsi="Times New Roman" w:cs="Times New Roman"/>
          <w:b/>
          <w:bCs/>
          <w:i/>
          <w:iCs/>
          <w:sz w:val="20"/>
          <w:szCs w:val="20"/>
        </w:rPr>
        <w:t>S</w:t>
      </w:r>
      <w:r w:rsidRPr="009A239D">
        <w:rPr>
          <w:rFonts w:ascii="Times New Roman" w:hAnsi="Times New Roman" w:cs="Times New Roman"/>
          <w:b/>
          <w:bCs/>
          <w:i/>
          <w:iCs/>
          <w:sz w:val="20"/>
          <w:szCs w:val="20"/>
        </w:rPr>
        <w:t xml:space="preserve">tudents </w:t>
      </w:r>
      <w:r w:rsidR="00827947" w:rsidRPr="009A239D">
        <w:rPr>
          <w:rFonts w:ascii="Times New Roman" w:hAnsi="Times New Roman" w:cs="Times New Roman"/>
          <w:b/>
          <w:bCs/>
          <w:i/>
          <w:iCs/>
          <w:sz w:val="20"/>
          <w:szCs w:val="20"/>
        </w:rPr>
        <w:t>M</w:t>
      </w:r>
      <w:r w:rsidRPr="009A239D">
        <w:rPr>
          <w:rFonts w:ascii="Times New Roman" w:hAnsi="Times New Roman" w:cs="Times New Roman"/>
          <w:b/>
          <w:bCs/>
          <w:i/>
          <w:iCs/>
          <w:sz w:val="20"/>
          <w:szCs w:val="20"/>
        </w:rPr>
        <w:t xml:space="preserve">otivation and </w:t>
      </w:r>
      <w:r w:rsidR="00827947" w:rsidRPr="009A239D">
        <w:rPr>
          <w:rFonts w:ascii="Times New Roman" w:hAnsi="Times New Roman" w:cs="Times New Roman"/>
          <w:b/>
          <w:bCs/>
          <w:i/>
          <w:iCs/>
          <w:sz w:val="20"/>
          <w:szCs w:val="20"/>
        </w:rPr>
        <w:t>D</w:t>
      </w:r>
      <w:r w:rsidRPr="009A239D">
        <w:rPr>
          <w:rFonts w:ascii="Times New Roman" w:hAnsi="Times New Roman" w:cs="Times New Roman"/>
          <w:b/>
          <w:bCs/>
          <w:i/>
          <w:iCs/>
          <w:sz w:val="20"/>
          <w:szCs w:val="20"/>
        </w:rPr>
        <w:t xml:space="preserve">ecision to </w:t>
      </w:r>
      <w:r w:rsidR="00827947" w:rsidRPr="009A239D">
        <w:rPr>
          <w:rFonts w:ascii="Times New Roman" w:hAnsi="Times New Roman" w:cs="Times New Roman"/>
          <w:b/>
          <w:bCs/>
          <w:i/>
          <w:iCs/>
          <w:sz w:val="20"/>
          <w:szCs w:val="20"/>
        </w:rPr>
        <w:t>S</w:t>
      </w:r>
      <w:r w:rsidRPr="009A239D">
        <w:rPr>
          <w:rFonts w:ascii="Times New Roman" w:hAnsi="Times New Roman" w:cs="Times New Roman"/>
          <w:b/>
          <w:bCs/>
          <w:i/>
          <w:iCs/>
          <w:sz w:val="20"/>
          <w:szCs w:val="20"/>
        </w:rPr>
        <w:t xml:space="preserve">tudy </w:t>
      </w:r>
      <w:r w:rsidR="00827947" w:rsidRPr="009A239D">
        <w:rPr>
          <w:rFonts w:ascii="Times New Roman" w:hAnsi="Times New Roman" w:cs="Times New Roman"/>
          <w:b/>
          <w:bCs/>
          <w:i/>
          <w:iCs/>
          <w:sz w:val="20"/>
          <w:szCs w:val="20"/>
        </w:rPr>
        <w:t>A</w:t>
      </w:r>
      <w:r w:rsidRPr="009A239D">
        <w:rPr>
          <w:rFonts w:ascii="Times New Roman" w:hAnsi="Times New Roman" w:cs="Times New Roman"/>
          <w:b/>
          <w:bCs/>
          <w:i/>
          <w:iCs/>
          <w:sz w:val="20"/>
          <w:szCs w:val="20"/>
        </w:rPr>
        <w:t>broad</w:t>
      </w:r>
    </w:p>
    <w:p w14:paraId="27B1661B" w14:textId="77777777" w:rsidR="00685488" w:rsidRPr="009A239D" w:rsidRDefault="00685488" w:rsidP="00685488">
      <w:pPr>
        <w:rPr>
          <w:rFonts w:ascii="Times New Roman" w:hAnsi="Times New Roman" w:cs="Times New Roman"/>
          <w:sz w:val="20"/>
          <w:szCs w:val="20"/>
        </w:rPr>
      </w:pPr>
    </w:p>
    <w:p w14:paraId="35FF21C7" w14:textId="77777777" w:rsidR="00685488" w:rsidRPr="009A239D" w:rsidRDefault="00685488" w:rsidP="00685488">
      <w:pPr>
        <w:rPr>
          <w:rFonts w:ascii="Times New Roman" w:hAnsi="Times New Roman" w:cs="Times New Roman"/>
          <w:b/>
          <w:bCs/>
          <w:sz w:val="20"/>
          <w:szCs w:val="20"/>
        </w:rPr>
      </w:pPr>
      <w:r w:rsidRPr="009A239D">
        <w:rPr>
          <w:rFonts w:ascii="Times New Roman" w:hAnsi="Times New Roman" w:cs="Times New Roman"/>
          <w:b/>
          <w:bCs/>
          <w:sz w:val="20"/>
          <w:szCs w:val="20"/>
        </w:rPr>
        <w:t>Emerging Theme: Bridging the Gap Between Local Limitations and Global Opportunities.</w:t>
      </w:r>
    </w:p>
    <w:p w14:paraId="160BA9CC" w14:textId="77777777" w:rsidR="00827947" w:rsidRPr="009A239D" w:rsidRDefault="00827947" w:rsidP="00685488">
      <w:pPr>
        <w:rPr>
          <w:rFonts w:ascii="Times New Roman" w:hAnsi="Times New Roman" w:cs="Times New Roman"/>
          <w:b/>
          <w:bCs/>
        </w:rPr>
      </w:pPr>
    </w:p>
    <w:p w14:paraId="1AA68ACE" w14:textId="7BFB60F8" w:rsidR="00995CB5" w:rsidRPr="009A239D" w:rsidRDefault="00995CB5" w:rsidP="00995CB5">
      <w:pPr>
        <w:spacing w:after="160" w:line="278" w:lineRule="auto"/>
        <w:jc w:val="both"/>
        <w:rPr>
          <w:rFonts w:ascii="Times New Roman" w:hAnsi="Times New Roman" w:cs="Times New Roman"/>
          <w:sz w:val="20"/>
          <w:szCs w:val="20"/>
        </w:rPr>
      </w:pPr>
      <w:r w:rsidRPr="009A239D">
        <w:rPr>
          <w:rFonts w:ascii="Times New Roman" w:hAnsi="Times New Roman" w:cs="Times New Roman"/>
          <w:sz w:val="20"/>
          <w:szCs w:val="20"/>
        </w:rPr>
        <w:t>The decision of Filipino students to pursue advanced degrees abroad reflects a strategic response to local educational limitations, bridging gaps in specialization and infrastructure with global opportunities. Approximately 69% of the respondents consistently cited push factors such as the absence of unique programs unavailable in the Philippines. Respondent 1 cited a “unique PhD program, not offered in the Philippines,” while Respondent 2 underscored lacks in local specialization alongside insufficient laboratory infrastructure, outdated equipment, and bureaucratic inefficiencies delaying progress (Respondents 2, 5, 6, 9, 10, 11, 12, 13). These align with prior research, including D</w:t>
      </w:r>
      <w:r w:rsidR="00813A23" w:rsidRPr="009A239D">
        <w:rPr>
          <w:rFonts w:ascii="Times New Roman" w:hAnsi="Times New Roman" w:cs="Times New Roman"/>
          <w:sz w:val="20"/>
          <w:szCs w:val="20"/>
        </w:rPr>
        <w:t>avid</w:t>
      </w:r>
      <w:r w:rsidRPr="009A239D">
        <w:rPr>
          <w:rFonts w:ascii="Times New Roman" w:hAnsi="Times New Roman" w:cs="Times New Roman"/>
          <w:sz w:val="20"/>
          <w:szCs w:val="20"/>
        </w:rPr>
        <w:t xml:space="preserve"> et al. (202</w:t>
      </w:r>
      <w:r w:rsidR="00813A23" w:rsidRPr="009A239D">
        <w:rPr>
          <w:rFonts w:ascii="Times New Roman" w:hAnsi="Times New Roman" w:cs="Times New Roman"/>
          <w:sz w:val="20"/>
          <w:szCs w:val="20"/>
        </w:rPr>
        <w:t>0</w:t>
      </w:r>
      <w:r w:rsidRPr="009A239D">
        <w:rPr>
          <w:rFonts w:ascii="Times New Roman" w:hAnsi="Times New Roman" w:cs="Times New Roman"/>
          <w:sz w:val="20"/>
          <w:szCs w:val="20"/>
        </w:rPr>
        <w:t xml:space="preserve">) on structural constraints in developing countries and </w:t>
      </w:r>
      <w:r w:rsidR="002031E3" w:rsidRPr="009A239D">
        <w:rPr>
          <w:rFonts w:ascii="Times New Roman" w:hAnsi="Times New Roman" w:cs="Times New Roman"/>
          <w:sz w:val="20"/>
          <w:szCs w:val="20"/>
        </w:rPr>
        <w:t>Orbeta</w:t>
      </w:r>
      <w:r w:rsidR="008A068A" w:rsidRPr="009A239D">
        <w:rPr>
          <w:rFonts w:ascii="Times New Roman" w:hAnsi="Times New Roman" w:cs="Times New Roman"/>
          <w:sz w:val="20"/>
          <w:szCs w:val="20"/>
        </w:rPr>
        <w:t xml:space="preserve"> et. </w:t>
      </w:r>
      <w:proofErr w:type="gramStart"/>
      <w:r w:rsidR="008A068A" w:rsidRPr="009A239D">
        <w:rPr>
          <w:rFonts w:ascii="Times New Roman" w:hAnsi="Times New Roman" w:cs="Times New Roman"/>
          <w:sz w:val="20"/>
          <w:szCs w:val="20"/>
        </w:rPr>
        <w:t>al</w:t>
      </w:r>
      <w:proofErr w:type="gramEnd"/>
      <w:r w:rsidR="002031E3" w:rsidRPr="009A239D">
        <w:rPr>
          <w:rFonts w:ascii="Times New Roman" w:hAnsi="Times New Roman" w:cs="Times New Roman"/>
          <w:sz w:val="20"/>
          <w:szCs w:val="20"/>
        </w:rPr>
        <w:t xml:space="preserve"> (2019) </w:t>
      </w:r>
      <w:r w:rsidRPr="009A239D">
        <w:rPr>
          <w:rFonts w:ascii="Times New Roman" w:hAnsi="Times New Roman" w:cs="Times New Roman"/>
          <w:sz w:val="20"/>
          <w:szCs w:val="20"/>
        </w:rPr>
        <w:t xml:space="preserve">highlighted that Filipino student often migrate academically due to Philippine higher education gaps specialization and research capacity.  Simultaneously, around 54 % viewed international credentials as vital for career advancement, tenure, and competitiveness. Intrinsically, 62% sought personal growth, independence, and global exposure, with </w:t>
      </w:r>
      <w:r w:rsidRPr="009A239D">
        <w:rPr>
          <w:rFonts w:ascii="Times New Roman" w:hAnsi="Times New Roman" w:cs="Times New Roman"/>
          <w:sz w:val="20"/>
          <w:szCs w:val="20"/>
        </w:rPr>
        <w:lastRenderedPageBreak/>
        <w:t>Respondents 3, 4, 7, and 12 emphasizing the chance to “step out of their comfort zone” and gain a “worldwide perspective” (Brooks &amp; Waters, 2021). Collectively, this "leap of faith" positions international education as a strategic bridge from local constraints to global opportunities.</w:t>
      </w:r>
    </w:p>
    <w:p w14:paraId="7090654C" w14:textId="77777777" w:rsidR="003F3D27" w:rsidRPr="009A239D" w:rsidRDefault="003F3D27" w:rsidP="00685488">
      <w:pPr>
        <w:jc w:val="both"/>
        <w:rPr>
          <w:rFonts w:ascii="Times New Roman" w:hAnsi="Times New Roman" w:cs="Times New Roman"/>
        </w:rPr>
      </w:pPr>
    </w:p>
    <w:p w14:paraId="02DC07F8" w14:textId="1D45A872" w:rsidR="003F3D27" w:rsidRPr="009A239D" w:rsidRDefault="003F3D27" w:rsidP="00D672C1">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3.2 </w:t>
      </w:r>
      <w:r w:rsidR="0084138F"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 xml:space="preserve">n </w:t>
      </w:r>
      <w:proofErr w:type="gramStart"/>
      <w:r w:rsidRPr="009A239D">
        <w:rPr>
          <w:rFonts w:ascii="Times New Roman" w:hAnsi="Times New Roman" w:cs="Times New Roman"/>
          <w:b/>
          <w:bCs/>
          <w:i/>
          <w:iCs/>
          <w:sz w:val="20"/>
          <w:szCs w:val="20"/>
        </w:rPr>
        <w:t>the  Encountering</w:t>
      </w:r>
      <w:proofErr w:type="gramEnd"/>
      <w:r w:rsidRPr="009A239D">
        <w:rPr>
          <w:rFonts w:ascii="Times New Roman" w:hAnsi="Times New Roman" w:cs="Times New Roman"/>
          <w:b/>
          <w:bCs/>
          <w:i/>
          <w:iCs/>
          <w:sz w:val="20"/>
          <w:szCs w:val="20"/>
        </w:rPr>
        <w:t xml:space="preserve"> Emotional and Socio-Cultural Challenges in the Process of Adapting to a Foreign Environment</w:t>
      </w:r>
    </w:p>
    <w:p w14:paraId="56AFB314" w14:textId="77777777" w:rsidR="00C643A2" w:rsidRPr="009A239D" w:rsidRDefault="00C643A2" w:rsidP="003F3D27">
      <w:pPr>
        <w:rPr>
          <w:rFonts w:ascii="Times New Roman" w:hAnsi="Times New Roman" w:cs="Times New Roman"/>
          <w:sz w:val="20"/>
          <w:szCs w:val="20"/>
        </w:rPr>
      </w:pPr>
    </w:p>
    <w:p w14:paraId="4E2A6B91" w14:textId="77777777" w:rsidR="003F3D27" w:rsidRPr="009A239D" w:rsidRDefault="003F3D27" w:rsidP="003F3D27">
      <w:pPr>
        <w:rPr>
          <w:rFonts w:ascii="Times New Roman" w:hAnsi="Times New Roman" w:cs="Times New Roman"/>
          <w:b/>
          <w:bCs/>
          <w:sz w:val="20"/>
          <w:szCs w:val="20"/>
        </w:rPr>
      </w:pPr>
      <w:r w:rsidRPr="009A239D">
        <w:rPr>
          <w:rFonts w:ascii="Times New Roman" w:hAnsi="Times New Roman" w:cs="Times New Roman"/>
          <w:b/>
          <w:bCs/>
          <w:sz w:val="20"/>
          <w:szCs w:val="20"/>
        </w:rPr>
        <w:t>Emerging Theme: Negotiating the "Heart’s Tug" and Cultural Adaptation</w:t>
      </w:r>
    </w:p>
    <w:p w14:paraId="4D284B91" w14:textId="77777777" w:rsidR="004F7312" w:rsidRPr="009A239D" w:rsidRDefault="004F7312" w:rsidP="003F3D27">
      <w:pPr>
        <w:rPr>
          <w:rFonts w:ascii="Times New Roman" w:hAnsi="Times New Roman" w:cs="Times New Roman"/>
        </w:rPr>
      </w:pPr>
    </w:p>
    <w:p w14:paraId="0EAF5045" w14:textId="77777777" w:rsidR="0044286C" w:rsidRPr="009A239D" w:rsidRDefault="0044286C" w:rsidP="0044286C">
      <w:pPr>
        <w:jc w:val="both"/>
        <w:rPr>
          <w:rFonts w:ascii="Times New Roman" w:hAnsi="Times New Roman" w:cs="Times New Roman"/>
          <w:sz w:val="20"/>
          <w:szCs w:val="20"/>
        </w:rPr>
      </w:pPr>
      <w:r w:rsidRPr="009A239D">
        <w:rPr>
          <w:rFonts w:ascii="Times New Roman" w:hAnsi="Times New Roman" w:cs="Times New Roman"/>
          <w:sz w:val="20"/>
          <w:szCs w:val="20"/>
        </w:rPr>
        <w:t>The research highlights the profound emotional and socio-cultural challenges faced by Filipino students abroad, extending far beyond academic adjustment to shape their holistic experience. Approximately 77% reported homesickness and emotional distress from family separation and cultural disconnection; Respondent 7 described “being away from family… is emotionally challenging,” while Respondent 3 conveyed a “strong sense of homesickness… missing familiar food, traditions, and the overall sense of belonging” (Datu et al., 2021). Language barriers affected 69%, with Respondent 2 noting “differences in accent can make communication difficult” in non-English contexts, and Respondent 6 feeling “alienated” by unfamiliar social norms. Such challenges resonate with Andrade (2020) who emphasized that language proficiency and cultural familiarity are critical factors influencing academic success and social integration among international students and Wu et al. (2021) ) found that students studying in culturally distant environments often experience communication anxiety and identity tension, which can hinder participation and confidence.</w:t>
      </w:r>
    </w:p>
    <w:p w14:paraId="54F03576" w14:textId="77777777" w:rsidR="0041292A" w:rsidRPr="009A239D" w:rsidRDefault="0041292A" w:rsidP="0041292A">
      <w:pPr>
        <w:jc w:val="both"/>
        <w:rPr>
          <w:rFonts w:ascii="Times New Roman" w:hAnsi="Times New Roman" w:cs="Times New Roman"/>
          <w:sz w:val="20"/>
          <w:szCs w:val="20"/>
        </w:rPr>
      </w:pPr>
      <w:r w:rsidRPr="009A239D">
        <w:rPr>
          <w:rFonts w:ascii="Times New Roman" w:hAnsi="Times New Roman" w:cs="Times New Roman"/>
          <w:sz w:val="20"/>
          <w:szCs w:val="20"/>
        </w:rPr>
        <w:t>Cultural navigation demands mastery of unwritten social rules diverging from Filipino practices, as Respondent 2 illustrated through the need to learn gestures of respect, adapt social behaviors, and heed cultural taboos—echoing Berry’s (2019) Acculturation Theory, which frames cross-cultural transitions as ongoing negotiations between</w:t>
      </w:r>
      <w:r w:rsidRPr="001A3894">
        <w:rPr>
          <w:rFonts w:ascii="Cambria" w:hAnsi="Cambria"/>
          <w:sz w:val="20"/>
          <w:szCs w:val="20"/>
        </w:rPr>
        <w:t xml:space="preserve"> </w:t>
      </w:r>
      <w:r w:rsidRPr="009A239D">
        <w:rPr>
          <w:rFonts w:ascii="Times New Roman" w:hAnsi="Times New Roman" w:cs="Times New Roman"/>
          <w:sz w:val="20"/>
          <w:szCs w:val="20"/>
        </w:rPr>
        <w:t xml:space="preserve">heritage identity and host culture adaptation. Subtle biases and stereotypes compound these difficulties; Respondent 8 shared encountered “biases and preconceived notions… in Europe,” although these perceptions were often challenged once their academic competence was recognized, consistent with Lee and Rice (2019) on discrimination's toll on belonging and confidence among international students. Collectively, these experiences portray international education as a transformative journey </w:t>
      </w:r>
      <w:r w:rsidRPr="009A239D">
        <w:rPr>
          <w:rFonts w:ascii="Times New Roman" w:hAnsi="Times New Roman" w:cs="Times New Roman"/>
          <w:sz w:val="20"/>
          <w:szCs w:val="20"/>
        </w:rPr>
        <w:lastRenderedPageBreak/>
        <w:t>demanding emotional resilience</w:t>
      </w:r>
      <w:r w:rsidRPr="009A239D">
        <w:rPr>
          <w:rFonts w:ascii="Times New Roman" w:hAnsi="Times New Roman" w:cs="Times New Roman"/>
          <w:b/>
          <w:bCs/>
          <w:sz w:val="20"/>
          <w:szCs w:val="20"/>
        </w:rPr>
        <w:t xml:space="preserve"> </w:t>
      </w:r>
      <w:r w:rsidRPr="009A239D">
        <w:rPr>
          <w:rFonts w:ascii="Times New Roman" w:hAnsi="Times New Roman" w:cs="Times New Roman"/>
          <w:sz w:val="20"/>
          <w:szCs w:val="20"/>
        </w:rPr>
        <w:t>and intercultural negotiation, profoundly molding the global Filipino scholar.</w:t>
      </w:r>
    </w:p>
    <w:p w14:paraId="0B0014FF" w14:textId="77777777" w:rsidR="00E41A9D" w:rsidRPr="009A239D" w:rsidRDefault="00E41A9D" w:rsidP="0041292A">
      <w:pPr>
        <w:jc w:val="both"/>
        <w:rPr>
          <w:rFonts w:ascii="Times New Roman" w:hAnsi="Times New Roman" w:cs="Times New Roman"/>
          <w:sz w:val="20"/>
          <w:szCs w:val="20"/>
        </w:rPr>
      </w:pPr>
    </w:p>
    <w:p w14:paraId="23871C8B" w14:textId="05C6B274" w:rsidR="00E41A9D" w:rsidRPr="009A239D" w:rsidRDefault="00330321" w:rsidP="00D57196">
      <w:pPr>
        <w:jc w:val="center"/>
        <w:rPr>
          <w:rFonts w:ascii="Times New Roman" w:hAnsi="Times New Roman" w:cs="Times New Roman"/>
          <w:i/>
          <w:iCs/>
          <w:sz w:val="20"/>
          <w:szCs w:val="20"/>
        </w:rPr>
      </w:pPr>
      <w:r w:rsidRPr="009A239D">
        <w:rPr>
          <w:rFonts w:ascii="Times New Roman" w:hAnsi="Times New Roman" w:cs="Times New Roman"/>
          <w:b/>
          <w:bCs/>
          <w:i/>
          <w:iCs/>
          <w:sz w:val="20"/>
          <w:szCs w:val="20"/>
        </w:rPr>
        <w:t>3.3 On</w:t>
      </w:r>
      <w:r w:rsidR="00E41A9D" w:rsidRPr="009A239D">
        <w:rPr>
          <w:rFonts w:ascii="Times New Roman" w:hAnsi="Times New Roman" w:cs="Times New Roman"/>
          <w:b/>
          <w:bCs/>
          <w:i/>
          <w:iCs/>
          <w:sz w:val="20"/>
          <w:szCs w:val="20"/>
        </w:rPr>
        <w:t xml:space="preserve"> the Comparative Academic Environments as a Lens for Understanding Differences in Educational Quality, Resources, and Learning Experiences.</w:t>
      </w:r>
    </w:p>
    <w:p w14:paraId="7D3613DA" w14:textId="77777777" w:rsidR="00D57196" w:rsidRPr="009A239D" w:rsidRDefault="00D57196" w:rsidP="00E41A9D">
      <w:pPr>
        <w:rPr>
          <w:rFonts w:ascii="Times New Roman" w:hAnsi="Times New Roman" w:cs="Times New Roman"/>
          <w:b/>
          <w:bCs/>
          <w:sz w:val="20"/>
          <w:szCs w:val="20"/>
        </w:rPr>
      </w:pPr>
    </w:p>
    <w:p w14:paraId="115EB7DF" w14:textId="77777777" w:rsidR="00E41A9D" w:rsidRPr="009A239D" w:rsidRDefault="00E41A9D" w:rsidP="0084138F">
      <w:pPr>
        <w:jc w:val="both"/>
        <w:rPr>
          <w:rFonts w:ascii="Times New Roman" w:hAnsi="Times New Roman" w:cs="Times New Roman"/>
          <w:sz w:val="20"/>
          <w:szCs w:val="20"/>
        </w:rPr>
      </w:pPr>
      <w:r w:rsidRPr="009A239D">
        <w:rPr>
          <w:rFonts w:ascii="Times New Roman" w:hAnsi="Times New Roman" w:cs="Times New Roman"/>
          <w:b/>
          <w:bCs/>
          <w:sz w:val="20"/>
          <w:szCs w:val="20"/>
        </w:rPr>
        <w:t>Emerging Theme: Bridging the "Instrumentation and Confidence Gap.</w:t>
      </w:r>
      <w:r w:rsidRPr="009A239D">
        <w:rPr>
          <w:rFonts w:ascii="Times New Roman" w:hAnsi="Times New Roman" w:cs="Times New Roman"/>
          <w:sz w:val="20"/>
          <w:szCs w:val="20"/>
        </w:rPr>
        <w:t xml:space="preserve"> </w:t>
      </w:r>
    </w:p>
    <w:p w14:paraId="262F358A" w14:textId="77777777" w:rsidR="0084138F" w:rsidRPr="009A239D" w:rsidRDefault="0084138F" w:rsidP="0084138F">
      <w:pPr>
        <w:jc w:val="both"/>
        <w:rPr>
          <w:rFonts w:ascii="Times New Roman" w:hAnsi="Times New Roman" w:cs="Times New Roman"/>
          <w:sz w:val="20"/>
          <w:szCs w:val="20"/>
        </w:rPr>
      </w:pPr>
    </w:p>
    <w:p w14:paraId="19CD88B0" w14:textId="77777777" w:rsidR="00D57196" w:rsidRPr="009A239D" w:rsidRDefault="00D57196" w:rsidP="0084138F">
      <w:pPr>
        <w:jc w:val="both"/>
        <w:rPr>
          <w:rFonts w:ascii="Times New Roman" w:hAnsi="Times New Roman" w:cs="Times New Roman"/>
          <w:sz w:val="20"/>
          <w:szCs w:val="20"/>
        </w:rPr>
      </w:pPr>
      <w:r w:rsidRPr="009A239D">
        <w:rPr>
          <w:rFonts w:ascii="Times New Roman" w:hAnsi="Times New Roman" w:cs="Times New Roman"/>
          <w:sz w:val="20"/>
          <w:szCs w:val="20"/>
        </w:rPr>
        <w:t xml:space="preserve">This study uncovers stark contrasts between Philippine and foreign academic environments, particularly in curriculum structure, research orientation, and laboratory resources, as articulated by respondents. Approximately 69% of respondents characterized the Philippine chemistry curriculum as highly generalist and theory-driven, akin to undergraduate training with excessive requirements and deadlines; Respondent 6 exemplified this as “highly generalist… similar to undergraduate training,” with “numerous requirements and deadlines that can feel excessive” (Respondents 2, 11, 12). In contrast, foreign programs were lauded for their specialization and research focus, enabling deeper disciplinary engagement—a distinction echoed by </w:t>
      </w:r>
      <w:proofErr w:type="spellStart"/>
      <w:r w:rsidRPr="009A239D">
        <w:rPr>
          <w:rFonts w:ascii="Times New Roman" w:hAnsi="Times New Roman" w:cs="Times New Roman"/>
          <w:sz w:val="20"/>
          <w:szCs w:val="20"/>
        </w:rPr>
        <w:t>Altbach</w:t>
      </w:r>
      <w:proofErr w:type="spellEnd"/>
      <w:r w:rsidRPr="009A239D">
        <w:rPr>
          <w:rFonts w:ascii="Times New Roman" w:hAnsi="Times New Roman" w:cs="Times New Roman"/>
          <w:sz w:val="20"/>
          <w:szCs w:val="20"/>
        </w:rPr>
        <w:t xml:space="preserve"> and de Wit (2020) on developed systems' emphasis on research productivity. Compounding this, 77% of respondents decried limited access to laboratory equipment and research resources in the Philippines, causing delays and modification in research work, consistent with David and </w:t>
      </w:r>
      <w:proofErr w:type="spellStart"/>
      <w:r w:rsidRPr="009A239D">
        <w:rPr>
          <w:rFonts w:ascii="Times New Roman" w:hAnsi="Times New Roman" w:cs="Times New Roman"/>
          <w:sz w:val="20"/>
          <w:szCs w:val="20"/>
        </w:rPr>
        <w:t>Ducanes</w:t>
      </w:r>
      <w:proofErr w:type="spellEnd"/>
      <w:r w:rsidRPr="009A239D">
        <w:rPr>
          <w:rFonts w:ascii="Times New Roman" w:hAnsi="Times New Roman" w:cs="Times New Roman"/>
          <w:sz w:val="20"/>
          <w:szCs w:val="20"/>
        </w:rPr>
        <w:t xml:space="preserve"> (2020) who emphasize that inadequate research funding and infrastructure remain key challenges in Philippine higher education.</w:t>
      </w:r>
    </w:p>
    <w:p w14:paraId="0E6856DD" w14:textId="2D59F9DD" w:rsidR="003F3D27" w:rsidRPr="009A239D" w:rsidRDefault="00D57196" w:rsidP="00A32286">
      <w:pPr>
        <w:jc w:val="both"/>
        <w:rPr>
          <w:rFonts w:ascii="Times New Roman" w:hAnsi="Times New Roman" w:cs="Times New Roman"/>
          <w:sz w:val="20"/>
          <w:szCs w:val="20"/>
        </w:rPr>
      </w:pPr>
      <w:r w:rsidRPr="009A239D">
        <w:rPr>
          <w:rFonts w:ascii="Times New Roman" w:hAnsi="Times New Roman" w:cs="Times New Roman"/>
          <w:sz w:val="20"/>
          <w:szCs w:val="20"/>
        </w:rPr>
        <w:t>Despite robust theoretical foundations affirmed by 62% of respondents (2, 7, 8, 9, 10, 11, 12, 13), a skills gap in laboratory competence—especially advanced instrumentation and data analysis—emerged, signaling insufficient hands-on exposure in local undergraduate programs (Bernardo, 2019). Notably, 85% expressed intellectual confidence, with Respondent 8 asserting they “did not feel inferior” and possessed a foundation “well enough to compete at a global level.” Yet, a confidence gap persisted among about 15%, fueled by institutional prestige disparities rather than ability (Tran, 2021). Ultimately, these structural divergences—rather than intellectual deficits—underscore the need for Philippine investments in infrastructure, curriculum reform, and experiential training to close the instrumentation gap and cultivate globally competitive scientists.</w:t>
      </w:r>
    </w:p>
    <w:p w14:paraId="1CAF5A91" w14:textId="77777777" w:rsidR="00A32286" w:rsidRPr="009A239D" w:rsidRDefault="00A32286" w:rsidP="00A32286">
      <w:pPr>
        <w:jc w:val="both"/>
        <w:rPr>
          <w:rFonts w:ascii="Times New Roman" w:hAnsi="Times New Roman" w:cs="Times New Roman"/>
          <w:sz w:val="20"/>
          <w:szCs w:val="20"/>
        </w:rPr>
      </w:pPr>
    </w:p>
    <w:p w14:paraId="7AF433A0" w14:textId="2CC5EECE" w:rsidR="009756A7" w:rsidRPr="009A239D" w:rsidRDefault="009756A7" w:rsidP="00600A09">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 xml:space="preserve">3.4: </w:t>
      </w:r>
      <w:r w:rsidR="003232CA" w:rsidRPr="009A239D">
        <w:rPr>
          <w:rFonts w:ascii="Times New Roman" w:hAnsi="Times New Roman" w:cs="Times New Roman"/>
          <w:b/>
          <w:bCs/>
          <w:i/>
          <w:iCs/>
          <w:sz w:val="20"/>
          <w:szCs w:val="20"/>
        </w:rPr>
        <w:t>O</w:t>
      </w:r>
      <w:r w:rsidRPr="009A239D">
        <w:rPr>
          <w:rFonts w:ascii="Times New Roman" w:hAnsi="Times New Roman" w:cs="Times New Roman"/>
          <w:b/>
          <w:bCs/>
          <w:i/>
          <w:iCs/>
          <w:sz w:val="20"/>
          <w:szCs w:val="20"/>
        </w:rPr>
        <w:t>n the Adaptation Strategies and Support Systems as Mechanisms for Navigating and Thriving in a Foreign Academic Environment.</w:t>
      </w:r>
    </w:p>
    <w:p w14:paraId="45965B2C" w14:textId="36BE4540" w:rsidR="007C63C9" w:rsidRPr="009A239D" w:rsidRDefault="007C63C9" w:rsidP="007C63C9">
      <w:pPr>
        <w:pStyle w:val="NoSpacing"/>
        <w:jc w:val="center"/>
        <w:rPr>
          <w:rFonts w:ascii="Times New Roman" w:hAnsi="Times New Roman" w:cs="Times New Roman"/>
          <w:b/>
          <w:bCs/>
          <w:color w:val="000000" w:themeColor="text1"/>
          <w:sz w:val="20"/>
          <w:szCs w:val="20"/>
        </w:rPr>
      </w:pPr>
    </w:p>
    <w:p w14:paraId="1CCA3678" w14:textId="77777777" w:rsidR="00A32286" w:rsidRPr="009A239D" w:rsidRDefault="00A32286" w:rsidP="003232CA">
      <w:pPr>
        <w:jc w:val="both"/>
        <w:rPr>
          <w:rFonts w:ascii="Times New Roman" w:hAnsi="Times New Roman" w:cs="Times New Roman"/>
          <w:b/>
          <w:bCs/>
          <w:sz w:val="20"/>
          <w:szCs w:val="20"/>
        </w:rPr>
      </w:pPr>
      <w:r w:rsidRPr="009A239D">
        <w:rPr>
          <w:rFonts w:ascii="Times New Roman" w:hAnsi="Times New Roman" w:cs="Times New Roman"/>
          <w:b/>
          <w:bCs/>
          <w:sz w:val="20"/>
          <w:szCs w:val="20"/>
        </w:rPr>
        <w:lastRenderedPageBreak/>
        <w:t>Emerging Theme: Cultivating Strategic Resilience through Community and Mentorship.</w:t>
      </w:r>
    </w:p>
    <w:p w14:paraId="371BE668" w14:textId="77777777" w:rsidR="00A32286" w:rsidRPr="009A239D" w:rsidRDefault="00A32286" w:rsidP="00A32286">
      <w:pPr>
        <w:rPr>
          <w:rFonts w:ascii="Times New Roman" w:hAnsi="Times New Roman" w:cs="Times New Roman"/>
          <w:b/>
          <w:bCs/>
        </w:rPr>
      </w:pPr>
    </w:p>
    <w:p w14:paraId="4684C3E7" w14:textId="66619A19" w:rsidR="0062693C" w:rsidRPr="009A239D" w:rsidRDefault="0062693C" w:rsidP="0062693C">
      <w:pPr>
        <w:jc w:val="both"/>
        <w:rPr>
          <w:rFonts w:ascii="Times New Roman" w:hAnsi="Times New Roman" w:cs="Times New Roman"/>
          <w:sz w:val="20"/>
          <w:szCs w:val="20"/>
        </w:rPr>
      </w:pPr>
      <w:r w:rsidRPr="009A239D">
        <w:rPr>
          <w:rFonts w:ascii="Times New Roman" w:hAnsi="Times New Roman" w:cs="Times New Roman"/>
          <w:sz w:val="20"/>
          <w:szCs w:val="20"/>
        </w:rPr>
        <w:t xml:space="preserve">The findings of this study highlighted that Filipino students abroad rely heavily on social, emotional, and institutional support systems to cope with the challenges of international mobility. For instance, 77% relied on Filipino communities abroad for a “sense of belonging”, native-language communication, and guidance through academic and administrative hurdles. Aligning with social capital </w:t>
      </w:r>
      <w:r w:rsidR="00F26CB2" w:rsidRPr="009A239D">
        <w:rPr>
          <w:rFonts w:ascii="Times New Roman" w:hAnsi="Times New Roman" w:cs="Times New Roman"/>
          <w:sz w:val="20"/>
          <w:szCs w:val="20"/>
        </w:rPr>
        <w:t xml:space="preserve">theory </w:t>
      </w:r>
      <w:proofErr w:type="spellStart"/>
      <w:r w:rsidR="00F26CB2" w:rsidRPr="009A239D">
        <w:rPr>
          <w:rFonts w:ascii="Times New Roman" w:hAnsi="Times New Roman" w:cs="Times New Roman"/>
          <w:sz w:val="20"/>
          <w:szCs w:val="20"/>
        </w:rPr>
        <w:t>Sawir</w:t>
      </w:r>
      <w:proofErr w:type="spellEnd"/>
      <w:r w:rsidRPr="009A239D">
        <w:rPr>
          <w:rFonts w:ascii="Times New Roman" w:hAnsi="Times New Roman" w:cs="Times New Roman"/>
          <w:sz w:val="20"/>
          <w:szCs w:val="20"/>
        </w:rPr>
        <w:t xml:space="preserve"> et al. (2020) on reduced acculturative stress among international students. Additionally, supportive </w:t>
      </w:r>
      <w:proofErr w:type="gramStart"/>
      <w:r w:rsidRPr="009A239D">
        <w:rPr>
          <w:rFonts w:ascii="Times New Roman" w:hAnsi="Times New Roman" w:cs="Times New Roman"/>
          <w:sz w:val="20"/>
          <w:szCs w:val="20"/>
        </w:rPr>
        <w:t>advisers’  play</w:t>
      </w:r>
      <w:proofErr w:type="gramEnd"/>
      <w:r w:rsidRPr="009A239D">
        <w:rPr>
          <w:rFonts w:ascii="Times New Roman" w:hAnsi="Times New Roman" w:cs="Times New Roman"/>
          <w:sz w:val="20"/>
          <w:szCs w:val="20"/>
        </w:rPr>
        <w:t xml:space="preserve"> a key role in academic progress and emotional well-being. Respondent 2 noted that selecting the right supervisor is “critical” to the overall graduate experience. This aligns with the findings of Curtin et al. (2021), who identified supervisory relationships as a major determinant of graduate student satisfaction, retention, and success. </w:t>
      </w:r>
    </w:p>
    <w:p w14:paraId="6E5C4B62" w14:textId="55055725" w:rsidR="0062693C" w:rsidRPr="009A239D" w:rsidRDefault="0062693C" w:rsidP="0062693C">
      <w:pPr>
        <w:spacing w:after="160" w:line="278" w:lineRule="auto"/>
        <w:jc w:val="both"/>
        <w:rPr>
          <w:rFonts w:ascii="Times New Roman" w:hAnsi="Times New Roman" w:cs="Times New Roman"/>
          <w:sz w:val="20"/>
          <w:szCs w:val="20"/>
        </w:rPr>
      </w:pPr>
      <w:r w:rsidRPr="009A239D">
        <w:rPr>
          <w:rFonts w:ascii="Times New Roman" w:hAnsi="Times New Roman" w:cs="Times New Roman"/>
          <w:sz w:val="20"/>
          <w:szCs w:val="20"/>
        </w:rPr>
        <w:t>Family ties endured transnationally, sustaining 69% through constant communication to alleviate stress, per Datu et al. (2021) found that family support significantly contributes to psychological well-being and resilience among Filipino students. Personal coping encompassed self-care for 54% via maintaining routines, recreation, or finding companionship through pets, and digital tools like AI for 46% to surmount language barriers and daily tasks (Glass et al., 20</w:t>
      </w:r>
      <w:r w:rsidR="00D27CEE" w:rsidRPr="009A239D">
        <w:rPr>
          <w:rFonts w:ascii="Times New Roman" w:hAnsi="Times New Roman" w:cs="Times New Roman"/>
          <w:sz w:val="20"/>
          <w:szCs w:val="20"/>
        </w:rPr>
        <w:t>14</w:t>
      </w:r>
      <w:r w:rsidRPr="009A239D">
        <w:rPr>
          <w:rFonts w:ascii="Times New Roman" w:hAnsi="Times New Roman" w:cs="Times New Roman"/>
          <w:sz w:val="20"/>
          <w:szCs w:val="20"/>
        </w:rPr>
        <w:t xml:space="preserve">). Proactive integration into local networks further exemplified active coping (Lazarus &amp; Folkman; Zhang &amp; Goodson, 2021). Collectively, these interwoven strategies; community, mentorship, family, and adaptive mechanisms interact to sustain well-being and academic success. </w:t>
      </w:r>
    </w:p>
    <w:p w14:paraId="40909C97" w14:textId="77777777" w:rsidR="00ED4C3B" w:rsidRPr="009A239D" w:rsidRDefault="00ED4C3B" w:rsidP="00ED4C3B">
      <w:pPr>
        <w:jc w:val="center"/>
        <w:rPr>
          <w:rFonts w:ascii="Times New Roman" w:hAnsi="Times New Roman" w:cs="Times New Roman"/>
          <w:b/>
          <w:bCs/>
          <w:i/>
          <w:iCs/>
          <w:sz w:val="20"/>
          <w:szCs w:val="20"/>
        </w:rPr>
      </w:pPr>
      <w:r w:rsidRPr="009A239D">
        <w:rPr>
          <w:rFonts w:ascii="Times New Roman" w:hAnsi="Times New Roman" w:cs="Times New Roman"/>
          <w:b/>
          <w:bCs/>
          <w:i/>
          <w:iCs/>
          <w:sz w:val="20"/>
          <w:szCs w:val="20"/>
        </w:rPr>
        <w:t>3.5 On Shaping Professional Identity and Future Aspirations Through International Academic Experiences</w:t>
      </w:r>
    </w:p>
    <w:p w14:paraId="6DC62946" w14:textId="77777777" w:rsidR="005B10F8" w:rsidRPr="009A239D" w:rsidRDefault="005B10F8" w:rsidP="00ED4C3B">
      <w:pPr>
        <w:jc w:val="center"/>
        <w:rPr>
          <w:rFonts w:ascii="Times New Roman" w:hAnsi="Times New Roman" w:cs="Times New Roman"/>
          <w:b/>
          <w:bCs/>
          <w:i/>
          <w:iCs/>
          <w:sz w:val="20"/>
          <w:szCs w:val="20"/>
        </w:rPr>
      </w:pPr>
    </w:p>
    <w:p w14:paraId="5F7C7A3B" w14:textId="77777777" w:rsidR="005B10F8" w:rsidRPr="009A239D" w:rsidRDefault="005B10F8" w:rsidP="005B10F8">
      <w:pPr>
        <w:rPr>
          <w:rFonts w:ascii="Times New Roman" w:hAnsi="Times New Roman" w:cs="Times New Roman"/>
          <w:b/>
          <w:bCs/>
          <w:sz w:val="20"/>
          <w:szCs w:val="20"/>
        </w:rPr>
      </w:pPr>
      <w:r w:rsidRPr="009A239D">
        <w:rPr>
          <w:rFonts w:ascii="Times New Roman" w:hAnsi="Times New Roman" w:cs="Times New Roman"/>
          <w:b/>
          <w:bCs/>
          <w:sz w:val="20"/>
          <w:szCs w:val="20"/>
        </w:rPr>
        <w:t>Emerging Theme: The Phoenix Effect and the "Return Mindset."</w:t>
      </w:r>
    </w:p>
    <w:p w14:paraId="35390D15" w14:textId="57DA92D1" w:rsidR="00C8022A" w:rsidRPr="009A239D" w:rsidRDefault="00C8022A" w:rsidP="003918FD">
      <w:pPr>
        <w:pStyle w:val="NormalWeb"/>
        <w:jc w:val="both"/>
        <w:rPr>
          <w:sz w:val="20"/>
          <w:szCs w:val="20"/>
        </w:rPr>
      </w:pPr>
      <w:r w:rsidRPr="009A239D">
        <w:rPr>
          <w:sz w:val="20"/>
          <w:szCs w:val="20"/>
        </w:rPr>
        <w:t>The research highlighted that pursuing advanced degrees abroad leads to, a profound transformation in Filipino students' personal, academic, and professional identities forged through advanced degrees abroad, yielding independence, global competence, and a purpose-oriented commitment to national contribution.  The data showed 77</w:t>
      </w:r>
      <w:proofErr w:type="gramStart"/>
      <w:r w:rsidRPr="009A239D">
        <w:rPr>
          <w:sz w:val="20"/>
          <w:szCs w:val="20"/>
        </w:rPr>
        <w:t>%  of</w:t>
      </w:r>
      <w:proofErr w:type="gramEnd"/>
      <w:r w:rsidRPr="009A239D">
        <w:rPr>
          <w:sz w:val="20"/>
          <w:szCs w:val="20"/>
        </w:rPr>
        <w:t xml:space="preserve"> respondents reported significant personal growth in independence, adaptability, and resilience, framing the experience as a “transformative journey” (Respondent 5) that “pushes you to your limit,”  (Respondent 2).  As per Transformative Learning Theory which posits that exposure to unfamiliar environments leads to shifts in perspectives and identity (Kitchenham, 2020). Academic enhancements were noted by 69% encompassing research skills, laboratory </w:t>
      </w:r>
      <w:r w:rsidRPr="009A239D">
        <w:rPr>
          <w:sz w:val="20"/>
          <w:szCs w:val="20"/>
        </w:rPr>
        <w:lastRenderedPageBreak/>
        <w:t xml:space="preserve">techniques, and critical thinking via advanced instrumentation and diverse research practices enabled them to gain expertise that was previously limited in their home country. This supports the findings of </w:t>
      </w:r>
      <w:proofErr w:type="spellStart"/>
      <w:r w:rsidRPr="009A239D">
        <w:rPr>
          <w:sz w:val="20"/>
          <w:szCs w:val="20"/>
        </w:rPr>
        <w:t>Marginson</w:t>
      </w:r>
      <w:proofErr w:type="spellEnd"/>
      <w:r w:rsidRPr="009A239D">
        <w:rPr>
          <w:sz w:val="20"/>
          <w:szCs w:val="20"/>
        </w:rPr>
        <w:t xml:space="preserve"> (2022), who emphasized that international education enhances </w:t>
      </w:r>
      <w:r w:rsidRPr="009A239D">
        <w:rPr>
          <w:rStyle w:val="Strong"/>
          <w:b w:val="0"/>
          <w:bCs w:val="0"/>
          <w:sz w:val="20"/>
          <w:szCs w:val="20"/>
        </w:rPr>
        <w:t>human capital and research capability</w:t>
      </w:r>
      <w:r w:rsidRPr="009A239D">
        <w:rPr>
          <w:sz w:val="20"/>
          <w:szCs w:val="20"/>
        </w:rPr>
        <w:t xml:space="preserve"> through exposure to global knowledge systems</w:t>
      </w:r>
      <w:r w:rsidR="003918FD" w:rsidRPr="009A239D">
        <w:rPr>
          <w:sz w:val="20"/>
          <w:szCs w:val="20"/>
        </w:rPr>
        <w:t xml:space="preserve">. </w:t>
      </w:r>
      <w:r w:rsidRPr="009A239D">
        <w:rPr>
          <w:sz w:val="20"/>
          <w:szCs w:val="20"/>
        </w:rPr>
        <w:t xml:space="preserve">Intercultural competence and broadened worldviews emerged for 62%. Respondents expressed that interacting with diverse cultures broadened their worldview and deepened their appreciation of both global and Filipino identities. consistent with UNESCO (2023), which highlights that international education fosters global citizenship and intercultural understanding. A compelling 54% of respondents exhibited a "return mindset," aspiring to contribute as per Respondent 9: </w:t>
      </w:r>
      <w:proofErr w:type="gramStart"/>
      <w:r w:rsidRPr="009A239D">
        <w:rPr>
          <w:sz w:val="20"/>
          <w:szCs w:val="20"/>
        </w:rPr>
        <w:t xml:space="preserve">" </w:t>
      </w:r>
      <w:proofErr w:type="spellStart"/>
      <w:r w:rsidRPr="009A239D">
        <w:rPr>
          <w:sz w:val="20"/>
          <w:szCs w:val="20"/>
        </w:rPr>
        <w:t>Lagit</w:t>
      </w:r>
      <w:proofErr w:type="spellEnd"/>
      <w:proofErr w:type="gramEnd"/>
      <w:r w:rsidRPr="009A239D">
        <w:rPr>
          <w:sz w:val="20"/>
          <w:szCs w:val="20"/>
        </w:rPr>
        <w:t xml:space="preserve"> </w:t>
      </w:r>
      <w:proofErr w:type="spellStart"/>
      <w:r w:rsidRPr="009A239D">
        <w:rPr>
          <w:sz w:val="20"/>
          <w:szCs w:val="20"/>
        </w:rPr>
        <w:t>lagi</w:t>
      </w:r>
      <w:proofErr w:type="spellEnd"/>
      <w:r w:rsidRPr="009A239D">
        <w:rPr>
          <w:sz w:val="20"/>
          <w:szCs w:val="20"/>
        </w:rPr>
        <w:t xml:space="preserve">, </w:t>
      </w:r>
      <w:proofErr w:type="spellStart"/>
      <w:r w:rsidRPr="009A239D">
        <w:rPr>
          <w:sz w:val="20"/>
          <w:szCs w:val="20"/>
        </w:rPr>
        <w:t>para</w:t>
      </w:r>
      <w:proofErr w:type="spellEnd"/>
      <w:r w:rsidRPr="009A239D">
        <w:rPr>
          <w:sz w:val="20"/>
          <w:szCs w:val="20"/>
        </w:rPr>
        <w:t xml:space="preserve"> </w:t>
      </w:r>
      <w:proofErr w:type="spellStart"/>
      <w:r w:rsidRPr="009A239D">
        <w:rPr>
          <w:sz w:val="20"/>
          <w:szCs w:val="20"/>
        </w:rPr>
        <w:t>sa</w:t>
      </w:r>
      <w:proofErr w:type="spellEnd"/>
      <w:r w:rsidRPr="009A239D">
        <w:rPr>
          <w:sz w:val="20"/>
          <w:szCs w:val="20"/>
        </w:rPr>
        <w:t xml:space="preserve"> bayan"  and to serve as "good ambassador of the Philippines" through education reform, research advancement, and mentorship, evoking brain circulation (Asis &amp; Battistella, 2021; Beine et al., 2020). Several respondents also demonstrated critical awareness of Philippine systemic flaws; like inadequate infrastructure and academic gatekeeping, spurred calls to "displace unqualified gatekeepers” and advocate for better governance and investment in education.  Additionally, respondents emphasized the importance of representing Filipino identity positively in global spaces. Collectively, the “Phoenix Effect” thus encapsulates a journey of rising from challenges, emerging as globally competent individuals, and ultimately seeking to contribute to the advancement of their home country.</w:t>
      </w:r>
    </w:p>
    <w:p w14:paraId="18D9C9B2" w14:textId="73F30E38" w:rsidR="006A6F0E" w:rsidRPr="009A239D" w:rsidRDefault="00A25B09" w:rsidP="00A25B09">
      <w:pPr>
        <w:pStyle w:val="NormalWeb"/>
        <w:jc w:val="center"/>
        <w:rPr>
          <w:b/>
          <w:bCs/>
          <w:sz w:val="20"/>
          <w:szCs w:val="20"/>
        </w:rPr>
      </w:pPr>
      <w:r w:rsidRPr="009A239D">
        <w:rPr>
          <w:b/>
          <w:bCs/>
          <w:sz w:val="20"/>
          <w:szCs w:val="20"/>
        </w:rPr>
        <w:t>4. CONCLUSION</w:t>
      </w:r>
    </w:p>
    <w:p w14:paraId="43AABAC9" w14:textId="77777777" w:rsidR="00F90CA8" w:rsidRPr="009A239D" w:rsidRDefault="00F90CA8" w:rsidP="00F90CA8">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This study reveals that the lived experiences of Filipino students pursuing advanced degrees abroad are shaped by mix of structural constraint, socio-cultural challenges, adaptive strategies, and transformative growth, positioning international education as both a response to local limitations and a pathway for global competence. Driven by gaps in specialization, research infrastructure, and academic opportunities in the Philippines, students embark on a “leap of faith” that exposes them to significant emotional and cultural adjustments, including homesickness, language barriers, and identity negotiation. Despite these challenges, they demonstrate strong resilience, supported by Filipino communities, strong family ties, and supportive mentors which collectively sustain their well-being and academic persistence. The contrast between Philippine and foreign academic environments further highlights an “instrumentation gap” that affects confidence rather than capability, as students possess strong theoretical foundations but limited access to advanced research resources. Ultimately, the international experience fosters profound personal, academic, and intercultural development, giving rise to a “Phoenix Effect” in which students emerge as independent, globally competent individuals with a renewed sense of purpose. Notably, this transformation is anchored in a strong “return mindset,” reflecting their desire to contribute to national development, </w:t>
      </w:r>
      <w:r w:rsidRPr="009A239D">
        <w:rPr>
          <w:rFonts w:ascii="Times New Roman" w:hAnsi="Times New Roman" w:cs="Times New Roman"/>
          <w:sz w:val="20"/>
          <w:szCs w:val="20"/>
        </w:rPr>
        <w:lastRenderedPageBreak/>
        <w:t>improve local</w:t>
      </w:r>
      <w:r w:rsidRPr="009A239D">
        <w:rPr>
          <w:rFonts w:ascii="Times New Roman" w:hAnsi="Times New Roman" w:cs="Times New Roman"/>
        </w:rPr>
        <w:t xml:space="preserve"> </w:t>
      </w:r>
      <w:r w:rsidRPr="009A239D">
        <w:rPr>
          <w:rFonts w:ascii="Times New Roman" w:hAnsi="Times New Roman" w:cs="Times New Roman"/>
          <w:sz w:val="20"/>
          <w:szCs w:val="20"/>
        </w:rPr>
        <w:t xml:space="preserve">systems, and represent Filipino identity in global stage. Thus, the study underscores that the journey of Filipino scholars abroad is not merely an individual pursuit of advancement but a collective investment in nation-building, bridging global knowledge with a deep and enduring commitment to </w:t>
      </w:r>
      <w:proofErr w:type="spellStart"/>
      <w:r w:rsidRPr="009A239D">
        <w:rPr>
          <w:rFonts w:ascii="Times New Roman" w:hAnsi="Times New Roman" w:cs="Times New Roman"/>
          <w:i/>
          <w:iCs/>
          <w:sz w:val="20"/>
          <w:szCs w:val="20"/>
        </w:rPr>
        <w:t>para</w:t>
      </w:r>
      <w:proofErr w:type="spellEnd"/>
      <w:r w:rsidRPr="009A239D">
        <w:rPr>
          <w:rFonts w:ascii="Times New Roman" w:hAnsi="Times New Roman" w:cs="Times New Roman"/>
          <w:i/>
          <w:iCs/>
          <w:sz w:val="20"/>
          <w:szCs w:val="20"/>
        </w:rPr>
        <w:t xml:space="preserve"> </w:t>
      </w:r>
      <w:proofErr w:type="spellStart"/>
      <w:r w:rsidRPr="009A239D">
        <w:rPr>
          <w:rFonts w:ascii="Times New Roman" w:hAnsi="Times New Roman" w:cs="Times New Roman"/>
          <w:i/>
          <w:iCs/>
          <w:sz w:val="20"/>
          <w:szCs w:val="20"/>
        </w:rPr>
        <w:t>sa</w:t>
      </w:r>
      <w:proofErr w:type="spellEnd"/>
      <w:r w:rsidRPr="009A239D">
        <w:rPr>
          <w:rFonts w:ascii="Times New Roman" w:hAnsi="Times New Roman" w:cs="Times New Roman"/>
          <w:i/>
          <w:iCs/>
          <w:sz w:val="20"/>
          <w:szCs w:val="20"/>
        </w:rPr>
        <w:t xml:space="preserve"> </w:t>
      </w:r>
      <w:proofErr w:type="spellStart"/>
      <w:r w:rsidRPr="009A239D">
        <w:rPr>
          <w:rFonts w:ascii="Times New Roman" w:hAnsi="Times New Roman" w:cs="Times New Roman"/>
          <w:i/>
          <w:iCs/>
          <w:sz w:val="20"/>
          <w:szCs w:val="20"/>
        </w:rPr>
        <w:t>bayan</w:t>
      </w:r>
      <w:proofErr w:type="spellEnd"/>
      <w:r w:rsidRPr="009A239D">
        <w:rPr>
          <w:rFonts w:ascii="Times New Roman" w:hAnsi="Times New Roman" w:cs="Times New Roman"/>
          <w:sz w:val="20"/>
          <w:szCs w:val="20"/>
        </w:rPr>
        <w:t>.</w:t>
      </w:r>
    </w:p>
    <w:p w14:paraId="7690F05B" w14:textId="7820458A" w:rsidR="00544120" w:rsidRPr="009A239D" w:rsidRDefault="00544120" w:rsidP="00544120">
      <w:pPr>
        <w:pStyle w:val="NormalWeb"/>
        <w:jc w:val="center"/>
        <w:rPr>
          <w:b/>
          <w:bCs/>
          <w:sz w:val="20"/>
          <w:szCs w:val="20"/>
        </w:rPr>
      </w:pPr>
      <w:r w:rsidRPr="009A239D">
        <w:rPr>
          <w:b/>
          <w:bCs/>
          <w:sz w:val="20"/>
          <w:szCs w:val="20"/>
        </w:rPr>
        <w:t>5. RECOMMENDATION</w:t>
      </w:r>
    </w:p>
    <w:p w14:paraId="590A1D46" w14:textId="334FEE71" w:rsidR="00FF2B95" w:rsidRPr="009A239D" w:rsidRDefault="00FF2B95" w:rsidP="00FF2B95">
      <w:pPr>
        <w:spacing w:line="240" w:lineRule="auto"/>
        <w:jc w:val="both"/>
        <w:rPr>
          <w:rFonts w:ascii="Times New Roman" w:hAnsi="Times New Roman" w:cs="Times New Roman"/>
          <w:sz w:val="20"/>
          <w:szCs w:val="20"/>
        </w:rPr>
      </w:pPr>
      <w:r w:rsidRPr="009A239D">
        <w:rPr>
          <w:rFonts w:ascii="Times New Roman" w:hAnsi="Times New Roman" w:cs="Times New Roman"/>
          <w:sz w:val="20"/>
          <w:szCs w:val="20"/>
        </w:rPr>
        <w:t xml:space="preserve">Based on the findings, Philippine higher education institutions, policymakers, and academic stakeholders must implement targeted reforms to strengthen global competitiveness and student preparedness for international graduate studies. Universities </w:t>
      </w:r>
      <w:r w:rsidR="00047C23" w:rsidRPr="009A239D">
        <w:rPr>
          <w:rFonts w:ascii="Times New Roman" w:hAnsi="Times New Roman" w:cs="Times New Roman"/>
          <w:sz w:val="20"/>
          <w:szCs w:val="20"/>
        </w:rPr>
        <w:t>should enhance</w:t>
      </w:r>
      <w:r w:rsidR="0099158C" w:rsidRPr="009A239D">
        <w:rPr>
          <w:rFonts w:ascii="Times New Roman" w:hAnsi="Times New Roman" w:cs="Times New Roman"/>
          <w:sz w:val="20"/>
          <w:szCs w:val="20"/>
        </w:rPr>
        <w:t xml:space="preserve"> curriculum design by shifting </w:t>
      </w:r>
      <w:proofErr w:type="gramStart"/>
      <w:r w:rsidR="0099158C" w:rsidRPr="009A239D">
        <w:rPr>
          <w:rFonts w:ascii="Times New Roman" w:hAnsi="Times New Roman" w:cs="Times New Roman"/>
          <w:sz w:val="20"/>
          <w:szCs w:val="20"/>
        </w:rPr>
        <w:t xml:space="preserve">from </w:t>
      </w:r>
      <w:r w:rsidRPr="009A239D">
        <w:rPr>
          <w:rFonts w:ascii="Times New Roman" w:hAnsi="Times New Roman" w:cs="Times New Roman"/>
          <w:sz w:val="20"/>
          <w:szCs w:val="20"/>
        </w:rPr>
        <w:t xml:space="preserve"> </w:t>
      </w:r>
      <w:r w:rsidR="0099158C" w:rsidRPr="009A239D">
        <w:rPr>
          <w:rFonts w:ascii="Times New Roman" w:hAnsi="Times New Roman" w:cs="Times New Roman"/>
          <w:sz w:val="20"/>
          <w:szCs w:val="20"/>
        </w:rPr>
        <w:t>predominantly</w:t>
      </w:r>
      <w:proofErr w:type="gramEnd"/>
      <w:r w:rsidR="0099158C" w:rsidRPr="009A239D">
        <w:rPr>
          <w:rFonts w:ascii="Times New Roman" w:hAnsi="Times New Roman" w:cs="Times New Roman"/>
          <w:sz w:val="20"/>
          <w:szCs w:val="20"/>
        </w:rPr>
        <w:t xml:space="preserve"> </w:t>
      </w:r>
      <w:r w:rsidRPr="009A239D">
        <w:rPr>
          <w:rFonts w:ascii="Times New Roman" w:hAnsi="Times New Roman" w:cs="Times New Roman"/>
          <w:sz w:val="20"/>
          <w:szCs w:val="20"/>
        </w:rPr>
        <w:t>theor</w:t>
      </w:r>
      <w:r w:rsidR="00D66E7B" w:rsidRPr="009A239D">
        <w:rPr>
          <w:rFonts w:ascii="Times New Roman" w:hAnsi="Times New Roman" w:cs="Times New Roman"/>
          <w:sz w:val="20"/>
          <w:szCs w:val="20"/>
        </w:rPr>
        <w:t>y-driven</w:t>
      </w:r>
      <w:r w:rsidRPr="009A239D">
        <w:rPr>
          <w:rFonts w:ascii="Times New Roman" w:hAnsi="Times New Roman" w:cs="Times New Roman"/>
          <w:sz w:val="20"/>
          <w:szCs w:val="20"/>
        </w:rPr>
        <w:t xml:space="preserve"> and generalist </w:t>
      </w:r>
      <w:r w:rsidR="00D66E7B" w:rsidRPr="009A239D">
        <w:rPr>
          <w:rFonts w:ascii="Times New Roman" w:hAnsi="Times New Roman" w:cs="Times New Roman"/>
          <w:sz w:val="20"/>
          <w:szCs w:val="20"/>
        </w:rPr>
        <w:t xml:space="preserve">approach to a more </w:t>
      </w:r>
      <w:r w:rsidRPr="009A239D">
        <w:rPr>
          <w:rFonts w:ascii="Times New Roman" w:hAnsi="Times New Roman" w:cs="Times New Roman"/>
          <w:sz w:val="20"/>
          <w:szCs w:val="20"/>
        </w:rPr>
        <w:t>research</w:t>
      </w:r>
      <w:r w:rsidR="00BC3267" w:rsidRPr="009A239D">
        <w:rPr>
          <w:rFonts w:ascii="Times New Roman" w:hAnsi="Times New Roman" w:cs="Times New Roman"/>
          <w:sz w:val="20"/>
          <w:szCs w:val="20"/>
        </w:rPr>
        <w:t xml:space="preserve">-oriented and </w:t>
      </w:r>
      <w:r w:rsidRPr="009A239D">
        <w:rPr>
          <w:rFonts w:ascii="Times New Roman" w:hAnsi="Times New Roman" w:cs="Times New Roman"/>
          <w:sz w:val="20"/>
          <w:szCs w:val="20"/>
        </w:rPr>
        <w:t>specialized framework, integrating hands-on laboratory training, advanced instrumentation exposure, and data analysis competencies at the undergraduate level. Increased government and institutional investment in research infrastructure, laboratory facilities, and funding support is also essential to address the identified “instrumentation gap” and reduce the need for students to seek such resources abroad. Alongside this, institutions should establish structured mentorship programs, international linkages, and exchange opportunities to provide early exposure to global academic environments and intercultural readiness. To support students’ well-being, both local and host institutions are encouraged to strengthen academic advising, peer support networks, and culturally responsive services that help students navigate emotional and socio-cultural challenges. Finally, policies that promote brain circulation rather than brain drain should be prioritized by creating incentives for returning scholars, fostering research collaboration, and ensuring transparent, merit based academic systems, thereby enabling Filipino graduates to meaningfully contribute to national development and uphold the enduring commitment to “</w:t>
      </w:r>
      <w:r w:rsidRPr="009A239D">
        <w:rPr>
          <w:rFonts w:ascii="Times New Roman" w:hAnsi="Times New Roman" w:cs="Times New Roman"/>
          <w:i/>
          <w:iCs/>
          <w:sz w:val="20"/>
          <w:szCs w:val="20"/>
        </w:rPr>
        <w:t xml:space="preserve">Para </w:t>
      </w:r>
      <w:proofErr w:type="spellStart"/>
      <w:r w:rsidRPr="009A239D">
        <w:rPr>
          <w:rFonts w:ascii="Times New Roman" w:hAnsi="Times New Roman" w:cs="Times New Roman"/>
          <w:i/>
          <w:iCs/>
          <w:sz w:val="20"/>
          <w:szCs w:val="20"/>
        </w:rPr>
        <w:t>sa</w:t>
      </w:r>
      <w:proofErr w:type="spellEnd"/>
      <w:r w:rsidRPr="009A239D">
        <w:rPr>
          <w:rFonts w:ascii="Times New Roman" w:hAnsi="Times New Roman" w:cs="Times New Roman"/>
          <w:i/>
          <w:iCs/>
          <w:sz w:val="20"/>
          <w:szCs w:val="20"/>
        </w:rPr>
        <w:t xml:space="preserve"> Bayan”</w:t>
      </w:r>
      <w:r w:rsidRPr="009A239D">
        <w:rPr>
          <w:rFonts w:ascii="Times New Roman" w:hAnsi="Times New Roman" w:cs="Times New Roman"/>
          <w:sz w:val="20"/>
          <w:szCs w:val="20"/>
        </w:rPr>
        <w:t>.</w:t>
      </w:r>
    </w:p>
    <w:p w14:paraId="5C282A36" w14:textId="77777777" w:rsidR="007C63C9" w:rsidRPr="009A239D" w:rsidRDefault="007C63C9" w:rsidP="00963F64">
      <w:pPr>
        <w:spacing w:line="240" w:lineRule="auto"/>
        <w:jc w:val="both"/>
        <w:rPr>
          <w:rFonts w:ascii="Times New Roman" w:hAnsi="Times New Roman" w:cs="Times New Roman"/>
          <w:sz w:val="20"/>
          <w:szCs w:val="20"/>
          <w:lang w:val="en-US"/>
        </w:rPr>
      </w:pPr>
    </w:p>
    <w:p w14:paraId="79CD401D" w14:textId="77777777" w:rsidR="00364D28" w:rsidRPr="009A239D" w:rsidRDefault="00364D28" w:rsidP="00364D28">
      <w:pPr>
        <w:spacing w:line="240" w:lineRule="auto"/>
        <w:jc w:val="both"/>
        <w:rPr>
          <w:rFonts w:ascii="Times New Roman" w:hAnsi="Times New Roman" w:cs="Times New Roman"/>
          <w:sz w:val="20"/>
          <w:szCs w:val="20"/>
          <w:highlight w:val="yellow"/>
        </w:rPr>
      </w:pPr>
    </w:p>
    <w:p w14:paraId="72F7B42A" w14:textId="77777777" w:rsidR="00C37C69" w:rsidRPr="009A239D" w:rsidRDefault="00604F3D" w:rsidP="00403D3B">
      <w:pPr>
        <w:spacing w:line="240" w:lineRule="auto"/>
        <w:ind w:left="1440" w:firstLine="720"/>
        <w:rPr>
          <w:rFonts w:ascii="Times New Roman" w:hAnsi="Times New Roman" w:cs="Times New Roman"/>
          <w:b/>
          <w:bCs/>
          <w:sz w:val="20"/>
          <w:szCs w:val="20"/>
        </w:rPr>
      </w:pPr>
      <w:r w:rsidRPr="009A239D">
        <w:rPr>
          <w:rFonts w:ascii="Times New Roman" w:hAnsi="Times New Roman" w:cs="Times New Roman"/>
          <w:b/>
          <w:bCs/>
          <w:sz w:val="20"/>
          <w:szCs w:val="20"/>
        </w:rPr>
        <w:t>REFERENCES</w:t>
      </w:r>
    </w:p>
    <w:p w14:paraId="23C7A0ED" w14:textId="77777777" w:rsidR="008838B6" w:rsidRPr="009A239D" w:rsidRDefault="008838B6" w:rsidP="008838B6">
      <w:pPr>
        <w:spacing w:line="240" w:lineRule="auto"/>
        <w:jc w:val="both"/>
        <w:rPr>
          <w:rFonts w:ascii="Times New Roman" w:hAnsi="Times New Roman" w:cs="Times New Roman"/>
          <w:sz w:val="20"/>
          <w:szCs w:val="20"/>
          <w:highlight w:val="yellow"/>
        </w:rPr>
      </w:pPr>
    </w:p>
    <w:p w14:paraId="68C5A29E" w14:textId="5D381C03" w:rsidR="006F3F0D" w:rsidRPr="009A239D" w:rsidRDefault="004D08BE" w:rsidP="00396F88">
      <w:pPr>
        <w:spacing w:line="240" w:lineRule="auto"/>
        <w:ind w:left="720" w:hanging="720"/>
        <w:jc w:val="both"/>
        <w:rPr>
          <w:rFonts w:ascii="Times New Roman" w:hAnsi="Times New Roman" w:cs="Times New Roman"/>
          <w:sz w:val="20"/>
          <w:szCs w:val="20"/>
        </w:rPr>
      </w:pPr>
      <w:proofErr w:type="spellStart"/>
      <w:r w:rsidRPr="009A239D">
        <w:rPr>
          <w:rFonts w:ascii="Times New Roman" w:hAnsi="Times New Roman" w:cs="Times New Roman"/>
          <w:sz w:val="20"/>
          <w:szCs w:val="20"/>
        </w:rPr>
        <w:t>Altbach</w:t>
      </w:r>
      <w:proofErr w:type="spellEnd"/>
      <w:r w:rsidRPr="009A239D">
        <w:rPr>
          <w:rFonts w:ascii="Times New Roman" w:hAnsi="Times New Roman" w:cs="Times New Roman"/>
          <w:sz w:val="20"/>
          <w:szCs w:val="20"/>
        </w:rPr>
        <w:t xml:space="preserve">, P., &amp; de Wit, H. (2020). </w:t>
      </w:r>
      <w:proofErr w:type="spellStart"/>
      <w:r w:rsidRPr="009A239D">
        <w:rPr>
          <w:rFonts w:ascii="Times New Roman" w:hAnsi="Times New Roman" w:cs="Times New Roman"/>
          <w:sz w:val="20"/>
          <w:szCs w:val="20"/>
        </w:rPr>
        <w:t>Postpandemic</w:t>
      </w:r>
      <w:proofErr w:type="spellEnd"/>
      <w:r w:rsidRPr="009A239D">
        <w:rPr>
          <w:rFonts w:ascii="Times New Roman" w:hAnsi="Times New Roman" w:cs="Times New Roman"/>
          <w:sz w:val="20"/>
          <w:szCs w:val="20"/>
        </w:rPr>
        <w:t xml:space="preserve"> Outlook for Higher Education is Bleakest for the Poorest. </w:t>
      </w:r>
      <w:r w:rsidRPr="009A239D">
        <w:rPr>
          <w:rFonts w:ascii="Times New Roman" w:hAnsi="Times New Roman" w:cs="Times New Roman"/>
          <w:i/>
          <w:iCs/>
          <w:sz w:val="20"/>
          <w:szCs w:val="20"/>
        </w:rPr>
        <w:t>International Higher Education</w:t>
      </w:r>
      <w:r w:rsidRPr="009A239D">
        <w:rPr>
          <w:rFonts w:ascii="Times New Roman" w:hAnsi="Times New Roman" w:cs="Times New Roman"/>
          <w:sz w:val="20"/>
          <w:szCs w:val="20"/>
        </w:rPr>
        <w:t xml:space="preserve">, (102), 3–5. Retrieved from </w:t>
      </w:r>
      <w:hyperlink r:id="rId9" w:history="1">
        <w:r w:rsidR="006F3F0D" w:rsidRPr="009A239D">
          <w:rPr>
            <w:rStyle w:val="Hyperlink"/>
            <w:rFonts w:ascii="Times New Roman" w:hAnsi="Times New Roman" w:cs="Times New Roman"/>
            <w:sz w:val="20"/>
            <w:szCs w:val="20"/>
          </w:rPr>
          <w:t>https://ejournals.bc.edu/index.php/ihe/article/view/14583</w:t>
        </w:r>
      </w:hyperlink>
    </w:p>
    <w:p w14:paraId="33236746" w14:textId="77777777" w:rsidR="006F3F0D" w:rsidRPr="009A239D" w:rsidRDefault="006F3F0D" w:rsidP="00396F88">
      <w:pPr>
        <w:spacing w:line="240" w:lineRule="auto"/>
        <w:ind w:left="720" w:hanging="720"/>
        <w:jc w:val="both"/>
        <w:rPr>
          <w:rFonts w:ascii="Times New Roman" w:hAnsi="Times New Roman" w:cs="Times New Roman"/>
          <w:sz w:val="20"/>
          <w:szCs w:val="20"/>
        </w:rPr>
      </w:pPr>
    </w:p>
    <w:p w14:paraId="12E05508" w14:textId="5F5D3F64" w:rsidR="00396F88" w:rsidRPr="009A239D" w:rsidRDefault="00396F88" w:rsidP="00396F88">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 xml:space="preserve">Andrade, M. S. (2020). The impact of English language proficiency on international student academic success. </w:t>
      </w:r>
      <w:r w:rsidRPr="009A239D">
        <w:rPr>
          <w:rFonts w:ascii="Times New Roman" w:hAnsi="Times New Roman" w:cs="Times New Roman"/>
          <w:i/>
          <w:iCs/>
          <w:sz w:val="20"/>
          <w:szCs w:val="20"/>
          <w:lang w:val="en-US"/>
        </w:rPr>
        <w:t>Journal of Studies in International Education, 24</w:t>
      </w:r>
      <w:r w:rsidRPr="009A239D">
        <w:rPr>
          <w:rFonts w:ascii="Times New Roman" w:hAnsi="Times New Roman" w:cs="Times New Roman"/>
          <w:sz w:val="20"/>
          <w:szCs w:val="20"/>
          <w:lang w:val="en-US"/>
        </w:rPr>
        <w:t xml:space="preserve">(2), 143–160. </w:t>
      </w:r>
      <w:hyperlink r:id="rId10" w:history="1">
        <w:r w:rsidR="00097E51" w:rsidRPr="009A239D">
          <w:rPr>
            <w:rStyle w:val="Hyperlink"/>
            <w:rFonts w:ascii="Times New Roman" w:hAnsi="Times New Roman" w:cs="Times New Roman"/>
            <w:sz w:val="20"/>
            <w:szCs w:val="20"/>
            <w:lang w:val="en-US"/>
          </w:rPr>
          <w:t>https://doi.org/10.1177/1028315319889880</w:t>
        </w:r>
      </w:hyperlink>
    </w:p>
    <w:p w14:paraId="6CBD7DE6" w14:textId="77777777" w:rsidR="00097E51" w:rsidRPr="009A239D" w:rsidRDefault="00097E51" w:rsidP="00396F88">
      <w:pPr>
        <w:spacing w:line="240" w:lineRule="auto"/>
        <w:ind w:left="720" w:hanging="720"/>
        <w:jc w:val="both"/>
        <w:rPr>
          <w:rFonts w:ascii="Times New Roman" w:hAnsi="Times New Roman" w:cs="Times New Roman"/>
          <w:sz w:val="20"/>
          <w:szCs w:val="20"/>
          <w:lang w:val="en-US"/>
        </w:rPr>
      </w:pPr>
    </w:p>
    <w:p w14:paraId="18ED3526" w14:textId="77777777" w:rsidR="00396F88" w:rsidRPr="009A239D" w:rsidRDefault="00396F88" w:rsidP="00396F88">
      <w:pPr>
        <w:spacing w:line="240" w:lineRule="auto"/>
        <w:jc w:val="both"/>
        <w:rPr>
          <w:rFonts w:ascii="Times New Roman" w:hAnsi="Times New Roman" w:cs="Times New Roman"/>
          <w:sz w:val="20"/>
          <w:szCs w:val="20"/>
        </w:rPr>
      </w:pPr>
    </w:p>
    <w:p w14:paraId="270A9406" w14:textId="7410A8C1" w:rsidR="00A304DA" w:rsidRPr="009A239D" w:rsidRDefault="00A304DA" w:rsidP="00873D47">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Asis, M. M. B., &amp; Battistella, G. (2021).</w:t>
      </w:r>
      <w:r w:rsidRPr="009A239D">
        <w:rPr>
          <w:rFonts w:ascii="Times New Roman" w:hAnsi="Times New Roman" w:cs="Times New Roman"/>
          <w:sz w:val="20"/>
          <w:szCs w:val="20"/>
        </w:rPr>
        <w:br/>
        <w:t xml:space="preserve">The Filipino diaspora: Trends, issues, and </w:t>
      </w:r>
      <w:r w:rsidRPr="009A239D">
        <w:rPr>
          <w:rFonts w:ascii="Times New Roman" w:hAnsi="Times New Roman" w:cs="Times New Roman"/>
          <w:sz w:val="20"/>
          <w:szCs w:val="20"/>
        </w:rPr>
        <w:lastRenderedPageBreak/>
        <w:t xml:space="preserve">implications for development. </w:t>
      </w:r>
      <w:r w:rsidRPr="009A239D">
        <w:rPr>
          <w:rFonts w:ascii="Times New Roman" w:hAnsi="Times New Roman" w:cs="Times New Roman"/>
          <w:i/>
          <w:iCs/>
          <w:sz w:val="20"/>
          <w:szCs w:val="20"/>
        </w:rPr>
        <w:t>International Migration, 59</w:t>
      </w:r>
      <w:r w:rsidRPr="009A239D">
        <w:rPr>
          <w:rFonts w:ascii="Times New Roman" w:hAnsi="Times New Roman" w:cs="Times New Roman"/>
          <w:sz w:val="20"/>
          <w:szCs w:val="20"/>
        </w:rPr>
        <w:t>(5), 134–148.</w:t>
      </w:r>
      <w:r w:rsidRPr="009A239D">
        <w:rPr>
          <w:rFonts w:ascii="Times New Roman" w:hAnsi="Times New Roman" w:cs="Times New Roman"/>
          <w:sz w:val="20"/>
          <w:szCs w:val="20"/>
        </w:rPr>
        <w:br/>
      </w:r>
      <w:hyperlink r:id="rId11" w:history="1">
        <w:r w:rsidRPr="009A239D">
          <w:rPr>
            <w:rStyle w:val="Hyperlink"/>
            <w:rFonts w:ascii="Times New Roman" w:hAnsi="Times New Roman" w:cs="Times New Roman"/>
            <w:sz w:val="20"/>
            <w:szCs w:val="20"/>
          </w:rPr>
          <w:t>https://doi.org/10.1111/imig.12757</w:t>
        </w:r>
      </w:hyperlink>
    </w:p>
    <w:p w14:paraId="364E7C75" w14:textId="77777777" w:rsidR="00C207A0" w:rsidRPr="009A239D" w:rsidRDefault="00C207A0" w:rsidP="00873D47">
      <w:pPr>
        <w:spacing w:line="240" w:lineRule="auto"/>
        <w:ind w:left="720" w:hanging="720"/>
        <w:jc w:val="both"/>
        <w:rPr>
          <w:rFonts w:ascii="Times New Roman" w:hAnsi="Times New Roman" w:cs="Times New Roman"/>
          <w:sz w:val="20"/>
          <w:szCs w:val="20"/>
        </w:rPr>
      </w:pPr>
    </w:p>
    <w:p w14:paraId="1EBC02A9" w14:textId="46F8151B" w:rsidR="007C0D21" w:rsidRPr="009A239D" w:rsidRDefault="007C0D21" w:rsidP="00873D47">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Bernardo, A. B. I. (2019). Creativity, culture, and education in the Philippines. </w:t>
      </w:r>
      <w:r w:rsidRPr="009A239D">
        <w:rPr>
          <w:rFonts w:ascii="Times New Roman" w:hAnsi="Times New Roman" w:cs="Times New Roman"/>
          <w:i/>
          <w:iCs/>
          <w:sz w:val="20"/>
          <w:szCs w:val="20"/>
        </w:rPr>
        <w:t>Asia Pacific Journal of Education, 39</w:t>
      </w:r>
      <w:r w:rsidRPr="009A239D">
        <w:rPr>
          <w:rFonts w:ascii="Times New Roman" w:hAnsi="Times New Roman" w:cs="Times New Roman"/>
          <w:sz w:val="20"/>
          <w:szCs w:val="20"/>
        </w:rPr>
        <w:t>(3), 321–334.</w:t>
      </w:r>
      <w:r w:rsidRPr="009A239D">
        <w:rPr>
          <w:rFonts w:ascii="Times New Roman" w:hAnsi="Times New Roman" w:cs="Times New Roman"/>
          <w:sz w:val="20"/>
          <w:szCs w:val="20"/>
        </w:rPr>
        <w:br/>
      </w:r>
      <w:hyperlink r:id="rId12" w:history="1">
        <w:r w:rsidRPr="009A239D">
          <w:rPr>
            <w:rStyle w:val="Hyperlink"/>
            <w:rFonts w:ascii="Times New Roman" w:hAnsi="Times New Roman" w:cs="Times New Roman"/>
            <w:sz w:val="20"/>
            <w:szCs w:val="20"/>
          </w:rPr>
          <w:t>https://doi.org/10.1080/02188791.2019.1601153</w:t>
        </w:r>
      </w:hyperlink>
    </w:p>
    <w:p w14:paraId="589EAC29" w14:textId="77777777" w:rsidR="003559E4" w:rsidRPr="009A239D" w:rsidRDefault="003559E4" w:rsidP="003559E4">
      <w:pPr>
        <w:spacing w:line="240" w:lineRule="auto"/>
        <w:jc w:val="both"/>
        <w:rPr>
          <w:rFonts w:ascii="Times New Roman" w:hAnsi="Times New Roman" w:cs="Times New Roman"/>
          <w:sz w:val="20"/>
          <w:szCs w:val="20"/>
        </w:rPr>
      </w:pPr>
    </w:p>
    <w:p w14:paraId="594E07BF" w14:textId="4189A57E" w:rsidR="00862CDD" w:rsidRPr="009A239D" w:rsidRDefault="00862CDD" w:rsidP="003559E4">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Birt, L., Scott, S., Cavers, D., Campbell, C., </w:t>
      </w:r>
      <w:proofErr w:type="gramStart"/>
      <w:r w:rsidRPr="009A239D">
        <w:rPr>
          <w:rFonts w:ascii="Times New Roman" w:hAnsi="Times New Roman" w:cs="Times New Roman"/>
          <w:sz w:val="20"/>
          <w:szCs w:val="20"/>
        </w:rPr>
        <w:t>&amp;  Walter</w:t>
      </w:r>
      <w:proofErr w:type="gramEnd"/>
      <w:r w:rsidRPr="009A239D">
        <w:rPr>
          <w:rFonts w:ascii="Times New Roman" w:hAnsi="Times New Roman" w:cs="Times New Roman"/>
          <w:sz w:val="20"/>
          <w:szCs w:val="20"/>
        </w:rPr>
        <w:t xml:space="preserve">, F. (2016). Member checking: A tool to enhance trustworthiness or merely a nod to validation? Qualitative Health Research, 26(13),1802-1811. </w:t>
      </w:r>
      <w:hyperlink r:id="rId13" w:history="1">
        <w:r w:rsidRPr="009A239D">
          <w:rPr>
            <w:rStyle w:val="Hyperlink"/>
            <w:rFonts w:ascii="Times New Roman" w:hAnsi="Times New Roman" w:cs="Times New Roman"/>
            <w:sz w:val="20"/>
            <w:szCs w:val="20"/>
          </w:rPr>
          <w:t>https://doi.org/10.1177./1049732316654870</w:t>
        </w:r>
      </w:hyperlink>
    </w:p>
    <w:p w14:paraId="7940323B" w14:textId="77777777" w:rsidR="00873D47" w:rsidRPr="009A239D" w:rsidRDefault="00873D47" w:rsidP="00873D47">
      <w:pPr>
        <w:spacing w:line="240" w:lineRule="auto"/>
        <w:ind w:left="720" w:hanging="720"/>
        <w:jc w:val="both"/>
        <w:rPr>
          <w:rFonts w:ascii="Times New Roman" w:hAnsi="Times New Roman" w:cs="Times New Roman"/>
          <w:sz w:val="20"/>
          <w:szCs w:val="20"/>
        </w:rPr>
      </w:pPr>
    </w:p>
    <w:p w14:paraId="28B94F98" w14:textId="0BA1CD4F" w:rsidR="000E5595" w:rsidRPr="009A239D" w:rsidRDefault="000E5595" w:rsidP="000E5595">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Braun, V., &amp; Clarke, V. (2022). Thematic analysis: A Practical guide. SAGE. </w:t>
      </w:r>
      <w:hyperlink r:id="rId14" w:history="1">
        <w:r w:rsidRPr="009A239D">
          <w:rPr>
            <w:rStyle w:val="Hyperlink"/>
            <w:rFonts w:ascii="Times New Roman" w:hAnsi="Times New Roman" w:cs="Times New Roman"/>
            <w:sz w:val="20"/>
            <w:szCs w:val="20"/>
          </w:rPr>
          <w:t>https://doi.org/10.53841/bpsqmip.2022.1</w:t>
        </w:r>
      </w:hyperlink>
      <w:r w:rsidRPr="009A239D">
        <w:rPr>
          <w:rFonts w:ascii="Times New Roman" w:hAnsi="Times New Roman" w:cs="Times New Roman"/>
          <w:sz w:val="20"/>
          <w:szCs w:val="20"/>
        </w:rPr>
        <w:t xml:space="preserve">. </w:t>
      </w:r>
    </w:p>
    <w:p w14:paraId="5113B1E3" w14:textId="18C159E2" w:rsidR="00BE4070" w:rsidRPr="009A239D" w:rsidRDefault="00BE4070" w:rsidP="00A8158A">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Brooks, R., &amp; Waters, J. (2021). </w:t>
      </w:r>
      <w:r w:rsidRPr="009A239D">
        <w:rPr>
          <w:rFonts w:ascii="Times New Roman" w:hAnsi="Times New Roman" w:cs="Times New Roman"/>
          <w:i/>
          <w:iCs/>
          <w:sz w:val="20"/>
          <w:szCs w:val="20"/>
        </w:rPr>
        <w:t>Student mobilities, migration and the internationalization of higher education</w:t>
      </w:r>
      <w:r w:rsidRPr="009A239D">
        <w:rPr>
          <w:rFonts w:ascii="Times New Roman" w:hAnsi="Times New Roman" w:cs="Times New Roman"/>
          <w:sz w:val="20"/>
          <w:szCs w:val="20"/>
        </w:rPr>
        <w:t xml:space="preserve">. Oxford University Press. </w:t>
      </w:r>
      <w:hyperlink r:id="rId15" w:history="1">
        <w:r w:rsidRPr="009A239D">
          <w:rPr>
            <w:rStyle w:val="Hyperlink"/>
            <w:rFonts w:ascii="Times New Roman" w:hAnsi="Times New Roman" w:cs="Times New Roman"/>
            <w:sz w:val="20"/>
            <w:szCs w:val="20"/>
          </w:rPr>
          <w:t>https://doi.org/10.1093/oso/9780198825118.001.0001</w:t>
        </w:r>
      </w:hyperlink>
    </w:p>
    <w:p w14:paraId="1A5E5A86" w14:textId="6228C4D3" w:rsidR="00A8158A" w:rsidRPr="009A239D" w:rsidRDefault="00A8158A" w:rsidP="00A8158A">
      <w:pPr>
        <w:spacing w:after="160"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Byrne, D. (2022). A worked example of Braun and Clarke's approach to reflexive thematic analysis. Quality &amp; Quantity, 56(3), 1391–1412. </w:t>
      </w:r>
      <w:hyperlink r:id="rId16" w:history="1">
        <w:r w:rsidRPr="009A239D">
          <w:rPr>
            <w:rStyle w:val="Hyperlink"/>
            <w:rFonts w:ascii="Times New Roman" w:hAnsi="Times New Roman" w:cs="Times New Roman"/>
            <w:sz w:val="20"/>
            <w:szCs w:val="20"/>
          </w:rPr>
          <w:t>https://doi.org/10.1007/s11135-021-01182y</w:t>
        </w:r>
      </w:hyperlink>
      <w:r w:rsidRPr="009A239D">
        <w:rPr>
          <w:rFonts w:ascii="Times New Roman" w:hAnsi="Times New Roman" w:cs="Times New Roman"/>
          <w:sz w:val="20"/>
          <w:szCs w:val="20"/>
        </w:rPr>
        <w:t xml:space="preserve"> </w:t>
      </w:r>
    </w:p>
    <w:p w14:paraId="06B6AA8B" w14:textId="77777777" w:rsidR="000E5595" w:rsidRPr="009A239D" w:rsidRDefault="000E5595" w:rsidP="00430F26">
      <w:pPr>
        <w:tabs>
          <w:tab w:val="left" w:pos="720"/>
        </w:tabs>
        <w:ind w:left="720" w:hanging="720"/>
        <w:jc w:val="both"/>
        <w:rPr>
          <w:rFonts w:ascii="Times New Roman" w:hAnsi="Times New Roman" w:cs="Times New Roman"/>
          <w:sz w:val="20"/>
          <w:szCs w:val="20"/>
        </w:rPr>
      </w:pPr>
    </w:p>
    <w:p w14:paraId="49EA0755" w14:textId="11D8AF68" w:rsidR="0023305B" w:rsidRPr="009A239D" w:rsidRDefault="0023305B"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Curtin, N., Stewart, A. J., &amp; Ostrove, J. M. (2021). Fostering academic self-concept: Advisor support and sense of belonging among international graduate students. </w:t>
      </w:r>
      <w:r w:rsidRPr="009A239D">
        <w:rPr>
          <w:rFonts w:ascii="Times New Roman" w:hAnsi="Times New Roman" w:cs="Times New Roman"/>
          <w:i/>
          <w:iCs/>
          <w:sz w:val="20"/>
          <w:szCs w:val="20"/>
        </w:rPr>
        <w:t>Higher Education, 81</w:t>
      </w:r>
      <w:r w:rsidRPr="009A239D">
        <w:rPr>
          <w:rFonts w:ascii="Times New Roman" w:hAnsi="Times New Roman" w:cs="Times New Roman"/>
          <w:sz w:val="20"/>
          <w:szCs w:val="20"/>
        </w:rPr>
        <w:t>(4), 1–18.</w:t>
      </w:r>
      <w:r w:rsidR="00723BFC" w:rsidRPr="009A239D">
        <w:rPr>
          <w:rFonts w:ascii="Times New Roman" w:hAnsi="Times New Roman" w:cs="Times New Roman"/>
          <w:sz w:val="20"/>
          <w:szCs w:val="20"/>
        </w:rPr>
        <w:t xml:space="preserve"> </w:t>
      </w:r>
      <w:hyperlink r:id="rId17" w:history="1">
        <w:r w:rsidR="00723BFC" w:rsidRPr="009A239D">
          <w:rPr>
            <w:rStyle w:val="Hyperlink"/>
            <w:rFonts w:ascii="Times New Roman" w:hAnsi="Times New Roman" w:cs="Times New Roman"/>
            <w:sz w:val="20"/>
            <w:szCs w:val="20"/>
          </w:rPr>
          <w:t>https://doi.org/10.3102/0002831212446662</w:t>
        </w:r>
      </w:hyperlink>
    </w:p>
    <w:p w14:paraId="06684D79" w14:textId="77777777" w:rsidR="00723BFC" w:rsidRPr="009A239D" w:rsidRDefault="00723BFC" w:rsidP="00430F26">
      <w:pPr>
        <w:tabs>
          <w:tab w:val="left" w:pos="720"/>
        </w:tabs>
        <w:ind w:left="720" w:hanging="720"/>
        <w:jc w:val="both"/>
        <w:rPr>
          <w:rFonts w:ascii="Times New Roman" w:hAnsi="Times New Roman" w:cs="Times New Roman"/>
          <w:sz w:val="20"/>
          <w:szCs w:val="20"/>
        </w:rPr>
      </w:pPr>
    </w:p>
    <w:p w14:paraId="545D6725" w14:textId="568F1373" w:rsidR="00094D0E" w:rsidRPr="009A239D" w:rsidRDefault="00094D0E"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Datu, J. A. D., Valdez, J. P. M., &amp; King, R. B. (2021). The successful life of gritty students: Grit leads to optimal well-being among Filipino students. </w:t>
      </w:r>
      <w:r w:rsidRPr="009A239D">
        <w:rPr>
          <w:rFonts w:ascii="Times New Roman" w:hAnsi="Times New Roman" w:cs="Times New Roman"/>
          <w:i/>
          <w:iCs/>
          <w:sz w:val="20"/>
          <w:szCs w:val="20"/>
        </w:rPr>
        <w:t>Journal of Happiness Studies, 22</w:t>
      </w:r>
      <w:r w:rsidRPr="009A239D">
        <w:rPr>
          <w:rFonts w:ascii="Times New Roman" w:hAnsi="Times New Roman" w:cs="Times New Roman"/>
          <w:sz w:val="20"/>
          <w:szCs w:val="20"/>
        </w:rPr>
        <w:t>(5), 2285–2305.</w:t>
      </w:r>
      <w:r w:rsidR="00C20DDE" w:rsidRPr="009A239D">
        <w:rPr>
          <w:rFonts w:ascii="Times New Roman" w:hAnsi="Times New Roman" w:cs="Times New Roman"/>
          <w:color w:val="666666"/>
          <w:shd w:val="clear" w:color="auto" w:fill="FFFFFF"/>
        </w:rPr>
        <w:t xml:space="preserve"> </w:t>
      </w:r>
      <w:hyperlink r:id="rId18" w:history="1">
        <w:r w:rsidR="00C20DDE" w:rsidRPr="009A239D">
          <w:rPr>
            <w:rStyle w:val="Hyperlink"/>
            <w:rFonts w:ascii="Times New Roman" w:hAnsi="Times New Roman" w:cs="Times New Roman"/>
            <w:sz w:val="20"/>
            <w:szCs w:val="20"/>
          </w:rPr>
          <w:t>https://doi.org/10.1007/978-981-287-576-1_31</w:t>
        </w:r>
      </w:hyperlink>
    </w:p>
    <w:p w14:paraId="08D181B6" w14:textId="77777777" w:rsidR="00C20DDE" w:rsidRPr="009A239D" w:rsidRDefault="00C20DDE" w:rsidP="00430F26">
      <w:pPr>
        <w:tabs>
          <w:tab w:val="left" w:pos="720"/>
        </w:tabs>
        <w:ind w:left="720" w:hanging="720"/>
        <w:jc w:val="both"/>
        <w:rPr>
          <w:rFonts w:ascii="Times New Roman" w:hAnsi="Times New Roman" w:cs="Times New Roman"/>
          <w:sz w:val="20"/>
          <w:szCs w:val="20"/>
        </w:rPr>
      </w:pPr>
    </w:p>
    <w:p w14:paraId="4EA4CEFF" w14:textId="1D5EAE9C" w:rsidR="0055345D" w:rsidRPr="009A239D" w:rsidRDefault="0000719D"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David, C. C., &amp; </w:t>
      </w:r>
      <w:proofErr w:type="spellStart"/>
      <w:r w:rsidRPr="009A239D">
        <w:rPr>
          <w:rFonts w:ascii="Times New Roman" w:hAnsi="Times New Roman" w:cs="Times New Roman"/>
          <w:sz w:val="20"/>
          <w:szCs w:val="20"/>
        </w:rPr>
        <w:t>Ducanes</w:t>
      </w:r>
      <w:proofErr w:type="spellEnd"/>
      <w:r w:rsidRPr="009A239D">
        <w:rPr>
          <w:rFonts w:ascii="Times New Roman" w:hAnsi="Times New Roman" w:cs="Times New Roman"/>
          <w:sz w:val="20"/>
          <w:szCs w:val="20"/>
        </w:rPr>
        <w:t xml:space="preserve">, G. M. (2020). </w:t>
      </w:r>
      <w:r w:rsidRPr="009A239D">
        <w:rPr>
          <w:rFonts w:ascii="Times New Roman" w:hAnsi="Times New Roman" w:cs="Times New Roman"/>
          <w:i/>
          <w:iCs/>
          <w:sz w:val="20"/>
          <w:szCs w:val="20"/>
        </w:rPr>
        <w:t>Research and development in the Philippines: Issues and policy recommendations</w:t>
      </w:r>
      <w:r w:rsidRPr="009A239D">
        <w:rPr>
          <w:rFonts w:ascii="Times New Roman" w:hAnsi="Times New Roman" w:cs="Times New Roman"/>
          <w:sz w:val="20"/>
          <w:szCs w:val="20"/>
        </w:rPr>
        <w:t xml:space="preserve"> (PIDS Discussion Paper Series No. 2020). Philippine Institute for Development Studies. </w:t>
      </w:r>
      <w:hyperlink r:id="rId19" w:tgtFrame="_new" w:history="1">
        <w:r w:rsidRPr="009A239D">
          <w:rPr>
            <w:rStyle w:val="Hyperlink"/>
            <w:rFonts w:ascii="Times New Roman" w:hAnsi="Times New Roman" w:cs="Times New Roman"/>
            <w:sz w:val="20"/>
            <w:szCs w:val="20"/>
          </w:rPr>
          <w:t>https://pidswebs.pids.gov.ph</w:t>
        </w:r>
      </w:hyperlink>
    </w:p>
    <w:p w14:paraId="2DB8B14E" w14:textId="77777777" w:rsidR="0055345D" w:rsidRPr="009A239D" w:rsidRDefault="0055345D" w:rsidP="00430F26">
      <w:pPr>
        <w:tabs>
          <w:tab w:val="left" w:pos="720"/>
        </w:tabs>
        <w:ind w:left="720" w:hanging="720"/>
        <w:jc w:val="both"/>
        <w:rPr>
          <w:rFonts w:ascii="Times New Roman" w:hAnsi="Times New Roman" w:cs="Times New Roman"/>
          <w:sz w:val="20"/>
          <w:szCs w:val="20"/>
        </w:rPr>
      </w:pPr>
    </w:p>
    <w:p w14:paraId="7C81C7B8" w14:textId="23A5E115" w:rsidR="00093A22" w:rsidRPr="009A239D" w:rsidRDefault="00093A22" w:rsidP="00430F26">
      <w:pPr>
        <w:tabs>
          <w:tab w:val="left" w:pos="720"/>
        </w:tabs>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Glass, C. R., Kociolek, E., </w:t>
      </w:r>
      <w:proofErr w:type="spellStart"/>
      <w:r w:rsidRPr="009A239D">
        <w:rPr>
          <w:rFonts w:ascii="Times New Roman" w:hAnsi="Times New Roman" w:cs="Times New Roman"/>
          <w:sz w:val="20"/>
          <w:szCs w:val="20"/>
        </w:rPr>
        <w:t>Wongtrirat</w:t>
      </w:r>
      <w:proofErr w:type="spellEnd"/>
      <w:r w:rsidRPr="009A239D">
        <w:rPr>
          <w:rFonts w:ascii="Times New Roman" w:hAnsi="Times New Roman" w:cs="Times New Roman"/>
          <w:sz w:val="20"/>
          <w:szCs w:val="20"/>
        </w:rPr>
        <w:t xml:space="preserve">, R., Lynch, R. J., &amp; Cong, S. (2021). </w:t>
      </w:r>
      <w:r w:rsidRPr="009A239D">
        <w:rPr>
          <w:rFonts w:ascii="Times New Roman" w:hAnsi="Times New Roman" w:cs="Times New Roman"/>
          <w:i/>
          <w:iCs/>
          <w:sz w:val="20"/>
          <w:szCs w:val="20"/>
        </w:rPr>
        <w:t>Uneven experiences: The impact of student-faculty interactions on international students’ sense of belonging</w:t>
      </w:r>
      <w:r w:rsidRPr="009A239D">
        <w:rPr>
          <w:rFonts w:ascii="Times New Roman" w:hAnsi="Times New Roman" w:cs="Times New Roman"/>
          <w:sz w:val="20"/>
          <w:szCs w:val="20"/>
        </w:rPr>
        <w:t xml:space="preserve">. Journal of International Students, 11(2), 389–408. </w:t>
      </w:r>
      <w:hyperlink r:id="rId20" w:history="1">
        <w:r w:rsidRPr="009A239D">
          <w:rPr>
            <w:rStyle w:val="Hyperlink"/>
            <w:rFonts w:ascii="Times New Roman" w:hAnsi="Times New Roman" w:cs="Times New Roman"/>
            <w:sz w:val="20"/>
            <w:szCs w:val="20"/>
          </w:rPr>
          <w:t>https://doi.org/10.32674/jis.v5i4.400</w:t>
        </w:r>
      </w:hyperlink>
    </w:p>
    <w:p w14:paraId="74F52B0F" w14:textId="77777777" w:rsidR="00093A22" w:rsidRPr="009A239D" w:rsidRDefault="00093A22" w:rsidP="00DC0DA6">
      <w:pPr>
        <w:spacing w:line="240" w:lineRule="auto"/>
        <w:ind w:left="720" w:hanging="720"/>
        <w:jc w:val="both"/>
        <w:rPr>
          <w:rFonts w:ascii="Times New Roman" w:hAnsi="Times New Roman" w:cs="Times New Roman"/>
          <w:sz w:val="20"/>
          <w:szCs w:val="20"/>
          <w:highlight w:val="yellow"/>
        </w:rPr>
      </w:pPr>
    </w:p>
    <w:p w14:paraId="1738BA7A" w14:textId="3D3DD3BB" w:rsidR="006F5E58" w:rsidRPr="009A239D" w:rsidRDefault="006F5E58"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lastRenderedPageBreak/>
        <w:t>Glass, C. R., Gómez, E., &amp; Urzua, A. (201</w:t>
      </w:r>
      <w:r w:rsidR="00D27CEE" w:rsidRPr="009A239D">
        <w:rPr>
          <w:rFonts w:ascii="Times New Roman" w:hAnsi="Times New Roman" w:cs="Times New Roman"/>
          <w:sz w:val="20"/>
          <w:szCs w:val="20"/>
        </w:rPr>
        <w:t>4</w:t>
      </w:r>
      <w:r w:rsidRPr="009A239D">
        <w:rPr>
          <w:rFonts w:ascii="Times New Roman" w:hAnsi="Times New Roman" w:cs="Times New Roman"/>
          <w:sz w:val="20"/>
          <w:szCs w:val="20"/>
        </w:rPr>
        <w:t>). </w:t>
      </w:r>
      <w:r w:rsidRPr="009A239D">
        <w:rPr>
          <w:rFonts w:ascii="Times New Roman" w:hAnsi="Times New Roman" w:cs="Times New Roman"/>
          <w:i/>
          <w:iCs/>
          <w:sz w:val="20"/>
          <w:szCs w:val="20"/>
        </w:rPr>
        <w:t>Recreation, intercultural friendship, and international students’ adaptation to college by region of origin</w:t>
      </w:r>
      <w:r w:rsidRPr="009A239D">
        <w:rPr>
          <w:rFonts w:ascii="Times New Roman" w:hAnsi="Times New Roman" w:cs="Times New Roman"/>
          <w:sz w:val="20"/>
          <w:szCs w:val="20"/>
        </w:rPr>
        <w:t>. The Maritime Commons: Digital Repository of the World Maritime University. </w:t>
      </w:r>
      <w:hyperlink r:id="rId21" w:history="1">
        <w:r w:rsidRPr="009A239D">
          <w:rPr>
            <w:rStyle w:val="Hyperlink"/>
            <w:rFonts w:ascii="Times New Roman" w:hAnsi="Times New Roman" w:cs="Times New Roman"/>
            <w:sz w:val="20"/>
            <w:szCs w:val="20"/>
          </w:rPr>
          <w:t>https://commons.wmu.se/lib_articles/393/</w:t>
        </w:r>
      </w:hyperlink>
    </w:p>
    <w:p w14:paraId="52B90981" w14:textId="77777777" w:rsidR="006F5E58" w:rsidRPr="009A239D" w:rsidRDefault="006F5E58" w:rsidP="00DC0DA6">
      <w:pPr>
        <w:spacing w:line="240" w:lineRule="auto"/>
        <w:ind w:left="720" w:hanging="720"/>
        <w:jc w:val="both"/>
        <w:rPr>
          <w:rFonts w:ascii="Times New Roman" w:hAnsi="Times New Roman" w:cs="Times New Roman"/>
          <w:sz w:val="20"/>
          <w:szCs w:val="20"/>
        </w:rPr>
      </w:pPr>
    </w:p>
    <w:p w14:paraId="6B678904" w14:textId="5FCCE6A4" w:rsidR="000E143D" w:rsidRPr="009A239D" w:rsidRDefault="00CF7E35"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Lee, J. J., &amp; Rice, C. (2007). </w:t>
      </w:r>
      <w:r w:rsidR="000E143D" w:rsidRPr="009A239D">
        <w:rPr>
          <w:rFonts w:ascii="Times New Roman" w:hAnsi="Times New Roman" w:cs="Times New Roman"/>
          <w:sz w:val="20"/>
          <w:szCs w:val="20"/>
        </w:rPr>
        <w:t xml:space="preserve"> Welcome to America? International student perceptions of discrimination. </w:t>
      </w:r>
      <w:r w:rsidR="000E143D" w:rsidRPr="009A239D">
        <w:rPr>
          <w:rFonts w:ascii="Times New Roman" w:hAnsi="Times New Roman" w:cs="Times New Roman"/>
          <w:i/>
          <w:iCs/>
          <w:sz w:val="20"/>
          <w:szCs w:val="20"/>
        </w:rPr>
        <w:t>High Educ</w:t>
      </w:r>
      <w:r w:rsidR="000E143D" w:rsidRPr="009A239D">
        <w:rPr>
          <w:rFonts w:ascii="Times New Roman" w:hAnsi="Times New Roman" w:cs="Times New Roman"/>
          <w:sz w:val="20"/>
          <w:szCs w:val="20"/>
        </w:rPr>
        <w:t> </w:t>
      </w:r>
      <w:r w:rsidR="000E143D" w:rsidRPr="009A239D">
        <w:rPr>
          <w:rFonts w:ascii="Times New Roman" w:hAnsi="Times New Roman" w:cs="Times New Roman"/>
          <w:b/>
          <w:bCs/>
          <w:sz w:val="20"/>
          <w:szCs w:val="20"/>
        </w:rPr>
        <w:t>53</w:t>
      </w:r>
      <w:r w:rsidR="000E143D" w:rsidRPr="009A239D">
        <w:rPr>
          <w:rFonts w:ascii="Times New Roman" w:hAnsi="Times New Roman" w:cs="Times New Roman"/>
          <w:sz w:val="20"/>
          <w:szCs w:val="20"/>
        </w:rPr>
        <w:t xml:space="preserve">, 381–409 (2007). </w:t>
      </w:r>
      <w:hyperlink r:id="rId22" w:history="1">
        <w:r w:rsidR="000E143D" w:rsidRPr="009A239D">
          <w:rPr>
            <w:rStyle w:val="Hyperlink"/>
            <w:rFonts w:ascii="Times New Roman" w:hAnsi="Times New Roman" w:cs="Times New Roman"/>
            <w:sz w:val="20"/>
            <w:szCs w:val="20"/>
          </w:rPr>
          <w:t>https://doi.org/10.1007/s10734-005-4508-3</w:t>
        </w:r>
      </w:hyperlink>
    </w:p>
    <w:p w14:paraId="2CBB1826" w14:textId="77777777" w:rsidR="000E143D" w:rsidRPr="009A239D" w:rsidRDefault="000E143D" w:rsidP="00DC0DA6">
      <w:pPr>
        <w:spacing w:line="240" w:lineRule="auto"/>
        <w:ind w:left="720" w:hanging="720"/>
        <w:jc w:val="both"/>
        <w:rPr>
          <w:rFonts w:ascii="Times New Roman" w:hAnsi="Times New Roman" w:cs="Times New Roman"/>
          <w:sz w:val="20"/>
          <w:szCs w:val="20"/>
        </w:rPr>
      </w:pPr>
    </w:p>
    <w:p w14:paraId="65A1CC1B" w14:textId="52D411C8" w:rsidR="00DC0DA6" w:rsidRPr="009A239D" w:rsidRDefault="00521238" w:rsidP="00DC0DA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Marginson, S. (2019). </w:t>
      </w:r>
      <w:r w:rsidRPr="009A239D">
        <w:rPr>
          <w:rFonts w:ascii="Times New Roman" w:hAnsi="Times New Roman" w:cs="Times New Roman"/>
          <w:i/>
          <w:iCs/>
          <w:sz w:val="20"/>
          <w:szCs w:val="20"/>
        </w:rPr>
        <w:t>Global trends in higher education financing: The United Kingdom</w:t>
      </w:r>
      <w:r w:rsidRPr="009A239D">
        <w:rPr>
          <w:rFonts w:ascii="Times New Roman" w:hAnsi="Times New Roman" w:cs="Times New Roman"/>
          <w:sz w:val="20"/>
          <w:szCs w:val="20"/>
        </w:rPr>
        <w:t xml:space="preserve">. International Journal of Educational Development, 68, 33–43. </w:t>
      </w:r>
      <w:hyperlink r:id="rId23" w:history="1">
        <w:r w:rsidR="00D1257D" w:rsidRPr="009A239D">
          <w:rPr>
            <w:rStyle w:val="Hyperlink"/>
            <w:rFonts w:ascii="Times New Roman" w:hAnsi="Times New Roman" w:cs="Times New Roman"/>
            <w:sz w:val="20"/>
            <w:szCs w:val="20"/>
          </w:rPr>
          <w:t>https://doi.org/10.1016/j.ijedudev.2019.04.00</w:t>
        </w:r>
      </w:hyperlink>
    </w:p>
    <w:p w14:paraId="6432AE8D" w14:textId="77777777" w:rsidR="00D1257D" w:rsidRPr="009A239D" w:rsidRDefault="00D1257D" w:rsidP="00DC0DA6">
      <w:pPr>
        <w:spacing w:line="240" w:lineRule="auto"/>
        <w:ind w:left="720" w:hanging="720"/>
        <w:jc w:val="both"/>
        <w:rPr>
          <w:rFonts w:ascii="Times New Roman" w:hAnsi="Times New Roman" w:cs="Times New Roman"/>
          <w:sz w:val="20"/>
          <w:szCs w:val="20"/>
        </w:rPr>
      </w:pPr>
    </w:p>
    <w:p w14:paraId="758E7857" w14:textId="77777777" w:rsidR="00026E01" w:rsidRPr="009A239D" w:rsidRDefault="00026E01" w:rsidP="00026E01">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Nowell, L. S., Norris, J. M., White, D. E., &amp; Moules, N. J. (2017). Thematic analysis: Striving to meet the trustworthiness criteria. International Journal of Qualitative Methods,16(1) </w:t>
      </w:r>
      <w:hyperlink r:id="rId24" w:history="1">
        <w:r w:rsidRPr="009A239D">
          <w:rPr>
            <w:rStyle w:val="Hyperlink"/>
            <w:rFonts w:ascii="Times New Roman" w:hAnsi="Times New Roman" w:cs="Times New Roman"/>
            <w:sz w:val="20"/>
            <w:szCs w:val="20"/>
          </w:rPr>
          <w:t>https://doi.org/10.1177/1609406917733847</w:t>
        </w:r>
      </w:hyperlink>
      <w:r w:rsidRPr="009A239D">
        <w:rPr>
          <w:rFonts w:ascii="Times New Roman" w:hAnsi="Times New Roman" w:cs="Times New Roman"/>
          <w:sz w:val="20"/>
          <w:szCs w:val="20"/>
        </w:rPr>
        <w:t xml:space="preserve"> </w:t>
      </w:r>
    </w:p>
    <w:p w14:paraId="7175CCA7" w14:textId="77777777" w:rsidR="00026E01" w:rsidRPr="009A239D" w:rsidRDefault="00026E01" w:rsidP="008838B6">
      <w:pPr>
        <w:spacing w:line="240" w:lineRule="auto"/>
        <w:ind w:left="720" w:hanging="720"/>
        <w:jc w:val="both"/>
        <w:rPr>
          <w:rFonts w:ascii="Times New Roman" w:hAnsi="Times New Roman" w:cs="Times New Roman"/>
          <w:sz w:val="20"/>
          <w:szCs w:val="20"/>
        </w:rPr>
      </w:pPr>
    </w:p>
    <w:p w14:paraId="7FD80F9A" w14:textId="043B4940" w:rsidR="008838B6" w:rsidRPr="009A239D" w:rsidRDefault="00563269" w:rsidP="008838B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OECD. (2023). </w:t>
      </w:r>
      <w:r w:rsidRPr="009A239D">
        <w:rPr>
          <w:rFonts w:ascii="Times New Roman" w:hAnsi="Times New Roman" w:cs="Times New Roman"/>
          <w:i/>
          <w:iCs/>
          <w:sz w:val="20"/>
          <w:szCs w:val="20"/>
        </w:rPr>
        <w:t>Education at a glance 2023: OECD indicators</w:t>
      </w:r>
      <w:r w:rsidRPr="009A239D">
        <w:rPr>
          <w:rFonts w:ascii="Times New Roman" w:hAnsi="Times New Roman" w:cs="Times New Roman"/>
          <w:sz w:val="20"/>
          <w:szCs w:val="20"/>
        </w:rPr>
        <w:t xml:space="preserve">. </w:t>
      </w:r>
      <w:hyperlink r:id="rId25" w:history="1">
        <w:r w:rsidRPr="009A239D">
          <w:rPr>
            <w:rStyle w:val="Hyperlink"/>
            <w:rFonts w:ascii="Times New Roman" w:hAnsi="Times New Roman" w:cs="Times New Roman"/>
            <w:sz w:val="20"/>
            <w:szCs w:val="20"/>
          </w:rPr>
          <w:t>https://doi.org/10.1787/eag-2023-en</w:t>
        </w:r>
      </w:hyperlink>
    </w:p>
    <w:p w14:paraId="55DCDD70" w14:textId="77777777" w:rsidR="00563269" w:rsidRPr="009A239D" w:rsidRDefault="00563269" w:rsidP="008838B6">
      <w:pPr>
        <w:spacing w:line="240" w:lineRule="auto"/>
        <w:ind w:left="720" w:hanging="720"/>
        <w:jc w:val="both"/>
        <w:rPr>
          <w:rFonts w:ascii="Times New Roman" w:hAnsi="Times New Roman" w:cs="Times New Roman"/>
          <w:sz w:val="20"/>
          <w:szCs w:val="20"/>
        </w:rPr>
      </w:pPr>
    </w:p>
    <w:p w14:paraId="4FE3B00C" w14:textId="63498F71" w:rsidR="00652814" w:rsidRPr="009A239D" w:rsidRDefault="003500A9" w:rsidP="00652814">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Orbeta, A. C., Jr., &amp; </w:t>
      </w:r>
      <w:proofErr w:type="spellStart"/>
      <w:r w:rsidRPr="009A239D">
        <w:rPr>
          <w:rFonts w:ascii="Times New Roman" w:hAnsi="Times New Roman" w:cs="Times New Roman"/>
          <w:sz w:val="20"/>
          <w:szCs w:val="20"/>
        </w:rPr>
        <w:t>Paqueo</w:t>
      </w:r>
      <w:proofErr w:type="spellEnd"/>
      <w:r w:rsidRPr="009A239D">
        <w:rPr>
          <w:rFonts w:ascii="Times New Roman" w:hAnsi="Times New Roman" w:cs="Times New Roman"/>
          <w:sz w:val="20"/>
          <w:szCs w:val="20"/>
        </w:rPr>
        <w:t xml:space="preserve">, V. B. (2019). </w:t>
      </w:r>
      <w:r w:rsidRPr="009A239D">
        <w:rPr>
          <w:rFonts w:ascii="Times New Roman" w:hAnsi="Times New Roman" w:cs="Times New Roman"/>
          <w:i/>
          <w:iCs/>
          <w:sz w:val="20"/>
          <w:szCs w:val="20"/>
        </w:rPr>
        <w:t>Determinants of international migration and mobility of Filipino professionals</w:t>
      </w:r>
      <w:r w:rsidRPr="009A239D">
        <w:rPr>
          <w:rFonts w:ascii="Times New Roman" w:hAnsi="Times New Roman" w:cs="Times New Roman"/>
          <w:sz w:val="20"/>
          <w:szCs w:val="20"/>
        </w:rPr>
        <w:t xml:space="preserve"> (PIDS Discussion Paper Series No. 2019-09). Philippine Institute for Development Studies. </w:t>
      </w:r>
      <w:hyperlink r:id="rId26" w:tgtFrame="_new" w:history="1">
        <w:r w:rsidRPr="009A239D">
          <w:rPr>
            <w:rStyle w:val="Hyperlink"/>
            <w:rFonts w:ascii="Times New Roman" w:hAnsi="Times New Roman" w:cs="Times New Roman"/>
            <w:sz w:val="20"/>
            <w:szCs w:val="20"/>
          </w:rPr>
          <w:t>https://pidswebs.pids.gov.ph/CDN/PUBLICATIONS/pidsdps1909.pdf</w:t>
        </w:r>
      </w:hyperlink>
    </w:p>
    <w:p w14:paraId="102CAC1D" w14:textId="77777777" w:rsidR="003500A9" w:rsidRPr="009A239D" w:rsidRDefault="003500A9" w:rsidP="00652814">
      <w:pPr>
        <w:spacing w:line="240" w:lineRule="auto"/>
        <w:ind w:left="720" w:hanging="720"/>
        <w:jc w:val="both"/>
        <w:rPr>
          <w:rFonts w:ascii="Times New Roman" w:hAnsi="Times New Roman" w:cs="Times New Roman"/>
          <w:sz w:val="20"/>
          <w:szCs w:val="20"/>
        </w:rPr>
      </w:pPr>
    </w:p>
    <w:p w14:paraId="6D040DF5" w14:textId="3E1D8623" w:rsidR="00B16700" w:rsidRPr="009A239D" w:rsidRDefault="00B16700"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Salazar-</w:t>
      </w:r>
      <w:proofErr w:type="spellStart"/>
      <w:r w:rsidRPr="009A239D">
        <w:rPr>
          <w:rFonts w:ascii="Times New Roman" w:hAnsi="Times New Roman" w:cs="Times New Roman"/>
          <w:sz w:val="20"/>
          <w:szCs w:val="20"/>
        </w:rPr>
        <w:t>Clemeña</w:t>
      </w:r>
      <w:proofErr w:type="spellEnd"/>
      <w:r w:rsidRPr="009A239D">
        <w:rPr>
          <w:rFonts w:ascii="Times New Roman" w:hAnsi="Times New Roman" w:cs="Times New Roman"/>
          <w:sz w:val="20"/>
          <w:szCs w:val="20"/>
        </w:rPr>
        <w:t xml:space="preserve">, R. M., &amp; Almonte-Acosta, S. A. (2021). </w:t>
      </w:r>
      <w:r w:rsidRPr="009A239D">
        <w:rPr>
          <w:rFonts w:ascii="Times New Roman" w:hAnsi="Times New Roman" w:cs="Times New Roman"/>
          <w:i/>
          <w:iCs/>
          <w:sz w:val="20"/>
          <w:szCs w:val="20"/>
        </w:rPr>
        <w:t>Higher education research in the Philippines: Policies, practices, and challenges</w:t>
      </w:r>
      <w:r w:rsidRPr="009A239D">
        <w:rPr>
          <w:rFonts w:ascii="Times New Roman" w:hAnsi="Times New Roman" w:cs="Times New Roman"/>
          <w:sz w:val="20"/>
          <w:szCs w:val="20"/>
        </w:rPr>
        <w:t xml:space="preserve">. Asia Pacific Education Review, 22(3), 435–447. </w:t>
      </w:r>
      <w:hyperlink r:id="rId27" w:history="1">
        <w:r w:rsidRPr="009A239D">
          <w:rPr>
            <w:rStyle w:val="Hyperlink"/>
            <w:rFonts w:ascii="Times New Roman" w:hAnsi="Times New Roman" w:cs="Times New Roman"/>
            <w:sz w:val="20"/>
            <w:szCs w:val="20"/>
          </w:rPr>
          <w:t>https://doi.org/10.1007/s12564-021-09695-4</w:t>
        </w:r>
      </w:hyperlink>
    </w:p>
    <w:p w14:paraId="40A81924" w14:textId="77777777" w:rsidR="00B16700" w:rsidRPr="009A239D" w:rsidRDefault="00B16700" w:rsidP="00B6591D">
      <w:pPr>
        <w:spacing w:line="240" w:lineRule="auto"/>
        <w:ind w:left="720" w:hanging="720"/>
        <w:jc w:val="both"/>
        <w:rPr>
          <w:rFonts w:ascii="Times New Roman" w:hAnsi="Times New Roman" w:cs="Times New Roman"/>
          <w:sz w:val="20"/>
          <w:szCs w:val="20"/>
        </w:rPr>
      </w:pPr>
    </w:p>
    <w:p w14:paraId="52A85398" w14:textId="77777777" w:rsidR="00B02345" w:rsidRPr="009A239D" w:rsidRDefault="00C24B91" w:rsidP="00B6591D">
      <w:pPr>
        <w:spacing w:line="240" w:lineRule="auto"/>
        <w:ind w:left="720" w:hanging="720"/>
        <w:jc w:val="both"/>
        <w:rPr>
          <w:rFonts w:ascii="Times New Roman" w:hAnsi="Times New Roman" w:cs="Times New Roman"/>
          <w:sz w:val="20"/>
          <w:szCs w:val="20"/>
        </w:rPr>
      </w:pPr>
      <w:proofErr w:type="spellStart"/>
      <w:r w:rsidRPr="009A239D">
        <w:rPr>
          <w:rFonts w:ascii="Times New Roman" w:hAnsi="Times New Roman" w:cs="Times New Roman"/>
          <w:sz w:val="20"/>
          <w:szCs w:val="20"/>
        </w:rPr>
        <w:t>Sawir</w:t>
      </w:r>
      <w:proofErr w:type="spellEnd"/>
      <w:r w:rsidRPr="009A239D">
        <w:rPr>
          <w:rFonts w:ascii="Times New Roman" w:hAnsi="Times New Roman" w:cs="Times New Roman"/>
          <w:sz w:val="20"/>
          <w:szCs w:val="20"/>
        </w:rPr>
        <w:t xml:space="preserve">, E., </w:t>
      </w:r>
      <w:proofErr w:type="spellStart"/>
      <w:r w:rsidRPr="009A239D">
        <w:rPr>
          <w:rFonts w:ascii="Times New Roman" w:hAnsi="Times New Roman" w:cs="Times New Roman"/>
          <w:sz w:val="20"/>
          <w:szCs w:val="20"/>
        </w:rPr>
        <w:t>Marginson</w:t>
      </w:r>
      <w:proofErr w:type="spellEnd"/>
      <w:r w:rsidRPr="009A239D">
        <w:rPr>
          <w:rFonts w:ascii="Times New Roman" w:hAnsi="Times New Roman" w:cs="Times New Roman"/>
          <w:sz w:val="20"/>
          <w:szCs w:val="20"/>
        </w:rPr>
        <w:t xml:space="preserve">, S., </w:t>
      </w:r>
      <w:proofErr w:type="spellStart"/>
      <w:r w:rsidRPr="009A239D">
        <w:rPr>
          <w:rFonts w:ascii="Times New Roman" w:hAnsi="Times New Roman" w:cs="Times New Roman"/>
          <w:sz w:val="20"/>
          <w:szCs w:val="20"/>
        </w:rPr>
        <w:t>Deumert</w:t>
      </w:r>
      <w:proofErr w:type="spellEnd"/>
      <w:r w:rsidRPr="009A239D">
        <w:rPr>
          <w:rFonts w:ascii="Times New Roman" w:hAnsi="Times New Roman" w:cs="Times New Roman"/>
          <w:sz w:val="20"/>
          <w:szCs w:val="20"/>
        </w:rPr>
        <w:t>, A., Nyland, C., &amp; Ramia, G. (</w:t>
      </w:r>
      <w:r w:rsidR="00B02345" w:rsidRPr="009A239D">
        <w:rPr>
          <w:rFonts w:ascii="Times New Roman" w:hAnsi="Times New Roman" w:cs="Times New Roman"/>
          <w:sz w:val="20"/>
          <w:szCs w:val="20"/>
        </w:rPr>
        <w:t>2020</w:t>
      </w:r>
      <w:r w:rsidRPr="009A239D">
        <w:rPr>
          <w:rFonts w:ascii="Times New Roman" w:hAnsi="Times New Roman" w:cs="Times New Roman"/>
          <w:sz w:val="20"/>
          <w:szCs w:val="20"/>
        </w:rPr>
        <w:t>). </w:t>
      </w:r>
      <w:r w:rsidRPr="009A239D">
        <w:rPr>
          <w:rFonts w:ascii="Times New Roman" w:hAnsi="Times New Roman" w:cs="Times New Roman"/>
          <w:i/>
          <w:iCs/>
          <w:sz w:val="20"/>
          <w:szCs w:val="20"/>
        </w:rPr>
        <w:t>Loneliness and international Students: an Australian</w:t>
      </w:r>
      <w:r w:rsidR="00B02345" w:rsidRPr="009A239D">
        <w:rPr>
          <w:rFonts w:ascii="Times New Roman" w:hAnsi="Times New Roman" w:cs="Times New Roman"/>
          <w:i/>
          <w:iCs/>
          <w:sz w:val="20"/>
          <w:szCs w:val="20"/>
        </w:rPr>
        <w:t xml:space="preserve"> </w:t>
      </w:r>
      <w:r w:rsidRPr="009A239D">
        <w:rPr>
          <w:rFonts w:ascii="Times New Roman" w:hAnsi="Times New Roman" w:cs="Times New Roman"/>
          <w:i/>
          <w:iCs/>
          <w:sz w:val="20"/>
          <w:szCs w:val="20"/>
        </w:rPr>
        <w:t>study.</w:t>
      </w:r>
      <w:r w:rsidRPr="009A239D">
        <w:rPr>
          <w:rFonts w:ascii="Times New Roman" w:hAnsi="Times New Roman" w:cs="Times New Roman"/>
          <w:sz w:val="20"/>
          <w:szCs w:val="20"/>
        </w:rPr>
        <w:t> </w:t>
      </w:r>
    </w:p>
    <w:p w14:paraId="27534F04" w14:textId="4B7347D5" w:rsidR="00C24B91" w:rsidRPr="009A239D" w:rsidRDefault="00C538E1" w:rsidP="00B02345">
      <w:pPr>
        <w:spacing w:line="240" w:lineRule="auto"/>
        <w:ind w:left="720"/>
        <w:jc w:val="both"/>
        <w:rPr>
          <w:rFonts w:ascii="Times New Roman" w:hAnsi="Times New Roman" w:cs="Times New Roman"/>
          <w:sz w:val="20"/>
          <w:szCs w:val="20"/>
        </w:rPr>
      </w:pPr>
      <w:hyperlink r:id="rId28" w:history="1">
        <w:r w:rsidR="0023305B" w:rsidRPr="009A239D">
          <w:rPr>
            <w:rStyle w:val="Hyperlink"/>
            <w:rFonts w:ascii="Times New Roman" w:hAnsi="Times New Roman" w:cs="Times New Roman"/>
            <w:sz w:val="20"/>
            <w:szCs w:val="20"/>
          </w:rPr>
          <w:t>https://eric.ed.gov/?id=EJ821308</w:t>
        </w:r>
      </w:hyperlink>
    </w:p>
    <w:p w14:paraId="5D2C012C" w14:textId="77777777" w:rsidR="00C24B91" w:rsidRPr="009A239D" w:rsidRDefault="00C24B91" w:rsidP="00B6591D">
      <w:pPr>
        <w:spacing w:line="240" w:lineRule="auto"/>
        <w:ind w:left="720" w:hanging="720"/>
        <w:jc w:val="both"/>
        <w:rPr>
          <w:rFonts w:ascii="Times New Roman" w:hAnsi="Times New Roman" w:cs="Times New Roman"/>
          <w:sz w:val="20"/>
          <w:szCs w:val="20"/>
        </w:rPr>
      </w:pPr>
    </w:p>
    <w:p w14:paraId="4A9A5284" w14:textId="59C45CE1" w:rsidR="000D61EF" w:rsidRPr="009A239D" w:rsidRDefault="000D61EF"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Tran, L. T. (2021). International students, institutional positioning, and self-perceptions: Implications for equity in higher education. </w:t>
      </w:r>
      <w:r w:rsidRPr="009A239D">
        <w:rPr>
          <w:rFonts w:ascii="Times New Roman" w:hAnsi="Times New Roman" w:cs="Times New Roman"/>
          <w:i/>
          <w:iCs/>
          <w:sz w:val="20"/>
          <w:szCs w:val="20"/>
        </w:rPr>
        <w:t>Higher Education Research &amp; Development, 40</w:t>
      </w:r>
      <w:r w:rsidRPr="009A239D">
        <w:rPr>
          <w:rFonts w:ascii="Times New Roman" w:hAnsi="Times New Roman" w:cs="Times New Roman"/>
          <w:sz w:val="20"/>
          <w:szCs w:val="20"/>
        </w:rPr>
        <w:t>(7), 1357–1371.</w:t>
      </w:r>
      <w:r w:rsidRPr="009A239D">
        <w:rPr>
          <w:rFonts w:ascii="Times New Roman" w:hAnsi="Times New Roman" w:cs="Times New Roman"/>
          <w:sz w:val="20"/>
          <w:szCs w:val="20"/>
        </w:rPr>
        <w:br/>
      </w:r>
      <w:hyperlink r:id="rId29" w:history="1">
        <w:r w:rsidRPr="009A239D">
          <w:rPr>
            <w:rStyle w:val="Hyperlink"/>
            <w:rFonts w:ascii="Times New Roman" w:hAnsi="Times New Roman" w:cs="Times New Roman"/>
            <w:sz w:val="20"/>
            <w:szCs w:val="20"/>
          </w:rPr>
          <w:t>https://doi.org/10.1080/07294360.2020.1768078</w:t>
        </w:r>
      </w:hyperlink>
    </w:p>
    <w:p w14:paraId="7BF0F14E" w14:textId="77777777" w:rsidR="000D61EF" w:rsidRPr="009A239D" w:rsidRDefault="000D61EF" w:rsidP="00B6591D">
      <w:pPr>
        <w:spacing w:line="240" w:lineRule="auto"/>
        <w:ind w:left="720" w:hanging="720"/>
        <w:jc w:val="both"/>
        <w:rPr>
          <w:rFonts w:ascii="Times New Roman" w:hAnsi="Times New Roman" w:cs="Times New Roman"/>
          <w:sz w:val="20"/>
          <w:szCs w:val="20"/>
        </w:rPr>
      </w:pPr>
    </w:p>
    <w:p w14:paraId="0B84E1E8" w14:textId="1CEAEF74" w:rsidR="00376528" w:rsidRPr="009A239D" w:rsidRDefault="00376528" w:rsidP="00B6591D">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t xml:space="preserve">UNESCO. (2021). </w:t>
      </w:r>
      <w:r w:rsidRPr="009A239D">
        <w:rPr>
          <w:rFonts w:ascii="Times New Roman" w:hAnsi="Times New Roman" w:cs="Times New Roman"/>
          <w:i/>
          <w:iCs/>
          <w:sz w:val="20"/>
          <w:szCs w:val="20"/>
        </w:rPr>
        <w:t>Global flow of tertiary-level students</w:t>
      </w:r>
      <w:r w:rsidRPr="009A239D">
        <w:rPr>
          <w:rFonts w:ascii="Times New Roman" w:hAnsi="Times New Roman" w:cs="Times New Roman"/>
          <w:sz w:val="20"/>
          <w:szCs w:val="20"/>
        </w:rPr>
        <w:t xml:space="preserve">. </w:t>
      </w:r>
      <w:hyperlink r:id="rId30" w:history="1">
        <w:r w:rsidRPr="009A239D">
          <w:rPr>
            <w:rStyle w:val="Hyperlink"/>
            <w:rFonts w:ascii="Times New Roman" w:hAnsi="Times New Roman" w:cs="Times New Roman"/>
            <w:sz w:val="20"/>
            <w:szCs w:val="20"/>
          </w:rPr>
          <w:t>http://uis.unesco.org</w:t>
        </w:r>
      </w:hyperlink>
    </w:p>
    <w:p w14:paraId="1E7AC020" w14:textId="77777777" w:rsidR="00484ABC" w:rsidRPr="009A239D" w:rsidRDefault="00484ABC" w:rsidP="00B6591D">
      <w:pPr>
        <w:spacing w:line="240" w:lineRule="auto"/>
        <w:ind w:left="720" w:hanging="720"/>
        <w:jc w:val="both"/>
        <w:rPr>
          <w:rFonts w:ascii="Times New Roman" w:hAnsi="Times New Roman" w:cs="Times New Roman"/>
          <w:sz w:val="20"/>
          <w:szCs w:val="20"/>
        </w:rPr>
      </w:pPr>
    </w:p>
    <w:p w14:paraId="62CA9B7C" w14:textId="77777777" w:rsidR="00484ABC" w:rsidRPr="009A239D" w:rsidRDefault="00484ABC" w:rsidP="00484ABC">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 xml:space="preserve">UNESCO. (2024). </w:t>
      </w:r>
      <w:r w:rsidRPr="009A239D">
        <w:rPr>
          <w:rFonts w:ascii="Times New Roman" w:hAnsi="Times New Roman" w:cs="Times New Roman"/>
          <w:i/>
          <w:iCs/>
          <w:sz w:val="20"/>
          <w:szCs w:val="20"/>
          <w:lang w:val="en-US"/>
        </w:rPr>
        <w:t>Global education monitoring report 2024</w:t>
      </w:r>
      <w:r w:rsidRPr="009A239D">
        <w:rPr>
          <w:rFonts w:ascii="Times New Roman" w:hAnsi="Times New Roman" w:cs="Times New Roman"/>
          <w:sz w:val="20"/>
          <w:szCs w:val="20"/>
          <w:lang w:val="en-US"/>
        </w:rPr>
        <w:t xml:space="preserve">. </w:t>
      </w:r>
      <w:hyperlink r:id="rId31" w:tgtFrame="_new" w:history="1">
        <w:r w:rsidRPr="009A239D">
          <w:rPr>
            <w:rStyle w:val="Hyperlink"/>
            <w:rFonts w:ascii="Times New Roman" w:hAnsi="Times New Roman" w:cs="Times New Roman"/>
            <w:sz w:val="20"/>
            <w:szCs w:val="20"/>
            <w:lang w:val="en-US"/>
          </w:rPr>
          <w:t>https://www.unesco.org</w:t>
        </w:r>
      </w:hyperlink>
    </w:p>
    <w:p w14:paraId="7331AB61" w14:textId="77777777" w:rsidR="00376528" w:rsidRPr="009A239D" w:rsidRDefault="00376528" w:rsidP="00B6591D">
      <w:pPr>
        <w:spacing w:line="240" w:lineRule="auto"/>
        <w:ind w:left="720" w:hanging="720"/>
        <w:jc w:val="both"/>
        <w:rPr>
          <w:rFonts w:ascii="Times New Roman" w:hAnsi="Times New Roman" w:cs="Times New Roman"/>
          <w:sz w:val="20"/>
          <w:szCs w:val="20"/>
        </w:rPr>
      </w:pPr>
    </w:p>
    <w:p w14:paraId="072E5DAD" w14:textId="63A6FC3F" w:rsidR="008838B6" w:rsidRPr="009A239D" w:rsidRDefault="00CB4C83" w:rsidP="008838B6">
      <w:pPr>
        <w:spacing w:line="240" w:lineRule="auto"/>
        <w:ind w:left="720" w:hanging="720"/>
        <w:jc w:val="both"/>
        <w:rPr>
          <w:rFonts w:ascii="Times New Roman" w:hAnsi="Times New Roman" w:cs="Times New Roman"/>
          <w:sz w:val="20"/>
          <w:szCs w:val="20"/>
        </w:rPr>
      </w:pPr>
      <w:r w:rsidRPr="009A239D">
        <w:rPr>
          <w:rFonts w:ascii="Times New Roman" w:hAnsi="Times New Roman" w:cs="Times New Roman"/>
          <w:sz w:val="20"/>
          <w:szCs w:val="20"/>
        </w:rPr>
        <w:lastRenderedPageBreak/>
        <w:t xml:space="preserve">Wu, H. P., Garza, E., &amp; Guzman, N. (2021). International student’s challenge and adjustment to college. </w:t>
      </w:r>
      <w:r w:rsidRPr="009A239D">
        <w:rPr>
          <w:rFonts w:ascii="Times New Roman" w:hAnsi="Times New Roman" w:cs="Times New Roman"/>
          <w:i/>
          <w:iCs/>
          <w:sz w:val="20"/>
          <w:szCs w:val="20"/>
        </w:rPr>
        <w:t>International Journal of Intercultural Relations, 80</w:t>
      </w:r>
      <w:r w:rsidRPr="009A239D">
        <w:rPr>
          <w:rFonts w:ascii="Times New Roman" w:hAnsi="Times New Roman" w:cs="Times New Roman"/>
          <w:sz w:val="20"/>
          <w:szCs w:val="20"/>
        </w:rPr>
        <w:t xml:space="preserve">, 1–12. </w:t>
      </w:r>
      <w:hyperlink r:id="rId32" w:history="1">
        <w:r w:rsidRPr="009A239D">
          <w:rPr>
            <w:rStyle w:val="Hyperlink"/>
            <w:rFonts w:ascii="Times New Roman" w:hAnsi="Times New Roman" w:cs="Times New Roman"/>
            <w:sz w:val="20"/>
            <w:szCs w:val="20"/>
          </w:rPr>
          <w:t>https://doi.org/10.1016/j.ijintrel.2020.10.006</w:t>
        </w:r>
      </w:hyperlink>
    </w:p>
    <w:p w14:paraId="6BBD03CB" w14:textId="77777777" w:rsidR="00CD76E8" w:rsidRPr="009A239D" w:rsidRDefault="00CD76E8" w:rsidP="008838B6">
      <w:pPr>
        <w:spacing w:line="240" w:lineRule="auto"/>
        <w:ind w:left="720" w:hanging="720"/>
        <w:jc w:val="both"/>
        <w:rPr>
          <w:rFonts w:ascii="Times New Roman" w:hAnsi="Times New Roman" w:cs="Times New Roman"/>
          <w:sz w:val="20"/>
          <w:szCs w:val="20"/>
        </w:rPr>
      </w:pPr>
    </w:p>
    <w:p w14:paraId="64D962A2" w14:textId="3D5AD341" w:rsidR="00CD76E8" w:rsidRPr="009A239D" w:rsidRDefault="00CD76E8" w:rsidP="00CD76E8">
      <w:pPr>
        <w:spacing w:line="240" w:lineRule="auto"/>
        <w:ind w:left="720" w:hanging="720"/>
        <w:jc w:val="both"/>
        <w:rPr>
          <w:rFonts w:ascii="Times New Roman" w:hAnsi="Times New Roman" w:cs="Times New Roman"/>
          <w:sz w:val="20"/>
          <w:szCs w:val="20"/>
          <w:lang w:val="en-US"/>
        </w:rPr>
      </w:pPr>
      <w:r w:rsidRPr="009A239D">
        <w:rPr>
          <w:rFonts w:ascii="Times New Roman" w:hAnsi="Times New Roman" w:cs="Times New Roman"/>
          <w:sz w:val="20"/>
          <w:szCs w:val="20"/>
          <w:lang w:val="en-US"/>
        </w:rPr>
        <w:t xml:space="preserve">Zhang, J., &amp; Goodson, P. (2021). Predictors of international students’ psychosocial adjustment to life in the United States: A systematic review. </w:t>
      </w:r>
      <w:r w:rsidRPr="009A239D">
        <w:rPr>
          <w:rFonts w:ascii="Times New Roman" w:hAnsi="Times New Roman" w:cs="Times New Roman"/>
          <w:i/>
          <w:iCs/>
          <w:sz w:val="20"/>
          <w:szCs w:val="20"/>
          <w:lang w:val="en-US"/>
        </w:rPr>
        <w:t>International Journal of Intercultural Relations, 84</w:t>
      </w:r>
      <w:r w:rsidRPr="009A239D">
        <w:rPr>
          <w:rFonts w:ascii="Times New Roman" w:hAnsi="Times New Roman" w:cs="Times New Roman"/>
          <w:sz w:val="20"/>
          <w:szCs w:val="20"/>
          <w:lang w:val="en-US"/>
        </w:rPr>
        <w:t xml:space="preserve">, 1–12. </w:t>
      </w:r>
      <w:hyperlink r:id="rId33" w:history="1">
        <w:r w:rsidRPr="009A239D">
          <w:rPr>
            <w:rStyle w:val="Hyperlink"/>
            <w:rFonts w:ascii="Times New Roman" w:hAnsi="Times New Roman" w:cs="Times New Roman"/>
            <w:sz w:val="20"/>
            <w:szCs w:val="20"/>
            <w:lang w:val="en-US"/>
          </w:rPr>
          <w:t>https://doi.org/10.1016/j.ijintrel.2020.10.006</w:t>
        </w:r>
      </w:hyperlink>
    </w:p>
    <w:p w14:paraId="46BA6C99" w14:textId="77777777" w:rsidR="00CD76E8" w:rsidRPr="009A239D" w:rsidRDefault="00CD76E8" w:rsidP="00CD76E8">
      <w:pPr>
        <w:spacing w:line="240" w:lineRule="auto"/>
        <w:ind w:left="720" w:hanging="720"/>
        <w:jc w:val="both"/>
        <w:rPr>
          <w:rFonts w:ascii="Times New Roman" w:hAnsi="Times New Roman" w:cs="Times New Roman"/>
          <w:sz w:val="20"/>
          <w:szCs w:val="20"/>
          <w:lang w:val="en-US"/>
        </w:rPr>
      </w:pPr>
    </w:p>
    <w:p w14:paraId="30D4182F" w14:textId="77777777" w:rsidR="00CB4C83" w:rsidRPr="009A239D" w:rsidRDefault="00CB4C83" w:rsidP="008838B6">
      <w:pPr>
        <w:spacing w:line="240" w:lineRule="auto"/>
        <w:ind w:left="720" w:hanging="720"/>
        <w:jc w:val="both"/>
        <w:rPr>
          <w:rFonts w:ascii="Times New Roman" w:hAnsi="Times New Roman" w:cs="Times New Roman"/>
          <w:sz w:val="20"/>
          <w:szCs w:val="20"/>
        </w:rPr>
      </w:pPr>
    </w:p>
    <w:sectPr w:rsidR="00CB4C83" w:rsidRPr="009A239D" w:rsidSect="00604F3D">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59881" w14:textId="77777777" w:rsidR="00C538E1" w:rsidRDefault="00C538E1" w:rsidP="00C37C69">
      <w:pPr>
        <w:spacing w:line="240" w:lineRule="auto"/>
      </w:pPr>
      <w:r>
        <w:separator/>
      </w:r>
    </w:p>
  </w:endnote>
  <w:endnote w:type="continuationSeparator" w:id="0">
    <w:p w14:paraId="61793B95" w14:textId="77777777" w:rsidR="00C538E1" w:rsidRDefault="00C538E1" w:rsidP="00C37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6DA0A" w14:textId="77777777" w:rsidR="00C538E1" w:rsidRDefault="00C538E1" w:rsidP="00C37C69">
      <w:pPr>
        <w:spacing w:line="240" w:lineRule="auto"/>
      </w:pPr>
      <w:r>
        <w:separator/>
      </w:r>
    </w:p>
  </w:footnote>
  <w:footnote w:type="continuationSeparator" w:id="0">
    <w:p w14:paraId="4E7F3579" w14:textId="77777777" w:rsidR="00C538E1" w:rsidRDefault="00C538E1" w:rsidP="00C37C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FF9"/>
    <w:multiLevelType w:val="multilevel"/>
    <w:tmpl w:val="F30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B53D8"/>
    <w:multiLevelType w:val="hybridMultilevel"/>
    <w:tmpl w:val="B9A6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3942"/>
    <w:multiLevelType w:val="multilevel"/>
    <w:tmpl w:val="BB80A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FD38A0"/>
    <w:multiLevelType w:val="hybridMultilevel"/>
    <w:tmpl w:val="A7A019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1EAC6F31"/>
    <w:multiLevelType w:val="hybridMultilevel"/>
    <w:tmpl w:val="F860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E0DA2"/>
    <w:multiLevelType w:val="multilevel"/>
    <w:tmpl w:val="DC1E176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EF05D7B"/>
    <w:multiLevelType w:val="hybridMultilevel"/>
    <w:tmpl w:val="BF02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A2BED"/>
    <w:multiLevelType w:val="hybridMultilevel"/>
    <w:tmpl w:val="B06A6FCA"/>
    <w:styleLink w:val="Numbered"/>
    <w:lvl w:ilvl="0" w:tplc="F8D25B3C">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60" w:hanging="560"/>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8EF192">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69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926DC4">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87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18FA86">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05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346438">
      <w:start w:val="1"/>
      <w:numFmt w:val="decimal"/>
      <w:lvlText w:val="%5."/>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3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E61FE2">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1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D61F8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59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069CE">
      <w:start w:val="1"/>
      <w:numFmt w:val="decimal"/>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77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05B7A">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957" w:hanging="517"/>
      </w:pPr>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628560B9"/>
    <w:multiLevelType w:val="hybridMultilevel"/>
    <w:tmpl w:val="8E3C1196"/>
    <w:lvl w:ilvl="0" w:tplc="B1E8B7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A530CC"/>
    <w:multiLevelType w:val="hybridMultilevel"/>
    <w:tmpl w:val="522E4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9"/>
  </w:num>
  <w:num w:numId="9">
    <w:abstractNumId w:val="4"/>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3F"/>
    <w:rsid w:val="00001E15"/>
    <w:rsid w:val="00002AD6"/>
    <w:rsid w:val="0000719D"/>
    <w:rsid w:val="00010A57"/>
    <w:rsid w:val="00022817"/>
    <w:rsid w:val="0002440E"/>
    <w:rsid w:val="00026E01"/>
    <w:rsid w:val="00033FDC"/>
    <w:rsid w:val="00034098"/>
    <w:rsid w:val="00034E2F"/>
    <w:rsid w:val="00046AE1"/>
    <w:rsid w:val="00047C23"/>
    <w:rsid w:val="00051364"/>
    <w:rsid w:val="00055A51"/>
    <w:rsid w:val="000564CE"/>
    <w:rsid w:val="000632D2"/>
    <w:rsid w:val="00064FFE"/>
    <w:rsid w:val="00070B45"/>
    <w:rsid w:val="00074D3F"/>
    <w:rsid w:val="00093A22"/>
    <w:rsid w:val="00094D0E"/>
    <w:rsid w:val="00097E51"/>
    <w:rsid w:val="000B69B7"/>
    <w:rsid w:val="000C4724"/>
    <w:rsid w:val="000D61EF"/>
    <w:rsid w:val="000D7BC0"/>
    <w:rsid w:val="000E143D"/>
    <w:rsid w:val="000E3F5F"/>
    <w:rsid w:val="000E5595"/>
    <w:rsid w:val="000F29F9"/>
    <w:rsid w:val="000F4C0D"/>
    <w:rsid w:val="000F7831"/>
    <w:rsid w:val="00100FF0"/>
    <w:rsid w:val="001046C7"/>
    <w:rsid w:val="00114FF5"/>
    <w:rsid w:val="00120216"/>
    <w:rsid w:val="0012344C"/>
    <w:rsid w:val="00124052"/>
    <w:rsid w:val="001252C3"/>
    <w:rsid w:val="00126AD5"/>
    <w:rsid w:val="0013209D"/>
    <w:rsid w:val="001339D2"/>
    <w:rsid w:val="00136A34"/>
    <w:rsid w:val="0017074E"/>
    <w:rsid w:val="001719F0"/>
    <w:rsid w:val="001722F1"/>
    <w:rsid w:val="00174521"/>
    <w:rsid w:val="001775C2"/>
    <w:rsid w:val="00181B61"/>
    <w:rsid w:val="00187DF7"/>
    <w:rsid w:val="001935CF"/>
    <w:rsid w:val="001A2B75"/>
    <w:rsid w:val="001A3894"/>
    <w:rsid w:val="001A401C"/>
    <w:rsid w:val="001B08F4"/>
    <w:rsid w:val="001E141E"/>
    <w:rsid w:val="001E35B9"/>
    <w:rsid w:val="001E671C"/>
    <w:rsid w:val="001E7DB0"/>
    <w:rsid w:val="001F0A8A"/>
    <w:rsid w:val="001F63AB"/>
    <w:rsid w:val="002031E3"/>
    <w:rsid w:val="0021726D"/>
    <w:rsid w:val="00217BBC"/>
    <w:rsid w:val="002209CB"/>
    <w:rsid w:val="00231209"/>
    <w:rsid w:val="0023305B"/>
    <w:rsid w:val="00237EE7"/>
    <w:rsid w:val="002411AB"/>
    <w:rsid w:val="0026152F"/>
    <w:rsid w:val="00267511"/>
    <w:rsid w:val="00271348"/>
    <w:rsid w:val="0028239D"/>
    <w:rsid w:val="00297C61"/>
    <w:rsid w:val="002B6CB2"/>
    <w:rsid w:val="002C675B"/>
    <w:rsid w:val="002D1E21"/>
    <w:rsid w:val="002D1EEB"/>
    <w:rsid w:val="002D4132"/>
    <w:rsid w:val="002D4600"/>
    <w:rsid w:val="00305C7D"/>
    <w:rsid w:val="00306F8D"/>
    <w:rsid w:val="00310BEE"/>
    <w:rsid w:val="0032095E"/>
    <w:rsid w:val="00323020"/>
    <w:rsid w:val="003232CA"/>
    <w:rsid w:val="00327634"/>
    <w:rsid w:val="00330321"/>
    <w:rsid w:val="003500A9"/>
    <w:rsid w:val="00351236"/>
    <w:rsid w:val="003559E4"/>
    <w:rsid w:val="00364D28"/>
    <w:rsid w:val="003659E2"/>
    <w:rsid w:val="00370EE5"/>
    <w:rsid w:val="00376528"/>
    <w:rsid w:val="00382663"/>
    <w:rsid w:val="00382E6B"/>
    <w:rsid w:val="003869D1"/>
    <w:rsid w:val="003871B6"/>
    <w:rsid w:val="003918FD"/>
    <w:rsid w:val="0039659E"/>
    <w:rsid w:val="00396F88"/>
    <w:rsid w:val="003A0171"/>
    <w:rsid w:val="003A6F83"/>
    <w:rsid w:val="003A766F"/>
    <w:rsid w:val="003A7A7A"/>
    <w:rsid w:val="003B3D66"/>
    <w:rsid w:val="003B4B12"/>
    <w:rsid w:val="003B5932"/>
    <w:rsid w:val="003C44DD"/>
    <w:rsid w:val="003D0286"/>
    <w:rsid w:val="003D6F09"/>
    <w:rsid w:val="003E23FA"/>
    <w:rsid w:val="003F3D27"/>
    <w:rsid w:val="003F430A"/>
    <w:rsid w:val="00401718"/>
    <w:rsid w:val="0040329F"/>
    <w:rsid w:val="0040331E"/>
    <w:rsid w:val="00403D3B"/>
    <w:rsid w:val="00411776"/>
    <w:rsid w:val="0041292A"/>
    <w:rsid w:val="004150D2"/>
    <w:rsid w:val="00426485"/>
    <w:rsid w:val="00430F26"/>
    <w:rsid w:val="0044286C"/>
    <w:rsid w:val="00444FF7"/>
    <w:rsid w:val="00453673"/>
    <w:rsid w:val="0045740F"/>
    <w:rsid w:val="00457EC3"/>
    <w:rsid w:val="004645F5"/>
    <w:rsid w:val="00465A45"/>
    <w:rsid w:val="00467B8E"/>
    <w:rsid w:val="00473201"/>
    <w:rsid w:val="004821AC"/>
    <w:rsid w:val="0048498A"/>
    <w:rsid w:val="00484ABC"/>
    <w:rsid w:val="00484B9E"/>
    <w:rsid w:val="00485CA2"/>
    <w:rsid w:val="004B1AB0"/>
    <w:rsid w:val="004B5C84"/>
    <w:rsid w:val="004C439B"/>
    <w:rsid w:val="004D08BE"/>
    <w:rsid w:val="004E3E31"/>
    <w:rsid w:val="004E6D22"/>
    <w:rsid w:val="004F147D"/>
    <w:rsid w:val="004F35C0"/>
    <w:rsid w:val="004F7312"/>
    <w:rsid w:val="0050030F"/>
    <w:rsid w:val="00501BE8"/>
    <w:rsid w:val="005021CE"/>
    <w:rsid w:val="00503051"/>
    <w:rsid w:val="0050534C"/>
    <w:rsid w:val="00506132"/>
    <w:rsid w:val="00521238"/>
    <w:rsid w:val="00527657"/>
    <w:rsid w:val="00540A32"/>
    <w:rsid w:val="00544120"/>
    <w:rsid w:val="00551E6C"/>
    <w:rsid w:val="0055345D"/>
    <w:rsid w:val="00555D2C"/>
    <w:rsid w:val="00563269"/>
    <w:rsid w:val="0057103D"/>
    <w:rsid w:val="0058412D"/>
    <w:rsid w:val="00584320"/>
    <w:rsid w:val="00587B2B"/>
    <w:rsid w:val="00594B8E"/>
    <w:rsid w:val="005A1DF7"/>
    <w:rsid w:val="005A4228"/>
    <w:rsid w:val="005B10F8"/>
    <w:rsid w:val="005C339A"/>
    <w:rsid w:val="005C4868"/>
    <w:rsid w:val="005C746F"/>
    <w:rsid w:val="005D3CB9"/>
    <w:rsid w:val="005D5ACE"/>
    <w:rsid w:val="005D6217"/>
    <w:rsid w:val="005D77C3"/>
    <w:rsid w:val="005E37B1"/>
    <w:rsid w:val="005E64ED"/>
    <w:rsid w:val="005F43E4"/>
    <w:rsid w:val="00600A09"/>
    <w:rsid w:val="00604F3D"/>
    <w:rsid w:val="00612143"/>
    <w:rsid w:val="006179FA"/>
    <w:rsid w:val="0062693C"/>
    <w:rsid w:val="006373EC"/>
    <w:rsid w:val="00652814"/>
    <w:rsid w:val="00654197"/>
    <w:rsid w:val="00655DD8"/>
    <w:rsid w:val="00657D27"/>
    <w:rsid w:val="00661657"/>
    <w:rsid w:val="006724DC"/>
    <w:rsid w:val="00685488"/>
    <w:rsid w:val="00691FA3"/>
    <w:rsid w:val="006928F4"/>
    <w:rsid w:val="006A11D3"/>
    <w:rsid w:val="006A63B4"/>
    <w:rsid w:val="006A6F0E"/>
    <w:rsid w:val="006B7AD5"/>
    <w:rsid w:val="006C215F"/>
    <w:rsid w:val="006C4CFA"/>
    <w:rsid w:val="006D3A4A"/>
    <w:rsid w:val="006D3E29"/>
    <w:rsid w:val="006D71AE"/>
    <w:rsid w:val="006F3F0D"/>
    <w:rsid w:val="006F5E58"/>
    <w:rsid w:val="0070222D"/>
    <w:rsid w:val="00714F79"/>
    <w:rsid w:val="00721084"/>
    <w:rsid w:val="00723B02"/>
    <w:rsid w:val="00723BFC"/>
    <w:rsid w:val="007241D8"/>
    <w:rsid w:val="007244D6"/>
    <w:rsid w:val="007273CC"/>
    <w:rsid w:val="00731D87"/>
    <w:rsid w:val="007335B0"/>
    <w:rsid w:val="0074517B"/>
    <w:rsid w:val="007477A6"/>
    <w:rsid w:val="0075243D"/>
    <w:rsid w:val="007678D7"/>
    <w:rsid w:val="0077018A"/>
    <w:rsid w:val="0078384A"/>
    <w:rsid w:val="00783BFF"/>
    <w:rsid w:val="007848E0"/>
    <w:rsid w:val="0079349A"/>
    <w:rsid w:val="007A6B80"/>
    <w:rsid w:val="007B2E48"/>
    <w:rsid w:val="007B3886"/>
    <w:rsid w:val="007B7942"/>
    <w:rsid w:val="007C03D3"/>
    <w:rsid w:val="007C0D21"/>
    <w:rsid w:val="007C1728"/>
    <w:rsid w:val="007C63C9"/>
    <w:rsid w:val="007D395E"/>
    <w:rsid w:val="007F47B2"/>
    <w:rsid w:val="007F60B1"/>
    <w:rsid w:val="008008DE"/>
    <w:rsid w:val="008022A5"/>
    <w:rsid w:val="00802645"/>
    <w:rsid w:val="0080323A"/>
    <w:rsid w:val="0080519B"/>
    <w:rsid w:val="0080595A"/>
    <w:rsid w:val="008068FB"/>
    <w:rsid w:val="00813A23"/>
    <w:rsid w:val="0082197E"/>
    <w:rsid w:val="0082306A"/>
    <w:rsid w:val="00827947"/>
    <w:rsid w:val="008316CE"/>
    <w:rsid w:val="008365CA"/>
    <w:rsid w:val="0084138F"/>
    <w:rsid w:val="0085507A"/>
    <w:rsid w:val="00862CDD"/>
    <w:rsid w:val="00865D4A"/>
    <w:rsid w:val="008721C4"/>
    <w:rsid w:val="00873D47"/>
    <w:rsid w:val="008760C2"/>
    <w:rsid w:val="00877056"/>
    <w:rsid w:val="00877D5E"/>
    <w:rsid w:val="008838B6"/>
    <w:rsid w:val="00885EE7"/>
    <w:rsid w:val="008871E9"/>
    <w:rsid w:val="00890377"/>
    <w:rsid w:val="0089140B"/>
    <w:rsid w:val="008A068A"/>
    <w:rsid w:val="008A3F5E"/>
    <w:rsid w:val="008A4A28"/>
    <w:rsid w:val="008A4E31"/>
    <w:rsid w:val="008C32A7"/>
    <w:rsid w:val="008D614E"/>
    <w:rsid w:val="008E515B"/>
    <w:rsid w:val="00917FA7"/>
    <w:rsid w:val="0092299A"/>
    <w:rsid w:val="00941A00"/>
    <w:rsid w:val="009465F3"/>
    <w:rsid w:val="0094782C"/>
    <w:rsid w:val="00963F64"/>
    <w:rsid w:val="009756A7"/>
    <w:rsid w:val="009830D1"/>
    <w:rsid w:val="0098751B"/>
    <w:rsid w:val="0098769A"/>
    <w:rsid w:val="0099158C"/>
    <w:rsid w:val="00995CB5"/>
    <w:rsid w:val="009A239D"/>
    <w:rsid w:val="009A3E2B"/>
    <w:rsid w:val="009B0657"/>
    <w:rsid w:val="009B5200"/>
    <w:rsid w:val="009D053A"/>
    <w:rsid w:val="009D1329"/>
    <w:rsid w:val="009E03C7"/>
    <w:rsid w:val="009E0CB7"/>
    <w:rsid w:val="009F4161"/>
    <w:rsid w:val="009F5858"/>
    <w:rsid w:val="00A126EC"/>
    <w:rsid w:val="00A13531"/>
    <w:rsid w:val="00A25B09"/>
    <w:rsid w:val="00A304DA"/>
    <w:rsid w:val="00A32286"/>
    <w:rsid w:val="00A4000E"/>
    <w:rsid w:val="00A443BF"/>
    <w:rsid w:val="00A57308"/>
    <w:rsid w:val="00A576D0"/>
    <w:rsid w:val="00A64965"/>
    <w:rsid w:val="00A66436"/>
    <w:rsid w:val="00A770B8"/>
    <w:rsid w:val="00A8129F"/>
    <w:rsid w:val="00A8158A"/>
    <w:rsid w:val="00AC422E"/>
    <w:rsid w:val="00AF240A"/>
    <w:rsid w:val="00AF5A0F"/>
    <w:rsid w:val="00B02345"/>
    <w:rsid w:val="00B115A6"/>
    <w:rsid w:val="00B16700"/>
    <w:rsid w:val="00B16AA0"/>
    <w:rsid w:val="00B42541"/>
    <w:rsid w:val="00B55F30"/>
    <w:rsid w:val="00B57E26"/>
    <w:rsid w:val="00B6591D"/>
    <w:rsid w:val="00B659F0"/>
    <w:rsid w:val="00B7032C"/>
    <w:rsid w:val="00B74864"/>
    <w:rsid w:val="00B82F85"/>
    <w:rsid w:val="00B87E6B"/>
    <w:rsid w:val="00B93748"/>
    <w:rsid w:val="00BA00EB"/>
    <w:rsid w:val="00BB34E6"/>
    <w:rsid w:val="00BB3D3A"/>
    <w:rsid w:val="00BB417B"/>
    <w:rsid w:val="00BB6AB3"/>
    <w:rsid w:val="00BB7C10"/>
    <w:rsid w:val="00BC3267"/>
    <w:rsid w:val="00BD113F"/>
    <w:rsid w:val="00BD1567"/>
    <w:rsid w:val="00BD52BF"/>
    <w:rsid w:val="00BE0ACA"/>
    <w:rsid w:val="00BE4070"/>
    <w:rsid w:val="00BF2B60"/>
    <w:rsid w:val="00C0438C"/>
    <w:rsid w:val="00C06472"/>
    <w:rsid w:val="00C10E1D"/>
    <w:rsid w:val="00C16CED"/>
    <w:rsid w:val="00C207A0"/>
    <w:rsid w:val="00C207C8"/>
    <w:rsid w:val="00C20DDE"/>
    <w:rsid w:val="00C21E0F"/>
    <w:rsid w:val="00C24B91"/>
    <w:rsid w:val="00C30549"/>
    <w:rsid w:val="00C37C69"/>
    <w:rsid w:val="00C44C0E"/>
    <w:rsid w:val="00C476C7"/>
    <w:rsid w:val="00C538E1"/>
    <w:rsid w:val="00C602E2"/>
    <w:rsid w:val="00C6425D"/>
    <w:rsid w:val="00C643A2"/>
    <w:rsid w:val="00C64CC1"/>
    <w:rsid w:val="00C7151E"/>
    <w:rsid w:val="00C76447"/>
    <w:rsid w:val="00C8022A"/>
    <w:rsid w:val="00C83CC4"/>
    <w:rsid w:val="00C84641"/>
    <w:rsid w:val="00C9346B"/>
    <w:rsid w:val="00C95A84"/>
    <w:rsid w:val="00CA28A0"/>
    <w:rsid w:val="00CA2AC2"/>
    <w:rsid w:val="00CB2062"/>
    <w:rsid w:val="00CB4C83"/>
    <w:rsid w:val="00CD6C20"/>
    <w:rsid w:val="00CD76E8"/>
    <w:rsid w:val="00CE2DC8"/>
    <w:rsid w:val="00CE46B4"/>
    <w:rsid w:val="00CE7F66"/>
    <w:rsid w:val="00CF7E35"/>
    <w:rsid w:val="00D001A5"/>
    <w:rsid w:val="00D02FB9"/>
    <w:rsid w:val="00D11D7D"/>
    <w:rsid w:val="00D1257D"/>
    <w:rsid w:val="00D14713"/>
    <w:rsid w:val="00D21B7A"/>
    <w:rsid w:val="00D27CEE"/>
    <w:rsid w:val="00D42134"/>
    <w:rsid w:val="00D44DB2"/>
    <w:rsid w:val="00D52E7C"/>
    <w:rsid w:val="00D53F63"/>
    <w:rsid w:val="00D57196"/>
    <w:rsid w:val="00D631EA"/>
    <w:rsid w:val="00D6478C"/>
    <w:rsid w:val="00D66E7B"/>
    <w:rsid w:val="00D672C1"/>
    <w:rsid w:val="00D677DD"/>
    <w:rsid w:val="00D70CE1"/>
    <w:rsid w:val="00D73712"/>
    <w:rsid w:val="00D76512"/>
    <w:rsid w:val="00D8169B"/>
    <w:rsid w:val="00D849F6"/>
    <w:rsid w:val="00D907F0"/>
    <w:rsid w:val="00D91753"/>
    <w:rsid w:val="00DA52BF"/>
    <w:rsid w:val="00DC0529"/>
    <w:rsid w:val="00DC0D6B"/>
    <w:rsid w:val="00DC0DA6"/>
    <w:rsid w:val="00DC2393"/>
    <w:rsid w:val="00DC6A18"/>
    <w:rsid w:val="00DC7751"/>
    <w:rsid w:val="00DE45D5"/>
    <w:rsid w:val="00DF7BDC"/>
    <w:rsid w:val="00E037C8"/>
    <w:rsid w:val="00E04475"/>
    <w:rsid w:val="00E0663C"/>
    <w:rsid w:val="00E12512"/>
    <w:rsid w:val="00E1319B"/>
    <w:rsid w:val="00E409B7"/>
    <w:rsid w:val="00E41A9D"/>
    <w:rsid w:val="00E5042B"/>
    <w:rsid w:val="00E5105A"/>
    <w:rsid w:val="00E57BAA"/>
    <w:rsid w:val="00E63390"/>
    <w:rsid w:val="00E751B8"/>
    <w:rsid w:val="00E76639"/>
    <w:rsid w:val="00E812CF"/>
    <w:rsid w:val="00E846EF"/>
    <w:rsid w:val="00E918F2"/>
    <w:rsid w:val="00E9294B"/>
    <w:rsid w:val="00E929A2"/>
    <w:rsid w:val="00EB43AD"/>
    <w:rsid w:val="00EB4C6B"/>
    <w:rsid w:val="00EB7109"/>
    <w:rsid w:val="00EB760A"/>
    <w:rsid w:val="00EC5468"/>
    <w:rsid w:val="00ED4C3B"/>
    <w:rsid w:val="00ED738E"/>
    <w:rsid w:val="00EE1CFB"/>
    <w:rsid w:val="00EF1FA9"/>
    <w:rsid w:val="00EF4AC8"/>
    <w:rsid w:val="00EF4E2C"/>
    <w:rsid w:val="00F25842"/>
    <w:rsid w:val="00F26CB2"/>
    <w:rsid w:val="00F333CB"/>
    <w:rsid w:val="00F54FFE"/>
    <w:rsid w:val="00F61168"/>
    <w:rsid w:val="00F627DA"/>
    <w:rsid w:val="00F70401"/>
    <w:rsid w:val="00F76032"/>
    <w:rsid w:val="00F8146B"/>
    <w:rsid w:val="00F86EE7"/>
    <w:rsid w:val="00F90CA8"/>
    <w:rsid w:val="00FA1044"/>
    <w:rsid w:val="00FA54DC"/>
    <w:rsid w:val="00FB3C8B"/>
    <w:rsid w:val="00FB490D"/>
    <w:rsid w:val="00FB6E26"/>
    <w:rsid w:val="00FB7A96"/>
    <w:rsid w:val="00FF2B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2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2B"/>
    <w:pPr>
      <w:spacing w:after="0" w:line="276" w:lineRule="auto"/>
    </w:pPr>
    <w:rPr>
      <w:rFonts w:ascii="Arial" w:eastAsia="Arial" w:hAnsi="Arial" w:cs="Arial"/>
      <w:kern w:val="0"/>
      <w:sz w:val="22"/>
      <w:szCs w:val="22"/>
      <w:lang w:eastAsia="en-PH"/>
    </w:rPr>
  </w:style>
  <w:style w:type="paragraph" w:styleId="Heading1">
    <w:name w:val="heading 1"/>
    <w:basedOn w:val="Normal"/>
    <w:next w:val="Normal"/>
    <w:link w:val="Heading1Char"/>
    <w:uiPriority w:val="9"/>
    <w:qFormat/>
    <w:rsid w:val="0007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D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D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D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D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3F"/>
    <w:rPr>
      <w:rFonts w:eastAsiaTheme="majorEastAsia" w:cstheme="majorBidi"/>
      <w:color w:val="272727" w:themeColor="text1" w:themeTint="D8"/>
    </w:rPr>
  </w:style>
  <w:style w:type="paragraph" w:styleId="Title">
    <w:name w:val="Title"/>
    <w:basedOn w:val="Normal"/>
    <w:next w:val="Normal"/>
    <w:link w:val="TitleChar"/>
    <w:uiPriority w:val="10"/>
    <w:qFormat/>
    <w:rsid w:val="0007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3F"/>
    <w:pPr>
      <w:spacing w:before="160"/>
      <w:jc w:val="center"/>
    </w:pPr>
    <w:rPr>
      <w:i/>
      <w:iCs/>
      <w:color w:val="404040" w:themeColor="text1" w:themeTint="BF"/>
    </w:rPr>
  </w:style>
  <w:style w:type="character" w:customStyle="1" w:styleId="QuoteChar">
    <w:name w:val="Quote Char"/>
    <w:basedOn w:val="DefaultParagraphFont"/>
    <w:link w:val="Quote"/>
    <w:uiPriority w:val="29"/>
    <w:rsid w:val="00074D3F"/>
    <w:rPr>
      <w:i/>
      <w:iCs/>
      <w:color w:val="404040" w:themeColor="text1" w:themeTint="BF"/>
    </w:rPr>
  </w:style>
  <w:style w:type="paragraph" w:styleId="ListParagraph">
    <w:name w:val="List Paragraph"/>
    <w:basedOn w:val="Normal"/>
    <w:uiPriority w:val="34"/>
    <w:qFormat/>
    <w:rsid w:val="00074D3F"/>
    <w:pPr>
      <w:ind w:left="720"/>
      <w:contextualSpacing/>
    </w:pPr>
  </w:style>
  <w:style w:type="character" w:styleId="IntenseEmphasis">
    <w:name w:val="Intense Emphasis"/>
    <w:basedOn w:val="DefaultParagraphFont"/>
    <w:uiPriority w:val="21"/>
    <w:qFormat/>
    <w:rsid w:val="00074D3F"/>
    <w:rPr>
      <w:i/>
      <w:iCs/>
      <w:color w:val="2F5496" w:themeColor="accent1" w:themeShade="BF"/>
    </w:rPr>
  </w:style>
  <w:style w:type="paragraph" w:styleId="IntenseQuote">
    <w:name w:val="Intense Quote"/>
    <w:basedOn w:val="Normal"/>
    <w:next w:val="Normal"/>
    <w:link w:val="IntenseQuoteChar"/>
    <w:uiPriority w:val="30"/>
    <w:qFormat/>
    <w:rsid w:val="0007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D3F"/>
    <w:rPr>
      <w:i/>
      <w:iCs/>
      <w:color w:val="2F5496" w:themeColor="accent1" w:themeShade="BF"/>
    </w:rPr>
  </w:style>
  <w:style w:type="character" w:styleId="IntenseReference">
    <w:name w:val="Intense Reference"/>
    <w:basedOn w:val="DefaultParagraphFont"/>
    <w:uiPriority w:val="32"/>
    <w:qFormat/>
    <w:rsid w:val="00074D3F"/>
    <w:rPr>
      <w:b/>
      <w:bCs/>
      <w:smallCaps/>
      <w:color w:val="2F5496" w:themeColor="accent1" w:themeShade="BF"/>
      <w:spacing w:val="5"/>
    </w:rPr>
  </w:style>
  <w:style w:type="character" w:styleId="Hyperlink">
    <w:name w:val="Hyperlink"/>
    <w:basedOn w:val="DefaultParagraphFont"/>
    <w:uiPriority w:val="99"/>
    <w:unhideWhenUsed/>
    <w:rsid w:val="00074D3F"/>
    <w:rPr>
      <w:color w:val="0563C1" w:themeColor="hyperlink"/>
      <w:u w:val="single"/>
    </w:rPr>
  </w:style>
  <w:style w:type="character" w:customStyle="1" w:styleId="UnresolvedMention1">
    <w:name w:val="Unresolved Mention1"/>
    <w:basedOn w:val="DefaultParagraphFont"/>
    <w:uiPriority w:val="99"/>
    <w:semiHidden/>
    <w:unhideWhenUsed/>
    <w:rsid w:val="0070222D"/>
    <w:rPr>
      <w:color w:val="605E5C"/>
      <w:shd w:val="clear" w:color="auto" w:fill="E1DFDD"/>
    </w:rPr>
  </w:style>
  <w:style w:type="paragraph" w:styleId="NoSpacing">
    <w:name w:val="No Spacing"/>
    <w:uiPriority w:val="1"/>
    <w:qFormat/>
    <w:rsid w:val="00310BEE"/>
    <w:pPr>
      <w:spacing w:after="0" w:line="240" w:lineRule="auto"/>
    </w:pPr>
    <w:rPr>
      <w:rFonts w:ascii="Arial" w:eastAsia="Arial" w:hAnsi="Arial" w:cs="Arial"/>
      <w:kern w:val="0"/>
      <w:sz w:val="22"/>
      <w:szCs w:val="22"/>
      <w:lang w:eastAsia="en-PH"/>
    </w:rPr>
  </w:style>
  <w:style w:type="numbering" w:customStyle="1" w:styleId="Numbered">
    <w:name w:val="Numbered"/>
    <w:rsid w:val="00310BEE"/>
    <w:pPr>
      <w:numPr>
        <w:numId w:val="2"/>
      </w:numPr>
    </w:pPr>
  </w:style>
  <w:style w:type="paragraph" w:styleId="Header">
    <w:name w:val="header"/>
    <w:basedOn w:val="Normal"/>
    <w:link w:val="HeaderChar"/>
    <w:uiPriority w:val="99"/>
    <w:unhideWhenUsed/>
    <w:rsid w:val="00C37C69"/>
    <w:pPr>
      <w:tabs>
        <w:tab w:val="center" w:pos="4680"/>
        <w:tab w:val="right" w:pos="9360"/>
      </w:tabs>
      <w:spacing w:line="240" w:lineRule="auto"/>
    </w:pPr>
  </w:style>
  <w:style w:type="character" w:customStyle="1" w:styleId="HeaderChar">
    <w:name w:val="Header Char"/>
    <w:basedOn w:val="DefaultParagraphFont"/>
    <w:link w:val="Header"/>
    <w:uiPriority w:val="99"/>
    <w:rsid w:val="00C37C69"/>
    <w:rPr>
      <w:rFonts w:ascii="Arial" w:eastAsia="Arial" w:hAnsi="Arial" w:cs="Arial"/>
      <w:kern w:val="0"/>
      <w:sz w:val="22"/>
      <w:szCs w:val="22"/>
      <w:lang w:eastAsia="en-PH"/>
    </w:rPr>
  </w:style>
  <w:style w:type="paragraph" w:styleId="Footer">
    <w:name w:val="footer"/>
    <w:basedOn w:val="Normal"/>
    <w:link w:val="FooterChar"/>
    <w:uiPriority w:val="99"/>
    <w:unhideWhenUsed/>
    <w:rsid w:val="00C37C69"/>
    <w:pPr>
      <w:tabs>
        <w:tab w:val="center" w:pos="4680"/>
        <w:tab w:val="right" w:pos="9360"/>
      </w:tabs>
      <w:spacing w:line="240" w:lineRule="auto"/>
    </w:pPr>
  </w:style>
  <w:style w:type="character" w:customStyle="1" w:styleId="FooterChar">
    <w:name w:val="Footer Char"/>
    <w:basedOn w:val="DefaultParagraphFont"/>
    <w:link w:val="Footer"/>
    <w:uiPriority w:val="99"/>
    <w:rsid w:val="00C37C69"/>
    <w:rPr>
      <w:rFonts w:ascii="Arial" w:eastAsia="Arial" w:hAnsi="Arial" w:cs="Arial"/>
      <w:kern w:val="0"/>
      <w:sz w:val="22"/>
      <w:szCs w:val="22"/>
      <w:lang w:eastAsia="en-PH"/>
    </w:rPr>
  </w:style>
  <w:style w:type="table" w:styleId="TableGrid">
    <w:name w:val="Table Grid"/>
    <w:basedOn w:val="TableNormal"/>
    <w:uiPriority w:val="39"/>
    <w:rsid w:val="007F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869D1"/>
    <w:rPr>
      <w:color w:val="605E5C"/>
      <w:shd w:val="clear" w:color="auto" w:fill="E1DFDD"/>
    </w:rPr>
  </w:style>
  <w:style w:type="paragraph" w:styleId="NormalWeb">
    <w:name w:val="Normal (Web)"/>
    <w:basedOn w:val="Normal"/>
    <w:uiPriority w:val="99"/>
    <w:unhideWhenUsed/>
    <w:rsid w:val="00C802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802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2B"/>
    <w:pPr>
      <w:spacing w:after="0" w:line="276" w:lineRule="auto"/>
    </w:pPr>
    <w:rPr>
      <w:rFonts w:ascii="Arial" w:eastAsia="Arial" w:hAnsi="Arial" w:cs="Arial"/>
      <w:kern w:val="0"/>
      <w:sz w:val="22"/>
      <w:szCs w:val="22"/>
      <w:lang w:eastAsia="en-PH"/>
    </w:rPr>
  </w:style>
  <w:style w:type="paragraph" w:styleId="Heading1">
    <w:name w:val="heading 1"/>
    <w:basedOn w:val="Normal"/>
    <w:next w:val="Normal"/>
    <w:link w:val="Heading1Char"/>
    <w:uiPriority w:val="9"/>
    <w:qFormat/>
    <w:rsid w:val="0007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D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D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D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D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D3F"/>
    <w:rPr>
      <w:rFonts w:eastAsiaTheme="majorEastAsia" w:cstheme="majorBidi"/>
      <w:color w:val="272727" w:themeColor="text1" w:themeTint="D8"/>
    </w:rPr>
  </w:style>
  <w:style w:type="paragraph" w:styleId="Title">
    <w:name w:val="Title"/>
    <w:basedOn w:val="Normal"/>
    <w:next w:val="Normal"/>
    <w:link w:val="TitleChar"/>
    <w:uiPriority w:val="10"/>
    <w:qFormat/>
    <w:rsid w:val="0007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D3F"/>
    <w:pPr>
      <w:spacing w:before="160"/>
      <w:jc w:val="center"/>
    </w:pPr>
    <w:rPr>
      <w:i/>
      <w:iCs/>
      <w:color w:val="404040" w:themeColor="text1" w:themeTint="BF"/>
    </w:rPr>
  </w:style>
  <w:style w:type="character" w:customStyle="1" w:styleId="QuoteChar">
    <w:name w:val="Quote Char"/>
    <w:basedOn w:val="DefaultParagraphFont"/>
    <w:link w:val="Quote"/>
    <w:uiPriority w:val="29"/>
    <w:rsid w:val="00074D3F"/>
    <w:rPr>
      <w:i/>
      <w:iCs/>
      <w:color w:val="404040" w:themeColor="text1" w:themeTint="BF"/>
    </w:rPr>
  </w:style>
  <w:style w:type="paragraph" w:styleId="ListParagraph">
    <w:name w:val="List Paragraph"/>
    <w:basedOn w:val="Normal"/>
    <w:uiPriority w:val="34"/>
    <w:qFormat/>
    <w:rsid w:val="00074D3F"/>
    <w:pPr>
      <w:ind w:left="720"/>
      <w:contextualSpacing/>
    </w:pPr>
  </w:style>
  <w:style w:type="character" w:styleId="IntenseEmphasis">
    <w:name w:val="Intense Emphasis"/>
    <w:basedOn w:val="DefaultParagraphFont"/>
    <w:uiPriority w:val="21"/>
    <w:qFormat/>
    <w:rsid w:val="00074D3F"/>
    <w:rPr>
      <w:i/>
      <w:iCs/>
      <w:color w:val="2F5496" w:themeColor="accent1" w:themeShade="BF"/>
    </w:rPr>
  </w:style>
  <w:style w:type="paragraph" w:styleId="IntenseQuote">
    <w:name w:val="Intense Quote"/>
    <w:basedOn w:val="Normal"/>
    <w:next w:val="Normal"/>
    <w:link w:val="IntenseQuoteChar"/>
    <w:uiPriority w:val="30"/>
    <w:qFormat/>
    <w:rsid w:val="0007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D3F"/>
    <w:rPr>
      <w:i/>
      <w:iCs/>
      <w:color w:val="2F5496" w:themeColor="accent1" w:themeShade="BF"/>
    </w:rPr>
  </w:style>
  <w:style w:type="character" w:styleId="IntenseReference">
    <w:name w:val="Intense Reference"/>
    <w:basedOn w:val="DefaultParagraphFont"/>
    <w:uiPriority w:val="32"/>
    <w:qFormat/>
    <w:rsid w:val="00074D3F"/>
    <w:rPr>
      <w:b/>
      <w:bCs/>
      <w:smallCaps/>
      <w:color w:val="2F5496" w:themeColor="accent1" w:themeShade="BF"/>
      <w:spacing w:val="5"/>
    </w:rPr>
  </w:style>
  <w:style w:type="character" w:styleId="Hyperlink">
    <w:name w:val="Hyperlink"/>
    <w:basedOn w:val="DefaultParagraphFont"/>
    <w:uiPriority w:val="99"/>
    <w:unhideWhenUsed/>
    <w:rsid w:val="00074D3F"/>
    <w:rPr>
      <w:color w:val="0563C1" w:themeColor="hyperlink"/>
      <w:u w:val="single"/>
    </w:rPr>
  </w:style>
  <w:style w:type="character" w:customStyle="1" w:styleId="UnresolvedMention1">
    <w:name w:val="Unresolved Mention1"/>
    <w:basedOn w:val="DefaultParagraphFont"/>
    <w:uiPriority w:val="99"/>
    <w:semiHidden/>
    <w:unhideWhenUsed/>
    <w:rsid w:val="0070222D"/>
    <w:rPr>
      <w:color w:val="605E5C"/>
      <w:shd w:val="clear" w:color="auto" w:fill="E1DFDD"/>
    </w:rPr>
  </w:style>
  <w:style w:type="paragraph" w:styleId="NoSpacing">
    <w:name w:val="No Spacing"/>
    <w:uiPriority w:val="1"/>
    <w:qFormat/>
    <w:rsid w:val="00310BEE"/>
    <w:pPr>
      <w:spacing w:after="0" w:line="240" w:lineRule="auto"/>
    </w:pPr>
    <w:rPr>
      <w:rFonts w:ascii="Arial" w:eastAsia="Arial" w:hAnsi="Arial" w:cs="Arial"/>
      <w:kern w:val="0"/>
      <w:sz w:val="22"/>
      <w:szCs w:val="22"/>
      <w:lang w:eastAsia="en-PH"/>
    </w:rPr>
  </w:style>
  <w:style w:type="numbering" w:customStyle="1" w:styleId="Numbered">
    <w:name w:val="Numbered"/>
    <w:rsid w:val="00310BEE"/>
    <w:pPr>
      <w:numPr>
        <w:numId w:val="2"/>
      </w:numPr>
    </w:pPr>
  </w:style>
  <w:style w:type="paragraph" w:styleId="Header">
    <w:name w:val="header"/>
    <w:basedOn w:val="Normal"/>
    <w:link w:val="HeaderChar"/>
    <w:uiPriority w:val="99"/>
    <w:unhideWhenUsed/>
    <w:rsid w:val="00C37C69"/>
    <w:pPr>
      <w:tabs>
        <w:tab w:val="center" w:pos="4680"/>
        <w:tab w:val="right" w:pos="9360"/>
      </w:tabs>
      <w:spacing w:line="240" w:lineRule="auto"/>
    </w:pPr>
  </w:style>
  <w:style w:type="character" w:customStyle="1" w:styleId="HeaderChar">
    <w:name w:val="Header Char"/>
    <w:basedOn w:val="DefaultParagraphFont"/>
    <w:link w:val="Header"/>
    <w:uiPriority w:val="99"/>
    <w:rsid w:val="00C37C69"/>
    <w:rPr>
      <w:rFonts w:ascii="Arial" w:eastAsia="Arial" w:hAnsi="Arial" w:cs="Arial"/>
      <w:kern w:val="0"/>
      <w:sz w:val="22"/>
      <w:szCs w:val="22"/>
      <w:lang w:eastAsia="en-PH"/>
    </w:rPr>
  </w:style>
  <w:style w:type="paragraph" w:styleId="Footer">
    <w:name w:val="footer"/>
    <w:basedOn w:val="Normal"/>
    <w:link w:val="FooterChar"/>
    <w:uiPriority w:val="99"/>
    <w:unhideWhenUsed/>
    <w:rsid w:val="00C37C69"/>
    <w:pPr>
      <w:tabs>
        <w:tab w:val="center" w:pos="4680"/>
        <w:tab w:val="right" w:pos="9360"/>
      </w:tabs>
      <w:spacing w:line="240" w:lineRule="auto"/>
    </w:pPr>
  </w:style>
  <w:style w:type="character" w:customStyle="1" w:styleId="FooterChar">
    <w:name w:val="Footer Char"/>
    <w:basedOn w:val="DefaultParagraphFont"/>
    <w:link w:val="Footer"/>
    <w:uiPriority w:val="99"/>
    <w:rsid w:val="00C37C69"/>
    <w:rPr>
      <w:rFonts w:ascii="Arial" w:eastAsia="Arial" w:hAnsi="Arial" w:cs="Arial"/>
      <w:kern w:val="0"/>
      <w:sz w:val="22"/>
      <w:szCs w:val="22"/>
      <w:lang w:eastAsia="en-PH"/>
    </w:rPr>
  </w:style>
  <w:style w:type="table" w:styleId="TableGrid">
    <w:name w:val="Table Grid"/>
    <w:basedOn w:val="TableNormal"/>
    <w:uiPriority w:val="39"/>
    <w:rsid w:val="007F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869D1"/>
    <w:rPr>
      <w:color w:val="605E5C"/>
      <w:shd w:val="clear" w:color="auto" w:fill="E1DFDD"/>
    </w:rPr>
  </w:style>
  <w:style w:type="paragraph" w:styleId="NormalWeb">
    <w:name w:val="Normal (Web)"/>
    <w:basedOn w:val="Normal"/>
    <w:uiPriority w:val="99"/>
    <w:unhideWhenUsed/>
    <w:rsid w:val="00C802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80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6120">
      <w:bodyDiv w:val="1"/>
      <w:marLeft w:val="0"/>
      <w:marRight w:val="0"/>
      <w:marTop w:val="0"/>
      <w:marBottom w:val="0"/>
      <w:divBdr>
        <w:top w:val="none" w:sz="0" w:space="0" w:color="auto"/>
        <w:left w:val="none" w:sz="0" w:space="0" w:color="auto"/>
        <w:bottom w:val="none" w:sz="0" w:space="0" w:color="auto"/>
        <w:right w:val="none" w:sz="0" w:space="0" w:color="auto"/>
      </w:divBdr>
    </w:div>
    <w:div w:id="151877305">
      <w:bodyDiv w:val="1"/>
      <w:marLeft w:val="0"/>
      <w:marRight w:val="0"/>
      <w:marTop w:val="0"/>
      <w:marBottom w:val="0"/>
      <w:divBdr>
        <w:top w:val="none" w:sz="0" w:space="0" w:color="auto"/>
        <w:left w:val="none" w:sz="0" w:space="0" w:color="auto"/>
        <w:bottom w:val="none" w:sz="0" w:space="0" w:color="auto"/>
        <w:right w:val="none" w:sz="0" w:space="0" w:color="auto"/>
      </w:divBdr>
    </w:div>
    <w:div w:id="193932857">
      <w:bodyDiv w:val="1"/>
      <w:marLeft w:val="0"/>
      <w:marRight w:val="0"/>
      <w:marTop w:val="0"/>
      <w:marBottom w:val="0"/>
      <w:divBdr>
        <w:top w:val="none" w:sz="0" w:space="0" w:color="auto"/>
        <w:left w:val="none" w:sz="0" w:space="0" w:color="auto"/>
        <w:bottom w:val="none" w:sz="0" w:space="0" w:color="auto"/>
        <w:right w:val="none" w:sz="0" w:space="0" w:color="auto"/>
      </w:divBdr>
    </w:div>
    <w:div w:id="207685664">
      <w:bodyDiv w:val="1"/>
      <w:marLeft w:val="0"/>
      <w:marRight w:val="0"/>
      <w:marTop w:val="0"/>
      <w:marBottom w:val="0"/>
      <w:divBdr>
        <w:top w:val="none" w:sz="0" w:space="0" w:color="auto"/>
        <w:left w:val="none" w:sz="0" w:space="0" w:color="auto"/>
        <w:bottom w:val="none" w:sz="0" w:space="0" w:color="auto"/>
        <w:right w:val="none" w:sz="0" w:space="0" w:color="auto"/>
      </w:divBdr>
    </w:div>
    <w:div w:id="327513986">
      <w:bodyDiv w:val="1"/>
      <w:marLeft w:val="0"/>
      <w:marRight w:val="0"/>
      <w:marTop w:val="0"/>
      <w:marBottom w:val="0"/>
      <w:divBdr>
        <w:top w:val="none" w:sz="0" w:space="0" w:color="auto"/>
        <w:left w:val="none" w:sz="0" w:space="0" w:color="auto"/>
        <w:bottom w:val="none" w:sz="0" w:space="0" w:color="auto"/>
        <w:right w:val="none" w:sz="0" w:space="0" w:color="auto"/>
      </w:divBdr>
    </w:div>
    <w:div w:id="353968475">
      <w:bodyDiv w:val="1"/>
      <w:marLeft w:val="0"/>
      <w:marRight w:val="0"/>
      <w:marTop w:val="0"/>
      <w:marBottom w:val="0"/>
      <w:divBdr>
        <w:top w:val="none" w:sz="0" w:space="0" w:color="auto"/>
        <w:left w:val="none" w:sz="0" w:space="0" w:color="auto"/>
        <w:bottom w:val="none" w:sz="0" w:space="0" w:color="auto"/>
        <w:right w:val="none" w:sz="0" w:space="0" w:color="auto"/>
      </w:divBdr>
    </w:div>
    <w:div w:id="355275116">
      <w:bodyDiv w:val="1"/>
      <w:marLeft w:val="0"/>
      <w:marRight w:val="0"/>
      <w:marTop w:val="0"/>
      <w:marBottom w:val="0"/>
      <w:divBdr>
        <w:top w:val="none" w:sz="0" w:space="0" w:color="auto"/>
        <w:left w:val="none" w:sz="0" w:space="0" w:color="auto"/>
        <w:bottom w:val="none" w:sz="0" w:space="0" w:color="auto"/>
        <w:right w:val="none" w:sz="0" w:space="0" w:color="auto"/>
      </w:divBdr>
    </w:div>
    <w:div w:id="398599681">
      <w:bodyDiv w:val="1"/>
      <w:marLeft w:val="0"/>
      <w:marRight w:val="0"/>
      <w:marTop w:val="0"/>
      <w:marBottom w:val="0"/>
      <w:divBdr>
        <w:top w:val="none" w:sz="0" w:space="0" w:color="auto"/>
        <w:left w:val="none" w:sz="0" w:space="0" w:color="auto"/>
        <w:bottom w:val="none" w:sz="0" w:space="0" w:color="auto"/>
        <w:right w:val="none" w:sz="0" w:space="0" w:color="auto"/>
      </w:divBdr>
    </w:div>
    <w:div w:id="493884563">
      <w:bodyDiv w:val="1"/>
      <w:marLeft w:val="0"/>
      <w:marRight w:val="0"/>
      <w:marTop w:val="0"/>
      <w:marBottom w:val="0"/>
      <w:divBdr>
        <w:top w:val="none" w:sz="0" w:space="0" w:color="auto"/>
        <w:left w:val="none" w:sz="0" w:space="0" w:color="auto"/>
        <w:bottom w:val="none" w:sz="0" w:space="0" w:color="auto"/>
        <w:right w:val="none" w:sz="0" w:space="0" w:color="auto"/>
      </w:divBdr>
    </w:div>
    <w:div w:id="495413427">
      <w:bodyDiv w:val="1"/>
      <w:marLeft w:val="0"/>
      <w:marRight w:val="0"/>
      <w:marTop w:val="0"/>
      <w:marBottom w:val="0"/>
      <w:divBdr>
        <w:top w:val="none" w:sz="0" w:space="0" w:color="auto"/>
        <w:left w:val="none" w:sz="0" w:space="0" w:color="auto"/>
        <w:bottom w:val="none" w:sz="0" w:space="0" w:color="auto"/>
        <w:right w:val="none" w:sz="0" w:space="0" w:color="auto"/>
      </w:divBdr>
    </w:div>
    <w:div w:id="538664254">
      <w:bodyDiv w:val="1"/>
      <w:marLeft w:val="0"/>
      <w:marRight w:val="0"/>
      <w:marTop w:val="0"/>
      <w:marBottom w:val="0"/>
      <w:divBdr>
        <w:top w:val="none" w:sz="0" w:space="0" w:color="auto"/>
        <w:left w:val="none" w:sz="0" w:space="0" w:color="auto"/>
        <w:bottom w:val="none" w:sz="0" w:space="0" w:color="auto"/>
        <w:right w:val="none" w:sz="0" w:space="0" w:color="auto"/>
      </w:divBdr>
    </w:div>
    <w:div w:id="591671093">
      <w:bodyDiv w:val="1"/>
      <w:marLeft w:val="0"/>
      <w:marRight w:val="0"/>
      <w:marTop w:val="0"/>
      <w:marBottom w:val="0"/>
      <w:divBdr>
        <w:top w:val="none" w:sz="0" w:space="0" w:color="auto"/>
        <w:left w:val="none" w:sz="0" w:space="0" w:color="auto"/>
        <w:bottom w:val="none" w:sz="0" w:space="0" w:color="auto"/>
        <w:right w:val="none" w:sz="0" w:space="0" w:color="auto"/>
      </w:divBdr>
      <w:divsChild>
        <w:div w:id="682786564">
          <w:marLeft w:val="0"/>
          <w:marRight w:val="0"/>
          <w:marTop w:val="100"/>
          <w:marBottom w:val="100"/>
          <w:divBdr>
            <w:top w:val="none" w:sz="0" w:space="0" w:color="auto"/>
            <w:left w:val="none" w:sz="0" w:space="0" w:color="auto"/>
            <w:bottom w:val="none" w:sz="0" w:space="0" w:color="auto"/>
            <w:right w:val="none" w:sz="0" w:space="0" w:color="auto"/>
          </w:divBdr>
          <w:divsChild>
            <w:div w:id="2084600675">
              <w:marLeft w:val="0"/>
              <w:marRight w:val="0"/>
              <w:marTop w:val="0"/>
              <w:marBottom w:val="0"/>
              <w:divBdr>
                <w:top w:val="none" w:sz="0" w:space="0" w:color="auto"/>
                <w:left w:val="none" w:sz="0" w:space="0" w:color="auto"/>
                <w:bottom w:val="none" w:sz="0" w:space="0" w:color="auto"/>
                <w:right w:val="none" w:sz="0" w:space="0" w:color="auto"/>
              </w:divBdr>
              <w:divsChild>
                <w:div w:id="770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8487">
      <w:bodyDiv w:val="1"/>
      <w:marLeft w:val="0"/>
      <w:marRight w:val="0"/>
      <w:marTop w:val="0"/>
      <w:marBottom w:val="0"/>
      <w:divBdr>
        <w:top w:val="none" w:sz="0" w:space="0" w:color="auto"/>
        <w:left w:val="none" w:sz="0" w:space="0" w:color="auto"/>
        <w:bottom w:val="none" w:sz="0" w:space="0" w:color="auto"/>
        <w:right w:val="none" w:sz="0" w:space="0" w:color="auto"/>
      </w:divBdr>
    </w:div>
    <w:div w:id="1018388876">
      <w:bodyDiv w:val="1"/>
      <w:marLeft w:val="0"/>
      <w:marRight w:val="0"/>
      <w:marTop w:val="0"/>
      <w:marBottom w:val="0"/>
      <w:divBdr>
        <w:top w:val="none" w:sz="0" w:space="0" w:color="auto"/>
        <w:left w:val="none" w:sz="0" w:space="0" w:color="auto"/>
        <w:bottom w:val="none" w:sz="0" w:space="0" w:color="auto"/>
        <w:right w:val="none" w:sz="0" w:space="0" w:color="auto"/>
      </w:divBdr>
    </w:div>
    <w:div w:id="1028722784">
      <w:bodyDiv w:val="1"/>
      <w:marLeft w:val="0"/>
      <w:marRight w:val="0"/>
      <w:marTop w:val="0"/>
      <w:marBottom w:val="0"/>
      <w:divBdr>
        <w:top w:val="none" w:sz="0" w:space="0" w:color="auto"/>
        <w:left w:val="none" w:sz="0" w:space="0" w:color="auto"/>
        <w:bottom w:val="none" w:sz="0" w:space="0" w:color="auto"/>
        <w:right w:val="none" w:sz="0" w:space="0" w:color="auto"/>
      </w:divBdr>
    </w:div>
    <w:div w:id="1029140767">
      <w:bodyDiv w:val="1"/>
      <w:marLeft w:val="0"/>
      <w:marRight w:val="0"/>
      <w:marTop w:val="0"/>
      <w:marBottom w:val="0"/>
      <w:divBdr>
        <w:top w:val="none" w:sz="0" w:space="0" w:color="auto"/>
        <w:left w:val="none" w:sz="0" w:space="0" w:color="auto"/>
        <w:bottom w:val="none" w:sz="0" w:space="0" w:color="auto"/>
        <w:right w:val="none" w:sz="0" w:space="0" w:color="auto"/>
      </w:divBdr>
    </w:div>
    <w:div w:id="1048457431">
      <w:bodyDiv w:val="1"/>
      <w:marLeft w:val="0"/>
      <w:marRight w:val="0"/>
      <w:marTop w:val="0"/>
      <w:marBottom w:val="0"/>
      <w:divBdr>
        <w:top w:val="none" w:sz="0" w:space="0" w:color="auto"/>
        <w:left w:val="none" w:sz="0" w:space="0" w:color="auto"/>
        <w:bottom w:val="none" w:sz="0" w:space="0" w:color="auto"/>
        <w:right w:val="none" w:sz="0" w:space="0" w:color="auto"/>
      </w:divBdr>
    </w:div>
    <w:div w:id="1157264765">
      <w:bodyDiv w:val="1"/>
      <w:marLeft w:val="0"/>
      <w:marRight w:val="0"/>
      <w:marTop w:val="0"/>
      <w:marBottom w:val="0"/>
      <w:divBdr>
        <w:top w:val="none" w:sz="0" w:space="0" w:color="auto"/>
        <w:left w:val="none" w:sz="0" w:space="0" w:color="auto"/>
        <w:bottom w:val="none" w:sz="0" w:space="0" w:color="auto"/>
        <w:right w:val="none" w:sz="0" w:space="0" w:color="auto"/>
      </w:divBdr>
    </w:div>
    <w:div w:id="1158763554">
      <w:bodyDiv w:val="1"/>
      <w:marLeft w:val="0"/>
      <w:marRight w:val="0"/>
      <w:marTop w:val="0"/>
      <w:marBottom w:val="0"/>
      <w:divBdr>
        <w:top w:val="none" w:sz="0" w:space="0" w:color="auto"/>
        <w:left w:val="none" w:sz="0" w:space="0" w:color="auto"/>
        <w:bottom w:val="none" w:sz="0" w:space="0" w:color="auto"/>
        <w:right w:val="none" w:sz="0" w:space="0" w:color="auto"/>
      </w:divBdr>
    </w:div>
    <w:div w:id="1331179683">
      <w:bodyDiv w:val="1"/>
      <w:marLeft w:val="0"/>
      <w:marRight w:val="0"/>
      <w:marTop w:val="0"/>
      <w:marBottom w:val="0"/>
      <w:divBdr>
        <w:top w:val="none" w:sz="0" w:space="0" w:color="auto"/>
        <w:left w:val="none" w:sz="0" w:space="0" w:color="auto"/>
        <w:bottom w:val="none" w:sz="0" w:space="0" w:color="auto"/>
        <w:right w:val="none" w:sz="0" w:space="0" w:color="auto"/>
      </w:divBdr>
    </w:div>
    <w:div w:id="1525440755">
      <w:bodyDiv w:val="1"/>
      <w:marLeft w:val="0"/>
      <w:marRight w:val="0"/>
      <w:marTop w:val="0"/>
      <w:marBottom w:val="0"/>
      <w:divBdr>
        <w:top w:val="none" w:sz="0" w:space="0" w:color="auto"/>
        <w:left w:val="none" w:sz="0" w:space="0" w:color="auto"/>
        <w:bottom w:val="none" w:sz="0" w:space="0" w:color="auto"/>
        <w:right w:val="none" w:sz="0" w:space="0" w:color="auto"/>
      </w:divBdr>
      <w:divsChild>
        <w:div w:id="238827922">
          <w:marLeft w:val="0"/>
          <w:marRight w:val="0"/>
          <w:marTop w:val="100"/>
          <w:marBottom w:val="100"/>
          <w:divBdr>
            <w:top w:val="none" w:sz="0" w:space="0" w:color="auto"/>
            <w:left w:val="none" w:sz="0" w:space="0" w:color="auto"/>
            <w:bottom w:val="none" w:sz="0" w:space="0" w:color="auto"/>
            <w:right w:val="none" w:sz="0" w:space="0" w:color="auto"/>
          </w:divBdr>
          <w:divsChild>
            <w:div w:id="1568571074">
              <w:marLeft w:val="0"/>
              <w:marRight w:val="0"/>
              <w:marTop w:val="0"/>
              <w:marBottom w:val="0"/>
              <w:divBdr>
                <w:top w:val="none" w:sz="0" w:space="0" w:color="auto"/>
                <w:left w:val="none" w:sz="0" w:space="0" w:color="auto"/>
                <w:bottom w:val="none" w:sz="0" w:space="0" w:color="auto"/>
                <w:right w:val="none" w:sz="0" w:space="0" w:color="auto"/>
              </w:divBdr>
              <w:divsChild>
                <w:div w:id="776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1286">
      <w:bodyDiv w:val="1"/>
      <w:marLeft w:val="0"/>
      <w:marRight w:val="0"/>
      <w:marTop w:val="0"/>
      <w:marBottom w:val="0"/>
      <w:divBdr>
        <w:top w:val="none" w:sz="0" w:space="0" w:color="auto"/>
        <w:left w:val="none" w:sz="0" w:space="0" w:color="auto"/>
        <w:bottom w:val="none" w:sz="0" w:space="0" w:color="auto"/>
        <w:right w:val="none" w:sz="0" w:space="0" w:color="auto"/>
      </w:divBdr>
    </w:div>
    <w:div w:id="1687512135">
      <w:bodyDiv w:val="1"/>
      <w:marLeft w:val="0"/>
      <w:marRight w:val="0"/>
      <w:marTop w:val="0"/>
      <w:marBottom w:val="0"/>
      <w:divBdr>
        <w:top w:val="none" w:sz="0" w:space="0" w:color="auto"/>
        <w:left w:val="none" w:sz="0" w:space="0" w:color="auto"/>
        <w:bottom w:val="none" w:sz="0" w:space="0" w:color="auto"/>
        <w:right w:val="none" w:sz="0" w:space="0" w:color="auto"/>
      </w:divBdr>
    </w:div>
    <w:div w:id="1733188539">
      <w:bodyDiv w:val="1"/>
      <w:marLeft w:val="0"/>
      <w:marRight w:val="0"/>
      <w:marTop w:val="0"/>
      <w:marBottom w:val="0"/>
      <w:divBdr>
        <w:top w:val="none" w:sz="0" w:space="0" w:color="auto"/>
        <w:left w:val="none" w:sz="0" w:space="0" w:color="auto"/>
        <w:bottom w:val="none" w:sz="0" w:space="0" w:color="auto"/>
        <w:right w:val="none" w:sz="0" w:space="0" w:color="auto"/>
      </w:divBdr>
    </w:div>
    <w:div w:id="1849979114">
      <w:bodyDiv w:val="1"/>
      <w:marLeft w:val="0"/>
      <w:marRight w:val="0"/>
      <w:marTop w:val="0"/>
      <w:marBottom w:val="0"/>
      <w:divBdr>
        <w:top w:val="none" w:sz="0" w:space="0" w:color="auto"/>
        <w:left w:val="none" w:sz="0" w:space="0" w:color="auto"/>
        <w:bottom w:val="none" w:sz="0" w:space="0" w:color="auto"/>
        <w:right w:val="none" w:sz="0" w:space="0" w:color="auto"/>
      </w:divBdr>
    </w:div>
    <w:div w:id="1958172733">
      <w:bodyDiv w:val="1"/>
      <w:marLeft w:val="0"/>
      <w:marRight w:val="0"/>
      <w:marTop w:val="0"/>
      <w:marBottom w:val="0"/>
      <w:divBdr>
        <w:top w:val="none" w:sz="0" w:space="0" w:color="auto"/>
        <w:left w:val="none" w:sz="0" w:space="0" w:color="auto"/>
        <w:bottom w:val="none" w:sz="0" w:space="0" w:color="auto"/>
        <w:right w:val="none" w:sz="0" w:space="0" w:color="auto"/>
      </w:divBdr>
    </w:div>
    <w:div w:id="20032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49732316654870" TargetMode="External"/><Relationship Id="rId18" Type="http://schemas.openxmlformats.org/officeDocument/2006/relationships/hyperlink" Target="https://doi.org/10.1007/978-981-287-576-1_31" TargetMode="External"/><Relationship Id="rId26" Type="http://schemas.openxmlformats.org/officeDocument/2006/relationships/hyperlink" Target="https://pidswebs.pids.gov.ph/CDN/PUBLICATIONS/pidsdps1909.pdf" TargetMode="External"/><Relationship Id="rId3" Type="http://schemas.openxmlformats.org/officeDocument/2006/relationships/styles" Target="styles.xml"/><Relationship Id="rId21" Type="http://schemas.openxmlformats.org/officeDocument/2006/relationships/hyperlink" Target="https://commons.wmu.se/lib_articles/393/"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80/02188791.2019.1601153" TargetMode="External"/><Relationship Id="rId17" Type="http://schemas.openxmlformats.org/officeDocument/2006/relationships/hyperlink" Target="https://doi.org/10.3102/0002831212446662" TargetMode="External"/><Relationship Id="rId25" Type="http://schemas.openxmlformats.org/officeDocument/2006/relationships/hyperlink" Target="https://doi.org/10.1787/eag-2023-en" TargetMode="External"/><Relationship Id="rId33" Type="http://schemas.openxmlformats.org/officeDocument/2006/relationships/hyperlink" Target="https://doi.org/10.1016/j.ijintrel.2020.10.006" TargetMode="External"/><Relationship Id="rId2" Type="http://schemas.openxmlformats.org/officeDocument/2006/relationships/numbering" Target="numbering.xml"/><Relationship Id="rId16" Type="http://schemas.openxmlformats.org/officeDocument/2006/relationships/hyperlink" Target="https://doi.org/10.1007/s11135-021-01182y" TargetMode="External"/><Relationship Id="rId20" Type="http://schemas.openxmlformats.org/officeDocument/2006/relationships/hyperlink" Target="https://doi.org/10.32674/jis.v5i4.400" TargetMode="External"/><Relationship Id="rId29" Type="http://schemas.openxmlformats.org/officeDocument/2006/relationships/hyperlink" Target="https://doi.org/10.1080/07294360.2020.17680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imig.12757" TargetMode="External"/><Relationship Id="rId24" Type="http://schemas.openxmlformats.org/officeDocument/2006/relationships/hyperlink" Target="https://doi.org/10.1177/1609406917733847" TargetMode="External"/><Relationship Id="rId32" Type="http://schemas.openxmlformats.org/officeDocument/2006/relationships/hyperlink" Target="https://doi.org/10.1016/j.ijintrel.2020.10.006" TargetMode="External"/><Relationship Id="rId5" Type="http://schemas.openxmlformats.org/officeDocument/2006/relationships/settings" Target="settings.xml"/><Relationship Id="rId15" Type="http://schemas.openxmlformats.org/officeDocument/2006/relationships/hyperlink" Target="https://doi.org/10.1093/oso/9780198825118.001.0001" TargetMode="External"/><Relationship Id="rId23" Type="http://schemas.openxmlformats.org/officeDocument/2006/relationships/hyperlink" Target="https://doi.org/10.1016/j.ijedudev.2019.04.00" TargetMode="External"/><Relationship Id="rId28" Type="http://schemas.openxmlformats.org/officeDocument/2006/relationships/hyperlink" Target="https://eric.ed.gov/?id=EJ821308" TargetMode="External"/><Relationship Id="rId10" Type="http://schemas.openxmlformats.org/officeDocument/2006/relationships/hyperlink" Target="https://doi.org/10.1177/1028315319889880" TargetMode="External"/><Relationship Id="rId19" Type="http://schemas.openxmlformats.org/officeDocument/2006/relationships/hyperlink" Target="https://pidswebs.pids.gov.ph" TargetMode="External"/><Relationship Id="rId31" Type="http://schemas.openxmlformats.org/officeDocument/2006/relationships/hyperlink" Target="https://www.unesco.org" TargetMode="External"/><Relationship Id="rId4" Type="http://schemas.microsoft.com/office/2007/relationships/stylesWithEffects" Target="stylesWithEffects.xml"/><Relationship Id="rId9" Type="http://schemas.openxmlformats.org/officeDocument/2006/relationships/hyperlink" Target="https://ejournals.bc.edu/index.php/ihe/article/view/14583" TargetMode="External"/><Relationship Id="rId14" Type="http://schemas.openxmlformats.org/officeDocument/2006/relationships/hyperlink" Target="https://doi.org/10.53841/bpsqmip.2022.1" TargetMode="External"/><Relationship Id="rId22" Type="http://schemas.openxmlformats.org/officeDocument/2006/relationships/hyperlink" Target="https://doi.org/10.1007/s10734-005-4508-3" TargetMode="External"/><Relationship Id="rId27" Type="http://schemas.openxmlformats.org/officeDocument/2006/relationships/hyperlink" Target="https://doi.org/10.1007/s12564-021-09695-4" TargetMode="External"/><Relationship Id="rId30" Type="http://schemas.openxmlformats.org/officeDocument/2006/relationships/hyperlink" Target="http://uis.unesco.or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F392A-8BEB-4F8D-AE27-910C485F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Princess Calugas</dc:creator>
  <cp:lastModifiedBy>qwert</cp:lastModifiedBy>
  <cp:revision>3</cp:revision>
  <cp:lastPrinted>2026-04-19T12:06:00Z</cp:lastPrinted>
  <dcterms:created xsi:type="dcterms:W3CDTF">2026-04-19T12:28:00Z</dcterms:created>
  <dcterms:modified xsi:type="dcterms:W3CDTF">2026-04-20T10:04:00Z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8ad11ca1-3096-4080-bd0a-bd225714ff2e</vt:lpwstr>
  </property>
</Properties>
</file>