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94DB1" w14:textId="4803345F" w:rsidR="00E34D38" w:rsidRPr="00FF6F48" w:rsidRDefault="00E34D38" w:rsidP="00FF6F48">
      <w:pPr>
        <w:rPr>
          <w:rFonts w:ascii="Times New Roman" w:hAnsi="Times New Roman" w:cs="Times New Roman"/>
          <w:sz w:val="36"/>
          <w:szCs w:val="36"/>
        </w:rPr>
      </w:pPr>
      <w:r w:rsidRPr="00FF6F48">
        <w:rPr>
          <w:rStyle w:val="Strong"/>
          <w:rFonts w:ascii="Times New Roman" w:hAnsi="Times New Roman" w:cs="Times New Roman"/>
          <w:sz w:val="36"/>
          <w:szCs w:val="36"/>
        </w:rPr>
        <w:t>Barriers to Early Cancer Diagnosis in India: A Systematic Review of Patient, Provider, and Health System</w:t>
      </w:r>
      <w:r w:rsidR="00FD6AB6">
        <w:rPr>
          <w:rStyle w:val="Strong"/>
          <w:rFonts w:ascii="Times New Roman" w:hAnsi="Times New Roman" w:cs="Times New Roman"/>
          <w:sz w:val="36"/>
          <w:szCs w:val="36"/>
        </w:rPr>
        <w:t xml:space="preserve"> </w:t>
      </w:r>
      <w:r w:rsidRPr="00FF6F48">
        <w:rPr>
          <w:rStyle w:val="Strong"/>
          <w:rFonts w:ascii="Times New Roman" w:hAnsi="Times New Roman" w:cs="Times New Roman"/>
          <w:sz w:val="36"/>
          <w:szCs w:val="36"/>
        </w:rPr>
        <w:t>Level Factors Amid Persistently High Late-Stage Presentation</w:t>
      </w:r>
    </w:p>
    <w:p w14:paraId="3FD62750" w14:textId="2553F397" w:rsidR="00E34D38" w:rsidRPr="00FF6F48" w:rsidRDefault="00E34D38" w:rsidP="00FF6F48">
      <w:pPr>
        <w:rPr>
          <w:rFonts w:ascii="Times New Roman" w:hAnsi="Times New Roman" w:cs="Times New Roman"/>
        </w:rPr>
      </w:pPr>
    </w:p>
    <w:p w14:paraId="14121A0B" w14:textId="77777777"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Abstract</w:t>
      </w:r>
      <w:bookmarkStart w:id="0" w:name="_GoBack"/>
      <w:bookmarkEnd w:id="0"/>
    </w:p>
    <w:p w14:paraId="3983C85D" w14:textId="77777777" w:rsidR="001C265D" w:rsidRDefault="001C265D" w:rsidP="001C265D">
      <w:pPr>
        <w:pStyle w:val="NormalWeb"/>
      </w:pPr>
      <w:r>
        <w:t>Cancer remains a major public health challenge in India, with a persistently high proportion of patients presenting at advanced stages of disease. This contributes to reduced survival outcomes, increased treatment costs, and substantial socioeconomic burden on households and the health system.</w:t>
      </w:r>
    </w:p>
    <w:p w14:paraId="0FAA7646" w14:textId="77777777" w:rsidR="001C265D" w:rsidRDefault="001C265D" w:rsidP="001C265D">
      <w:pPr>
        <w:pStyle w:val="NormalWeb"/>
      </w:pPr>
      <w:r>
        <w:t>This systematic narrative review synthesizes evidence on barriers to early cancer diagnosis in India across patient, provider, and health system levels. A structured literature search was conducted using PubMed, Google Scholar, Embase, WHO reports, and selected LMIC studies published between 2005 and 2025. Studies addressing diagnostic delay, stage at presentation, and barriers to early detection were included.</w:t>
      </w:r>
    </w:p>
    <w:p w14:paraId="198810C8" w14:textId="77777777" w:rsidR="001C265D" w:rsidRDefault="001C265D" w:rsidP="001C265D">
      <w:pPr>
        <w:pStyle w:val="NormalWeb"/>
      </w:pPr>
      <w:r>
        <w:t>The findings demonstrate that diagnostic delay arises from interacting determinants across three levels. At the patient level, low awareness, stigma, cultural beliefs, and financial constraints delay initial healthcare seeking. At the provider level, low clinical suspicion, misdiagnosis, and inadequate oncology training contribute to delayed referral. At the health system level, inadequate diagnostic infrastructure, workforce shortages, fragmented referral pathways, and urban concentration of cancer services further prolong time to diagnosis. Rural populations are disproportionately affected, with consistently higher rates of Stage III–IV presentation.</w:t>
      </w:r>
    </w:p>
    <w:p w14:paraId="13F888B9" w14:textId="77777777" w:rsidR="001C265D" w:rsidRDefault="001C265D" w:rsidP="001C265D">
      <w:pPr>
        <w:pStyle w:val="NormalWeb"/>
      </w:pPr>
      <w:r>
        <w:t>This review concludes that late-stage cancer diagnosis in India is primarily a structural health system problem requiring integrated reforms in primary care strengthening, diagnostic capacity expansion, referral system integration, and financial protection mechanisms.</w:t>
      </w:r>
    </w:p>
    <w:p w14:paraId="114E5491" w14:textId="77777777" w:rsidR="00D0540F" w:rsidRPr="00FF6F48" w:rsidRDefault="00D0540F" w:rsidP="00FF6F48">
      <w:pPr>
        <w:rPr>
          <w:rFonts w:ascii="Times New Roman" w:hAnsi="Times New Roman" w:cs="Times New Roman"/>
        </w:rPr>
      </w:pPr>
      <w:r w:rsidRPr="00FF6F48">
        <w:rPr>
          <w:rStyle w:val="Strong"/>
          <w:rFonts w:ascii="Times New Roman" w:hAnsi="Times New Roman" w:cs="Times New Roman"/>
          <w:sz w:val="24"/>
          <w:szCs w:val="24"/>
        </w:rPr>
        <w:t>Keywords:</w:t>
      </w:r>
      <w:r w:rsidRPr="00FF6F48">
        <w:rPr>
          <w:rFonts w:ascii="Times New Roman" w:hAnsi="Times New Roman" w:cs="Times New Roman"/>
        </w:rPr>
        <w:t xml:space="preserve"> </w:t>
      </w:r>
      <w:r w:rsidRPr="00FF6F48">
        <w:rPr>
          <w:rFonts w:ascii="Times New Roman" w:hAnsi="Times New Roman" w:cs="Times New Roman"/>
          <w:sz w:val="24"/>
          <w:szCs w:val="24"/>
        </w:rPr>
        <w:t>Cancer India, diagnostic delay, late-stage presentation, primary healthcare, health systems, oncology access, LMIC, systematic narrative review</w:t>
      </w:r>
    </w:p>
    <w:p w14:paraId="050EFE72" w14:textId="11116BE3" w:rsidR="00D0540F" w:rsidRPr="00FF6F48" w:rsidRDefault="00D0540F" w:rsidP="00FF6F48">
      <w:pPr>
        <w:rPr>
          <w:rFonts w:ascii="Times New Roman" w:hAnsi="Times New Roman" w:cs="Times New Roman"/>
        </w:rPr>
      </w:pPr>
    </w:p>
    <w:p w14:paraId="2B43FEA2" w14:textId="77777777"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1. Introduction</w:t>
      </w:r>
    </w:p>
    <w:p w14:paraId="63AF64D8" w14:textId="77777777" w:rsidR="001C265D" w:rsidRPr="001C265D" w:rsidRDefault="001C265D" w:rsidP="001C265D">
      <w:pPr>
        <w:spacing w:before="100" w:beforeAutospacing="1" w:after="100" w:afterAutospacing="1" w:line="240" w:lineRule="auto"/>
        <w:rPr>
          <w:rFonts w:ascii="Times New Roman" w:eastAsia="Times New Roman" w:hAnsi="Times New Roman" w:cs="Times New Roman"/>
          <w:sz w:val="24"/>
          <w:szCs w:val="24"/>
        </w:rPr>
      </w:pPr>
      <w:r w:rsidRPr="001C265D">
        <w:rPr>
          <w:rFonts w:ascii="Times New Roman" w:eastAsia="Times New Roman" w:hAnsi="Times New Roman" w:cs="Times New Roman"/>
          <w:sz w:val="24"/>
          <w:szCs w:val="24"/>
        </w:rPr>
        <w:t>Cancer is among the leading causes of mortality in India, with a steadily increasing burden driven by demographic transition, aging population, environmental exposures, and lifestyle changes. Despite improvements in cancer treatment infrastructure, late-stage presentation remains a dominant feature of cancer epidemiology.</w:t>
      </w:r>
    </w:p>
    <w:p w14:paraId="5ABCA0FD" w14:textId="77777777" w:rsidR="001C265D" w:rsidRPr="001C265D" w:rsidRDefault="001C265D" w:rsidP="001C265D">
      <w:pPr>
        <w:spacing w:before="100" w:beforeAutospacing="1" w:after="100" w:afterAutospacing="1" w:line="240" w:lineRule="auto"/>
        <w:rPr>
          <w:rFonts w:ascii="Times New Roman" w:eastAsia="Times New Roman" w:hAnsi="Times New Roman" w:cs="Times New Roman"/>
          <w:sz w:val="24"/>
          <w:szCs w:val="24"/>
        </w:rPr>
      </w:pPr>
      <w:r w:rsidRPr="001C265D">
        <w:rPr>
          <w:rFonts w:ascii="Times New Roman" w:eastAsia="Times New Roman" w:hAnsi="Times New Roman" w:cs="Times New Roman"/>
          <w:sz w:val="24"/>
          <w:szCs w:val="24"/>
        </w:rPr>
        <w:t xml:space="preserve">Evidence indicates that approximately 50–70% of cancer patients in India present at Stage III or IV, particularly in breast, cervical, oral, and lung cancers (1–4). Late diagnosis significantly </w:t>
      </w:r>
      <w:r w:rsidRPr="001C265D">
        <w:rPr>
          <w:rFonts w:ascii="Times New Roman" w:eastAsia="Times New Roman" w:hAnsi="Times New Roman" w:cs="Times New Roman"/>
          <w:sz w:val="24"/>
          <w:szCs w:val="24"/>
        </w:rPr>
        <w:lastRenderedPageBreak/>
        <w:t>reduces the likelihood of curative treatment and increases both direct and indirect economic burden.</w:t>
      </w:r>
    </w:p>
    <w:p w14:paraId="1178E0AE" w14:textId="77777777" w:rsidR="001C265D" w:rsidRPr="001C265D" w:rsidRDefault="001C265D" w:rsidP="001C265D">
      <w:pPr>
        <w:spacing w:before="100" w:beforeAutospacing="1" w:after="100" w:afterAutospacing="1" w:line="240" w:lineRule="auto"/>
        <w:rPr>
          <w:rFonts w:ascii="Times New Roman" w:eastAsia="Times New Roman" w:hAnsi="Times New Roman" w:cs="Times New Roman"/>
          <w:sz w:val="24"/>
          <w:szCs w:val="24"/>
        </w:rPr>
      </w:pPr>
      <w:r w:rsidRPr="001C265D">
        <w:rPr>
          <w:rFonts w:ascii="Times New Roman" w:eastAsia="Times New Roman" w:hAnsi="Times New Roman" w:cs="Times New Roman"/>
          <w:sz w:val="24"/>
          <w:szCs w:val="24"/>
        </w:rPr>
        <w:t>The cancer diagnostic pathway involves sequential stages: symptom recognition, first healthcare contact, referral, diagnostic confirmation, and treatment initiation. Delay at any stage contributes cumulatively to advanced disease at presentation.</w:t>
      </w:r>
    </w:p>
    <w:p w14:paraId="655033B9" w14:textId="77777777" w:rsidR="001C265D" w:rsidRPr="001C265D" w:rsidRDefault="001C265D" w:rsidP="001C265D">
      <w:pPr>
        <w:spacing w:before="100" w:beforeAutospacing="1" w:after="100" w:afterAutospacing="1" w:line="240" w:lineRule="auto"/>
        <w:rPr>
          <w:rFonts w:ascii="Times New Roman" w:eastAsia="Times New Roman" w:hAnsi="Times New Roman" w:cs="Times New Roman"/>
          <w:sz w:val="24"/>
          <w:szCs w:val="24"/>
        </w:rPr>
      </w:pPr>
      <w:r w:rsidRPr="001C265D">
        <w:rPr>
          <w:rFonts w:ascii="Times New Roman" w:eastAsia="Times New Roman" w:hAnsi="Times New Roman" w:cs="Times New Roman"/>
          <w:sz w:val="24"/>
          <w:szCs w:val="24"/>
        </w:rPr>
        <w:t>Delays are broadly categorized into:</w:t>
      </w:r>
    </w:p>
    <w:p w14:paraId="50DD291B" w14:textId="77777777" w:rsidR="001C265D" w:rsidRPr="001C265D" w:rsidRDefault="001C265D" w:rsidP="00995EB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265D">
        <w:rPr>
          <w:rFonts w:ascii="Times New Roman" w:eastAsia="Times New Roman" w:hAnsi="Times New Roman" w:cs="Times New Roman"/>
          <w:sz w:val="24"/>
          <w:szCs w:val="24"/>
        </w:rPr>
        <w:t xml:space="preserve">Patient delay </w:t>
      </w:r>
    </w:p>
    <w:p w14:paraId="4F7ED609" w14:textId="77777777" w:rsidR="001C265D" w:rsidRPr="001C265D" w:rsidRDefault="001C265D" w:rsidP="00995EB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265D">
        <w:rPr>
          <w:rFonts w:ascii="Times New Roman" w:eastAsia="Times New Roman" w:hAnsi="Times New Roman" w:cs="Times New Roman"/>
          <w:sz w:val="24"/>
          <w:szCs w:val="24"/>
        </w:rPr>
        <w:t xml:space="preserve">Provider delay </w:t>
      </w:r>
    </w:p>
    <w:p w14:paraId="4FE60051" w14:textId="77777777" w:rsidR="001C265D" w:rsidRPr="001C265D" w:rsidRDefault="001C265D" w:rsidP="00995EB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265D">
        <w:rPr>
          <w:rFonts w:ascii="Times New Roman" w:eastAsia="Times New Roman" w:hAnsi="Times New Roman" w:cs="Times New Roman"/>
          <w:sz w:val="24"/>
          <w:szCs w:val="24"/>
        </w:rPr>
        <w:t xml:space="preserve">Health system delay </w:t>
      </w:r>
    </w:p>
    <w:p w14:paraId="45A71697" w14:textId="77777777" w:rsidR="001C265D" w:rsidRPr="001C265D" w:rsidRDefault="001C265D" w:rsidP="001C265D">
      <w:pPr>
        <w:spacing w:before="100" w:beforeAutospacing="1" w:after="100" w:afterAutospacing="1" w:line="240" w:lineRule="auto"/>
        <w:rPr>
          <w:rFonts w:ascii="Times New Roman" w:eastAsia="Times New Roman" w:hAnsi="Times New Roman" w:cs="Times New Roman"/>
          <w:sz w:val="24"/>
          <w:szCs w:val="24"/>
        </w:rPr>
      </w:pPr>
      <w:r w:rsidRPr="001C265D">
        <w:rPr>
          <w:rFonts w:ascii="Times New Roman" w:eastAsia="Times New Roman" w:hAnsi="Times New Roman" w:cs="Times New Roman"/>
          <w:sz w:val="24"/>
          <w:szCs w:val="24"/>
        </w:rPr>
        <w:t>Understanding the interaction between these levels is essential for designing effective interventions to improve early cancer detection in India.</w:t>
      </w:r>
    </w:p>
    <w:p w14:paraId="450BB9C8" w14:textId="4EA6C386" w:rsidR="00633D6F" w:rsidRPr="00633D6F" w:rsidRDefault="001C265D" w:rsidP="00FF6F48">
      <w:pPr>
        <w:rPr>
          <w:rFonts w:ascii="Times New Roman" w:hAnsi="Times New Roman" w:cs="Times New Roman"/>
          <w:b/>
          <w:bCs/>
          <w:sz w:val="24"/>
          <w:szCs w:val="24"/>
        </w:rPr>
      </w:pPr>
      <w:r>
        <w:rPr>
          <w:rFonts w:ascii="Times New Roman" w:hAnsi="Times New Roman" w:cs="Times New Roman"/>
          <w:b/>
          <w:bCs/>
          <w:sz w:val="24"/>
          <w:szCs w:val="24"/>
        </w:rPr>
        <w:t>Fig</w:t>
      </w:r>
      <w:r w:rsidR="00633D6F" w:rsidRPr="00633D6F">
        <w:rPr>
          <w:rFonts w:ascii="Times New Roman" w:hAnsi="Times New Roman" w:cs="Times New Roman"/>
          <w:b/>
          <w:bCs/>
          <w:sz w:val="24"/>
          <w:szCs w:val="24"/>
        </w:rPr>
        <w:t>: 1 Conceptual Framework of Delayed Cancer Diagnosis in India</w:t>
      </w:r>
    </w:p>
    <w:p w14:paraId="6AF07DA5" w14:textId="23B5E57B"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Patient level</w:t>
      </w:r>
    </w:p>
    <w:p w14:paraId="27110B8B"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w:t>
      </w:r>
    </w:p>
    <w:p w14:paraId="53F49CDA"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Low awareness + stigma + financial barriers</w:t>
      </w:r>
    </w:p>
    <w:p w14:paraId="6A322A5D"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w:t>
      </w:r>
    </w:p>
    <w:p w14:paraId="21902374"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Delayed first healthcare contact</w:t>
      </w:r>
    </w:p>
    <w:p w14:paraId="31ACE1AC" w14:textId="77777777" w:rsidR="00633D6F" w:rsidRPr="00633D6F" w:rsidRDefault="00633D6F" w:rsidP="00633D6F">
      <w:pPr>
        <w:jc w:val="center"/>
        <w:rPr>
          <w:rFonts w:ascii="Times New Roman" w:hAnsi="Times New Roman" w:cs="Times New Roman"/>
          <w:b/>
          <w:bCs/>
          <w:sz w:val="24"/>
          <w:szCs w:val="24"/>
        </w:rPr>
      </w:pPr>
    </w:p>
    <w:p w14:paraId="505A56BB" w14:textId="44E28B76"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Provider level</w:t>
      </w:r>
    </w:p>
    <w:p w14:paraId="34BE1635"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w:t>
      </w:r>
    </w:p>
    <w:p w14:paraId="7B66B3A9"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Low suspicion + misdiagnosis + weak referral</w:t>
      </w:r>
    </w:p>
    <w:p w14:paraId="2E075461"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w:t>
      </w:r>
    </w:p>
    <w:p w14:paraId="6A3CDBFC"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Delayed diagnosis suspicion</w:t>
      </w:r>
    </w:p>
    <w:p w14:paraId="3BD04F14" w14:textId="77777777" w:rsidR="00633D6F" w:rsidRPr="00633D6F" w:rsidRDefault="00633D6F" w:rsidP="00633D6F">
      <w:pPr>
        <w:jc w:val="center"/>
        <w:rPr>
          <w:rFonts w:ascii="Times New Roman" w:hAnsi="Times New Roman" w:cs="Times New Roman"/>
          <w:b/>
          <w:bCs/>
          <w:sz w:val="24"/>
          <w:szCs w:val="24"/>
        </w:rPr>
      </w:pPr>
    </w:p>
    <w:p w14:paraId="417687C2" w14:textId="08A2BFCB"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System level</w:t>
      </w:r>
    </w:p>
    <w:p w14:paraId="7B4300FA"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w:t>
      </w:r>
    </w:p>
    <w:p w14:paraId="54897F6A"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Poor infrastructure + workforce shortage + fragmentation</w:t>
      </w:r>
    </w:p>
    <w:p w14:paraId="39E9E471"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w:t>
      </w:r>
    </w:p>
    <w:p w14:paraId="5CEDA235"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Delayed confirmation &amp; treatment</w:t>
      </w:r>
    </w:p>
    <w:p w14:paraId="2374BF52" w14:textId="77777777" w:rsidR="00633D6F" w:rsidRPr="00633D6F" w:rsidRDefault="00633D6F" w:rsidP="00633D6F">
      <w:pPr>
        <w:jc w:val="center"/>
        <w:rPr>
          <w:rFonts w:ascii="Times New Roman" w:hAnsi="Times New Roman" w:cs="Times New Roman"/>
          <w:b/>
          <w:bCs/>
          <w:sz w:val="24"/>
          <w:szCs w:val="24"/>
        </w:rPr>
      </w:pPr>
    </w:p>
    <w:p w14:paraId="50DC6E20" w14:textId="4EE2A4DD"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Final outcome</w:t>
      </w:r>
    </w:p>
    <w:p w14:paraId="3379AA73"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w:t>
      </w:r>
    </w:p>
    <w:p w14:paraId="58AF04FA" w14:textId="6CB83800"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Late-stage cancer presentation (stage iii–iv)</w:t>
      </w:r>
    </w:p>
    <w:p w14:paraId="1EF3B19E" w14:textId="77777777" w:rsidR="00633D6F" w:rsidRDefault="00633D6F" w:rsidP="00FF6F48">
      <w:pPr>
        <w:rPr>
          <w:rStyle w:val="Strong"/>
          <w:rFonts w:ascii="Times New Roman" w:hAnsi="Times New Roman" w:cs="Times New Roman"/>
          <w:sz w:val="28"/>
          <w:szCs w:val="28"/>
        </w:rPr>
      </w:pPr>
    </w:p>
    <w:p w14:paraId="496EDAFE" w14:textId="0F327D0A"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2. Methods</w:t>
      </w:r>
    </w:p>
    <w:p w14:paraId="3CD42DCC" w14:textId="77777777" w:rsidR="00D0540F" w:rsidRPr="00FF6F48" w:rsidRDefault="00D0540F" w:rsidP="00FF6F48">
      <w:pPr>
        <w:rPr>
          <w:rFonts w:ascii="Times New Roman" w:hAnsi="Times New Roman" w:cs="Times New Roman"/>
        </w:rPr>
      </w:pPr>
      <w:r w:rsidRPr="00FF6F48">
        <w:rPr>
          <w:rStyle w:val="Strong"/>
          <w:rFonts w:ascii="Times New Roman" w:hAnsi="Times New Roman" w:cs="Times New Roman"/>
          <w:sz w:val="24"/>
          <w:szCs w:val="24"/>
        </w:rPr>
        <w:t>2.1 Study Design</w:t>
      </w:r>
    </w:p>
    <w:p w14:paraId="32A492EB" w14:textId="77777777" w:rsidR="001C265D" w:rsidRPr="001C265D" w:rsidRDefault="001C265D" w:rsidP="00FF6F48">
      <w:pPr>
        <w:rPr>
          <w:rFonts w:ascii="Times New Roman" w:hAnsi="Times New Roman" w:cs="Times New Roman"/>
          <w:sz w:val="24"/>
          <w:szCs w:val="24"/>
        </w:rPr>
      </w:pPr>
      <w:r w:rsidRPr="001C265D">
        <w:rPr>
          <w:rFonts w:ascii="Times New Roman" w:hAnsi="Times New Roman" w:cs="Times New Roman"/>
          <w:sz w:val="24"/>
          <w:szCs w:val="24"/>
        </w:rPr>
        <w:t>This study adopted a systematic narrative review design following PRISMA-guided principles for structured evidence synthesis. Given the heterogeneity of included studies, meta-analysis was not feasible.</w:t>
      </w:r>
    </w:p>
    <w:p w14:paraId="64ACA6D7" w14:textId="085B53A5" w:rsidR="00D0540F" w:rsidRPr="00FF6F48" w:rsidRDefault="00D0540F" w:rsidP="00FF6F48">
      <w:pPr>
        <w:rPr>
          <w:rFonts w:ascii="Times New Roman" w:hAnsi="Times New Roman" w:cs="Times New Roman"/>
        </w:rPr>
      </w:pPr>
      <w:r w:rsidRPr="00FF6F48">
        <w:rPr>
          <w:rStyle w:val="Strong"/>
          <w:rFonts w:ascii="Times New Roman" w:hAnsi="Times New Roman" w:cs="Times New Roman"/>
          <w:sz w:val="24"/>
          <w:szCs w:val="24"/>
        </w:rPr>
        <w:t>2.2 Data Sources</w:t>
      </w:r>
    </w:p>
    <w:p w14:paraId="4226D6AE" w14:textId="77777777" w:rsidR="001C265D" w:rsidRPr="001C265D" w:rsidRDefault="001C265D" w:rsidP="00FF6F48">
      <w:r w:rsidRPr="001C265D">
        <w:rPr>
          <w:rFonts w:ascii="Times New Roman" w:hAnsi="Times New Roman" w:cs="Times New Roman"/>
          <w:sz w:val="24"/>
          <w:szCs w:val="24"/>
        </w:rPr>
        <w:t xml:space="preserve">A structured search was conducted in PubMed, Google Scholar, Embase, WHO reports, and relevant LMIC literature using keywords such as </w:t>
      </w:r>
      <w:r w:rsidRPr="001C265D">
        <w:rPr>
          <w:rStyle w:val="Emphasis"/>
          <w:rFonts w:ascii="Times New Roman" w:hAnsi="Times New Roman" w:cs="Times New Roman"/>
          <w:sz w:val="24"/>
          <w:szCs w:val="24"/>
        </w:rPr>
        <w:t>“</w:t>
      </w:r>
      <w:r w:rsidRPr="00E17038">
        <w:rPr>
          <w:rStyle w:val="Emphasis"/>
          <w:rFonts w:ascii="Times New Roman" w:hAnsi="Times New Roman" w:cs="Times New Roman"/>
          <w:i w:val="0"/>
          <w:iCs w:val="0"/>
          <w:sz w:val="24"/>
          <w:szCs w:val="24"/>
        </w:rPr>
        <w:t>cancer diagnostic delay India,” “late-stage cancer presentation,</w:t>
      </w:r>
      <w:r w:rsidRPr="001C265D">
        <w:rPr>
          <w:rStyle w:val="Emphasis"/>
          <w:rFonts w:ascii="Times New Roman" w:hAnsi="Times New Roman" w:cs="Times New Roman"/>
          <w:sz w:val="24"/>
          <w:szCs w:val="24"/>
        </w:rPr>
        <w:t>”</w:t>
      </w:r>
      <w:r w:rsidRPr="001C265D">
        <w:rPr>
          <w:rFonts w:ascii="Times New Roman" w:hAnsi="Times New Roman" w:cs="Times New Roman"/>
          <w:sz w:val="24"/>
          <w:szCs w:val="24"/>
        </w:rPr>
        <w:t xml:space="preserve"> and </w:t>
      </w:r>
      <w:r w:rsidRPr="001C265D">
        <w:rPr>
          <w:rStyle w:val="Emphasis"/>
          <w:rFonts w:ascii="Times New Roman" w:hAnsi="Times New Roman" w:cs="Times New Roman"/>
          <w:i w:val="0"/>
          <w:iCs w:val="0"/>
          <w:sz w:val="24"/>
          <w:szCs w:val="24"/>
        </w:rPr>
        <w:t>“health system barriers</w:t>
      </w:r>
      <w:r w:rsidRPr="001C265D">
        <w:rPr>
          <w:rStyle w:val="Emphasis"/>
          <w:rFonts w:ascii="Times New Roman" w:hAnsi="Times New Roman" w:cs="Times New Roman"/>
          <w:sz w:val="24"/>
          <w:szCs w:val="24"/>
        </w:rPr>
        <w:t>.”</w:t>
      </w:r>
      <w:r w:rsidRPr="001C265D">
        <w:rPr>
          <w:rFonts w:ascii="Times New Roman" w:hAnsi="Times New Roman" w:cs="Times New Roman"/>
          <w:sz w:val="24"/>
          <w:szCs w:val="24"/>
        </w:rPr>
        <w:t xml:space="preserve"> Studies published between 2005 and 2025 were included</w:t>
      </w:r>
      <w:r w:rsidRPr="001C265D">
        <w:t>.</w:t>
      </w:r>
    </w:p>
    <w:p w14:paraId="07357876" w14:textId="08911D89"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2.3 Inclusion Criteria</w:t>
      </w:r>
    </w:p>
    <w:p w14:paraId="295AF5C6" w14:textId="77777777" w:rsidR="00D0540F" w:rsidRPr="00FF6F48" w:rsidRDefault="00D0540F" w:rsidP="00995EB3">
      <w:pPr>
        <w:pStyle w:val="ListParagraph"/>
        <w:numPr>
          <w:ilvl w:val="0"/>
          <w:numId w:val="1"/>
        </w:numPr>
        <w:rPr>
          <w:rFonts w:ascii="Times New Roman" w:hAnsi="Times New Roman" w:cs="Times New Roman"/>
          <w:sz w:val="24"/>
          <w:szCs w:val="24"/>
        </w:rPr>
      </w:pPr>
      <w:r w:rsidRPr="00FF6F48">
        <w:rPr>
          <w:rFonts w:ascii="Times New Roman" w:hAnsi="Times New Roman" w:cs="Times New Roman"/>
          <w:sz w:val="24"/>
          <w:szCs w:val="24"/>
        </w:rPr>
        <w:t xml:space="preserve">Studies conducted in India or comparable LMIC settings </w:t>
      </w:r>
    </w:p>
    <w:p w14:paraId="21937B88" w14:textId="77777777" w:rsidR="00D0540F" w:rsidRPr="00FF6F48" w:rsidRDefault="00D0540F" w:rsidP="00995EB3">
      <w:pPr>
        <w:pStyle w:val="ListParagraph"/>
        <w:numPr>
          <w:ilvl w:val="0"/>
          <w:numId w:val="1"/>
        </w:numPr>
        <w:rPr>
          <w:rFonts w:ascii="Times New Roman" w:hAnsi="Times New Roman" w:cs="Times New Roman"/>
          <w:sz w:val="24"/>
          <w:szCs w:val="24"/>
        </w:rPr>
      </w:pPr>
      <w:r w:rsidRPr="00FF6F48">
        <w:rPr>
          <w:rFonts w:ascii="Times New Roman" w:hAnsi="Times New Roman" w:cs="Times New Roman"/>
          <w:sz w:val="24"/>
          <w:szCs w:val="24"/>
        </w:rPr>
        <w:t xml:space="preserve">Studies addressing cancer diagnostic delay or stage at diagnosis </w:t>
      </w:r>
    </w:p>
    <w:p w14:paraId="31F6D8A3" w14:textId="77777777" w:rsidR="00D0540F" w:rsidRPr="00FF6F48" w:rsidRDefault="00D0540F" w:rsidP="00995EB3">
      <w:pPr>
        <w:pStyle w:val="ListParagraph"/>
        <w:numPr>
          <w:ilvl w:val="0"/>
          <w:numId w:val="1"/>
        </w:numPr>
        <w:rPr>
          <w:rFonts w:ascii="Times New Roman" w:hAnsi="Times New Roman" w:cs="Times New Roman"/>
          <w:sz w:val="24"/>
          <w:szCs w:val="24"/>
        </w:rPr>
      </w:pPr>
      <w:r w:rsidRPr="00FF6F48">
        <w:rPr>
          <w:rFonts w:ascii="Times New Roman" w:hAnsi="Times New Roman" w:cs="Times New Roman"/>
          <w:sz w:val="24"/>
          <w:szCs w:val="24"/>
        </w:rPr>
        <w:t xml:space="preserve">Qualitative, quantitative, and systematic reviews </w:t>
      </w:r>
    </w:p>
    <w:p w14:paraId="65E1C2F3"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2.4 Exclusion Criteria</w:t>
      </w:r>
    </w:p>
    <w:p w14:paraId="2100C709" w14:textId="77777777" w:rsidR="00D0540F" w:rsidRPr="00FF6F48" w:rsidRDefault="00D0540F" w:rsidP="00995EB3">
      <w:pPr>
        <w:pStyle w:val="ListParagraph"/>
        <w:numPr>
          <w:ilvl w:val="0"/>
          <w:numId w:val="2"/>
        </w:numPr>
        <w:rPr>
          <w:rFonts w:ascii="Times New Roman" w:hAnsi="Times New Roman" w:cs="Times New Roman"/>
          <w:sz w:val="24"/>
          <w:szCs w:val="24"/>
        </w:rPr>
      </w:pPr>
      <w:r w:rsidRPr="00FF6F48">
        <w:rPr>
          <w:rFonts w:ascii="Times New Roman" w:hAnsi="Times New Roman" w:cs="Times New Roman"/>
          <w:sz w:val="24"/>
          <w:szCs w:val="24"/>
        </w:rPr>
        <w:t xml:space="preserve">Non-cancer-related studies </w:t>
      </w:r>
    </w:p>
    <w:p w14:paraId="35E0672E" w14:textId="77777777" w:rsidR="00D0540F" w:rsidRPr="00FF6F48" w:rsidRDefault="00D0540F" w:rsidP="00995EB3">
      <w:pPr>
        <w:pStyle w:val="ListParagraph"/>
        <w:numPr>
          <w:ilvl w:val="0"/>
          <w:numId w:val="2"/>
        </w:numPr>
        <w:rPr>
          <w:rFonts w:ascii="Times New Roman" w:hAnsi="Times New Roman" w:cs="Times New Roman"/>
          <w:sz w:val="24"/>
          <w:szCs w:val="24"/>
        </w:rPr>
      </w:pPr>
      <w:r w:rsidRPr="00FF6F48">
        <w:rPr>
          <w:rFonts w:ascii="Times New Roman" w:hAnsi="Times New Roman" w:cs="Times New Roman"/>
          <w:sz w:val="24"/>
          <w:szCs w:val="24"/>
        </w:rPr>
        <w:t xml:space="preserve">Studies not reporting diagnostic delay or stage data </w:t>
      </w:r>
    </w:p>
    <w:p w14:paraId="7CE3316A" w14:textId="77777777" w:rsidR="00D0540F" w:rsidRPr="00FF6F48" w:rsidRDefault="00D0540F" w:rsidP="00995EB3">
      <w:pPr>
        <w:pStyle w:val="ListParagraph"/>
        <w:numPr>
          <w:ilvl w:val="0"/>
          <w:numId w:val="2"/>
        </w:numPr>
        <w:rPr>
          <w:rFonts w:ascii="Times New Roman" w:hAnsi="Times New Roman" w:cs="Times New Roman"/>
          <w:sz w:val="24"/>
          <w:szCs w:val="24"/>
        </w:rPr>
      </w:pPr>
      <w:r w:rsidRPr="00FF6F48">
        <w:rPr>
          <w:rFonts w:ascii="Times New Roman" w:hAnsi="Times New Roman" w:cs="Times New Roman"/>
          <w:sz w:val="24"/>
          <w:szCs w:val="24"/>
        </w:rPr>
        <w:t xml:space="preserve">Treatment-only outcome studies </w:t>
      </w:r>
    </w:p>
    <w:p w14:paraId="32EBAA51" w14:textId="77777777" w:rsidR="00D0540F" w:rsidRPr="00FF6F48" w:rsidRDefault="00D0540F" w:rsidP="00FF6F48">
      <w:pPr>
        <w:rPr>
          <w:rFonts w:ascii="Times New Roman" w:hAnsi="Times New Roman" w:cs="Times New Roman"/>
        </w:rPr>
      </w:pPr>
      <w:r w:rsidRPr="00FF6F48">
        <w:rPr>
          <w:rStyle w:val="Strong"/>
          <w:rFonts w:ascii="Times New Roman" w:hAnsi="Times New Roman" w:cs="Times New Roman"/>
          <w:sz w:val="24"/>
          <w:szCs w:val="24"/>
        </w:rPr>
        <w:t>2.5 Data Synthesis</w:t>
      </w:r>
    </w:p>
    <w:p w14:paraId="15F1B42E" w14:textId="77777777" w:rsidR="00D0540F" w:rsidRPr="00FF6F48" w:rsidRDefault="00D0540F" w:rsidP="00FF6F48">
      <w:pPr>
        <w:rPr>
          <w:rFonts w:ascii="Times New Roman" w:hAnsi="Times New Roman" w:cs="Times New Roman"/>
        </w:rPr>
      </w:pPr>
      <w:r w:rsidRPr="00FF6F48">
        <w:rPr>
          <w:rFonts w:ascii="Times New Roman" w:hAnsi="Times New Roman" w:cs="Times New Roman"/>
        </w:rPr>
        <w:t>Data were analyzed thematically and grouped into patient, provider, and health system barriers.</w:t>
      </w:r>
    </w:p>
    <w:p w14:paraId="7499F883" w14:textId="04721109" w:rsidR="00D0540F" w:rsidRPr="00FF6F48" w:rsidRDefault="00D0540F" w:rsidP="00FF6F48">
      <w:pPr>
        <w:rPr>
          <w:rFonts w:ascii="Times New Roman" w:hAnsi="Times New Roman" w:cs="Times New Roman"/>
        </w:rPr>
      </w:pPr>
    </w:p>
    <w:p w14:paraId="0E40B9FF" w14:textId="44CF8331"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3. Results: Barriers to Early Cancer Diagnosis</w:t>
      </w:r>
    </w:p>
    <w:p w14:paraId="25772F3B" w14:textId="17FEACF1" w:rsidR="00D0540F" w:rsidRPr="00E17038" w:rsidRDefault="00D0540F" w:rsidP="00E17038">
      <w:pPr>
        <w:rPr>
          <w:rFonts w:ascii="Times New Roman" w:hAnsi="Times New Roman" w:cs="Times New Roman"/>
          <w:sz w:val="24"/>
          <w:szCs w:val="24"/>
        </w:rPr>
      </w:pPr>
      <w:r w:rsidRPr="00E17038">
        <w:rPr>
          <w:rStyle w:val="Strong"/>
          <w:rFonts w:ascii="Times New Roman" w:hAnsi="Times New Roman" w:cs="Times New Roman"/>
          <w:sz w:val="24"/>
          <w:szCs w:val="24"/>
        </w:rPr>
        <w:t xml:space="preserve">Patient-Level </w:t>
      </w:r>
      <w:r w:rsidR="00E17038" w:rsidRPr="00E17038">
        <w:rPr>
          <w:rStyle w:val="Strong"/>
          <w:rFonts w:ascii="Times New Roman" w:hAnsi="Times New Roman" w:cs="Times New Roman"/>
          <w:sz w:val="24"/>
          <w:szCs w:val="24"/>
        </w:rPr>
        <w:t xml:space="preserve">Barriers: </w:t>
      </w:r>
      <w:r w:rsidR="00E17038" w:rsidRPr="00E17038">
        <w:rPr>
          <w:rFonts w:ascii="Times New Roman" w:hAnsi="Times New Roman" w:cs="Times New Roman"/>
          <w:sz w:val="24"/>
          <w:szCs w:val="24"/>
        </w:rPr>
        <w:t xml:space="preserve">Delayed presentation at the patient level is primarily driven by sociocultural, economic, and informational factors. Low awareness of early cancer symptoms remains widespread, particularly in rural populations. Common symptoms such as persistent cough, oral lesions, breast lumps, and unexplained weight loss are often not recognized as serious warning signs (1,5,7). Cancer-related stigma and fear of diagnosis contribute to denial and avoidance of medical consultation. In many communities, cancer is perceived as incurable, </w:t>
      </w:r>
      <w:r w:rsidR="00E17038" w:rsidRPr="00E17038">
        <w:rPr>
          <w:rFonts w:ascii="Times New Roman" w:hAnsi="Times New Roman" w:cs="Times New Roman"/>
          <w:sz w:val="24"/>
          <w:szCs w:val="24"/>
        </w:rPr>
        <w:lastRenderedPageBreak/>
        <w:t>leading patients to delay formal healthcare and initially seek informal or traditional care systems (7,9). Financial constraints represent a major barrier. High out-of-pocket expenditure, combined with indirect costs such as travel and wage loss, significantly delay care-seeking, particularly among low-income households (2,5,10). Symptom misinterpretation is also common, with early signs often considered minor or self-limiting (3,6). Additionally, gender and social inequality further delay care among women due to reduced autonomy and caregiving responsibilities (2,10).</w:t>
      </w:r>
    </w:p>
    <w:p w14:paraId="2E95C47D" w14:textId="6FD06820" w:rsidR="00FF6F48" w:rsidRPr="00E17038" w:rsidRDefault="00D0540F" w:rsidP="00FF6F48">
      <w:pPr>
        <w:rPr>
          <w:rFonts w:ascii="Times New Roman" w:hAnsi="Times New Roman" w:cs="Times New Roman"/>
          <w:sz w:val="28"/>
          <w:szCs w:val="28"/>
        </w:rPr>
      </w:pPr>
      <w:r w:rsidRPr="00E17038">
        <w:rPr>
          <w:rStyle w:val="Strong"/>
          <w:rFonts w:ascii="Times New Roman" w:hAnsi="Times New Roman" w:cs="Times New Roman"/>
          <w:sz w:val="24"/>
          <w:szCs w:val="24"/>
        </w:rPr>
        <w:t xml:space="preserve">3.2 Provider-Level </w:t>
      </w:r>
      <w:r w:rsidR="00E17038" w:rsidRPr="00E17038">
        <w:rPr>
          <w:rStyle w:val="Strong"/>
          <w:rFonts w:ascii="Times New Roman" w:hAnsi="Times New Roman" w:cs="Times New Roman"/>
          <w:sz w:val="24"/>
          <w:szCs w:val="24"/>
        </w:rPr>
        <w:t>Barriers</w:t>
      </w:r>
      <w:r w:rsidR="00E17038">
        <w:rPr>
          <w:rStyle w:val="Strong"/>
          <w:rFonts w:ascii="Times New Roman" w:hAnsi="Times New Roman" w:cs="Times New Roman"/>
          <w:sz w:val="28"/>
          <w:szCs w:val="28"/>
        </w:rPr>
        <w:t xml:space="preserve">: </w:t>
      </w:r>
      <w:r w:rsidR="00E17038">
        <w:t>Provider-related delays are primarily driven by limitations in clinical training, diagnostic suspicion, and referral systems. Low index of suspicion among primary care providers results in misdiagnosis or symptomatic treatment without further investigation (3,6,11). Limited exposure to oncology and lack of standardized early detection protocols contribute to missed diagnostic opportunities (4,11). Referral systems are often fragmented, resulting in multiple consultations before specialist evaluation (3,6). Communication gaps between providers and patients further reduce adherence to referral advice and delay diagnostic progression (5,9).</w:t>
      </w:r>
    </w:p>
    <w:p w14:paraId="4BCBEC6D" w14:textId="78F79D54" w:rsidR="00D0540F" w:rsidRPr="00E1703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 xml:space="preserve">3.3 </w:t>
      </w:r>
      <w:r w:rsidRPr="00E17038">
        <w:rPr>
          <w:rStyle w:val="Strong"/>
          <w:rFonts w:ascii="Times New Roman" w:hAnsi="Times New Roman" w:cs="Times New Roman"/>
          <w:sz w:val="24"/>
          <w:szCs w:val="24"/>
        </w:rPr>
        <w:t>Health System-Level Barriers</w:t>
      </w:r>
      <w:r w:rsidR="00E17038">
        <w:rPr>
          <w:rStyle w:val="Strong"/>
          <w:rFonts w:ascii="Times New Roman" w:hAnsi="Times New Roman" w:cs="Times New Roman"/>
          <w:sz w:val="28"/>
          <w:szCs w:val="28"/>
        </w:rPr>
        <w:t xml:space="preserve">: </w:t>
      </w:r>
      <w:r w:rsidR="00E17038" w:rsidRPr="00E17038">
        <w:rPr>
          <w:rFonts w:ascii="Times New Roman" w:hAnsi="Times New Roman" w:cs="Times New Roman"/>
          <w:sz w:val="24"/>
          <w:szCs w:val="24"/>
        </w:rPr>
        <w:t>System-level barriers represent the most structurally significant determinants of delayed diagnosis.</w:t>
      </w:r>
      <w:r w:rsidR="00E17038">
        <w:rPr>
          <w:rFonts w:ascii="Times New Roman" w:hAnsi="Times New Roman" w:cs="Times New Roman"/>
          <w:sz w:val="24"/>
          <w:szCs w:val="24"/>
        </w:rPr>
        <w:t xml:space="preserve"> </w:t>
      </w:r>
      <w:r w:rsidR="00E17038" w:rsidRPr="00E17038">
        <w:rPr>
          <w:rFonts w:ascii="Times New Roman" w:hAnsi="Times New Roman" w:cs="Times New Roman"/>
          <w:sz w:val="24"/>
          <w:szCs w:val="24"/>
        </w:rPr>
        <w:t>Diagnostic infrastructure is unevenly distributed, with rural and district-level facilities lacking imaging, pathology, and biopsy services (3,6,12). This leads to delayed confirmation of suspected cancer cases.</w:t>
      </w:r>
      <w:r w:rsidR="00E17038">
        <w:rPr>
          <w:rFonts w:ascii="Times New Roman" w:hAnsi="Times New Roman" w:cs="Times New Roman"/>
          <w:sz w:val="24"/>
          <w:szCs w:val="24"/>
        </w:rPr>
        <w:t xml:space="preserve"> </w:t>
      </w:r>
      <w:r w:rsidR="00E17038" w:rsidRPr="00E17038">
        <w:rPr>
          <w:rFonts w:ascii="Times New Roman" w:hAnsi="Times New Roman" w:cs="Times New Roman"/>
          <w:sz w:val="24"/>
          <w:szCs w:val="24"/>
        </w:rPr>
        <w:t>Cancer care is heavily concentrated in urban tertiary centers, requiring long-distance travel and increasing both financial and time burden (2,4).</w:t>
      </w:r>
      <w:r w:rsidR="00E17038">
        <w:rPr>
          <w:rFonts w:ascii="Times New Roman" w:hAnsi="Times New Roman" w:cs="Times New Roman"/>
          <w:sz w:val="24"/>
          <w:szCs w:val="24"/>
        </w:rPr>
        <w:t xml:space="preserve"> </w:t>
      </w:r>
      <w:r w:rsidR="00E17038" w:rsidRPr="00E17038">
        <w:rPr>
          <w:rFonts w:ascii="Times New Roman" w:hAnsi="Times New Roman" w:cs="Times New Roman"/>
          <w:sz w:val="24"/>
          <w:szCs w:val="24"/>
        </w:rPr>
        <w:t>India’s mixed public–private healthcare system is fragmented, resulting in poor continuity of care and inefficient patient navigation (6,11). Workforce shortages, particularly of oncologists and pathologists in rural areas, further exacerbate delays (5,12).</w:t>
      </w:r>
      <w:r w:rsidR="00E17038">
        <w:rPr>
          <w:rFonts w:ascii="Times New Roman" w:hAnsi="Times New Roman" w:cs="Times New Roman"/>
          <w:sz w:val="24"/>
          <w:szCs w:val="24"/>
        </w:rPr>
        <w:t xml:space="preserve"> </w:t>
      </w:r>
      <w:r w:rsidR="00E17038" w:rsidRPr="00E17038">
        <w:rPr>
          <w:rFonts w:ascii="Times New Roman" w:hAnsi="Times New Roman" w:cs="Times New Roman"/>
          <w:sz w:val="24"/>
          <w:szCs w:val="24"/>
        </w:rPr>
        <w:t>Even after diagnosis, delays in treatment initiation contribute to disease progression and worsen outcomes (4,6).</w:t>
      </w:r>
    </w:p>
    <w:p w14:paraId="6939FE17" w14:textId="77777777"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4. Integrated Model of Late-Stage Presentation</w:t>
      </w:r>
    </w:p>
    <w:p w14:paraId="70D5B928" w14:textId="77777777" w:rsidR="00D0540F" w:rsidRPr="00FF6F48" w:rsidRDefault="00D0540F" w:rsidP="00FF6F48">
      <w:pPr>
        <w:rPr>
          <w:rFonts w:ascii="Times New Roman" w:hAnsi="Times New Roman" w:cs="Times New Roman"/>
        </w:rPr>
      </w:pPr>
      <w:r w:rsidRPr="00FF6F48">
        <w:rPr>
          <w:rFonts w:ascii="Times New Roman" w:hAnsi="Times New Roman" w:cs="Times New Roman"/>
        </w:rPr>
        <w:t xml:space="preserve">Late-stage cancer diagnosis is best understood as a </w:t>
      </w:r>
      <w:r w:rsidRPr="00FF6F48">
        <w:rPr>
          <w:rStyle w:val="Strong"/>
          <w:rFonts w:ascii="Times New Roman" w:hAnsi="Times New Roman" w:cs="Times New Roman"/>
          <w:b w:val="0"/>
          <w:bCs w:val="0"/>
          <w:sz w:val="24"/>
          <w:szCs w:val="24"/>
        </w:rPr>
        <w:t>cumulative process of delay across multiple levels</w:t>
      </w:r>
      <w:r w:rsidRPr="00FF6F48">
        <w:rPr>
          <w:rFonts w:ascii="Times New Roman" w:hAnsi="Times New Roman" w:cs="Times New Roman"/>
        </w:rPr>
        <w:t>, rather than a single factor.</w:t>
      </w:r>
    </w:p>
    <w:tbl>
      <w:tblPr>
        <w:tblW w:w="90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7"/>
        <w:gridCol w:w="4026"/>
        <w:gridCol w:w="3686"/>
      </w:tblGrid>
      <w:tr w:rsidR="00FF6F48" w:rsidRPr="00FF6F48" w14:paraId="0F05132E" w14:textId="77777777" w:rsidTr="00FF6F48">
        <w:trPr>
          <w:trHeight w:val="353"/>
          <w:tblHeader/>
          <w:tblCellSpacing w:w="15" w:type="dxa"/>
        </w:trPr>
        <w:tc>
          <w:tcPr>
            <w:tcW w:w="0" w:type="auto"/>
            <w:shd w:val="clear" w:color="auto" w:fill="BDD6EE" w:themeFill="accent5" w:themeFillTint="66"/>
            <w:vAlign w:val="center"/>
            <w:hideMark/>
          </w:tcPr>
          <w:p w14:paraId="522D1696" w14:textId="77777777" w:rsidR="00D0540F" w:rsidRPr="00FF6F48" w:rsidRDefault="00D0540F" w:rsidP="00FF6F48">
            <w:pPr>
              <w:rPr>
                <w:rFonts w:ascii="Times New Roman" w:hAnsi="Times New Roman" w:cs="Times New Roman"/>
                <w:b/>
                <w:bCs/>
                <w:sz w:val="24"/>
                <w:szCs w:val="24"/>
              </w:rPr>
            </w:pPr>
            <w:r w:rsidRPr="00FF6F48">
              <w:rPr>
                <w:rFonts w:ascii="Times New Roman" w:hAnsi="Times New Roman" w:cs="Times New Roman"/>
                <w:b/>
                <w:bCs/>
                <w:sz w:val="24"/>
                <w:szCs w:val="24"/>
              </w:rPr>
              <w:t>Level</w:t>
            </w:r>
          </w:p>
        </w:tc>
        <w:tc>
          <w:tcPr>
            <w:tcW w:w="0" w:type="auto"/>
            <w:shd w:val="clear" w:color="auto" w:fill="BDD6EE" w:themeFill="accent5" w:themeFillTint="66"/>
            <w:vAlign w:val="center"/>
            <w:hideMark/>
          </w:tcPr>
          <w:p w14:paraId="26C8576E" w14:textId="77777777" w:rsidR="00D0540F" w:rsidRPr="00FF6F48" w:rsidRDefault="00D0540F" w:rsidP="00FF6F48">
            <w:pPr>
              <w:rPr>
                <w:rFonts w:ascii="Times New Roman" w:hAnsi="Times New Roman" w:cs="Times New Roman"/>
                <w:b/>
                <w:bCs/>
                <w:sz w:val="24"/>
                <w:szCs w:val="24"/>
              </w:rPr>
            </w:pPr>
            <w:r w:rsidRPr="00FF6F48">
              <w:rPr>
                <w:rFonts w:ascii="Times New Roman" w:hAnsi="Times New Roman" w:cs="Times New Roman"/>
                <w:b/>
                <w:bCs/>
                <w:sz w:val="24"/>
                <w:szCs w:val="24"/>
              </w:rPr>
              <w:t>Key Barrier</w:t>
            </w:r>
          </w:p>
        </w:tc>
        <w:tc>
          <w:tcPr>
            <w:tcW w:w="0" w:type="auto"/>
            <w:shd w:val="clear" w:color="auto" w:fill="BDD6EE" w:themeFill="accent5" w:themeFillTint="66"/>
            <w:vAlign w:val="center"/>
            <w:hideMark/>
          </w:tcPr>
          <w:p w14:paraId="6ECECFC1" w14:textId="77777777" w:rsidR="00D0540F" w:rsidRPr="00FF6F48" w:rsidRDefault="00D0540F" w:rsidP="00FF6F48">
            <w:pPr>
              <w:rPr>
                <w:rFonts w:ascii="Times New Roman" w:hAnsi="Times New Roman" w:cs="Times New Roman"/>
                <w:b/>
                <w:bCs/>
                <w:sz w:val="24"/>
                <w:szCs w:val="24"/>
              </w:rPr>
            </w:pPr>
            <w:r w:rsidRPr="00FF6F48">
              <w:rPr>
                <w:rFonts w:ascii="Times New Roman" w:hAnsi="Times New Roman" w:cs="Times New Roman"/>
                <w:b/>
                <w:bCs/>
                <w:sz w:val="24"/>
                <w:szCs w:val="24"/>
              </w:rPr>
              <w:t>Outcome</w:t>
            </w:r>
          </w:p>
        </w:tc>
      </w:tr>
      <w:tr w:rsidR="00FF6F48" w:rsidRPr="00FF6F48" w14:paraId="6F407D40" w14:textId="77777777" w:rsidTr="00FF6F48">
        <w:trPr>
          <w:trHeight w:val="341"/>
          <w:tblCellSpacing w:w="15" w:type="dxa"/>
        </w:trPr>
        <w:tc>
          <w:tcPr>
            <w:tcW w:w="0" w:type="auto"/>
            <w:shd w:val="clear" w:color="auto" w:fill="BDD6EE" w:themeFill="accent5" w:themeFillTint="66"/>
            <w:vAlign w:val="center"/>
            <w:hideMark/>
          </w:tcPr>
          <w:p w14:paraId="50BD8D1F"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Patient</w:t>
            </w:r>
          </w:p>
        </w:tc>
        <w:tc>
          <w:tcPr>
            <w:tcW w:w="0" w:type="auto"/>
            <w:shd w:val="clear" w:color="auto" w:fill="BDD6EE" w:themeFill="accent5" w:themeFillTint="66"/>
            <w:vAlign w:val="center"/>
            <w:hideMark/>
          </w:tcPr>
          <w:p w14:paraId="12DBCE0F"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Low awareness, stigma</w:t>
            </w:r>
          </w:p>
        </w:tc>
        <w:tc>
          <w:tcPr>
            <w:tcW w:w="0" w:type="auto"/>
            <w:shd w:val="clear" w:color="auto" w:fill="BDD6EE" w:themeFill="accent5" w:themeFillTint="66"/>
            <w:vAlign w:val="center"/>
            <w:hideMark/>
          </w:tcPr>
          <w:p w14:paraId="157CC93A"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Delayed first consultation</w:t>
            </w:r>
          </w:p>
        </w:tc>
      </w:tr>
      <w:tr w:rsidR="00FF6F48" w:rsidRPr="00FF6F48" w14:paraId="336579EF" w14:textId="77777777" w:rsidTr="00FF6F48">
        <w:trPr>
          <w:trHeight w:val="353"/>
          <w:tblCellSpacing w:w="15" w:type="dxa"/>
        </w:trPr>
        <w:tc>
          <w:tcPr>
            <w:tcW w:w="0" w:type="auto"/>
            <w:shd w:val="clear" w:color="auto" w:fill="BDD6EE" w:themeFill="accent5" w:themeFillTint="66"/>
            <w:vAlign w:val="center"/>
            <w:hideMark/>
          </w:tcPr>
          <w:p w14:paraId="1811EF85"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Provider</w:t>
            </w:r>
          </w:p>
        </w:tc>
        <w:tc>
          <w:tcPr>
            <w:tcW w:w="0" w:type="auto"/>
            <w:shd w:val="clear" w:color="auto" w:fill="BDD6EE" w:themeFill="accent5" w:themeFillTint="66"/>
            <w:vAlign w:val="center"/>
            <w:hideMark/>
          </w:tcPr>
          <w:p w14:paraId="031E911E"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Misdiagnosis, low suspicion</w:t>
            </w:r>
          </w:p>
        </w:tc>
        <w:tc>
          <w:tcPr>
            <w:tcW w:w="0" w:type="auto"/>
            <w:shd w:val="clear" w:color="auto" w:fill="BDD6EE" w:themeFill="accent5" w:themeFillTint="66"/>
            <w:vAlign w:val="center"/>
            <w:hideMark/>
          </w:tcPr>
          <w:p w14:paraId="46B1F088"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Delayed referral</w:t>
            </w:r>
          </w:p>
        </w:tc>
      </w:tr>
      <w:tr w:rsidR="00FF6F48" w:rsidRPr="00FF6F48" w14:paraId="5B5048B4" w14:textId="77777777" w:rsidTr="00FF6F48">
        <w:trPr>
          <w:trHeight w:val="353"/>
          <w:tblCellSpacing w:w="15" w:type="dxa"/>
        </w:trPr>
        <w:tc>
          <w:tcPr>
            <w:tcW w:w="0" w:type="auto"/>
            <w:shd w:val="clear" w:color="auto" w:fill="BDD6EE" w:themeFill="accent5" w:themeFillTint="66"/>
            <w:vAlign w:val="center"/>
            <w:hideMark/>
          </w:tcPr>
          <w:p w14:paraId="57039F36"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System</w:t>
            </w:r>
          </w:p>
        </w:tc>
        <w:tc>
          <w:tcPr>
            <w:tcW w:w="0" w:type="auto"/>
            <w:shd w:val="clear" w:color="auto" w:fill="BDD6EE" w:themeFill="accent5" w:themeFillTint="66"/>
            <w:vAlign w:val="center"/>
            <w:hideMark/>
          </w:tcPr>
          <w:p w14:paraId="40FFCF35"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Poor infrastructure</w:t>
            </w:r>
          </w:p>
        </w:tc>
        <w:tc>
          <w:tcPr>
            <w:tcW w:w="0" w:type="auto"/>
            <w:shd w:val="clear" w:color="auto" w:fill="BDD6EE" w:themeFill="accent5" w:themeFillTint="66"/>
            <w:vAlign w:val="center"/>
            <w:hideMark/>
          </w:tcPr>
          <w:p w14:paraId="30BCF002"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Delayed diagnosis</w:t>
            </w:r>
          </w:p>
        </w:tc>
      </w:tr>
    </w:tbl>
    <w:p w14:paraId="32020246"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This interaction explains the high burden of advanced-stage cancer presentation in India (2,4,10).</w:t>
      </w:r>
    </w:p>
    <w:p w14:paraId="121E0BF4" w14:textId="02D62AF8" w:rsidR="00D0540F" w:rsidRPr="00FF6F48" w:rsidRDefault="00D0540F" w:rsidP="00FF6F48">
      <w:pPr>
        <w:rPr>
          <w:rFonts w:ascii="Times New Roman" w:hAnsi="Times New Roman" w:cs="Times New Roman"/>
        </w:rPr>
      </w:pPr>
    </w:p>
    <w:p w14:paraId="25BD3EEC" w14:textId="77777777"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5. Evidence from Existing Reviews</w:t>
      </w:r>
    </w:p>
    <w:p w14:paraId="6823AECF"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lastRenderedPageBreak/>
        <w:t>Previous LMIC studies consistently show that poverty, low education, and cultural beliefs significantly contribute to delayed diagnosis (6,8,13). Weak health systems and lack of structured screening programs further worsen outcomes.</w:t>
      </w:r>
    </w:p>
    <w:p w14:paraId="3BF63B8D"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Global evidence demonstrates that organized screening programs can reduce late-stage presentation, but implementation remains limited in LMIC settings (13,14).</w:t>
      </w:r>
    </w:p>
    <w:p w14:paraId="70576FD4" w14:textId="71643E9C" w:rsidR="00D0540F" w:rsidRPr="00633D6F" w:rsidRDefault="001C265D" w:rsidP="00FF6F48">
      <w:pPr>
        <w:rPr>
          <w:rFonts w:ascii="Times New Roman" w:hAnsi="Times New Roman" w:cs="Times New Roman"/>
          <w:b/>
          <w:bCs/>
          <w:sz w:val="28"/>
          <w:szCs w:val="28"/>
        </w:rPr>
      </w:pPr>
      <w:r>
        <w:rPr>
          <w:rFonts w:ascii="Times New Roman" w:hAnsi="Times New Roman" w:cs="Times New Roman"/>
          <w:b/>
          <w:bCs/>
          <w:sz w:val="28"/>
          <w:szCs w:val="28"/>
        </w:rPr>
        <w:t>Fig</w:t>
      </w:r>
      <w:r w:rsidR="00633D6F" w:rsidRPr="00633D6F">
        <w:rPr>
          <w:rFonts w:ascii="Times New Roman" w:hAnsi="Times New Roman" w:cs="Times New Roman"/>
          <w:b/>
          <w:bCs/>
          <w:sz w:val="28"/>
          <w:szCs w:val="28"/>
        </w:rPr>
        <w:t xml:space="preserve"> 0</w:t>
      </w:r>
      <w:r w:rsidR="00633D6F">
        <w:rPr>
          <w:rFonts w:ascii="Times New Roman" w:hAnsi="Times New Roman" w:cs="Times New Roman"/>
          <w:b/>
          <w:bCs/>
          <w:sz w:val="28"/>
          <w:szCs w:val="28"/>
        </w:rPr>
        <w:t>2</w:t>
      </w:r>
      <w:r w:rsidR="00633D6F" w:rsidRPr="00633D6F">
        <w:rPr>
          <w:rFonts w:ascii="Times New Roman" w:hAnsi="Times New Roman" w:cs="Times New Roman"/>
          <w:b/>
          <w:bCs/>
          <w:sz w:val="28"/>
          <w:szCs w:val="28"/>
        </w:rPr>
        <w:t>: Stages of Diagnostic Delay in Cancer Care Pathway</w:t>
      </w:r>
    </w:p>
    <w:tbl>
      <w:tblPr>
        <w:tblStyle w:val="TableGrid"/>
        <w:tblW w:w="0" w:type="auto"/>
        <w:tblLook w:val="04A0" w:firstRow="1" w:lastRow="0" w:firstColumn="1" w:lastColumn="0" w:noHBand="0" w:noVBand="1"/>
      </w:tblPr>
      <w:tblGrid>
        <w:gridCol w:w="3116"/>
        <w:gridCol w:w="3117"/>
        <w:gridCol w:w="3117"/>
      </w:tblGrid>
      <w:tr w:rsidR="00C9560F" w:rsidRPr="00633D6F" w14:paraId="6F9CE9FA" w14:textId="77777777" w:rsidTr="00633D6F">
        <w:tc>
          <w:tcPr>
            <w:tcW w:w="3116" w:type="dxa"/>
            <w:shd w:val="clear" w:color="auto" w:fill="BDD6EE" w:themeFill="accent5" w:themeFillTint="66"/>
            <w:vAlign w:val="center"/>
          </w:tcPr>
          <w:p w14:paraId="4DD70247" w14:textId="541715F3"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b/>
                <w:bCs/>
                <w:sz w:val="24"/>
                <w:szCs w:val="24"/>
              </w:rPr>
              <w:t>Stage of Care Pathway</w:t>
            </w:r>
          </w:p>
        </w:tc>
        <w:tc>
          <w:tcPr>
            <w:tcW w:w="3117" w:type="dxa"/>
            <w:shd w:val="clear" w:color="auto" w:fill="BDD6EE" w:themeFill="accent5" w:themeFillTint="66"/>
            <w:vAlign w:val="center"/>
          </w:tcPr>
          <w:p w14:paraId="4C7F41F9" w14:textId="14B1E0B3"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b/>
                <w:bCs/>
                <w:sz w:val="24"/>
                <w:szCs w:val="24"/>
              </w:rPr>
              <w:t>Description</w:t>
            </w:r>
          </w:p>
        </w:tc>
        <w:tc>
          <w:tcPr>
            <w:tcW w:w="3117" w:type="dxa"/>
            <w:shd w:val="clear" w:color="auto" w:fill="BDD6EE" w:themeFill="accent5" w:themeFillTint="66"/>
            <w:vAlign w:val="center"/>
          </w:tcPr>
          <w:p w14:paraId="4912C1AD" w14:textId="0705E934"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b/>
                <w:bCs/>
                <w:sz w:val="24"/>
                <w:szCs w:val="24"/>
              </w:rPr>
              <w:t>Common Delay Factors</w:t>
            </w:r>
          </w:p>
        </w:tc>
      </w:tr>
      <w:tr w:rsidR="00C9560F" w:rsidRPr="00633D6F" w14:paraId="365C6009" w14:textId="77777777" w:rsidTr="00633D6F">
        <w:tc>
          <w:tcPr>
            <w:tcW w:w="3116" w:type="dxa"/>
            <w:shd w:val="clear" w:color="auto" w:fill="D9E2F3" w:themeFill="accent1" w:themeFillTint="3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7"/>
            </w:tblGrid>
            <w:tr w:rsidR="00C9560F" w:rsidRPr="00633D6F" w14:paraId="7990A1BB" w14:textId="77777777" w:rsidTr="009713AF">
              <w:trPr>
                <w:tblCellSpacing w:w="15" w:type="dxa"/>
              </w:trPr>
              <w:tc>
                <w:tcPr>
                  <w:tcW w:w="0" w:type="auto"/>
                  <w:vAlign w:val="center"/>
                  <w:hideMark/>
                </w:tcPr>
                <w:p w14:paraId="73114BAA"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Symptom recognition</w:t>
                  </w:r>
                </w:p>
              </w:tc>
            </w:tr>
          </w:tbl>
          <w:p w14:paraId="71C91DBE" w14:textId="77777777" w:rsidR="00C9560F" w:rsidRPr="00633D6F" w:rsidRDefault="00C9560F" w:rsidP="00C9560F">
            <w:pPr>
              <w:rPr>
                <w:rFonts w:ascii="Times New Roman" w:hAnsi="Times New Roman" w:cs="Times New Roman"/>
                <w:sz w:val="24"/>
                <w:szCs w:val="24"/>
              </w:rPr>
            </w:pPr>
          </w:p>
        </w:tc>
        <w:tc>
          <w:tcPr>
            <w:tcW w:w="3117" w:type="dxa"/>
            <w:shd w:val="clear" w:color="auto" w:fill="D9E2F3" w:themeFill="accent1" w:themeFillTint="3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7"/>
            </w:tblGrid>
            <w:tr w:rsidR="00C9560F" w:rsidRPr="00633D6F" w14:paraId="654C09DC" w14:textId="77777777" w:rsidTr="009713AF">
              <w:trPr>
                <w:tblCellSpacing w:w="15" w:type="dxa"/>
              </w:trPr>
              <w:tc>
                <w:tcPr>
                  <w:tcW w:w="0" w:type="auto"/>
                  <w:vAlign w:val="center"/>
                  <w:hideMark/>
                </w:tcPr>
                <w:p w14:paraId="3C996F35"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Symptom recognition</w:t>
                  </w:r>
                </w:p>
              </w:tc>
            </w:tr>
          </w:tbl>
          <w:p w14:paraId="4B870107" w14:textId="77777777" w:rsidR="00C9560F" w:rsidRPr="00633D6F" w:rsidRDefault="00C9560F" w:rsidP="00C9560F">
            <w:pPr>
              <w:rPr>
                <w:rFonts w:ascii="Times New Roman" w:hAnsi="Times New Roman" w:cs="Times New Roman"/>
                <w:sz w:val="24"/>
                <w:szCs w:val="24"/>
              </w:rPr>
            </w:pPr>
          </w:p>
        </w:tc>
        <w:tc>
          <w:tcPr>
            <w:tcW w:w="3117" w:type="dxa"/>
            <w:shd w:val="clear" w:color="auto" w:fill="D9E2F3" w:themeFill="accent1" w:themeFillTint="3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7"/>
            </w:tblGrid>
            <w:tr w:rsidR="00C9560F" w:rsidRPr="00633D6F" w14:paraId="2E74373D" w14:textId="77777777" w:rsidTr="009713AF">
              <w:trPr>
                <w:tblCellSpacing w:w="15" w:type="dxa"/>
              </w:trPr>
              <w:tc>
                <w:tcPr>
                  <w:tcW w:w="0" w:type="auto"/>
                  <w:vAlign w:val="center"/>
                  <w:hideMark/>
                </w:tcPr>
                <w:p w14:paraId="3123334F"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Symptom recognition</w:t>
                  </w:r>
                </w:p>
              </w:tc>
            </w:tr>
          </w:tbl>
          <w:p w14:paraId="153F3EE4" w14:textId="77777777" w:rsidR="00C9560F" w:rsidRPr="00633D6F" w:rsidRDefault="00C9560F" w:rsidP="00C9560F">
            <w:pPr>
              <w:rPr>
                <w:rFonts w:ascii="Times New Roman" w:hAnsi="Times New Roman" w:cs="Times New Roman"/>
                <w:sz w:val="24"/>
                <w:szCs w:val="24"/>
              </w:rPr>
            </w:pPr>
          </w:p>
        </w:tc>
      </w:tr>
      <w:tr w:rsidR="00C9560F" w:rsidRPr="00633D6F" w14:paraId="350DA059" w14:textId="77777777" w:rsidTr="00633D6F">
        <w:tc>
          <w:tcPr>
            <w:tcW w:w="3116" w:type="dxa"/>
            <w:shd w:val="clear" w:color="auto" w:fill="FFFF00"/>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4"/>
            </w:tblGrid>
            <w:tr w:rsidR="00C9560F" w:rsidRPr="00633D6F" w14:paraId="4B5AACBD" w14:textId="77777777" w:rsidTr="00606D1C">
              <w:trPr>
                <w:tblCellSpacing w:w="15" w:type="dxa"/>
              </w:trPr>
              <w:tc>
                <w:tcPr>
                  <w:tcW w:w="0" w:type="auto"/>
                  <w:vAlign w:val="center"/>
                  <w:hideMark/>
                </w:tcPr>
                <w:p w14:paraId="04CD1992"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First consultation</w:t>
                  </w:r>
                </w:p>
              </w:tc>
            </w:tr>
          </w:tbl>
          <w:p w14:paraId="10DCFD62" w14:textId="77777777" w:rsidR="00C9560F" w:rsidRPr="00633D6F" w:rsidRDefault="00C9560F" w:rsidP="00C9560F">
            <w:pPr>
              <w:rPr>
                <w:rFonts w:ascii="Times New Roman" w:hAnsi="Times New Roman" w:cs="Times New Roman"/>
                <w:sz w:val="24"/>
                <w:szCs w:val="24"/>
              </w:rPr>
            </w:pPr>
          </w:p>
        </w:tc>
        <w:tc>
          <w:tcPr>
            <w:tcW w:w="3117" w:type="dxa"/>
            <w:shd w:val="clear" w:color="auto" w:fill="FFFF00"/>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4"/>
            </w:tblGrid>
            <w:tr w:rsidR="00C9560F" w:rsidRPr="00633D6F" w14:paraId="0279E2D1" w14:textId="77777777" w:rsidTr="00606D1C">
              <w:trPr>
                <w:tblCellSpacing w:w="15" w:type="dxa"/>
              </w:trPr>
              <w:tc>
                <w:tcPr>
                  <w:tcW w:w="0" w:type="auto"/>
                  <w:vAlign w:val="center"/>
                  <w:hideMark/>
                </w:tcPr>
                <w:p w14:paraId="70A19910"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First consultation</w:t>
                  </w:r>
                </w:p>
              </w:tc>
            </w:tr>
          </w:tbl>
          <w:p w14:paraId="08F1505A" w14:textId="77777777" w:rsidR="00C9560F" w:rsidRPr="00633D6F" w:rsidRDefault="00C9560F" w:rsidP="00C9560F">
            <w:pPr>
              <w:rPr>
                <w:rFonts w:ascii="Times New Roman" w:hAnsi="Times New Roman" w:cs="Times New Roman"/>
                <w:sz w:val="24"/>
                <w:szCs w:val="24"/>
              </w:rPr>
            </w:pPr>
          </w:p>
        </w:tc>
        <w:tc>
          <w:tcPr>
            <w:tcW w:w="3117" w:type="dxa"/>
            <w:shd w:val="clear" w:color="auto" w:fill="FFFF00"/>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4"/>
            </w:tblGrid>
            <w:tr w:rsidR="00C9560F" w:rsidRPr="00633D6F" w14:paraId="0F10FC56" w14:textId="77777777" w:rsidTr="00606D1C">
              <w:trPr>
                <w:tblCellSpacing w:w="15" w:type="dxa"/>
              </w:trPr>
              <w:tc>
                <w:tcPr>
                  <w:tcW w:w="0" w:type="auto"/>
                  <w:vAlign w:val="center"/>
                  <w:hideMark/>
                </w:tcPr>
                <w:p w14:paraId="18FF23E6"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First consultation</w:t>
                  </w:r>
                </w:p>
              </w:tc>
            </w:tr>
          </w:tbl>
          <w:p w14:paraId="2CA44591" w14:textId="77777777" w:rsidR="00C9560F" w:rsidRPr="00633D6F" w:rsidRDefault="00C9560F" w:rsidP="00C9560F">
            <w:pPr>
              <w:rPr>
                <w:rFonts w:ascii="Times New Roman" w:hAnsi="Times New Roman" w:cs="Times New Roman"/>
                <w:sz w:val="24"/>
                <w:szCs w:val="24"/>
              </w:rPr>
            </w:pPr>
          </w:p>
        </w:tc>
      </w:tr>
      <w:tr w:rsidR="00C9560F" w:rsidRPr="00633D6F" w14:paraId="77367F00" w14:textId="77777777" w:rsidTr="00633D6F">
        <w:tc>
          <w:tcPr>
            <w:tcW w:w="3116" w:type="dxa"/>
            <w:shd w:val="clear" w:color="auto" w:fill="FBE4D5" w:themeFill="accent2" w:themeFillTint="3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0"/>
            </w:tblGrid>
            <w:tr w:rsidR="00C9560F" w:rsidRPr="00633D6F" w14:paraId="6322746E" w14:textId="77777777" w:rsidTr="00677201">
              <w:trPr>
                <w:tblCellSpacing w:w="15" w:type="dxa"/>
              </w:trPr>
              <w:tc>
                <w:tcPr>
                  <w:tcW w:w="0" w:type="auto"/>
                  <w:vAlign w:val="center"/>
                  <w:hideMark/>
                </w:tcPr>
                <w:p w14:paraId="0A00FE24"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Referral stage</w:t>
                  </w:r>
                </w:p>
              </w:tc>
            </w:tr>
          </w:tbl>
          <w:p w14:paraId="66CD338C" w14:textId="77777777" w:rsidR="00C9560F" w:rsidRPr="00633D6F" w:rsidRDefault="00C9560F" w:rsidP="00C9560F">
            <w:pPr>
              <w:rPr>
                <w:rFonts w:ascii="Times New Roman" w:hAnsi="Times New Roman" w:cs="Times New Roman"/>
                <w:sz w:val="24"/>
                <w:szCs w:val="24"/>
              </w:rPr>
            </w:pPr>
          </w:p>
        </w:tc>
        <w:tc>
          <w:tcPr>
            <w:tcW w:w="3117" w:type="dxa"/>
            <w:shd w:val="clear" w:color="auto" w:fill="FBE4D5" w:themeFill="accent2" w:themeFillTint="3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0"/>
            </w:tblGrid>
            <w:tr w:rsidR="00C9560F" w:rsidRPr="00633D6F" w14:paraId="25E26871" w14:textId="77777777" w:rsidTr="00677201">
              <w:trPr>
                <w:tblCellSpacing w:w="15" w:type="dxa"/>
              </w:trPr>
              <w:tc>
                <w:tcPr>
                  <w:tcW w:w="0" w:type="auto"/>
                  <w:vAlign w:val="center"/>
                  <w:hideMark/>
                </w:tcPr>
                <w:p w14:paraId="3BD9997F"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Referral stage</w:t>
                  </w:r>
                </w:p>
              </w:tc>
            </w:tr>
          </w:tbl>
          <w:p w14:paraId="693F6B0E" w14:textId="77777777" w:rsidR="00C9560F" w:rsidRPr="00633D6F" w:rsidRDefault="00C9560F" w:rsidP="00C9560F">
            <w:pPr>
              <w:rPr>
                <w:rFonts w:ascii="Times New Roman" w:hAnsi="Times New Roman" w:cs="Times New Roman"/>
                <w:sz w:val="24"/>
                <w:szCs w:val="24"/>
              </w:rPr>
            </w:pPr>
          </w:p>
        </w:tc>
        <w:tc>
          <w:tcPr>
            <w:tcW w:w="3117" w:type="dxa"/>
            <w:shd w:val="clear" w:color="auto" w:fill="FBE4D5" w:themeFill="accent2" w:themeFillTint="3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0"/>
            </w:tblGrid>
            <w:tr w:rsidR="00C9560F" w:rsidRPr="00633D6F" w14:paraId="5BA44A5F" w14:textId="77777777" w:rsidTr="00677201">
              <w:trPr>
                <w:tblCellSpacing w:w="15" w:type="dxa"/>
              </w:trPr>
              <w:tc>
                <w:tcPr>
                  <w:tcW w:w="0" w:type="auto"/>
                  <w:vAlign w:val="center"/>
                  <w:hideMark/>
                </w:tcPr>
                <w:p w14:paraId="79CD7F94"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Referral stage</w:t>
                  </w:r>
                </w:p>
              </w:tc>
            </w:tr>
          </w:tbl>
          <w:p w14:paraId="40FAF930" w14:textId="77777777" w:rsidR="00C9560F" w:rsidRPr="00633D6F" w:rsidRDefault="00C9560F" w:rsidP="00C9560F">
            <w:pPr>
              <w:rPr>
                <w:rFonts w:ascii="Times New Roman" w:hAnsi="Times New Roman" w:cs="Times New Roman"/>
                <w:sz w:val="24"/>
                <w:szCs w:val="24"/>
              </w:rPr>
            </w:pPr>
          </w:p>
        </w:tc>
      </w:tr>
      <w:tr w:rsidR="00C9560F" w:rsidRPr="00633D6F" w14:paraId="3367C1D2" w14:textId="77777777" w:rsidTr="00633D6F">
        <w:tc>
          <w:tcPr>
            <w:tcW w:w="3116" w:type="dxa"/>
            <w:shd w:val="clear" w:color="auto" w:fill="BDD6EE" w:themeFill="accent5" w:themeFillTint="6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0"/>
            </w:tblGrid>
            <w:tr w:rsidR="00C9560F" w:rsidRPr="00633D6F" w14:paraId="07AD5159" w14:textId="77777777" w:rsidTr="003E1526">
              <w:trPr>
                <w:tblCellSpacing w:w="15" w:type="dxa"/>
              </w:trPr>
              <w:tc>
                <w:tcPr>
                  <w:tcW w:w="0" w:type="auto"/>
                  <w:vAlign w:val="center"/>
                  <w:hideMark/>
                </w:tcPr>
                <w:p w14:paraId="58066068"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Diagnosis confirmation</w:t>
                  </w:r>
                </w:p>
              </w:tc>
            </w:tr>
          </w:tbl>
          <w:p w14:paraId="00B317AB" w14:textId="77777777" w:rsidR="00C9560F" w:rsidRPr="00633D6F" w:rsidRDefault="00C9560F" w:rsidP="00C9560F">
            <w:pPr>
              <w:rPr>
                <w:rFonts w:ascii="Times New Roman" w:hAnsi="Times New Roman" w:cs="Times New Roman"/>
                <w:sz w:val="24"/>
                <w:szCs w:val="24"/>
              </w:rPr>
            </w:pPr>
          </w:p>
        </w:tc>
        <w:tc>
          <w:tcPr>
            <w:tcW w:w="3117" w:type="dxa"/>
            <w:shd w:val="clear" w:color="auto" w:fill="BDD6EE" w:themeFill="accent5" w:themeFillTint="6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0"/>
            </w:tblGrid>
            <w:tr w:rsidR="00C9560F" w:rsidRPr="00633D6F" w14:paraId="3BA4F733" w14:textId="77777777" w:rsidTr="003E1526">
              <w:trPr>
                <w:tblCellSpacing w:w="15" w:type="dxa"/>
              </w:trPr>
              <w:tc>
                <w:tcPr>
                  <w:tcW w:w="0" w:type="auto"/>
                  <w:vAlign w:val="center"/>
                  <w:hideMark/>
                </w:tcPr>
                <w:p w14:paraId="1F167576"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Diagnosis confirmation</w:t>
                  </w:r>
                </w:p>
              </w:tc>
            </w:tr>
          </w:tbl>
          <w:p w14:paraId="719FA78D" w14:textId="77777777" w:rsidR="00C9560F" w:rsidRPr="00633D6F" w:rsidRDefault="00C9560F" w:rsidP="00C9560F">
            <w:pPr>
              <w:rPr>
                <w:rFonts w:ascii="Times New Roman" w:hAnsi="Times New Roman" w:cs="Times New Roman"/>
                <w:sz w:val="24"/>
                <w:szCs w:val="24"/>
              </w:rPr>
            </w:pPr>
          </w:p>
        </w:tc>
        <w:tc>
          <w:tcPr>
            <w:tcW w:w="3117" w:type="dxa"/>
            <w:shd w:val="clear" w:color="auto" w:fill="BDD6EE" w:themeFill="accent5" w:themeFillTint="6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0"/>
            </w:tblGrid>
            <w:tr w:rsidR="00C9560F" w:rsidRPr="00633D6F" w14:paraId="63AEA1FE" w14:textId="77777777" w:rsidTr="003E1526">
              <w:trPr>
                <w:tblCellSpacing w:w="15" w:type="dxa"/>
              </w:trPr>
              <w:tc>
                <w:tcPr>
                  <w:tcW w:w="0" w:type="auto"/>
                  <w:vAlign w:val="center"/>
                  <w:hideMark/>
                </w:tcPr>
                <w:p w14:paraId="42AC365F"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Diagnosis confirmation</w:t>
                  </w:r>
                </w:p>
              </w:tc>
            </w:tr>
          </w:tbl>
          <w:p w14:paraId="14EBC16A" w14:textId="77777777" w:rsidR="00C9560F" w:rsidRPr="00633D6F" w:rsidRDefault="00C9560F" w:rsidP="00C9560F">
            <w:pPr>
              <w:rPr>
                <w:rFonts w:ascii="Times New Roman" w:hAnsi="Times New Roman" w:cs="Times New Roman"/>
                <w:sz w:val="24"/>
                <w:szCs w:val="24"/>
              </w:rPr>
            </w:pPr>
          </w:p>
        </w:tc>
      </w:tr>
      <w:tr w:rsidR="00C9560F" w:rsidRPr="00633D6F" w14:paraId="6EE7657E" w14:textId="77777777" w:rsidTr="00633D6F">
        <w:tc>
          <w:tcPr>
            <w:tcW w:w="3116" w:type="dxa"/>
            <w:shd w:val="clear" w:color="auto" w:fill="C5E0B3" w:themeFill="accent6" w:themeFillTint="6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3"/>
            </w:tblGrid>
            <w:tr w:rsidR="00C9560F" w:rsidRPr="00633D6F" w14:paraId="310B441A" w14:textId="77777777" w:rsidTr="00885885">
              <w:trPr>
                <w:tblCellSpacing w:w="15" w:type="dxa"/>
              </w:trPr>
              <w:tc>
                <w:tcPr>
                  <w:tcW w:w="0" w:type="auto"/>
                  <w:vAlign w:val="center"/>
                  <w:hideMark/>
                </w:tcPr>
                <w:p w14:paraId="1EE778A0"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Treatment initiation</w:t>
                  </w:r>
                </w:p>
              </w:tc>
            </w:tr>
          </w:tbl>
          <w:p w14:paraId="2E83659D" w14:textId="77777777" w:rsidR="00C9560F" w:rsidRPr="00633D6F" w:rsidRDefault="00C9560F" w:rsidP="00C9560F">
            <w:pPr>
              <w:rPr>
                <w:rFonts w:ascii="Times New Roman" w:hAnsi="Times New Roman" w:cs="Times New Roman"/>
                <w:sz w:val="24"/>
                <w:szCs w:val="24"/>
              </w:rPr>
            </w:pPr>
          </w:p>
        </w:tc>
        <w:tc>
          <w:tcPr>
            <w:tcW w:w="3117" w:type="dxa"/>
            <w:shd w:val="clear" w:color="auto" w:fill="C5E0B3" w:themeFill="accent6" w:themeFillTint="6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3"/>
            </w:tblGrid>
            <w:tr w:rsidR="00C9560F" w:rsidRPr="00633D6F" w14:paraId="7C769EF9" w14:textId="77777777" w:rsidTr="00885885">
              <w:trPr>
                <w:tblCellSpacing w:w="15" w:type="dxa"/>
              </w:trPr>
              <w:tc>
                <w:tcPr>
                  <w:tcW w:w="0" w:type="auto"/>
                  <w:vAlign w:val="center"/>
                  <w:hideMark/>
                </w:tcPr>
                <w:p w14:paraId="18407935"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Treatment initiation</w:t>
                  </w:r>
                </w:p>
              </w:tc>
            </w:tr>
          </w:tbl>
          <w:p w14:paraId="01DE0717" w14:textId="77777777" w:rsidR="00C9560F" w:rsidRPr="00633D6F" w:rsidRDefault="00C9560F" w:rsidP="00C9560F">
            <w:pPr>
              <w:rPr>
                <w:rFonts w:ascii="Times New Roman" w:hAnsi="Times New Roman" w:cs="Times New Roman"/>
                <w:sz w:val="24"/>
                <w:szCs w:val="24"/>
              </w:rPr>
            </w:pPr>
          </w:p>
        </w:tc>
        <w:tc>
          <w:tcPr>
            <w:tcW w:w="3117" w:type="dxa"/>
            <w:shd w:val="clear" w:color="auto" w:fill="C5E0B3" w:themeFill="accent6" w:themeFillTint="6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3"/>
            </w:tblGrid>
            <w:tr w:rsidR="00C9560F" w:rsidRPr="00633D6F" w14:paraId="1F38440C" w14:textId="77777777" w:rsidTr="00885885">
              <w:trPr>
                <w:tblCellSpacing w:w="15" w:type="dxa"/>
              </w:trPr>
              <w:tc>
                <w:tcPr>
                  <w:tcW w:w="0" w:type="auto"/>
                  <w:vAlign w:val="center"/>
                  <w:hideMark/>
                </w:tcPr>
                <w:p w14:paraId="6DBDA38D"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Treatment initiation</w:t>
                  </w:r>
                </w:p>
              </w:tc>
            </w:tr>
          </w:tbl>
          <w:p w14:paraId="3DC2A2AC" w14:textId="77777777" w:rsidR="00C9560F" w:rsidRPr="00633D6F" w:rsidRDefault="00C9560F" w:rsidP="00C9560F">
            <w:pPr>
              <w:rPr>
                <w:rFonts w:ascii="Times New Roman" w:hAnsi="Times New Roman" w:cs="Times New Roman"/>
                <w:sz w:val="24"/>
                <w:szCs w:val="24"/>
              </w:rPr>
            </w:pPr>
          </w:p>
        </w:tc>
      </w:tr>
    </w:tbl>
    <w:p w14:paraId="576132D2" w14:textId="77777777" w:rsidR="00C9560F" w:rsidRPr="00633D6F" w:rsidRDefault="00C9560F" w:rsidP="00FF6F48">
      <w:pPr>
        <w:rPr>
          <w:rFonts w:ascii="Times New Roman" w:hAnsi="Times New Roman" w:cs="Times New Roman"/>
          <w:sz w:val="24"/>
          <w:szCs w:val="24"/>
        </w:rPr>
      </w:pPr>
    </w:p>
    <w:p w14:paraId="656A0F86" w14:textId="77777777"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6. Discussion</w:t>
      </w:r>
    </w:p>
    <w:p w14:paraId="30E27D18"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 xml:space="preserve">Late-stage cancer diagnosis in India reflects </w:t>
      </w:r>
      <w:r w:rsidRPr="00FF6F48">
        <w:rPr>
          <w:rFonts w:ascii="Times New Roman" w:hAnsi="Times New Roman" w:cs="Times New Roman"/>
          <w:b/>
          <w:bCs/>
          <w:sz w:val="24"/>
          <w:szCs w:val="24"/>
        </w:rPr>
        <w:t xml:space="preserve">a </w:t>
      </w:r>
      <w:r w:rsidRPr="00FF6F48">
        <w:rPr>
          <w:rStyle w:val="Strong"/>
          <w:rFonts w:ascii="Times New Roman" w:hAnsi="Times New Roman" w:cs="Times New Roman"/>
          <w:b w:val="0"/>
          <w:bCs w:val="0"/>
          <w:sz w:val="24"/>
          <w:szCs w:val="24"/>
        </w:rPr>
        <w:t>systemic health system challenge rather than individual-level failure</w:t>
      </w:r>
      <w:r w:rsidRPr="00FF6F48">
        <w:rPr>
          <w:rFonts w:ascii="Times New Roman" w:hAnsi="Times New Roman" w:cs="Times New Roman"/>
          <w:sz w:val="24"/>
          <w:szCs w:val="24"/>
        </w:rPr>
        <w:t>. Delays occur across the entire care continuum and are shaped by interacting social, clinical, and structural factors (1–6).</w:t>
      </w:r>
    </w:p>
    <w:p w14:paraId="7BE5CD65"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6.1 Patient delay is only part of the problem</w:t>
      </w:r>
    </w:p>
    <w:p w14:paraId="3A058710"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While awareness influences health-seeking behavior, structural factors such as affordability, access, and availability of services play a much larger role in determining diagnosis timelines (2,10). Many patients seek informal care first due to accessibility and cost constraints.</w:t>
      </w:r>
    </w:p>
    <w:p w14:paraId="011B55E5"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6.2 Primary care remains a critical bottleneck</w:t>
      </w:r>
    </w:p>
    <w:p w14:paraId="10BAE6F2"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Primary care providers often lack training and diagnostic support, resulting in missed early cancer signs and delayed referrals (4,11). Strengthening primary care capacity is therefore central to improving early detection.</w:t>
      </w:r>
    </w:p>
    <w:p w14:paraId="6D3A8098"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6.3 Fragmentation of healthcare delivery</w:t>
      </w:r>
    </w:p>
    <w:p w14:paraId="786432C6" w14:textId="47AD6DD1" w:rsidR="00D0540F"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The lack of coordination between public and private sectors leads to repeated consultations, duplication of tests, and inefficient patient pathways (6,12).</w:t>
      </w:r>
    </w:p>
    <w:p w14:paraId="635AD47F" w14:textId="2E9709B8" w:rsidR="00633D6F" w:rsidRDefault="00633D6F" w:rsidP="00FF6F48">
      <w:pPr>
        <w:rPr>
          <w:rFonts w:ascii="Times New Roman" w:hAnsi="Times New Roman" w:cs="Times New Roman"/>
          <w:sz w:val="24"/>
          <w:szCs w:val="24"/>
        </w:rPr>
      </w:pPr>
    </w:p>
    <w:p w14:paraId="735C9BCD" w14:textId="0D0A7A5B" w:rsidR="00633D6F" w:rsidRPr="00FF6F48" w:rsidRDefault="00633D6F" w:rsidP="00FF6F48">
      <w:pP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14:anchorId="6604B08D" wp14:editId="6E7F7478">
            <wp:extent cx="6362700" cy="3390900"/>
            <wp:effectExtent l="0" t="38100" r="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B65F462" w14:textId="44316878" w:rsidR="001C265D" w:rsidRPr="001C265D" w:rsidRDefault="001C265D" w:rsidP="00FF6F48">
      <w:pPr>
        <w:rPr>
          <w:rStyle w:val="Strong"/>
          <w:rFonts w:ascii="Times New Roman" w:hAnsi="Times New Roman" w:cs="Times New Roman"/>
          <w:b w:val="0"/>
          <w:bCs w:val="0"/>
          <w:sz w:val="24"/>
          <w:szCs w:val="24"/>
        </w:rPr>
      </w:pPr>
      <w:r w:rsidRPr="001C265D">
        <w:rPr>
          <w:rFonts w:ascii="Times New Roman" w:hAnsi="Times New Roman" w:cs="Times New Roman"/>
          <w:b/>
          <w:bCs/>
          <w:sz w:val="24"/>
          <w:szCs w:val="24"/>
        </w:rPr>
        <w:t>Fig 03: Health System Bottleneck Model</w:t>
      </w:r>
    </w:p>
    <w:p w14:paraId="36FCDF93" w14:textId="096D9125"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6.4 Rural–urban disparities</w:t>
      </w:r>
    </w:p>
    <w:p w14:paraId="1E19D7CE"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Rural populations face multiple disadvantages including poor access to diagnostics, long travel distances, and limited financial resources, resulting in delayed diagnosis and poorer outcomes (2,3).</w:t>
      </w:r>
    </w:p>
    <w:p w14:paraId="6078C5A9"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6.5 Need for structural reform</w:t>
      </w:r>
    </w:p>
    <w:p w14:paraId="1443DDB5" w14:textId="4361F19F" w:rsidR="00D0540F"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Sustainable improvement requires system-wide reforms including stronger primary care, decentralized diagnostics, improved referral systems, and financial protection. Awareness campaigns alone are insufficient without structural support (11,14).</w:t>
      </w:r>
    </w:p>
    <w:p w14:paraId="1F7F283F" w14:textId="537503E1" w:rsidR="00C9560F" w:rsidRPr="00C9560F" w:rsidRDefault="00C9560F" w:rsidP="00FF6F48">
      <w:pPr>
        <w:rPr>
          <w:rFonts w:ascii="Times New Roman" w:hAnsi="Times New Roman" w:cs="Times New Roman"/>
          <w:sz w:val="24"/>
          <w:szCs w:val="24"/>
        </w:rPr>
      </w:pPr>
      <w:r w:rsidRPr="00C9560F">
        <w:rPr>
          <w:rFonts w:ascii="Times New Roman" w:hAnsi="Times New Roman" w:cs="Times New Roman"/>
          <w:sz w:val="24"/>
          <w:szCs w:val="24"/>
        </w:rPr>
        <w:t>These findings are consistent with WHO’s framework on timely cancer diagnosis, which emphasizes health system responsiveness as a key determinant of survival outcomes in LMICs.</w:t>
      </w:r>
    </w:p>
    <w:p w14:paraId="0A9D1F28" w14:textId="34AB9290" w:rsidR="00D0540F" w:rsidRPr="00FF6F48" w:rsidRDefault="00D0540F" w:rsidP="00FF6F48">
      <w:pPr>
        <w:rPr>
          <w:rFonts w:ascii="Times New Roman" w:hAnsi="Times New Roman" w:cs="Times New Roman"/>
        </w:rPr>
      </w:pPr>
    </w:p>
    <w:p w14:paraId="48C0F010" w14:textId="77777777"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7. Policy Implications</w:t>
      </w:r>
    </w:p>
    <w:p w14:paraId="2CC667EF"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7.1 Strengthening primary healthcare</w:t>
      </w:r>
    </w:p>
    <w:p w14:paraId="528E18A9"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Primary care must be strengthened through training in early cancer recognition, standardized referral pathways, and decision-support tools (4,11).</w:t>
      </w:r>
    </w:p>
    <w:p w14:paraId="3054E742"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7.2 Expanding screening programs</w:t>
      </w:r>
    </w:p>
    <w:p w14:paraId="44389CFA"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lastRenderedPageBreak/>
        <w:t>Organized screening for breast, cervical, and oral cancers should be fully integrated into primary healthcare delivery with proper follow-up systems (5,13).</w:t>
      </w:r>
    </w:p>
    <w:p w14:paraId="4AEB0008"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7.3 Improving diagnostic infrastructure</w:t>
      </w:r>
    </w:p>
    <w:p w14:paraId="346D0B3F"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District-level diagnostic centers and mobile screening units should be expanded to improve access in rural and underserved regions (3,12).</w:t>
      </w:r>
    </w:p>
    <w:p w14:paraId="56554FA5"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7.4 Awareness and education</w:t>
      </w:r>
    </w:p>
    <w:p w14:paraId="21DD4C07"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Sustained, culturally sensitive awareness programs are needed to improve early symptom recognition and reduce stigma (7,8).</w:t>
      </w:r>
    </w:p>
    <w:p w14:paraId="41BA6F47"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7.5 Financial protection</w:t>
      </w:r>
    </w:p>
    <w:p w14:paraId="284BBC41"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Insurance coverage must include diagnostic services such as imaging and biopsy to reduce out-of-pocket expenditure and encourage early care-seeking (10,14).</w:t>
      </w:r>
    </w:p>
    <w:p w14:paraId="7C81CBB2" w14:textId="2AB9CAF3" w:rsidR="00D0540F" w:rsidRPr="00FF6F48" w:rsidRDefault="00D0540F" w:rsidP="00FF6F48">
      <w:pPr>
        <w:rPr>
          <w:rFonts w:ascii="Times New Roman" w:hAnsi="Times New Roman" w:cs="Times New Roman"/>
        </w:rPr>
      </w:pPr>
    </w:p>
    <w:p w14:paraId="1A7073D0" w14:textId="77777777"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8. Limitations</w:t>
      </w:r>
    </w:p>
    <w:p w14:paraId="6717A7AF"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This review has several limitations. First, it is a narrative systematic review rather than a meta-analysis, limiting quantitative synthesis. Second, included studies are heterogeneous in design, population, and cancer type, which limits comparability. Third, publication bias may overrepresent hospital-based evidence, underestimating community-level delays. Fourth, limited inclusion of regional-language literature may restrict representation of rural experiences. Finally, most studies are cross-sectional, limiting causal interpretation of findings.</w:t>
      </w:r>
    </w:p>
    <w:p w14:paraId="1188DC76" w14:textId="695CDDE7" w:rsidR="00D0540F" w:rsidRPr="00FF6F48" w:rsidRDefault="00D0540F" w:rsidP="00FF6F48">
      <w:pPr>
        <w:rPr>
          <w:rFonts w:ascii="Times New Roman" w:hAnsi="Times New Roman" w:cs="Times New Roman"/>
        </w:rPr>
      </w:pPr>
    </w:p>
    <w:p w14:paraId="4A7E6652" w14:textId="77777777"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9. Conclusion</w:t>
      </w:r>
    </w:p>
    <w:p w14:paraId="6E282E41"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Late-stage cancer diagnosis in India is a complex, multi-level problem arising from interacting patient, provider, and health system barriers. It reflects structural weaknesses in access, infrastructure, and health system organization rather than individual behavior alone.</w:t>
      </w:r>
    </w:p>
    <w:p w14:paraId="168364FC"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Addressing this challenge requires integrated reforms across primary healthcare strengthening, diagnostic expansion, referral system improvement, and financial protection mechanisms. Without systemic change, improvements in cancer outcomes will remain limited despite advances in treatment technologies.</w:t>
      </w:r>
    </w:p>
    <w:p w14:paraId="49C5C447"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Early detection must be prioritized as a core component of cancer control strategy, supported by a functional and equitable health system.</w:t>
      </w:r>
    </w:p>
    <w:p w14:paraId="16700B74" w14:textId="4D37DC93" w:rsidR="00E34D38" w:rsidRPr="00FF6F48" w:rsidRDefault="00FF6F48" w:rsidP="00FF6F48">
      <w:pPr>
        <w:rPr>
          <w:rFonts w:ascii="Times New Roman" w:hAnsi="Times New Roman" w:cs="Times New Roman"/>
          <w:sz w:val="28"/>
          <w:szCs w:val="28"/>
        </w:rPr>
      </w:pPr>
      <w:r w:rsidRPr="00FF6F48">
        <w:rPr>
          <w:rStyle w:val="Strong"/>
          <w:rFonts w:ascii="Times New Roman" w:hAnsi="Times New Roman" w:cs="Times New Roman"/>
          <w:sz w:val="28"/>
          <w:szCs w:val="28"/>
        </w:rPr>
        <w:t xml:space="preserve">10. </w:t>
      </w:r>
      <w:r w:rsidR="00E34D38" w:rsidRPr="00FF6F48">
        <w:rPr>
          <w:rStyle w:val="Strong"/>
          <w:rFonts w:ascii="Times New Roman" w:hAnsi="Times New Roman" w:cs="Times New Roman"/>
          <w:sz w:val="28"/>
          <w:szCs w:val="28"/>
        </w:rPr>
        <w:t>References</w:t>
      </w:r>
    </w:p>
    <w:p w14:paraId="2B791FBF" w14:textId="5E49EAA8" w:rsidR="007E461F" w:rsidRPr="007E461F" w:rsidRDefault="007E461F" w:rsidP="00995EB3">
      <w:pPr>
        <w:pStyle w:val="NoSpacing"/>
        <w:numPr>
          <w:ilvl w:val="0"/>
          <w:numId w:val="4"/>
        </w:numPr>
        <w:rPr>
          <w:rFonts w:ascii="Times New Roman" w:hAnsi="Times New Roman" w:cs="Times New Roman"/>
          <w:sz w:val="24"/>
          <w:szCs w:val="24"/>
        </w:rPr>
      </w:pPr>
      <w:r w:rsidRPr="00402756">
        <w:rPr>
          <w:rFonts w:ascii="Times New Roman" w:hAnsi="Times New Roman" w:cs="Times New Roman"/>
          <w:b/>
          <w:bCs/>
          <w:sz w:val="24"/>
          <w:szCs w:val="24"/>
        </w:rPr>
        <w:t>Naidu CK, et al</w:t>
      </w:r>
      <w:r w:rsidRPr="007E461F">
        <w:rPr>
          <w:rFonts w:ascii="Times New Roman" w:hAnsi="Times New Roman" w:cs="Times New Roman"/>
          <w:sz w:val="24"/>
          <w:szCs w:val="24"/>
        </w:rPr>
        <w:t>. Factors associated with delayed cancer diagnosis in India: evidence from population studies. Asian Pac J Cancer Prev. 2021.</w:t>
      </w:r>
      <w:r w:rsidR="00402756">
        <w:rPr>
          <w:rFonts w:ascii="Times New Roman" w:hAnsi="Times New Roman" w:cs="Times New Roman"/>
          <w:sz w:val="24"/>
          <w:szCs w:val="24"/>
        </w:rPr>
        <w:t xml:space="preserve"> </w:t>
      </w:r>
      <w:r w:rsidRPr="007E461F">
        <w:rPr>
          <w:rFonts w:ascii="Times New Roman" w:hAnsi="Times New Roman" w:cs="Times New Roman"/>
          <w:sz w:val="24"/>
          <w:szCs w:val="24"/>
        </w:rPr>
        <w:t>DOI:10.31557/APJCP.2021.22.5.1451</w:t>
      </w:r>
    </w:p>
    <w:p w14:paraId="60C3A838" w14:textId="63624FDB" w:rsidR="007E461F" w:rsidRPr="007E461F" w:rsidRDefault="007E461F" w:rsidP="00402756">
      <w:pPr>
        <w:pStyle w:val="NoSpacing"/>
        <w:rPr>
          <w:rFonts w:ascii="Times New Roman" w:hAnsi="Times New Roman" w:cs="Times New Roman"/>
          <w:sz w:val="24"/>
          <w:szCs w:val="24"/>
        </w:rPr>
      </w:pPr>
    </w:p>
    <w:p w14:paraId="5F4FB79B" w14:textId="2E72FA11" w:rsidR="007E461F" w:rsidRPr="007E461F" w:rsidRDefault="007E461F" w:rsidP="00995EB3">
      <w:pPr>
        <w:pStyle w:val="NoSpacing"/>
        <w:numPr>
          <w:ilvl w:val="0"/>
          <w:numId w:val="4"/>
        </w:numPr>
        <w:rPr>
          <w:rFonts w:ascii="Times New Roman" w:hAnsi="Times New Roman" w:cs="Times New Roman"/>
          <w:sz w:val="24"/>
          <w:szCs w:val="24"/>
        </w:rPr>
      </w:pPr>
      <w:r w:rsidRPr="00402756">
        <w:rPr>
          <w:rFonts w:ascii="Times New Roman" w:hAnsi="Times New Roman" w:cs="Times New Roman"/>
          <w:b/>
          <w:bCs/>
          <w:sz w:val="24"/>
          <w:szCs w:val="24"/>
        </w:rPr>
        <w:lastRenderedPageBreak/>
        <w:t>Nagar A, et al</w:t>
      </w:r>
      <w:r w:rsidRPr="007E461F">
        <w:rPr>
          <w:rFonts w:ascii="Times New Roman" w:hAnsi="Times New Roman" w:cs="Times New Roman"/>
          <w:sz w:val="24"/>
          <w:szCs w:val="24"/>
        </w:rPr>
        <w:t xml:space="preserve">. Barriers to cancer diagnosis and treatment in rural India: a qualitative study. </w:t>
      </w:r>
      <w:proofErr w:type="spellStart"/>
      <w:r w:rsidRPr="007E461F">
        <w:rPr>
          <w:rFonts w:ascii="Times New Roman" w:hAnsi="Times New Roman" w:cs="Times New Roman"/>
          <w:sz w:val="24"/>
          <w:szCs w:val="24"/>
        </w:rPr>
        <w:t>Cureus</w:t>
      </w:r>
      <w:proofErr w:type="spellEnd"/>
      <w:r w:rsidRPr="007E461F">
        <w:rPr>
          <w:rFonts w:ascii="Times New Roman" w:hAnsi="Times New Roman" w:cs="Times New Roman"/>
          <w:sz w:val="24"/>
          <w:szCs w:val="24"/>
        </w:rPr>
        <w:t>. 2024. DOI: 10.7759/cureus.67249 PMCID: PMC11412281</w:t>
      </w:r>
    </w:p>
    <w:p w14:paraId="10439299" w14:textId="4AB380D5" w:rsidR="007E461F" w:rsidRPr="007E461F" w:rsidRDefault="007E461F" w:rsidP="00402756">
      <w:pPr>
        <w:pStyle w:val="NoSpacing"/>
        <w:rPr>
          <w:rFonts w:ascii="Times New Roman" w:hAnsi="Times New Roman" w:cs="Times New Roman"/>
          <w:sz w:val="24"/>
          <w:szCs w:val="24"/>
        </w:rPr>
      </w:pPr>
    </w:p>
    <w:p w14:paraId="579006AE" w14:textId="68416340" w:rsidR="007E461F" w:rsidRPr="007E461F" w:rsidRDefault="007E461F" w:rsidP="00995EB3">
      <w:pPr>
        <w:pStyle w:val="NoSpacing"/>
        <w:numPr>
          <w:ilvl w:val="0"/>
          <w:numId w:val="4"/>
        </w:numPr>
        <w:rPr>
          <w:rFonts w:ascii="Times New Roman" w:hAnsi="Times New Roman" w:cs="Times New Roman"/>
          <w:sz w:val="24"/>
          <w:szCs w:val="24"/>
        </w:rPr>
      </w:pPr>
      <w:r w:rsidRPr="00402756">
        <w:rPr>
          <w:rFonts w:ascii="Times New Roman" w:hAnsi="Times New Roman" w:cs="Times New Roman"/>
          <w:b/>
          <w:bCs/>
          <w:sz w:val="24"/>
          <w:szCs w:val="24"/>
        </w:rPr>
        <w:t>Halder P, et al</w:t>
      </w:r>
      <w:r w:rsidRPr="007E461F">
        <w:rPr>
          <w:rFonts w:ascii="Times New Roman" w:hAnsi="Times New Roman" w:cs="Times New Roman"/>
          <w:sz w:val="24"/>
          <w:szCs w:val="24"/>
        </w:rPr>
        <w:t>. Delays in cancer care pathways in South and Southeast Asia. Lancet Reg Health Southeast Asia. 2024. DOI: 10.1016/j.lansea.2024.100514</w:t>
      </w:r>
    </w:p>
    <w:p w14:paraId="4B5D20AB" w14:textId="12045166" w:rsidR="007E461F" w:rsidRPr="007E461F" w:rsidRDefault="007E461F" w:rsidP="00402756">
      <w:pPr>
        <w:pStyle w:val="NoSpacing"/>
        <w:rPr>
          <w:rFonts w:ascii="Times New Roman" w:hAnsi="Times New Roman" w:cs="Times New Roman"/>
          <w:sz w:val="24"/>
          <w:szCs w:val="24"/>
        </w:rPr>
      </w:pPr>
    </w:p>
    <w:p w14:paraId="7D3B68E1" w14:textId="2F8986F6" w:rsidR="007E461F" w:rsidRPr="007E461F" w:rsidRDefault="007E461F" w:rsidP="00995EB3">
      <w:pPr>
        <w:pStyle w:val="NoSpacing"/>
        <w:numPr>
          <w:ilvl w:val="0"/>
          <w:numId w:val="4"/>
        </w:numPr>
        <w:rPr>
          <w:rFonts w:ascii="Times New Roman" w:hAnsi="Times New Roman" w:cs="Times New Roman"/>
          <w:sz w:val="24"/>
          <w:szCs w:val="24"/>
        </w:rPr>
      </w:pPr>
      <w:proofErr w:type="spellStart"/>
      <w:r w:rsidRPr="00402756">
        <w:rPr>
          <w:rFonts w:ascii="Times New Roman" w:hAnsi="Times New Roman" w:cs="Times New Roman"/>
          <w:b/>
          <w:bCs/>
          <w:sz w:val="24"/>
          <w:szCs w:val="24"/>
        </w:rPr>
        <w:t>Sahu</w:t>
      </w:r>
      <w:proofErr w:type="spellEnd"/>
      <w:r w:rsidRPr="00402756">
        <w:rPr>
          <w:rFonts w:ascii="Times New Roman" w:hAnsi="Times New Roman" w:cs="Times New Roman"/>
          <w:b/>
          <w:bCs/>
          <w:sz w:val="24"/>
          <w:szCs w:val="24"/>
        </w:rPr>
        <w:t xml:space="preserve"> KS, et al</w:t>
      </w:r>
      <w:r w:rsidRPr="007E461F">
        <w:rPr>
          <w:rFonts w:ascii="Times New Roman" w:hAnsi="Times New Roman" w:cs="Times New Roman"/>
          <w:sz w:val="24"/>
          <w:szCs w:val="24"/>
        </w:rPr>
        <w:t>. Awareness and health-seeking behavior for cancer symptoms in rural India. Indian J Community Med. 2025. DOI: 10.4103/ijcm.ijcm_195_23</w:t>
      </w:r>
    </w:p>
    <w:p w14:paraId="6B336A0F" w14:textId="4D9E74A7" w:rsidR="007E461F" w:rsidRPr="007E461F" w:rsidRDefault="007E461F" w:rsidP="00402756">
      <w:pPr>
        <w:pStyle w:val="NoSpacing"/>
        <w:rPr>
          <w:rFonts w:ascii="Times New Roman" w:hAnsi="Times New Roman" w:cs="Times New Roman"/>
          <w:sz w:val="24"/>
          <w:szCs w:val="24"/>
        </w:rPr>
      </w:pPr>
    </w:p>
    <w:p w14:paraId="683A05F7" w14:textId="4A0B56BF" w:rsidR="007E461F" w:rsidRPr="007E461F" w:rsidRDefault="007E461F" w:rsidP="00995EB3">
      <w:pPr>
        <w:pStyle w:val="NoSpacing"/>
        <w:numPr>
          <w:ilvl w:val="0"/>
          <w:numId w:val="4"/>
        </w:numPr>
        <w:rPr>
          <w:rFonts w:ascii="Times New Roman" w:hAnsi="Times New Roman" w:cs="Times New Roman"/>
          <w:sz w:val="24"/>
          <w:szCs w:val="24"/>
        </w:rPr>
      </w:pPr>
      <w:r w:rsidRPr="00402756">
        <w:rPr>
          <w:rFonts w:ascii="Times New Roman" w:hAnsi="Times New Roman" w:cs="Times New Roman"/>
          <w:b/>
          <w:bCs/>
          <w:sz w:val="24"/>
          <w:szCs w:val="24"/>
        </w:rPr>
        <w:t>Rai B, et al</w:t>
      </w:r>
      <w:r w:rsidRPr="007E461F">
        <w:rPr>
          <w:rFonts w:ascii="Times New Roman" w:hAnsi="Times New Roman" w:cs="Times New Roman"/>
          <w:sz w:val="24"/>
          <w:szCs w:val="24"/>
        </w:rPr>
        <w:t>. Breast cancer stage at diagnosis and associated delays in India. Asian Pac J Cancer Prev. 2022. DOI: 10.31557/APJCP.2022.23.3.893</w:t>
      </w:r>
    </w:p>
    <w:p w14:paraId="1503D1DD" w14:textId="52EDFA51" w:rsidR="007E461F" w:rsidRPr="007E461F" w:rsidRDefault="007E461F" w:rsidP="00402756">
      <w:pPr>
        <w:pStyle w:val="NoSpacing"/>
        <w:rPr>
          <w:rFonts w:ascii="Times New Roman" w:hAnsi="Times New Roman" w:cs="Times New Roman"/>
          <w:sz w:val="24"/>
          <w:szCs w:val="24"/>
        </w:rPr>
      </w:pPr>
    </w:p>
    <w:p w14:paraId="0A153A03" w14:textId="300BACE3" w:rsidR="007E461F" w:rsidRPr="007E461F" w:rsidRDefault="007E461F" w:rsidP="00995EB3">
      <w:pPr>
        <w:pStyle w:val="NoSpacing"/>
        <w:numPr>
          <w:ilvl w:val="0"/>
          <w:numId w:val="4"/>
        </w:numPr>
        <w:rPr>
          <w:rFonts w:ascii="Times New Roman" w:hAnsi="Times New Roman" w:cs="Times New Roman"/>
          <w:sz w:val="24"/>
          <w:szCs w:val="24"/>
        </w:rPr>
      </w:pPr>
      <w:r w:rsidRPr="007E461F">
        <w:rPr>
          <w:rFonts w:ascii="Times New Roman" w:hAnsi="Times New Roman" w:cs="Times New Roman"/>
          <w:sz w:val="24"/>
          <w:szCs w:val="24"/>
        </w:rPr>
        <w:t xml:space="preserve">World Health Organization. Early cancer diagnosis: guiding principles for effective </w:t>
      </w:r>
      <w:proofErr w:type="spellStart"/>
      <w:r w:rsidRPr="007E461F">
        <w:rPr>
          <w:rFonts w:ascii="Times New Roman" w:hAnsi="Times New Roman" w:cs="Times New Roman"/>
          <w:sz w:val="24"/>
          <w:szCs w:val="24"/>
        </w:rPr>
        <w:t>programmes</w:t>
      </w:r>
      <w:proofErr w:type="spellEnd"/>
      <w:r w:rsidRPr="007E461F">
        <w:rPr>
          <w:rFonts w:ascii="Times New Roman" w:hAnsi="Times New Roman" w:cs="Times New Roman"/>
          <w:sz w:val="24"/>
          <w:szCs w:val="24"/>
        </w:rPr>
        <w:t>. Geneva: WHO; 2021. DOI: Not assigned (WHO report)</w:t>
      </w:r>
    </w:p>
    <w:p w14:paraId="6B5F43F4" w14:textId="0EA8D27D" w:rsidR="007E461F" w:rsidRPr="007E461F" w:rsidRDefault="007E461F" w:rsidP="00402756">
      <w:pPr>
        <w:pStyle w:val="NoSpacing"/>
        <w:rPr>
          <w:rFonts w:ascii="Times New Roman" w:hAnsi="Times New Roman" w:cs="Times New Roman"/>
          <w:sz w:val="24"/>
          <w:szCs w:val="24"/>
        </w:rPr>
      </w:pPr>
    </w:p>
    <w:p w14:paraId="7358E340" w14:textId="4AF44F97" w:rsidR="007E461F" w:rsidRPr="007E461F" w:rsidRDefault="007E461F" w:rsidP="00995EB3">
      <w:pPr>
        <w:pStyle w:val="NoSpacing"/>
        <w:numPr>
          <w:ilvl w:val="0"/>
          <w:numId w:val="4"/>
        </w:numPr>
        <w:rPr>
          <w:rFonts w:ascii="Times New Roman" w:hAnsi="Times New Roman" w:cs="Times New Roman"/>
          <w:sz w:val="24"/>
          <w:szCs w:val="24"/>
        </w:rPr>
      </w:pPr>
      <w:proofErr w:type="spellStart"/>
      <w:r w:rsidRPr="00402756">
        <w:rPr>
          <w:rFonts w:ascii="Times New Roman" w:hAnsi="Times New Roman" w:cs="Times New Roman"/>
          <w:b/>
          <w:bCs/>
          <w:sz w:val="24"/>
          <w:szCs w:val="24"/>
        </w:rPr>
        <w:t>Ferlay</w:t>
      </w:r>
      <w:proofErr w:type="spellEnd"/>
      <w:r w:rsidRPr="00402756">
        <w:rPr>
          <w:rFonts w:ascii="Times New Roman" w:hAnsi="Times New Roman" w:cs="Times New Roman"/>
          <w:b/>
          <w:bCs/>
          <w:sz w:val="24"/>
          <w:szCs w:val="24"/>
        </w:rPr>
        <w:t xml:space="preserve"> J, et al.</w:t>
      </w:r>
      <w:r w:rsidRPr="007E461F">
        <w:rPr>
          <w:rFonts w:ascii="Times New Roman" w:hAnsi="Times New Roman" w:cs="Times New Roman"/>
          <w:sz w:val="24"/>
          <w:szCs w:val="24"/>
        </w:rPr>
        <w:t xml:space="preserve"> Global cancer statistics 2020: GLOBOCAN estimates. CA Cancer J Clin. 2021. DOI: 10.3322/caac.21660</w:t>
      </w:r>
    </w:p>
    <w:p w14:paraId="3412FCFF" w14:textId="7D9FCFCF" w:rsidR="007E461F" w:rsidRPr="007E461F" w:rsidRDefault="007E461F" w:rsidP="00402756">
      <w:pPr>
        <w:pStyle w:val="NoSpacing"/>
        <w:rPr>
          <w:rFonts w:ascii="Times New Roman" w:hAnsi="Times New Roman" w:cs="Times New Roman"/>
          <w:sz w:val="24"/>
          <w:szCs w:val="24"/>
        </w:rPr>
      </w:pPr>
    </w:p>
    <w:p w14:paraId="78F1E92A" w14:textId="199E2681" w:rsidR="007E461F" w:rsidRPr="007E461F" w:rsidRDefault="007E461F" w:rsidP="00995EB3">
      <w:pPr>
        <w:pStyle w:val="NoSpacing"/>
        <w:numPr>
          <w:ilvl w:val="0"/>
          <w:numId w:val="4"/>
        </w:numPr>
        <w:rPr>
          <w:rFonts w:ascii="Times New Roman" w:hAnsi="Times New Roman" w:cs="Times New Roman"/>
          <w:sz w:val="24"/>
          <w:szCs w:val="24"/>
        </w:rPr>
      </w:pPr>
      <w:r w:rsidRPr="00402756">
        <w:rPr>
          <w:rFonts w:ascii="Times New Roman" w:hAnsi="Times New Roman" w:cs="Times New Roman"/>
          <w:b/>
          <w:bCs/>
          <w:sz w:val="24"/>
          <w:szCs w:val="24"/>
        </w:rPr>
        <w:t>Bray F, et al</w:t>
      </w:r>
      <w:r w:rsidRPr="007E461F">
        <w:rPr>
          <w:rFonts w:ascii="Times New Roman" w:hAnsi="Times New Roman" w:cs="Times New Roman"/>
          <w:sz w:val="24"/>
          <w:szCs w:val="24"/>
        </w:rPr>
        <w:t>. Global cancer statistics 2022: GLOBOCAN update. CA Cancer J Clin. 2024. DOI: 10.3322/caac.21834</w:t>
      </w:r>
    </w:p>
    <w:p w14:paraId="738AF866" w14:textId="76F4468F" w:rsidR="007E461F" w:rsidRPr="007E461F" w:rsidRDefault="007E461F" w:rsidP="00402756">
      <w:pPr>
        <w:pStyle w:val="NoSpacing"/>
        <w:rPr>
          <w:rFonts w:ascii="Times New Roman" w:hAnsi="Times New Roman" w:cs="Times New Roman"/>
          <w:sz w:val="24"/>
          <w:szCs w:val="24"/>
        </w:rPr>
      </w:pPr>
    </w:p>
    <w:p w14:paraId="00A72FE2" w14:textId="6337E3C0" w:rsidR="007E461F" w:rsidRPr="007E461F" w:rsidRDefault="007E461F" w:rsidP="00995EB3">
      <w:pPr>
        <w:pStyle w:val="NoSpacing"/>
        <w:numPr>
          <w:ilvl w:val="0"/>
          <w:numId w:val="4"/>
        </w:numPr>
        <w:rPr>
          <w:rFonts w:ascii="Times New Roman" w:hAnsi="Times New Roman" w:cs="Times New Roman"/>
          <w:sz w:val="24"/>
          <w:szCs w:val="24"/>
        </w:rPr>
      </w:pPr>
      <w:proofErr w:type="spellStart"/>
      <w:r w:rsidRPr="00402756">
        <w:rPr>
          <w:rFonts w:ascii="Times New Roman" w:hAnsi="Times New Roman" w:cs="Times New Roman"/>
          <w:b/>
          <w:bCs/>
          <w:sz w:val="24"/>
          <w:szCs w:val="24"/>
        </w:rPr>
        <w:t>Pramesh</w:t>
      </w:r>
      <w:proofErr w:type="spellEnd"/>
      <w:r w:rsidRPr="00402756">
        <w:rPr>
          <w:rFonts w:ascii="Times New Roman" w:hAnsi="Times New Roman" w:cs="Times New Roman"/>
          <w:b/>
          <w:bCs/>
          <w:sz w:val="24"/>
          <w:szCs w:val="24"/>
        </w:rPr>
        <w:t xml:space="preserve"> CS, et al.</w:t>
      </w:r>
      <w:r w:rsidRPr="007E461F">
        <w:rPr>
          <w:rFonts w:ascii="Times New Roman" w:hAnsi="Times New Roman" w:cs="Times New Roman"/>
          <w:sz w:val="24"/>
          <w:szCs w:val="24"/>
        </w:rPr>
        <w:t xml:space="preserve"> Cancer care in India: current status and challenges. Lancet Oncol. 2014.</w:t>
      </w:r>
      <w:r w:rsidRPr="007E461F">
        <w:rPr>
          <w:rFonts w:ascii="Times New Roman" w:hAnsi="Times New Roman" w:cs="Times New Roman"/>
          <w:sz w:val="24"/>
          <w:szCs w:val="24"/>
        </w:rPr>
        <w:br/>
        <w:t>DOI: 10.1016/S1470-2045(14)70122-7</w:t>
      </w:r>
    </w:p>
    <w:p w14:paraId="28E49D29" w14:textId="1443E0A6" w:rsidR="007E461F" w:rsidRPr="007E461F" w:rsidRDefault="007E461F" w:rsidP="00402756">
      <w:pPr>
        <w:pStyle w:val="NoSpacing"/>
        <w:rPr>
          <w:rFonts w:ascii="Times New Roman" w:hAnsi="Times New Roman" w:cs="Times New Roman"/>
          <w:sz w:val="24"/>
          <w:szCs w:val="24"/>
        </w:rPr>
      </w:pPr>
    </w:p>
    <w:p w14:paraId="480C2167" w14:textId="72292220" w:rsidR="007E461F" w:rsidRPr="007E461F" w:rsidRDefault="007E461F" w:rsidP="00995EB3">
      <w:pPr>
        <w:pStyle w:val="NoSpacing"/>
        <w:numPr>
          <w:ilvl w:val="0"/>
          <w:numId w:val="4"/>
        </w:numPr>
        <w:rPr>
          <w:rFonts w:ascii="Times New Roman" w:hAnsi="Times New Roman" w:cs="Times New Roman"/>
          <w:sz w:val="24"/>
          <w:szCs w:val="24"/>
        </w:rPr>
      </w:pPr>
      <w:proofErr w:type="spellStart"/>
      <w:r w:rsidRPr="00402756">
        <w:rPr>
          <w:rFonts w:ascii="Times New Roman" w:hAnsi="Times New Roman" w:cs="Times New Roman"/>
          <w:b/>
          <w:bCs/>
          <w:sz w:val="24"/>
          <w:szCs w:val="24"/>
        </w:rPr>
        <w:t>Takiar</w:t>
      </w:r>
      <w:proofErr w:type="spellEnd"/>
      <w:r w:rsidRPr="00402756">
        <w:rPr>
          <w:rFonts w:ascii="Times New Roman" w:hAnsi="Times New Roman" w:cs="Times New Roman"/>
          <w:b/>
          <w:bCs/>
          <w:sz w:val="24"/>
          <w:szCs w:val="24"/>
        </w:rPr>
        <w:t xml:space="preserve"> R, et al.</w:t>
      </w:r>
      <w:r w:rsidRPr="007E461F">
        <w:rPr>
          <w:rFonts w:ascii="Times New Roman" w:hAnsi="Times New Roman" w:cs="Times New Roman"/>
          <w:sz w:val="24"/>
          <w:szCs w:val="24"/>
        </w:rPr>
        <w:t xml:space="preserve"> Cancer burden in India and health system challenges. Indian J Cancer. 2016. DOI: 10.4103/0019-509X.197709</w:t>
      </w:r>
    </w:p>
    <w:p w14:paraId="146A4A88" w14:textId="0B0E0E29" w:rsidR="007E461F" w:rsidRPr="007E461F" w:rsidRDefault="007E461F" w:rsidP="00402756">
      <w:pPr>
        <w:pStyle w:val="NoSpacing"/>
        <w:rPr>
          <w:rFonts w:ascii="Times New Roman" w:hAnsi="Times New Roman" w:cs="Times New Roman"/>
          <w:sz w:val="24"/>
          <w:szCs w:val="24"/>
        </w:rPr>
      </w:pPr>
    </w:p>
    <w:p w14:paraId="16100477" w14:textId="2F0F1C9D" w:rsidR="007E461F" w:rsidRPr="007E461F" w:rsidRDefault="007E461F" w:rsidP="00995EB3">
      <w:pPr>
        <w:pStyle w:val="NoSpacing"/>
        <w:numPr>
          <w:ilvl w:val="0"/>
          <w:numId w:val="4"/>
        </w:numPr>
        <w:rPr>
          <w:rFonts w:ascii="Times New Roman" w:hAnsi="Times New Roman" w:cs="Times New Roman"/>
          <w:sz w:val="24"/>
          <w:szCs w:val="24"/>
        </w:rPr>
      </w:pPr>
      <w:r w:rsidRPr="00402756">
        <w:rPr>
          <w:rFonts w:ascii="Times New Roman" w:hAnsi="Times New Roman" w:cs="Times New Roman"/>
          <w:b/>
          <w:bCs/>
          <w:sz w:val="24"/>
          <w:szCs w:val="24"/>
        </w:rPr>
        <w:t>Sharma DC</w:t>
      </w:r>
      <w:r w:rsidRPr="007E461F">
        <w:rPr>
          <w:rFonts w:ascii="Times New Roman" w:hAnsi="Times New Roman" w:cs="Times New Roman"/>
          <w:sz w:val="24"/>
          <w:szCs w:val="24"/>
        </w:rPr>
        <w:t>. Cancer care in India: gaps in early detection and diagnosis. Lancet Oncol. 2012. DOI: 10.1016/S1470-2045(12)70224-4</w:t>
      </w:r>
    </w:p>
    <w:p w14:paraId="7F880671" w14:textId="3541E3CE" w:rsidR="007E461F" w:rsidRPr="007E461F" w:rsidRDefault="007E461F" w:rsidP="00402756">
      <w:pPr>
        <w:pStyle w:val="NoSpacing"/>
        <w:rPr>
          <w:rFonts w:ascii="Times New Roman" w:hAnsi="Times New Roman" w:cs="Times New Roman"/>
          <w:sz w:val="24"/>
          <w:szCs w:val="24"/>
        </w:rPr>
      </w:pPr>
    </w:p>
    <w:p w14:paraId="70F85DC5" w14:textId="71C97798" w:rsidR="007E461F" w:rsidRPr="007E461F" w:rsidRDefault="007E461F" w:rsidP="00995EB3">
      <w:pPr>
        <w:pStyle w:val="NoSpacing"/>
        <w:numPr>
          <w:ilvl w:val="0"/>
          <w:numId w:val="4"/>
        </w:numPr>
        <w:rPr>
          <w:rFonts w:ascii="Times New Roman" w:hAnsi="Times New Roman" w:cs="Times New Roman"/>
          <w:sz w:val="24"/>
          <w:szCs w:val="24"/>
        </w:rPr>
      </w:pPr>
      <w:proofErr w:type="spellStart"/>
      <w:r w:rsidRPr="00402756">
        <w:rPr>
          <w:rFonts w:ascii="Times New Roman" w:hAnsi="Times New Roman" w:cs="Times New Roman"/>
          <w:b/>
          <w:bCs/>
          <w:sz w:val="24"/>
          <w:szCs w:val="24"/>
        </w:rPr>
        <w:t>Sankaranarayanan</w:t>
      </w:r>
      <w:proofErr w:type="spellEnd"/>
      <w:r w:rsidRPr="00402756">
        <w:rPr>
          <w:rFonts w:ascii="Times New Roman" w:hAnsi="Times New Roman" w:cs="Times New Roman"/>
          <w:b/>
          <w:bCs/>
          <w:sz w:val="24"/>
          <w:szCs w:val="24"/>
        </w:rPr>
        <w:t xml:space="preserve"> R, et al</w:t>
      </w:r>
      <w:r w:rsidRPr="007E461F">
        <w:rPr>
          <w:rFonts w:ascii="Times New Roman" w:hAnsi="Times New Roman" w:cs="Times New Roman"/>
          <w:sz w:val="24"/>
          <w:szCs w:val="24"/>
        </w:rPr>
        <w:t>. Cancer prevention and early detection in LMICs. Lancet. 2019.</w:t>
      </w:r>
      <w:r w:rsidRPr="007E461F">
        <w:rPr>
          <w:rFonts w:ascii="Times New Roman" w:hAnsi="Times New Roman" w:cs="Times New Roman"/>
          <w:sz w:val="24"/>
          <w:szCs w:val="24"/>
        </w:rPr>
        <w:br/>
        <w:t>DOI: 10.1016/S0140-6736(19)30539-0</w:t>
      </w:r>
    </w:p>
    <w:p w14:paraId="03324D80" w14:textId="4E30A968" w:rsidR="007E461F" w:rsidRPr="007E461F" w:rsidRDefault="007E461F" w:rsidP="00402756">
      <w:pPr>
        <w:pStyle w:val="NoSpacing"/>
        <w:rPr>
          <w:rFonts w:ascii="Times New Roman" w:hAnsi="Times New Roman" w:cs="Times New Roman"/>
          <w:sz w:val="24"/>
          <w:szCs w:val="24"/>
        </w:rPr>
      </w:pPr>
    </w:p>
    <w:p w14:paraId="47CF8E27" w14:textId="4D3D59B8" w:rsidR="007E461F" w:rsidRPr="007E461F" w:rsidRDefault="007E461F" w:rsidP="00995EB3">
      <w:pPr>
        <w:pStyle w:val="NoSpacing"/>
        <w:numPr>
          <w:ilvl w:val="0"/>
          <w:numId w:val="4"/>
        </w:numPr>
        <w:rPr>
          <w:rFonts w:ascii="Times New Roman" w:hAnsi="Times New Roman" w:cs="Times New Roman"/>
          <w:sz w:val="24"/>
          <w:szCs w:val="24"/>
        </w:rPr>
      </w:pPr>
      <w:r w:rsidRPr="00402756">
        <w:rPr>
          <w:rFonts w:ascii="Times New Roman" w:hAnsi="Times New Roman" w:cs="Times New Roman"/>
          <w:b/>
          <w:bCs/>
          <w:sz w:val="24"/>
          <w:szCs w:val="24"/>
        </w:rPr>
        <w:t>Denny L, et al</w:t>
      </w:r>
      <w:r w:rsidRPr="007E461F">
        <w:rPr>
          <w:rFonts w:ascii="Times New Roman" w:hAnsi="Times New Roman" w:cs="Times New Roman"/>
          <w:sz w:val="24"/>
          <w:szCs w:val="24"/>
        </w:rPr>
        <w:t>. Cervical cancer screening in LMICs: evidence and strategies. Lancet Glob Health. 2023.</w:t>
      </w:r>
      <w:r w:rsidR="00402756">
        <w:rPr>
          <w:rFonts w:ascii="Times New Roman" w:hAnsi="Times New Roman" w:cs="Times New Roman"/>
          <w:sz w:val="24"/>
          <w:szCs w:val="24"/>
        </w:rPr>
        <w:t xml:space="preserve"> </w:t>
      </w:r>
      <w:r w:rsidRPr="007E461F">
        <w:rPr>
          <w:rFonts w:ascii="Times New Roman" w:hAnsi="Times New Roman" w:cs="Times New Roman"/>
          <w:sz w:val="24"/>
          <w:szCs w:val="24"/>
        </w:rPr>
        <w:t>DOI: 10.1016/S2214-109X(23)00012-8</w:t>
      </w:r>
    </w:p>
    <w:p w14:paraId="008D44CA" w14:textId="4AAD85E1" w:rsidR="007E461F" w:rsidRPr="007E461F" w:rsidRDefault="007E461F" w:rsidP="00402756">
      <w:pPr>
        <w:pStyle w:val="NoSpacing"/>
        <w:rPr>
          <w:rFonts w:ascii="Times New Roman" w:hAnsi="Times New Roman" w:cs="Times New Roman"/>
          <w:sz w:val="24"/>
          <w:szCs w:val="24"/>
        </w:rPr>
      </w:pPr>
    </w:p>
    <w:p w14:paraId="5095C725" w14:textId="1F180FF4" w:rsidR="007E461F" w:rsidRPr="007E461F" w:rsidRDefault="007E461F" w:rsidP="00995EB3">
      <w:pPr>
        <w:pStyle w:val="NoSpacing"/>
        <w:numPr>
          <w:ilvl w:val="0"/>
          <w:numId w:val="4"/>
        </w:numPr>
        <w:rPr>
          <w:rFonts w:ascii="Times New Roman" w:hAnsi="Times New Roman" w:cs="Times New Roman"/>
          <w:sz w:val="24"/>
          <w:szCs w:val="24"/>
        </w:rPr>
      </w:pPr>
      <w:r w:rsidRPr="00402756">
        <w:rPr>
          <w:rFonts w:ascii="Times New Roman" w:hAnsi="Times New Roman" w:cs="Times New Roman"/>
          <w:b/>
          <w:bCs/>
          <w:sz w:val="24"/>
          <w:szCs w:val="24"/>
        </w:rPr>
        <w:t>Ginsburg O, et al.</w:t>
      </w:r>
      <w:r w:rsidRPr="007E461F">
        <w:rPr>
          <w:rFonts w:ascii="Times New Roman" w:hAnsi="Times New Roman" w:cs="Times New Roman"/>
          <w:sz w:val="24"/>
          <w:szCs w:val="24"/>
        </w:rPr>
        <w:t xml:space="preserve"> The global burden of cancer diagnosis delays. Lancet Oncol. 2020.</w:t>
      </w:r>
      <w:r w:rsidRPr="007E461F">
        <w:rPr>
          <w:rFonts w:ascii="Times New Roman" w:hAnsi="Times New Roman" w:cs="Times New Roman"/>
          <w:sz w:val="24"/>
          <w:szCs w:val="24"/>
        </w:rPr>
        <w:br/>
        <w:t>DOI: 10.1016/S1470-2045(20)30313-1</w:t>
      </w:r>
    </w:p>
    <w:p w14:paraId="4AE02155" w14:textId="77777777" w:rsidR="00CD0F82" w:rsidRPr="00FF6F48" w:rsidRDefault="00CD0F82" w:rsidP="00FF6F48">
      <w:pPr>
        <w:rPr>
          <w:rFonts w:ascii="Times New Roman" w:hAnsi="Times New Roman" w:cs="Times New Roman"/>
        </w:rPr>
      </w:pPr>
    </w:p>
    <w:sectPr w:rsidR="00CD0F82" w:rsidRPr="00FF6F48" w:rsidSect="00E34D3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6FAA"/>
    <w:multiLevelType w:val="multilevel"/>
    <w:tmpl w:val="27F6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E360E"/>
    <w:multiLevelType w:val="multilevel"/>
    <w:tmpl w:val="E730B39A"/>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3B700096"/>
    <w:multiLevelType w:val="hybridMultilevel"/>
    <w:tmpl w:val="A49ED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953958"/>
    <w:multiLevelType w:val="hybridMultilevel"/>
    <w:tmpl w:val="5884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D38"/>
    <w:rsid w:val="001C265D"/>
    <w:rsid w:val="00402756"/>
    <w:rsid w:val="0049315C"/>
    <w:rsid w:val="00633D6F"/>
    <w:rsid w:val="007E461F"/>
    <w:rsid w:val="00995EB3"/>
    <w:rsid w:val="00C9560F"/>
    <w:rsid w:val="00CD0F82"/>
    <w:rsid w:val="00D0540F"/>
    <w:rsid w:val="00E17038"/>
    <w:rsid w:val="00E34D38"/>
    <w:rsid w:val="00FD6AB6"/>
    <w:rsid w:val="00FF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4D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34D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4D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0540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34D3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4D38"/>
    <w:rPr>
      <w:rFonts w:ascii="Times New Roman" w:eastAsia="Times New Roman" w:hAnsi="Times New Roman" w:cs="Times New Roman"/>
      <w:b/>
      <w:bCs/>
      <w:sz w:val="27"/>
      <w:szCs w:val="27"/>
    </w:rPr>
  </w:style>
  <w:style w:type="character" w:styleId="Strong">
    <w:name w:val="Strong"/>
    <w:basedOn w:val="DefaultParagraphFont"/>
    <w:uiPriority w:val="22"/>
    <w:qFormat/>
    <w:rsid w:val="00E34D38"/>
    <w:rPr>
      <w:b/>
      <w:bCs/>
    </w:rPr>
  </w:style>
  <w:style w:type="paragraph" w:styleId="NormalWeb">
    <w:name w:val="Normal (Web)"/>
    <w:basedOn w:val="Normal"/>
    <w:uiPriority w:val="99"/>
    <w:unhideWhenUsed/>
    <w:rsid w:val="00E34D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D38"/>
    <w:rPr>
      <w:i/>
      <w:iCs/>
    </w:rPr>
  </w:style>
  <w:style w:type="character" w:customStyle="1" w:styleId="Heading4Char">
    <w:name w:val="Heading 4 Char"/>
    <w:basedOn w:val="DefaultParagraphFont"/>
    <w:link w:val="Heading4"/>
    <w:uiPriority w:val="9"/>
    <w:semiHidden/>
    <w:rsid w:val="00D0540F"/>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FF6F48"/>
    <w:pPr>
      <w:ind w:left="720"/>
      <w:contextualSpacing/>
    </w:pPr>
  </w:style>
  <w:style w:type="table" w:styleId="TableGrid">
    <w:name w:val="Table Grid"/>
    <w:basedOn w:val="TableNormal"/>
    <w:uiPriority w:val="39"/>
    <w:rsid w:val="00C95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E46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4D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34D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4D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0540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34D3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4D38"/>
    <w:rPr>
      <w:rFonts w:ascii="Times New Roman" w:eastAsia="Times New Roman" w:hAnsi="Times New Roman" w:cs="Times New Roman"/>
      <w:b/>
      <w:bCs/>
      <w:sz w:val="27"/>
      <w:szCs w:val="27"/>
    </w:rPr>
  </w:style>
  <w:style w:type="character" w:styleId="Strong">
    <w:name w:val="Strong"/>
    <w:basedOn w:val="DefaultParagraphFont"/>
    <w:uiPriority w:val="22"/>
    <w:qFormat/>
    <w:rsid w:val="00E34D38"/>
    <w:rPr>
      <w:b/>
      <w:bCs/>
    </w:rPr>
  </w:style>
  <w:style w:type="paragraph" w:styleId="NormalWeb">
    <w:name w:val="Normal (Web)"/>
    <w:basedOn w:val="Normal"/>
    <w:uiPriority w:val="99"/>
    <w:unhideWhenUsed/>
    <w:rsid w:val="00E34D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D38"/>
    <w:rPr>
      <w:i/>
      <w:iCs/>
    </w:rPr>
  </w:style>
  <w:style w:type="character" w:customStyle="1" w:styleId="Heading4Char">
    <w:name w:val="Heading 4 Char"/>
    <w:basedOn w:val="DefaultParagraphFont"/>
    <w:link w:val="Heading4"/>
    <w:uiPriority w:val="9"/>
    <w:semiHidden/>
    <w:rsid w:val="00D0540F"/>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FF6F48"/>
    <w:pPr>
      <w:ind w:left="720"/>
      <w:contextualSpacing/>
    </w:pPr>
  </w:style>
  <w:style w:type="table" w:styleId="TableGrid">
    <w:name w:val="Table Grid"/>
    <w:basedOn w:val="TableNormal"/>
    <w:uiPriority w:val="39"/>
    <w:rsid w:val="00C95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E4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1009">
      <w:bodyDiv w:val="1"/>
      <w:marLeft w:val="0"/>
      <w:marRight w:val="0"/>
      <w:marTop w:val="0"/>
      <w:marBottom w:val="0"/>
      <w:divBdr>
        <w:top w:val="none" w:sz="0" w:space="0" w:color="auto"/>
        <w:left w:val="none" w:sz="0" w:space="0" w:color="auto"/>
        <w:bottom w:val="none" w:sz="0" w:space="0" w:color="auto"/>
        <w:right w:val="none" w:sz="0" w:space="0" w:color="auto"/>
      </w:divBdr>
    </w:div>
    <w:div w:id="333916255">
      <w:bodyDiv w:val="1"/>
      <w:marLeft w:val="0"/>
      <w:marRight w:val="0"/>
      <w:marTop w:val="0"/>
      <w:marBottom w:val="0"/>
      <w:divBdr>
        <w:top w:val="none" w:sz="0" w:space="0" w:color="auto"/>
        <w:left w:val="none" w:sz="0" w:space="0" w:color="auto"/>
        <w:bottom w:val="none" w:sz="0" w:space="0" w:color="auto"/>
        <w:right w:val="none" w:sz="0" w:space="0" w:color="auto"/>
      </w:divBdr>
      <w:divsChild>
        <w:div w:id="1074544385">
          <w:marLeft w:val="0"/>
          <w:marRight w:val="0"/>
          <w:marTop w:val="0"/>
          <w:marBottom w:val="0"/>
          <w:divBdr>
            <w:top w:val="none" w:sz="0" w:space="0" w:color="auto"/>
            <w:left w:val="none" w:sz="0" w:space="0" w:color="auto"/>
            <w:bottom w:val="none" w:sz="0" w:space="0" w:color="auto"/>
            <w:right w:val="none" w:sz="0" w:space="0" w:color="auto"/>
          </w:divBdr>
          <w:divsChild>
            <w:div w:id="19816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33567">
      <w:bodyDiv w:val="1"/>
      <w:marLeft w:val="0"/>
      <w:marRight w:val="0"/>
      <w:marTop w:val="0"/>
      <w:marBottom w:val="0"/>
      <w:divBdr>
        <w:top w:val="none" w:sz="0" w:space="0" w:color="auto"/>
        <w:left w:val="none" w:sz="0" w:space="0" w:color="auto"/>
        <w:bottom w:val="none" w:sz="0" w:space="0" w:color="auto"/>
        <w:right w:val="none" w:sz="0" w:space="0" w:color="auto"/>
      </w:divBdr>
      <w:divsChild>
        <w:div w:id="1185441430">
          <w:marLeft w:val="0"/>
          <w:marRight w:val="0"/>
          <w:marTop w:val="0"/>
          <w:marBottom w:val="0"/>
          <w:divBdr>
            <w:top w:val="none" w:sz="0" w:space="0" w:color="auto"/>
            <w:left w:val="none" w:sz="0" w:space="0" w:color="auto"/>
            <w:bottom w:val="none" w:sz="0" w:space="0" w:color="auto"/>
            <w:right w:val="none" w:sz="0" w:space="0" w:color="auto"/>
          </w:divBdr>
          <w:divsChild>
            <w:div w:id="10037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81461">
      <w:bodyDiv w:val="1"/>
      <w:marLeft w:val="0"/>
      <w:marRight w:val="0"/>
      <w:marTop w:val="0"/>
      <w:marBottom w:val="0"/>
      <w:divBdr>
        <w:top w:val="none" w:sz="0" w:space="0" w:color="auto"/>
        <w:left w:val="none" w:sz="0" w:space="0" w:color="auto"/>
        <w:bottom w:val="none" w:sz="0" w:space="0" w:color="auto"/>
        <w:right w:val="none" w:sz="0" w:space="0" w:color="auto"/>
      </w:divBdr>
    </w:div>
    <w:div w:id="735250965">
      <w:bodyDiv w:val="1"/>
      <w:marLeft w:val="0"/>
      <w:marRight w:val="0"/>
      <w:marTop w:val="0"/>
      <w:marBottom w:val="0"/>
      <w:divBdr>
        <w:top w:val="none" w:sz="0" w:space="0" w:color="auto"/>
        <w:left w:val="none" w:sz="0" w:space="0" w:color="auto"/>
        <w:bottom w:val="none" w:sz="0" w:space="0" w:color="auto"/>
        <w:right w:val="none" w:sz="0" w:space="0" w:color="auto"/>
      </w:divBdr>
    </w:div>
    <w:div w:id="798303022">
      <w:bodyDiv w:val="1"/>
      <w:marLeft w:val="0"/>
      <w:marRight w:val="0"/>
      <w:marTop w:val="0"/>
      <w:marBottom w:val="0"/>
      <w:divBdr>
        <w:top w:val="none" w:sz="0" w:space="0" w:color="auto"/>
        <w:left w:val="none" w:sz="0" w:space="0" w:color="auto"/>
        <w:bottom w:val="none" w:sz="0" w:space="0" w:color="auto"/>
        <w:right w:val="none" w:sz="0" w:space="0" w:color="auto"/>
      </w:divBdr>
    </w:div>
    <w:div w:id="828521119">
      <w:bodyDiv w:val="1"/>
      <w:marLeft w:val="0"/>
      <w:marRight w:val="0"/>
      <w:marTop w:val="0"/>
      <w:marBottom w:val="0"/>
      <w:divBdr>
        <w:top w:val="none" w:sz="0" w:space="0" w:color="auto"/>
        <w:left w:val="none" w:sz="0" w:space="0" w:color="auto"/>
        <w:bottom w:val="none" w:sz="0" w:space="0" w:color="auto"/>
        <w:right w:val="none" w:sz="0" w:space="0" w:color="auto"/>
      </w:divBdr>
    </w:div>
    <w:div w:id="1090078763">
      <w:bodyDiv w:val="1"/>
      <w:marLeft w:val="0"/>
      <w:marRight w:val="0"/>
      <w:marTop w:val="0"/>
      <w:marBottom w:val="0"/>
      <w:divBdr>
        <w:top w:val="none" w:sz="0" w:space="0" w:color="auto"/>
        <w:left w:val="none" w:sz="0" w:space="0" w:color="auto"/>
        <w:bottom w:val="none" w:sz="0" w:space="0" w:color="auto"/>
        <w:right w:val="none" w:sz="0" w:space="0" w:color="auto"/>
      </w:divBdr>
      <w:divsChild>
        <w:div w:id="1010261200">
          <w:marLeft w:val="0"/>
          <w:marRight w:val="0"/>
          <w:marTop w:val="0"/>
          <w:marBottom w:val="0"/>
          <w:divBdr>
            <w:top w:val="none" w:sz="0" w:space="0" w:color="auto"/>
            <w:left w:val="none" w:sz="0" w:space="0" w:color="auto"/>
            <w:bottom w:val="none" w:sz="0" w:space="0" w:color="auto"/>
            <w:right w:val="none" w:sz="0" w:space="0" w:color="auto"/>
          </w:divBdr>
          <w:divsChild>
            <w:div w:id="185919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6292">
      <w:bodyDiv w:val="1"/>
      <w:marLeft w:val="0"/>
      <w:marRight w:val="0"/>
      <w:marTop w:val="0"/>
      <w:marBottom w:val="0"/>
      <w:divBdr>
        <w:top w:val="none" w:sz="0" w:space="0" w:color="auto"/>
        <w:left w:val="none" w:sz="0" w:space="0" w:color="auto"/>
        <w:bottom w:val="none" w:sz="0" w:space="0" w:color="auto"/>
        <w:right w:val="none" w:sz="0" w:space="0" w:color="auto"/>
      </w:divBdr>
    </w:div>
    <w:div w:id="1392385668">
      <w:bodyDiv w:val="1"/>
      <w:marLeft w:val="0"/>
      <w:marRight w:val="0"/>
      <w:marTop w:val="0"/>
      <w:marBottom w:val="0"/>
      <w:divBdr>
        <w:top w:val="none" w:sz="0" w:space="0" w:color="auto"/>
        <w:left w:val="none" w:sz="0" w:space="0" w:color="auto"/>
        <w:bottom w:val="none" w:sz="0" w:space="0" w:color="auto"/>
        <w:right w:val="none" w:sz="0" w:space="0" w:color="auto"/>
      </w:divBdr>
    </w:div>
    <w:div w:id="1620330434">
      <w:bodyDiv w:val="1"/>
      <w:marLeft w:val="0"/>
      <w:marRight w:val="0"/>
      <w:marTop w:val="0"/>
      <w:marBottom w:val="0"/>
      <w:divBdr>
        <w:top w:val="none" w:sz="0" w:space="0" w:color="auto"/>
        <w:left w:val="none" w:sz="0" w:space="0" w:color="auto"/>
        <w:bottom w:val="none" w:sz="0" w:space="0" w:color="auto"/>
        <w:right w:val="none" w:sz="0" w:space="0" w:color="auto"/>
      </w:divBdr>
    </w:div>
    <w:div w:id="1663921884">
      <w:bodyDiv w:val="1"/>
      <w:marLeft w:val="0"/>
      <w:marRight w:val="0"/>
      <w:marTop w:val="0"/>
      <w:marBottom w:val="0"/>
      <w:divBdr>
        <w:top w:val="none" w:sz="0" w:space="0" w:color="auto"/>
        <w:left w:val="none" w:sz="0" w:space="0" w:color="auto"/>
        <w:bottom w:val="none" w:sz="0" w:space="0" w:color="auto"/>
        <w:right w:val="none" w:sz="0" w:space="0" w:color="auto"/>
      </w:divBdr>
    </w:div>
    <w:div w:id="1717002786">
      <w:bodyDiv w:val="1"/>
      <w:marLeft w:val="0"/>
      <w:marRight w:val="0"/>
      <w:marTop w:val="0"/>
      <w:marBottom w:val="0"/>
      <w:divBdr>
        <w:top w:val="none" w:sz="0" w:space="0" w:color="auto"/>
        <w:left w:val="none" w:sz="0" w:space="0" w:color="auto"/>
        <w:bottom w:val="none" w:sz="0" w:space="0" w:color="auto"/>
        <w:right w:val="none" w:sz="0" w:space="0" w:color="auto"/>
      </w:divBdr>
      <w:divsChild>
        <w:div w:id="1392926853">
          <w:marLeft w:val="0"/>
          <w:marRight w:val="0"/>
          <w:marTop w:val="0"/>
          <w:marBottom w:val="0"/>
          <w:divBdr>
            <w:top w:val="none" w:sz="0" w:space="0" w:color="auto"/>
            <w:left w:val="none" w:sz="0" w:space="0" w:color="auto"/>
            <w:bottom w:val="none" w:sz="0" w:space="0" w:color="auto"/>
            <w:right w:val="none" w:sz="0" w:space="0" w:color="auto"/>
          </w:divBdr>
          <w:divsChild>
            <w:div w:id="16033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811">
      <w:bodyDiv w:val="1"/>
      <w:marLeft w:val="0"/>
      <w:marRight w:val="0"/>
      <w:marTop w:val="0"/>
      <w:marBottom w:val="0"/>
      <w:divBdr>
        <w:top w:val="none" w:sz="0" w:space="0" w:color="auto"/>
        <w:left w:val="none" w:sz="0" w:space="0" w:color="auto"/>
        <w:bottom w:val="none" w:sz="0" w:space="0" w:color="auto"/>
        <w:right w:val="none" w:sz="0" w:space="0" w:color="auto"/>
      </w:divBdr>
    </w:div>
    <w:div w:id="2075737905">
      <w:bodyDiv w:val="1"/>
      <w:marLeft w:val="0"/>
      <w:marRight w:val="0"/>
      <w:marTop w:val="0"/>
      <w:marBottom w:val="0"/>
      <w:divBdr>
        <w:top w:val="none" w:sz="0" w:space="0" w:color="auto"/>
        <w:left w:val="none" w:sz="0" w:space="0" w:color="auto"/>
        <w:bottom w:val="none" w:sz="0" w:space="0" w:color="auto"/>
        <w:right w:val="none" w:sz="0" w:space="0" w:color="auto"/>
      </w:divBdr>
    </w:div>
    <w:div w:id="210803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2A407E-3165-4E3E-B512-CB6A81963FD7}" type="doc">
      <dgm:prSet loTypeId="urn:microsoft.com/office/officeart/2005/8/layout/pyramid4" loCatId="pyramid" qsTypeId="urn:microsoft.com/office/officeart/2005/8/quickstyle/3d1" qsCatId="3D" csTypeId="urn:microsoft.com/office/officeart/2005/8/colors/colorful1" csCatId="colorful" phldr="1"/>
      <dgm:spPr/>
      <dgm:t>
        <a:bodyPr/>
        <a:lstStyle/>
        <a:p>
          <a:endParaRPr lang="en-US"/>
        </a:p>
      </dgm:t>
    </dgm:pt>
    <dgm:pt modelId="{D0FBE397-06DE-4E0F-9128-C9973900C2E2}">
      <dgm:prSet phldrT="[Text]" custT="1"/>
      <dgm:spPr/>
      <dgm:t>
        <a:bodyPr/>
        <a:lstStyle/>
        <a:p>
          <a:r>
            <a:rPr lang="en-US" sz="1050"/>
            <a:t>Primary Care (Weak Suspicion)</a:t>
          </a:r>
        </a:p>
      </dgm:t>
    </dgm:pt>
    <dgm:pt modelId="{00D8FDB0-330F-4469-BF73-A33A34A8ED09}" type="parTrans" cxnId="{FA92F8F4-E0E4-4340-8570-06650D2A9549}">
      <dgm:prSet/>
      <dgm:spPr/>
      <dgm:t>
        <a:bodyPr/>
        <a:lstStyle/>
        <a:p>
          <a:endParaRPr lang="en-US"/>
        </a:p>
      </dgm:t>
    </dgm:pt>
    <dgm:pt modelId="{128973AE-5B41-436D-A9D6-CD922C7D6C05}" type="sibTrans" cxnId="{FA92F8F4-E0E4-4340-8570-06650D2A9549}">
      <dgm:prSet/>
      <dgm:spPr/>
      <dgm:t>
        <a:bodyPr/>
        <a:lstStyle/>
        <a:p>
          <a:endParaRPr lang="en-US"/>
        </a:p>
      </dgm:t>
    </dgm:pt>
    <dgm:pt modelId="{1AB0F71E-68C1-4496-886B-7F25C46CF2A1}">
      <dgm:prSet phldrT="[Text]" custT="1"/>
      <dgm:spPr/>
      <dgm:t>
        <a:bodyPr/>
        <a:lstStyle/>
        <a:p>
          <a:r>
            <a:rPr lang="en-US" sz="1050"/>
            <a:t>Diagnostics (Lack of Infrastructure)</a:t>
          </a:r>
        </a:p>
      </dgm:t>
    </dgm:pt>
    <dgm:pt modelId="{24C12BB9-A1F8-4983-9CCF-025950BB6BC3}" type="parTrans" cxnId="{0C4B2E2A-D67C-4553-BFC6-6E57C867F328}">
      <dgm:prSet/>
      <dgm:spPr/>
      <dgm:t>
        <a:bodyPr/>
        <a:lstStyle/>
        <a:p>
          <a:endParaRPr lang="en-US"/>
        </a:p>
      </dgm:t>
    </dgm:pt>
    <dgm:pt modelId="{295C2FC3-677D-4E45-82DA-42AB9F17241F}" type="sibTrans" cxnId="{0C4B2E2A-D67C-4553-BFC6-6E57C867F328}">
      <dgm:prSet/>
      <dgm:spPr/>
      <dgm:t>
        <a:bodyPr/>
        <a:lstStyle/>
        <a:p>
          <a:endParaRPr lang="en-US"/>
        </a:p>
      </dgm:t>
    </dgm:pt>
    <dgm:pt modelId="{D2C48E53-1F8F-4C31-B527-8B922D90784D}">
      <dgm:prSet phldrT="[Text]" custT="1"/>
      <dgm:spPr/>
      <dgm:t>
        <a:bodyPr/>
        <a:lstStyle/>
        <a:p>
          <a:r>
            <a:rPr lang="en-US" sz="1050"/>
            <a:t>Patient Delay amplification</a:t>
          </a:r>
        </a:p>
      </dgm:t>
    </dgm:pt>
    <dgm:pt modelId="{6D346002-F771-4079-A258-29CABB9C535F}" type="parTrans" cxnId="{E5B4FFF7-6476-403B-B433-4C2E97873139}">
      <dgm:prSet/>
      <dgm:spPr/>
      <dgm:t>
        <a:bodyPr/>
        <a:lstStyle/>
        <a:p>
          <a:endParaRPr lang="en-US"/>
        </a:p>
      </dgm:t>
    </dgm:pt>
    <dgm:pt modelId="{5B6C7D4C-AE66-40ED-BBC2-E0CD68AFA9CD}" type="sibTrans" cxnId="{E5B4FFF7-6476-403B-B433-4C2E97873139}">
      <dgm:prSet/>
      <dgm:spPr/>
      <dgm:t>
        <a:bodyPr/>
        <a:lstStyle/>
        <a:p>
          <a:endParaRPr lang="en-US"/>
        </a:p>
      </dgm:t>
    </dgm:pt>
    <dgm:pt modelId="{3CBCDFA9-FEE4-4724-AE3A-8FECB989A1E5}">
      <dgm:prSet phldrT="[Text]" custT="1"/>
      <dgm:spPr/>
      <dgm:t>
        <a:bodyPr/>
        <a:lstStyle/>
        <a:p>
          <a:r>
            <a:rPr lang="en-US" sz="1050"/>
            <a:t>Referaral Systtem (Fragmentation )</a:t>
          </a:r>
        </a:p>
      </dgm:t>
    </dgm:pt>
    <dgm:pt modelId="{11ADBE92-B2D5-44A8-8C45-FED9E1E4E2FE}" type="parTrans" cxnId="{4F4182AE-1C8F-451D-95C6-F25711AA4E2D}">
      <dgm:prSet/>
      <dgm:spPr/>
      <dgm:t>
        <a:bodyPr/>
        <a:lstStyle/>
        <a:p>
          <a:endParaRPr lang="en-US"/>
        </a:p>
      </dgm:t>
    </dgm:pt>
    <dgm:pt modelId="{2779BAB2-2185-42C1-890A-910540E8BB9C}" type="sibTrans" cxnId="{4F4182AE-1C8F-451D-95C6-F25711AA4E2D}">
      <dgm:prSet/>
      <dgm:spPr/>
      <dgm:t>
        <a:bodyPr/>
        <a:lstStyle/>
        <a:p>
          <a:endParaRPr lang="en-US"/>
        </a:p>
      </dgm:t>
    </dgm:pt>
    <dgm:pt modelId="{6439C3C8-60B3-4F97-84C7-0BD6BEEBA521}" type="pres">
      <dgm:prSet presAssocID="{432A407E-3165-4E3E-B512-CB6A81963FD7}" presName="compositeShape" presStyleCnt="0">
        <dgm:presLayoutVars>
          <dgm:chMax val="9"/>
          <dgm:dir/>
          <dgm:resizeHandles val="exact"/>
        </dgm:presLayoutVars>
      </dgm:prSet>
      <dgm:spPr/>
      <dgm:t>
        <a:bodyPr/>
        <a:lstStyle/>
        <a:p>
          <a:endParaRPr lang="en-IN"/>
        </a:p>
      </dgm:t>
    </dgm:pt>
    <dgm:pt modelId="{587CCED6-B938-4013-9086-A2E7C679CC02}" type="pres">
      <dgm:prSet presAssocID="{432A407E-3165-4E3E-B512-CB6A81963FD7}" presName="triangle1" presStyleLbl="node1" presStyleIdx="0" presStyleCnt="4">
        <dgm:presLayoutVars>
          <dgm:bulletEnabled val="1"/>
        </dgm:presLayoutVars>
      </dgm:prSet>
      <dgm:spPr/>
      <dgm:t>
        <a:bodyPr/>
        <a:lstStyle/>
        <a:p>
          <a:endParaRPr lang="en-IN"/>
        </a:p>
      </dgm:t>
    </dgm:pt>
    <dgm:pt modelId="{BCD4F4AB-3355-4D30-97C7-EA69C1AF1FE2}" type="pres">
      <dgm:prSet presAssocID="{432A407E-3165-4E3E-B512-CB6A81963FD7}" presName="triangle2" presStyleLbl="node1" presStyleIdx="1" presStyleCnt="4">
        <dgm:presLayoutVars>
          <dgm:bulletEnabled val="1"/>
        </dgm:presLayoutVars>
      </dgm:prSet>
      <dgm:spPr/>
      <dgm:t>
        <a:bodyPr/>
        <a:lstStyle/>
        <a:p>
          <a:endParaRPr lang="en-IN"/>
        </a:p>
      </dgm:t>
    </dgm:pt>
    <dgm:pt modelId="{2B6D721B-0D66-44A7-AAC4-899393EC8834}" type="pres">
      <dgm:prSet presAssocID="{432A407E-3165-4E3E-B512-CB6A81963FD7}" presName="triangle3" presStyleLbl="node1" presStyleIdx="2" presStyleCnt="4">
        <dgm:presLayoutVars>
          <dgm:bulletEnabled val="1"/>
        </dgm:presLayoutVars>
      </dgm:prSet>
      <dgm:spPr/>
      <dgm:t>
        <a:bodyPr/>
        <a:lstStyle/>
        <a:p>
          <a:endParaRPr lang="en-IN"/>
        </a:p>
      </dgm:t>
    </dgm:pt>
    <dgm:pt modelId="{0C93872D-20B0-4FB6-B2BA-2B1BA91506E7}" type="pres">
      <dgm:prSet presAssocID="{432A407E-3165-4E3E-B512-CB6A81963FD7}" presName="triangle4" presStyleLbl="node1" presStyleIdx="3" presStyleCnt="4">
        <dgm:presLayoutVars>
          <dgm:bulletEnabled val="1"/>
        </dgm:presLayoutVars>
      </dgm:prSet>
      <dgm:spPr/>
      <dgm:t>
        <a:bodyPr/>
        <a:lstStyle/>
        <a:p>
          <a:endParaRPr lang="en-IN"/>
        </a:p>
      </dgm:t>
    </dgm:pt>
  </dgm:ptLst>
  <dgm:cxnLst>
    <dgm:cxn modelId="{4F4182AE-1C8F-451D-95C6-F25711AA4E2D}" srcId="{432A407E-3165-4E3E-B512-CB6A81963FD7}" destId="{3CBCDFA9-FEE4-4724-AE3A-8FECB989A1E5}" srcOrd="3" destOrd="0" parTransId="{11ADBE92-B2D5-44A8-8C45-FED9E1E4E2FE}" sibTransId="{2779BAB2-2185-42C1-890A-910540E8BB9C}"/>
    <dgm:cxn modelId="{039A680C-D6B5-45AB-8BC1-FC653578DE5E}" type="presOf" srcId="{D0FBE397-06DE-4E0F-9128-C9973900C2E2}" destId="{587CCED6-B938-4013-9086-A2E7C679CC02}" srcOrd="0" destOrd="0" presId="urn:microsoft.com/office/officeart/2005/8/layout/pyramid4"/>
    <dgm:cxn modelId="{0C4B2E2A-D67C-4553-BFC6-6E57C867F328}" srcId="{432A407E-3165-4E3E-B512-CB6A81963FD7}" destId="{1AB0F71E-68C1-4496-886B-7F25C46CF2A1}" srcOrd="1" destOrd="0" parTransId="{24C12BB9-A1F8-4983-9CCF-025950BB6BC3}" sibTransId="{295C2FC3-677D-4E45-82DA-42AB9F17241F}"/>
    <dgm:cxn modelId="{5474F4FD-7F39-4D30-9358-B8813D23AFC5}" type="presOf" srcId="{432A407E-3165-4E3E-B512-CB6A81963FD7}" destId="{6439C3C8-60B3-4F97-84C7-0BD6BEEBA521}" srcOrd="0" destOrd="0" presId="urn:microsoft.com/office/officeart/2005/8/layout/pyramid4"/>
    <dgm:cxn modelId="{E5B4FFF7-6476-403B-B433-4C2E97873139}" srcId="{432A407E-3165-4E3E-B512-CB6A81963FD7}" destId="{D2C48E53-1F8F-4C31-B527-8B922D90784D}" srcOrd="2" destOrd="0" parTransId="{6D346002-F771-4079-A258-29CABB9C535F}" sibTransId="{5B6C7D4C-AE66-40ED-BBC2-E0CD68AFA9CD}"/>
    <dgm:cxn modelId="{B5416646-95B7-4ECD-BEF6-4B44C6E3FA0A}" type="presOf" srcId="{1AB0F71E-68C1-4496-886B-7F25C46CF2A1}" destId="{BCD4F4AB-3355-4D30-97C7-EA69C1AF1FE2}" srcOrd="0" destOrd="0" presId="urn:microsoft.com/office/officeart/2005/8/layout/pyramid4"/>
    <dgm:cxn modelId="{3B865168-86F3-4C10-978F-8B06C82C7F9E}" type="presOf" srcId="{D2C48E53-1F8F-4C31-B527-8B922D90784D}" destId="{2B6D721B-0D66-44A7-AAC4-899393EC8834}" srcOrd="0" destOrd="0" presId="urn:microsoft.com/office/officeart/2005/8/layout/pyramid4"/>
    <dgm:cxn modelId="{48B9C6E4-1ED5-432D-8EBA-D13C822C0395}" type="presOf" srcId="{3CBCDFA9-FEE4-4724-AE3A-8FECB989A1E5}" destId="{0C93872D-20B0-4FB6-B2BA-2B1BA91506E7}" srcOrd="0" destOrd="0" presId="urn:microsoft.com/office/officeart/2005/8/layout/pyramid4"/>
    <dgm:cxn modelId="{FA92F8F4-E0E4-4340-8570-06650D2A9549}" srcId="{432A407E-3165-4E3E-B512-CB6A81963FD7}" destId="{D0FBE397-06DE-4E0F-9128-C9973900C2E2}" srcOrd="0" destOrd="0" parTransId="{00D8FDB0-330F-4469-BF73-A33A34A8ED09}" sibTransId="{128973AE-5B41-436D-A9D6-CD922C7D6C05}"/>
    <dgm:cxn modelId="{9718FAA8-033F-4416-B480-CE9289B54CCE}" type="presParOf" srcId="{6439C3C8-60B3-4F97-84C7-0BD6BEEBA521}" destId="{587CCED6-B938-4013-9086-A2E7C679CC02}" srcOrd="0" destOrd="0" presId="urn:microsoft.com/office/officeart/2005/8/layout/pyramid4"/>
    <dgm:cxn modelId="{05CE501D-8437-4858-8A0C-0C4DF17907F2}" type="presParOf" srcId="{6439C3C8-60B3-4F97-84C7-0BD6BEEBA521}" destId="{BCD4F4AB-3355-4D30-97C7-EA69C1AF1FE2}" srcOrd="1" destOrd="0" presId="urn:microsoft.com/office/officeart/2005/8/layout/pyramid4"/>
    <dgm:cxn modelId="{ED2B727E-5101-411A-B692-1C59A7E5A666}" type="presParOf" srcId="{6439C3C8-60B3-4F97-84C7-0BD6BEEBA521}" destId="{2B6D721B-0D66-44A7-AAC4-899393EC8834}" srcOrd="2" destOrd="0" presId="urn:microsoft.com/office/officeart/2005/8/layout/pyramid4"/>
    <dgm:cxn modelId="{3332B249-25AF-457D-93FF-7109000D8F85}" type="presParOf" srcId="{6439C3C8-60B3-4F97-84C7-0BD6BEEBA521}" destId="{0C93872D-20B0-4FB6-B2BA-2B1BA91506E7}" srcOrd="3" destOrd="0" presId="urn:microsoft.com/office/officeart/2005/8/layout/pyramid4"/>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7CCED6-B938-4013-9086-A2E7C679CC02}">
      <dsp:nvSpPr>
        <dsp:cNvPr id="0" name=""/>
        <dsp:cNvSpPr/>
      </dsp:nvSpPr>
      <dsp:spPr>
        <a:xfrm>
          <a:off x="2333625" y="0"/>
          <a:ext cx="1695450" cy="1695450"/>
        </a:xfrm>
        <a:prstGeom prst="triangl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Primary Care (Weak Suspicion)</a:t>
          </a:r>
        </a:p>
      </dsp:txBody>
      <dsp:txXfrm>
        <a:off x="2757488" y="847725"/>
        <a:ext cx="847725" cy="847725"/>
      </dsp:txXfrm>
    </dsp:sp>
    <dsp:sp modelId="{BCD4F4AB-3355-4D30-97C7-EA69C1AF1FE2}">
      <dsp:nvSpPr>
        <dsp:cNvPr id="0" name=""/>
        <dsp:cNvSpPr/>
      </dsp:nvSpPr>
      <dsp:spPr>
        <a:xfrm>
          <a:off x="1485900" y="1695450"/>
          <a:ext cx="1695450" cy="1695450"/>
        </a:xfrm>
        <a:prstGeom prst="triangl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Diagnostics (Lack of Infrastructure)</a:t>
          </a:r>
        </a:p>
      </dsp:txBody>
      <dsp:txXfrm>
        <a:off x="1909763" y="2543175"/>
        <a:ext cx="847725" cy="847725"/>
      </dsp:txXfrm>
    </dsp:sp>
    <dsp:sp modelId="{2B6D721B-0D66-44A7-AAC4-899393EC8834}">
      <dsp:nvSpPr>
        <dsp:cNvPr id="0" name=""/>
        <dsp:cNvSpPr/>
      </dsp:nvSpPr>
      <dsp:spPr>
        <a:xfrm rot="10800000">
          <a:off x="2333625" y="1695450"/>
          <a:ext cx="1695450" cy="1695450"/>
        </a:xfrm>
        <a:prstGeom prst="triangl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Patient Delay amplification</a:t>
          </a:r>
        </a:p>
      </dsp:txBody>
      <dsp:txXfrm rot="10800000">
        <a:off x="2757487" y="1695450"/>
        <a:ext cx="847725" cy="847725"/>
      </dsp:txXfrm>
    </dsp:sp>
    <dsp:sp modelId="{0C93872D-20B0-4FB6-B2BA-2B1BA91506E7}">
      <dsp:nvSpPr>
        <dsp:cNvPr id="0" name=""/>
        <dsp:cNvSpPr/>
      </dsp:nvSpPr>
      <dsp:spPr>
        <a:xfrm>
          <a:off x="3181350" y="1695450"/>
          <a:ext cx="1695450" cy="1695450"/>
        </a:xfrm>
        <a:prstGeom prst="triangl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Referaral Systtem (Fragmentation )</a:t>
          </a:r>
        </a:p>
      </dsp:txBody>
      <dsp:txXfrm>
        <a:off x="3605213" y="2543175"/>
        <a:ext cx="847725" cy="84772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dc:creator>
  <cp:keywords/>
  <dc:description/>
  <cp:lastModifiedBy>qwert</cp:lastModifiedBy>
  <cp:revision>5</cp:revision>
  <dcterms:created xsi:type="dcterms:W3CDTF">2026-04-20T09:29:00Z</dcterms:created>
  <dcterms:modified xsi:type="dcterms:W3CDTF">2026-04-21T12:58:00Z</dcterms:modified>
</cp:coreProperties>
</file>