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858B84" w14:textId="434C8B8A" w:rsidR="00317A87" w:rsidRDefault="004B59C7" w:rsidP="00A24936">
      <w:pPr>
        <w:pStyle w:val="ArticleTitle"/>
      </w:pPr>
      <w:r w:rsidRPr="004B59C7">
        <w:t>Barriers and Opportunities for Women in Safety Roles within Power Plants in the Kingdom of Saudi Arabia</w:t>
      </w:r>
    </w:p>
    <w:p w14:paraId="0D01CAD4" w14:textId="6158C97F" w:rsidR="00154367" w:rsidRDefault="00154367" w:rsidP="00154367">
      <w:pPr>
        <w:spacing w:after="80"/>
        <w:rPr>
          <w:rFonts w:ascii="Cambria" w:hAnsi="Cambria"/>
          <w:sz w:val="20"/>
          <w:lang w:val="pt-BR"/>
        </w:rPr>
      </w:pPr>
      <w:bookmarkStart w:id="0" w:name="_GoBack"/>
      <w:bookmarkEnd w:id="0"/>
    </w:p>
    <w:tbl>
      <w:tblPr>
        <w:tblW w:w="0" w:type="auto"/>
        <w:tblBorders>
          <w:top w:val="single" w:sz="4" w:space="0" w:color="auto"/>
          <w:bottom w:val="single" w:sz="4" w:space="0" w:color="auto"/>
        </w:tblBorders>
        <w:tblLook w:val="04A0" w:firstRow="1" w:lastRow="0" w:firstColumn="1" w:lastColumn="0" w:noHBand="0" w:noVBand="1"/>
      </w:tblPr>
      <w:tblGrid>
        <w:gridCol w:w="3438"/>
        <w:gridCol w:w="6383"/>
      </w:tblGrid>
      <w:tr w:rsidR="003659D1" w14:paraId="0AF27705" w14:textId="77777777" w:rsidTr="00F54E5D">
        <w:trPr>
          <w:trHeight w:val="422"/>
        </w:trPr>
        <w:tc>
          <w:tcPr>
            <w:tcW w:w="3438" w:type="dxa"/>
            <w:vAlign w:val="center"/>
          </w:tcPr>
          <w:p w14:paraId="18CEECDA" w14:textId="77777777" w:rsidR="003659D1" w:rsidRDefault="003659D1" w:rsidP="003659D1">
            <w:pPr>
              <w:rPr>
                <w:rFonts w:ascii="Cambria" w:hAnsi="Cambria"/>
                <w:b/>
                <w:bCs/>
                <w:color w:val="2F5496"/>
                <w:sz w:val="20"/>
                <w:lang w:val="pt-BR"/>
              </w:rPr>
            </w:pPr>
            <w:r>
              <w:rPr>
                <w:rFonts w:ascii="Cambria" w:hAnsi="Cambria"/>
                <w:b/>
                <w:bCs/>
                <w:color w:val="2F5496"/>
                <w:sz w:val="20"/>
                <w:lang w:val="pt-BR"/>
              </w:rPr>
              <w:t>Article Info</w:t>
            </w:r>
          </w:p>
        </w:tc>
        <w:tc>
          <w:tcPr>
            <w:tcW w:w="6383" w:type="dxa"/>
            <w:vAlign w:val="center"/>
          </w:tcPr>
          <w:p w14:paraId="556125C2" w14:textId="77777777" w:rsidR="003659D1" w:rsidRDefault="003659D1" w:rsidP="003659D1">
            <w:pPr>
              <w:rPr>
                <w:rFonts w:ascii="Cambria" w:hAnsi="Cambria"/>
                <w:b/>
                <w:bCs/>
                <w:color w:val="2F5496"/>
                <w:sz w:val="20"/>
                <w:lang w:val="pt-BR"/>
              </w:rPr>
            </w:pPr>
            <w:r>
              <w:rPr>
                <w:rFonts w:ascii="Cambria" w:hAnsi="Cambria"/>
                <w:b/>
                <w:bCs/>
                <w:color w:val="2F5496"/>
                <w:sz w:val="20"/>
                <w:lang w:val="pt-BR"/>
              </w:rPr>
              <w:t>Abstract</w:t>
            </w:r>
          </w:p>
        </w:tc>
      </w:tr>
      <w:tr w:rsidR="00F54E5D" w14:paraId="7B5579E6" w14:textId="77777777" w:rsidTr="00F54E5D">
        <w:trPr>
          <w:trHeight w:val="948"/>
        </w:trPr>
        <w:tc>
          <w:tcPr>
            <w:tcW w:w="3438" w:type="dxa"/>
          </w:tcPr>
          <w:p w14:paraId="12CCB1BE" w14:textId="77777777" w:rsidR="00F54E5D" w:rsidRDefault="00F54E5D" w:rsidP="003659D1">
            <w:pPr>
              <w:rPr>
                <w:rFonts w:ascii="Cambria" w:hAnsi="Cambria"/>
                <w:sz w:val="20"/>
                <w:lang w:val="pt-BR"/>
              </w:rPr>
            </w:pPr>
            <w:r>
              <w:rPr>
                <w:rFonts w:ascii="Cambria" w:hAnsi="Cambria"/>
                <w:sz w:val="20"/>
                <w:lang w:val="pt-BR"/>
              </w:rPr>
              <w:t xml:space="preserve">Received: </w:t>
            </w:r>
            <w:r w:rsidR="007960BD">
              <w:rPr>
                <w:rFonts w:ascii="Cambria" w:hAnsi="Cambria"/>
                <w:sz w:val="20"/>
                <w:lang w:val="pt-BR"/>
              </w:rPr>
              <w:t>Day</w:t>
            </w:r>
            <w:r>
              <w:rPr>
                <w:rFonts w:ascii="Cambria" w:hAnsi="Cambria"/>
                <w:sz w:val="20"/>
                <w:lang w:val="pt-BR"/>
              </w:rPr>
              <w:t xml:space="preserve"> Month </w:t>
            </w:r>
            <w:r w:rsidR="00915013">
              <w:rPr>
                <w:rFonts w:ascii="Cambria" w:hAnsi="Cambria"/>
                <w:sz w:val="20"/>
                <w:lang w:val="pt-BR"/>
              </w:rPr>
              <w:t>Year</w:t>
            </w:r>
          </w:p>
          <w:p w14:paraId="51CB7EF8" w14:textId="77777777" w:rsidR="00F54E5D" w:rsidRDefault="00F54E5D" w:rsidP="003659D1">
            <w:pPr>
              <w:rPr>
                <w:rFonts w:ascii="Cambria" w:hAnsi="Cambria"/>
                <w:sz w:val="20"/>
                <w:lang w:val="pt-BR"/>
              </w:rPr>
            </w:pPr>
            <w:r>
              <w:rPr>
                <w:rFonts w:ascii="Cambria" w:hAnsi="Cambria"/>
                <w:sz w:val="20"/>
                <w:lang w:val="pt-BR"/>
              </w:rPr>
              <w:t xml:space="preserve">Accepted: </w:t>
            </w:r>
            <w:r w:rsidR="007960BD">
              <w:rPr>
                <w:rFonts w:ascii="Cambria" w:hAnsi="Cambria"/>
                <w:sz w:val="20"/>
                <w:lang w:val="pt-BR"/>
              </w:rPr>
              <w:t xml:space="preserve">Day </w:t>
            </w:r>
            <w:r>
              <w:rPr>
                <w:rFonts w:ascii="Cambria" w:hAnsi="Cambria"/>
                <w:sz w:val="20"/>
                <w:lang w:val="pt-BR"/>
              </w:rPr>
              <w:t xml:space="preserve">Month </w:t>
            </w:r>
            <w:r w:rsidR="00915013">
              <w:rPr>
                <w:rFonts w:ascii="Cambria" w:hAnsi="Cambria"/>
                <w:sz w:val="20"/>
                <w:lang w:val="pt-BR"/>
              </w:rPr>
              <w:t>Year</w:t>
            </w:r>
          </w:p>
          <w:p w14:paraId="06D2CBBC" w14:textId="77777777" w:rsidR="00F54E5D" w:rsidRDefault="00F54E5D" w:rsidP="003659D1">
            <w:pPr>
              <w:rPr>
                <w:rFonts w:ascii="Cambria" w:hAnsi="Cambria"/>
                <w:sz w:val="20"/>
                <w:lang w:val="pt-BR"/>
              </w:rPr>
            </w:pPr>
            <w:r>
              <w:rPr>
                <w:rFonts w:ascii="Cambria" w:hAnsi="Cambria"/>
                <w:sz w:val="20"/>
                <w:lang w:val="pt-BR"/>
              </w:rPr>
              <w:t xml:space="preserve">Available online: </w:t>
            </w:r>
            <w:r w:rsidR="007960BD">
              <w:rPr>
                <w:rFonts w:ascii="Cambria" w:hAnsi="Cambria"/>
                <w:sz w:val="20"/>
                <w:lang w:val="pt-BR"/>
              </w:rPr>
              <w:t>Day</w:t>
            </w:r>
            <w:r>
              <w:rPr>
                <w:rFonts w:ascii="Cambria" w:hAnsi="Cambria"/>
                <w:sz w:val="20"/>
                <w:lang w:val="pt-BR"/>
              </w:rPr>
              <w:t xml:space="preserve"> Month </w:t>
            </w:r>
            <w:r w:rsidR="00915013">
              <w:rPr>
                <w:rFonts w:ascii="Cambria" w:hAnsi="Cambria"/>
                <w:sz w:val="20"/>
                <w:lang w:val="pt-BR"/>
              </w:rPr>
              <w:t>Year</w:t>
            </w:r>
          </w:p>
        </w:tc>
        <w:tc>
          <w:tcPr>
            <w:tcW w:w="6383" w:type="dxa"/>
            <w:vMerge w:val="restart"/>
          </w:tcPr>
          <w:p w14:paraId="5FDEA464" w14:textId="768352B6" w:rsidR="00F54E5D" w:rsidRDefault="004B59C7" w:rsidP="00A90C52">
            <w:pPr>
              <w:spacing w:after="80"/>
              <w:jc w:val="both"/>
              <w:rPr>
                <w:rFonts w:ascii="Cambria" w:hAnsi="Cambria"/>
                <w:sz w:val="20"/>
                <w:lang w:val="pt-BR"/>
              </w:rPr>
            </w:pPr>
            <w:r w:rsidRPr="004B59C7">
              <w:rPr>
                <w:rFonts w:ascii="Cambria" w:hAnsi="Cambria"/>
                <w:sz w:val="20"/>
                <w:lang w:val="pt-BR"/>
              </w:rPr>
              <w:t>This research explores the barriers and opportunities that affect women’s participation in safety management roles within power plants in the Kingdom of Saudi Arabia. The study identifies key obstacles that prevent women from entering and progressing in these roles, including societal, organizational, and structural challenges. The paper also highlights opportunities for facilitating women's entry and progression in the sector, with a focus on training, mentorship, policy reforms, and the impact of gender diversity on outcomes. Using a qualitative approach, data were collected through interviews with women professionals, industry experts, and key stakeholders within Saudi Arabia’s energy sector. The findings offer practical recommendations for overcoming barriers and creating an inclusive environment that supports women’s advancement in safety management positions in power plants.</w:t>
            </w:r>
          </w:p>
        </w:tc>
      </w:tr>
      <w:tr w:rsidR="00F54E5D" w14:paraId="33D4B106" w14:textId="77777777" w:rsidTr="00F54E5D">
        <w:trPr>
          <w:trHeight w:val="432"/>
        </w:trPr>
        <w:tc>
          <w:tcPr>
            <w:tcW w:w="3438" w:type="dxa"/>
            <w:vAlign w:val="center"/>
          </w:tcPr>
          <w:p w14:paraId="19326A23" w14:textId="77777777" w:rsidR="00F54E5D" w:rsidRDefault="00F54E5D" w:rsidP="003659D1">
            <w:pPr>
              <w:rPr>
                <w:rFonts w:ascii="Cambria" w:hAnsi="Cambria"/>
                <w:b/>
                <w:bCs/>
                <w:color w:val="2F5496"/>
                <w:sz w:val="20"/>
                <w:lang w:val="pt-BR"/>
              </w:rPr>
            </w:pPr>
            <w:r>
              <w:rPr>
                <w:rFonts w:ascii="Cambria" w:hAnsi="Cambria"/>
                <w:b/>
                <w:bCs/>
                <w:color w:val="2F5496"/>
                <w:sz w:val="20"/>
                <w:lang w:val="pt-BR"/>
              </w:rPr>
              <w:t>Keywords</w:t>
            </w:r>
          </w:p>
        </w:tc>
        <w:tc>
          <w:tcPr>
            <w:tcW w:w="6383" w:type="dxa"/>
            <w:vMerge/>
            <w:vAlign w:val="center"/>
          </w:tcPr>
          <w:p w14:paraId="3E1E84AD" w14:textId="77777777" w:rsidR="00F54E5D" w:rsidRDefault="00F54E5D" w:rsidP="003659D1">
            <w:pPr>
              <w:rPr>
                <w:rFonts w:ascii="Cambria" w:hAnsi="Cambria"/>
                <w:sz w:val="20"/>
                <w:lang w:val="pt-BR"/>
              </w:rPr>
            </w:pPr>
          </w:p>
        </w:tc>
      </w:tr>
      <w:tr w:rsidR="00F54E5D" w14:paraId="00C9F6E3" w14:textId="77777777" w:rsidTr="00F54E5D">
        <w:tc>
          <w:tcPr>
            <w:tcW w:w="3438" w:type="dxa"/>
          </w:tcPr>
          <w:p w14:paraId="0197F44C" w14:textId="2E1668CA" w:rsidR="00F54E5D" w:rsidRDefault="004B59C7" w:rsidP="00702729">
            <w:pPr>
              <w:spacing w:after="80"/>
              <w:rPr>
                <w:rFonts w:ascii="Cambria" w:hAnsi="Cambria"/>
                <w:sz w:val="20"/>
                <w:lang w:val="pt-BR"/>
              </w:rPr>
            </w:pPr>
            <w:r w:rsidRPr="004B59C7">
              <w:rPr>
                <w:rFonts w:ascii="Cambria" w:hAnsi="Cambria"/>
                <w:sz w:val="20"/>
                <w:lang w:val="pt-BR"/>
              </w:rPr>
              <w:t>Women in Energy, Gender Inclusivity, Safety Roles, Safety Management, Power Plants, Barriers, Opportunities, Saudi Arabia, Career Progression, Gender Diversity</w:t>
            </w:r>
          </w:p>
        </w:tc>
        <w:tc>
          <w:tcPr>
            <w:tcW w:w="6383" w:type="dxa"/>
            <w:vMerge/>
          </w:tcPr>
          <w:p w14:paraId="3D83B52B" w14:textId="77777777" w:rsidR="00F54E5D" w:rsidRDefault="00F54E5D" w:rsidP="00702729">
            <w:pPr>
              <w:spacing w:after="80"/>
              <w:rPr>
                <w:rFonts w:ascii="Cambria" w:hAnsi="Cambria"/>
                <w:sz w:val="20"/>
                <w:lang w:val="pt-BR"/>
              </w:rPr>
            </w:pPr>
          </w:p>
        </w:tc>
      </w:tr>
    </w:tbl>
    <w:p w14:paraId="5F110D3F" w14:textId="77777777" w:rsidR="00317A87" w:rsidRPr="00983F71" w:rsidRDefault="00317A87" w:rsidP="00983F71">
      <w:pPr>
        <w:pStyle w:val="Topic"/>
      </w:pPr>
      <w:commentRangeStart w:id="1"/>
      <w:r w:rsidRPr="00983F71">
        <w:t>Introduction</w:t>
      </w:r>
      <w:commentRangeEnd w:id="1"/>
      <w:r w:rsidR="00835116">
        <w:rPr>
          <w:rStyle w:val="CommentReference"/>
          <w:rFonts w:ascii="Times New Roman" w:hAnsi="Times New Roman"/>
          <w:b w:val="0"/>
          <w:color w:val="auto"/>
        </w:rPr>
        <w:commentReference w:id="1"/>
      </w:r>
    </w:p>
    <w:p w14:paraId="7188E53E" w14:textId="77777777" w:rsidR="003D3930" w:rsidRDefault="003D3930" w:rsidP="003D3930">
      <w:pPr>
        <w:pStyle w:val="1stParagraph"/>
      </w:pPr>
      <w:r>
        <w:t>The Kingdom of Saudi Arabia has made significant strides towards gender inclusivity in various sectors, however the energy industry, especially in technical roles like safety management in power plants, remains predominantly male-dominated. The safety management roles are critical in ensuring the smooth and secure operation of power plants, yet the participation of women in these roles is limited. This research aims to explore the barriers that prevent women from pursuing safety roles within power plants and to identify opportunities for enhancing their entry and progression in safety management positions. By addressing these issues, the study contributes to the broader conversation on gender inclusivity in the Saudi workforce and offers valuable insights into how women’s involvement in safety roles can positively impact the energy sector.</w:t>
      </w:r>
    </w:p>
    <w:p w14:paraId="2BCF5D9B" w14:textId="77777777" w:rsidR="003D3930" w:rsidRDefault="003D3930" w:rsidP="003D3930">
      <w:pPr>
        <w:pStyle w:val="NextParagraph"/>
      </w:pPr>
      <w:r>
        <w:t>In recent years, the participation of women in the workforce has emerged as a central theme in discussions of economic diversification and sustainable development in Saudi Arabia. The national transformation plan, Vision 2030, explicitly emphasizes increasing women’s engagement across sectors, including technical and industrial domains traditionally dominated by men (Maier et al., 2023). Within this context, the energy industry—and particularly safety roles in power plants presents both significant opportunities and substantial barriers for women.</w:t>
      </w:r>
    </w:p>
    <w:p w14:paraId="4D46D44E" w14:textId="77777777" w:rsidR="003D3930" w:rsidRDefault="003D3930" w:rsidP="003D3930">
      <w:pPr>
        <w:pStyle w:val="NextParagraph"/>
      </w:pPr>
      <w:r>
        <w:t>Despite policy reforms, women in Saudi Arabia continue to encounter considerable challenges when entering or advancing within safety-related professions. Prior studies have highlighted cultural and social barriers, such as gender norms, family expectations, and workplace segregation, which limit women’s ability to fully participate in industrial sectors (Al-Asfour et al., 2017). Institutional barriers also persist, including limited recruitment pathways, inadequate training opportunities, and lack of mentorship or career progression structures tailored to women (Shatilova et al., 2021). Furthermore, workplace cultures in high-risk environments, such as power plants, often reinforce gender stereotypes that can undermine women’s professional growth and identity (Khan, 2023).</w:t>
      </w:r>
    </w:p>
    <w:p w14:paraId="314B9BBD" w14:textId="77777777" w:rsidR="003D3930" w:rsidRDefault="003D3930" w:rsidP="003D3930">
      <w:pPr>
        <w:pStyle w:val="1stParagraph"/>
      </w:pPr>
      <w:r>
        <w:t>Nevertheless, there are also emerging opportunities that suggest a more inclusive future. Vision 2030 reforms have introduced initiatives promoting gender diversity and equality in employment, while companies are increasingly integrating gender-sensitive human resource policies to improve occupational safety and wellbeing (Khan, 2023). Research indicates that women can contribute unique perspectives to safety culture, which may enhance organizational effectiveness and resilience (AlMousa et al., 2022). In addition, international evidence suggests that the global energy transition opens new technical and leadership pathways for women, particularly in renewable energy and safety management (Maier et al., 2023).</w:t>
      </w:r>
    </w:p>
    <w:p w14:paraId="2C361F3A" w14:textId="3CA26E9D" w:rsidR="00562511" w:rsidRDefault="003D3930" w:rsidP="003D3930">
      <w:pPr>
        <w:pStyle w:val="NextParagraph"/>
      </w:pPr>
      <w:r>
        <w:t xml:space="preserve">However, there remains a paucity of research focusing specifically on women in safety roles within Saudi Arabian power plants. Given the highly technical, regulated, and hazardous nature of this sector, examining both barriers and enabling factors is critical. This study, therefore, seeks to explore the lived experiences of women in safety positions within power plants in Saudi Arabia, identifying the systemic, cultural, and institutional challenges they face, as well as the opportunities that may facilitate their career development. Such insights will </w:t>
      </w:r>
      <w:r>
        <w:lastRenderedPageBreak/>
        <w:t>not only contribute to academic understanding but also provide practical implications for policymakers, organizations, and educational institutions striving to create a more inclusive energy workforce.</w:t>
      </w:r>
    </w:p>
    <w:p w14:paraId="3358C43F" w14:textId="77777777" w:rsidR="00915013" w:rsidRDefault="00915013" w:rsidP="00D871AC">
      <w:pPr>
        <w:pStyle w:val="1stParagraph"/>
      </w:pPr>
    </w:p>
    <w:p w14:paraId="6195BFB0" w14:textId="01D40B8D" w:rsidR="006C7618" w:rsidRDefault="003D3930" w:rsidP="00983F71">
      <w:pPr>
        <w:pStyle w:val="SubTopic"/>
      </w:pPr>
      <w:r>
        <w:t xml:space="preserve">Literature </w:t>
      </w:r>
    </w:p>
    <w:p w14:paraId="2D544264" w14:textId="7846ABE8" w:rsidR="003D3930" w:rsidRPr="006C7618" w:rsidRDefault="003D3930" w:rsidP="003D3930">
      <w:pPr>
        <w:pStyle w:val="SubTopic3"/>
      </w:pPr>
      <w:r w:rsidRPr="00817E68">
        <w:rPr>
          <w:bCs/>
        </w:rPr>
        <w:t>Women in the Saudi Arabian Workforce</w:t>
      </w:r>
    </w:p>
    <w:p w14:paraId="69B2FCC6" w14:textId="12EBB4B2" w:rsidR="003D3930" w:rsidRPr="003D3930" w:rsidRDefault="003D3930" w:rsidP="003D3930">
      <w:pPr>
        <w:pStyle w:val="1stParagraph"/>
      </w:pPr>
      <w:r w:rsidRPr="003D3930">
        <w:t>The participation of women in the Saudi Arabian workforce has undergone a significant transformation over the past two decades, particularly following the introduction of Vision 2030. This national initiative emphasizes economic diversification and gender inclusivity, encouraging women to enter sectors previously considered male</w:t>
      </w:r>
      <w:r w:rsidR="004A2DBC">
        <w:t xml:space="preserve"> </w:t>
      </w:r>
      <w:r w:rsidRPr="003D3930">
        <w:t>dominated (Maier et al., 2023). The historical context reveals that women’s participation in the workforce was traditionally limited due to cultural norms and legal restrictions that constrained mobility and employment opportunities (Al-Asfour et al., 2017). However, policy reforms, including the removal of restrictions on women’s employment and enhanced educational access, have expanded opportunities for female professionals across a wide range of industries (Khan, 2023).</w:t>
      </w:r>
    </w:p>
    <w:p w14:paraId="409C7E30" w14:textId="72471DB2" w:rsidR="00562511" w:rsidRDefault="003D3930" w:rsidP="004A2DBC">
      <w:pPr>
        <w:pStyle w:val="NextParagraph"/>
      </w:pPr>
      <w:r w:rsidRPr="003D3930">
        <w:t>In the energy sector, however, challenges remain. Technical and industrial roles, including those in power plants, often demand extensive training, physical presence, and prolonged working hours—factors that can conflict with societal expectations around family responsibilities and gender roles (Shatilova et al., 2021). Although the number of women in leadership positions has gradually increased, the energy industry in Saudi Arabia continues to reflect broader global patterns of gender segregation in science, technology, engineering, and mathematics (STEM) fields (International Energy Agency [IEA], 2020).</w:t>
      </w:r>
    </w:p>
    <w:p w14:paraId="7CF60657" w14:textId="006B2FDC" w:rsidR="004A2DBC" w:rsidRPr="004A2DBC" w:rsidRDefault="004A2DBC" w:rsidP="004A2DBC">
      <w:pPr>
        <w:pStyle w:val="SubTopic3"/>
      </w:pPr>
      <w:r w:rsidRPr="00817E68">
        <w:rPr>
          <w:bCs/>
        </w:rPr>
        <w:t>Barriers to Women’s Participation in Safety Roles</w:t>
      </w:r>
    </w:p>
    <w:p w14:paraId="3E0C0C00" w14:textId="77777777" w:rsidR="004A2DBC" w:rsidRDefault="004A2DBC" w:rsidP="004A2DBC">
      <w:pPr>
        <w:pStyle w:val="1stParagraph"/>
      </w:pPr>
      <w:r>
        <w:t>Women in Saudi Arabia face several barriers when seeking to enter and progress in safety management positions within power plants. Cultural and societal expectations remain the most prominent, often reinforcing gender stereotypes that question women’s suitability for high-risk and technical roles (Al-Asfour et al., 2017). Gender segregation practices in the workplace can further limit women’s visibility and career progression pathways, reducing opportunities for networking and mentorship (Shatilova et al., 2021).</w:t>
      </w:r>
    </w:p>
    <w:p w14:paraId="64D8D444" w14:textId="68A13C4A" w:rsidR="004A2DBC" w:rsidRDefault="004A2DBC" w:rsidP="004A2DBC">
      <w:pPr>
        <w:pStyle w:val="NextParagraph"/>
      </w:pPr>
      <w:r>
        <w:t>Globally, women in the energy sector also experience discrimination, lack of female role models, and inadequate access to specialized training programs in safety and occupational health (Maier et al., 2023). In Saudi Arabia, limited recruitment pipelines and the absence of structured career development frameworks exacerbate these challenges (Khan, 2023). Furthermore, balancing professional responsibilities with cultural and family obligations remains a critical difficulty, particularly in demanding environments like power plants where long shifts and on-site presence are often required (AlMousa et al., 2022). These structural and cultural constraints hinder women’s full participation in safety-related professions.</w:t>
      </w:r>
    </w:p>
    <w:p w14:paraId="4BE463CB" w14:textId="1CDCD7E1" w:rsidR="004A2DBC" w:rsidRPr="004A2DBC" w:rsidRDefault="004A2DBC" w:rsidP="004A2DBC">
      <w:pPr>
        <w:pStyle w:val="SubTopic3"/>
      </w:pPr>
      <w:r w:rsidRPr="00817E68">
        <w:rPr>
          <w:bCs/>
        </w:rPr>
        <w:t>Opportunities for Enhancing Women’s Progression in Safety Roles</w:t>
      </w:r>
    </w:p>
    <w:p w14:paraId="38D4B4AD" w14:textId="77777777" w:rsidR="004A2DBC" w:rsidRDefault="004A2DBC" w:rsidP="004A2DBC">
      <w:pPr>
        <w:pStyle w:val="1stParagraph"/>
      </w:pPr>
      <w:r>
        <w:t>Despite the persistent barriers, opportunities exist to facilitate women’s inclusion and advancement in safety roles within power plants. Government initiatives under Vision 2030 emphasize female empowerment and seek to increase women’s representation in technical fields through policy reforms, scholarships, and training opportunities (Maier et al., 2023). Targeted programs focusing on safety and occupational health are beginning to emerge in partnership with industry stakeholders, helping to equip women with the technical skills required for high-risk sectors (Khan, 2023).</w:t>
      </w:r>
    </w:p>
    <w:p w14:paraId="791B7537" w14:textId="2E7DA87D" w:rsidR="004A2DBC" w:rsidRPr="00562511" w:rsidRDefault="004A2DBC" w:rsidP="004A2DBC">
      <w:pPr>
        <w:pStyle w:val="NextParagraph"/>
      </w:pPr>
      <w:r>
        <w:t>Mentorship and leadership development programs also play a vital role in supporting women’s progression. International case studies demonstrate that mentorship can help overcome gender stereotypes, enhance self-efficacy, and provide critical networking opportunities (Shatilova et al., 2021). In addition, organizational policies promoting gender inclusivity, flexible work arrangements, and safe working environments contribute to building an enabling culture for women in safety roles (AlMousa et al., 2022). As the energy transition creates new pathways in renewable energy and safety management, these opportunities provide momentum for advancing gender inclusivity in the Saudi power plant sector.</w:t>
      </w:r>
    </w:p>
    <w:p w14:paraId="30902659" w14:textId="30201BB9" w:rsidR="00562511" w:rsidRDefault="004A2DBC" w:rsidP="004A2DBC">
      <w:pPr>
        <w:pStyle w:val="Topic"/>
      </w:pPr>
      <w:r>
        <w:t xml:space="preserve">Methodology </w:t>
      </w:r>
    </w:p>
    <w:p w14:paraId="20B6B88D" w14:textId="5724319C" w:rsidR="004A2DBC" w:rsidRPr="006C7618" w:rsidRDefault="004A2DBC" w:rsidP="004A2DBC">
      <w:pPr>
        <w:pStyle w:val="SubTopic"/>
      </w:pPr>
      <w:r>
        <w:t xml:space="preserve">Research Design </w:t>
      </w:r>
    </w:p>
    <w:p w14:paraId="251BDFE7" w14:textId="10D1A729" w:rsidR="00562511" w:rsidRPr="00562511" w:rsidRDefault="004A2DBC" w:rsidP="00D871AC">
      <w:pPr>
        <w:pStyle w:val="1stParagraph"/>
      </w:pPr>
      <w:r w:rsidRPr="004A2DBC">
        <w:t xml:space="preserve">This study adopted a qualitative research design to gain in-depth insights into the barriers and opportunities for women in safety management roles within Saudi Arabia’s power plants. A qualitative approach was deemed most appropriate as it allows for the exploration of lived experiences, social contexts, and the nuanced </w:t>
      </w:r>
      <w:r w:rsidRPr="004A2DBC">
        <w:lastRenderedPageBreak/>
        <w:t>challenges faced by women in male-dominated sectors (Creswell &amp; Poth, 2018). By employing an interpretivist paradigm, the study sought to understand how cultural, organizational, and structural factors influence women’s career trajectories in safety-related professions.</w:t>
      </w:r>
    </w:p>
    <w:p w14:paraId="419808EC" w14:textId="7AE21929" w:rsidR="00562511" w:rsidRPr="00562511" w:rsidRDefault="004A2DBC" w:rsidP="00983F71">
      <w:pPr>
        <w:pStyle w:val="SubTopic"/>
      </w:pPr>
      <w:r>
        <w:t>Participants</w:t>
      </w:r>
    </w:p>
    <w:p w14:paraId="583CD169" w14:textId="5CEF8270" w:rsidR="00562511" w:rsidRPr="00562511" w:rsidRDefault="004A2DBC" w:rsidP="004A2DBC">
      <w:pPr>
        <w:pStyle w:val="1stParagraph"/>
      </w:pPr>
      <w:r w:rsidRPr="004A2DBC">
        <w:t>The study involved two groups of participants: (a) female professionals currently working or aspiring to work in safety management roles within the energy sector, and (b) industry experts, policymakers, and stakeholders familiar with workforce development and gender inclusion in Saudi Arabia’s power plants. Purposeful sampling was used to identify participants who could provide rich, relevant, and diverse perspectives (Palinkas et al., 2015). The sample included women in various stages of their careers, from entry-level safety officers to senior professionals, as well as experts in human resource management, occupational safety, and energy policy.</w:t>
      </w:r>
    </w:p>
    <w:p w14:paraId="303A9E56" w14:textId="1513FBBF" w:rsidR="00562511" w:rsidRPr="00562511" w:rsidRDefault="004A2DBC" w:rsidP="00983F71">
      <w:pPr>
        <w:pStyle w:val="SubTopic"/>
      </w:pPr>
      <w:r>
        <w:t xml:space="preserve">Data Collection </w:t>
      </w:r>
    </w:p>
    <w:p w14:paraId="53D90B7A" w14:textId="72026A93" w:rsidR="00386343" w:rsidRDefault="004A2DBC" w:rsidP="00386343">
      <w:pPr>
        <w:pStyle w:val="1stParagraph"/>
      </w:pPr>
      <w:r w:rsidRPr="004A2DBC">
        <w:t>Semi-structured interviews served as the primary method of data collection. This approach provided flexibility to probe deeper into participants’ responses while maintaining a consistent structure aligned with the research objectives. Interviews were conducted in person and online, depending on participant availability, and lasted between 45 and 90 minutes. An interview guide was developed to cover key areas such as career aspirations, workplace experiences, cultural challenges, institutional barriers, and perceptions of opportunities under Vision 2030 reforms. All interviews were conducted in English and Arabic, depending on participant preference, and were audio-recorded with consent. Field notes were also taken to capture contextual observations.</w:t>
      </w:r>
      <w:r w:rsidR="00562511" w:rsidRPr="00562511">
        <w:t xml:space="preserve"> </w:t>
      </w:r>
    </w:p>
    <w:p w14:paraId="743BA323" w14:textId="568042D9" w:rsidR="00562511" w:rsidRPr="00562511" w:rsidRDefault="004A2DBC" w:rsidP="00983F71">
      <w:pPr>
        <w:pStyle w:val="SubTopic"/>
      </w:pPr>
      <w:r>
        <w:t xml:space="preserve">Data Analysis </w:t>
      </w:r>
    </w:p>
    <w:p w14:paraId="2EEE649C" w14:textId="524ADA04" w:rsidR="00562511" w:rsidRPr="00562511" w:rsidRDefault="004A2DBC" w:rsidP="00D871AC">
      <w:pPr>
        <w:pStyle w:val="1stParagraph"/>
      </w:pPr>
      <w:r w:rsidRPr="004A2DBC">
        <w:t>The data were analyzed using thematic analysis, which is widely used in qualitative research to identify, analyze, and report patterns within data (Braun &amp; Clarke, 2006). The process involved familiarization with the transcripts, initial coding, clustering of codes into categories, and the development of overarching themes. Coding was conducted manually using Microsoft Excel, which enabled systematic organization of the data into themes aligned with the study’s research objectives. Reflexivity was maintained throughout the process to minimize researcher bias, and peer debriefing was used to enhance credibility.</w:t>
      </w:r>
    </w:p>
    <w:p w14:paraId="0A9687EC" w14:textId="082099A8" w:rsidR="00562511" w:rsidRPr="00562511" w:rsidRDefault="004A2DBC" w:rsidP="004A2DBC">
      <w:pPr>
        <w:pStyle w:val="Topic"/>
      </w:pPr>
      <w:r>
        <w:t xml:space="preserve">Result and Analysis </w:t>
      </w:r>
    </w:p>
    <w:p w14:paraId="77597DF7" w14:textId="4E190E1D" w:rsidR="00562511" w:rsidRPr="00562511" w:rsidRDefault="004A2DBC" w:rsidP="004A2DBC">
      <w:pPr>
        <w:pStyle w:val="1stParagraph"/>
      </w:pPr>
      <w:r w:rsidRPr="004A2DBC">
        <w:t>This chapter presents the findings of the study exploring the barriers and opportunities for women in safety management roles within Saudi Arabian power plants. The data were analyzed thematically, resulting in the identification of three overarching themes: (1) Barriers to Entry into Safety Roles, (2) Opportunities for Women’s Progression, and (3) The Role of Gender Diversity in Enhancing Safety Outcomes. Each theme is described with reference to participants’ perspectives, supported by illustrative quotations from the interviews.</w:t>
      </w:r>
    </w:p>
    <w:p w14:paraId="3F425E8C" w14:textId="736FC5A8" w:rsidR="00562511" w:rsidRPr="00562511" w:rsidRDefault="004A2DBC" w:rsidP="00983F71">
      <w:pPr>
        <w:pStyle w:val="SubTopic"/>
      </w:pPr>
      <w:r>
        <w:t>B</w:t>
      </w:r>
      <w:r w:rsidRPr="004A2DBC">
        <w:t>arriers to Entry into Safety Roles</w:t>
      </w:r>
    </w:p>
    <w:p w14:paraId="7E29A2A2" w14:textId="77777777" w:rsidR="004A2DBC" w:rsidRPr="004A2DBC" w:rsidRDefault="004A2DBC" w:rsidP="004A2DBC">
      <w:pPr>
        <w:pStyle w:val="1stParagraph"/>
      </w:pPr>
      <w:r w:rsidRPr="004A2DBC">
        <w:t>The first major theme centers on the barriers women face when entering safety roles in Saudi Arabia’s power plants. Participants consistently identified societal expectations and gender biases as the most significant obstacles. Cultural norms in conservative settings often discouraged women from pursuing technical and safety management careers. As one participant expressed:</w:t>
      </w:r>
    </w:p>
    <w:p w14:paraId="1E511F7C" w14:textId="77777777" w:rsidR="004A2DBC" w:rsidRDefault="004A2DBC" w:rsidP="004A2DBC">
      <w:pPr>
        <w:pStyle w:val="NextParagraph"/>
        <w:rPr>
          <w:color w:val="auto"/>
          <w:lang w:val="en-US"/>
        </w:rPr>
      </w:pPr>
      <w:r w:rsidRPr="004A2DBC">
        <w:rPr>
          <w:i/>
          <w:iCs/>
          <w:color w:val="auto"/>
          <w:lang w:val="en-US"/>
        </w:rPr>
        <w:t>“In my family, working in an office is acceptable, but working in a power plant is considered inappropriate for women. Many still think it is a man’s job</w:t>
      </w:r>
      <w:r w:rsidRPr="004A2DBC">
        <w:rPr>
          <w:color w:val="auto"/>
          <w:lang w:val="en-US"/>
        </w:rPr>
        <w:t>.” (Participant 4, Female Safety Trainee)</w:t>
      </w:r>
    </w:p>
    <w:p w14:paraId="2ECCF5CD" w14:textId="77777777" w:rsidR="004A2DBC" w:rsidRPr="004A2DBC" w:rsidRDefault="004A2DBC" w:rsidP="004A2DBC">
      <w:pPr>
        <w:pStyle w:val="NextParagraph"/>
        <w:rPr>
          <w:color w:val="auto"/>
          <w:lang w:val="en-US"/>
        </w:rPr>
      </w:pPr>
    </w:p>
    <w:p w14:paraId="29318AA0" w14:textId="77777777" w:rsidR="004A2DBC" w:rsidRDefault="004A2DBC" w:rsidP="004A2DBC">
      <w:pPr>
        <w:pStyle w:val="NextParagraph"/>
        <w:rPr>
          <w:color w:val="auto"/>
          <w:lang w:val="en-US"/>
        </w:rPr>
      </w:pPr>
      <w:r w:rsidRPr="004A2DBC">
        <w:rPr>
          <w:color w:val="auto"/>
          <w:lang w:val="en-US"/>
        </w:rPr>
        <w:t>Another participant highlighted the persistence of gender bias in recruitment:</w:t>
      </w:r>
    </w:p>
    <w:p w14:paraId="4A4CADEB" w14:textId="77777777" w:rsidR="004A2DBC" w:rsidRPr="004A2DBC" w:rsidRDefault="004A2DBC" w:rsidP="004A2DBC">
      <w:pPr>
        <w:pStyle w:val="NextParagraph"/>
        <w:rPr>
          <w:color w:val="auto"/>
          <w:lang w:val="en-US"/>
        </w:rPr>
      </w:pPr>
    </w:p>
    <w:p w14:paraId="6C9FE6E7" w14:textId="77777777" w:rsidR="004A2DBC" w:rsidRDefault="004A2DBC" w:rsidP="004A2DBC">
      <w:pPr>
        <w:pStyle w:val="NextParagraph"/>
        <w:rPr>
          <w:i/>
          <w:iCs/>
          <w:color w:val="auto"/>
          <w:lang w:val="en-US"/>
        </w:rPr>
      </w:pPr>
      <w:r w:rsidRPr="004A2DBC">
        <w:rPr>
          <w:color w:val="auto"/>
          <w:lang w:val="en-US"/>
        </w:rPr>
        <w:t>“</w:t>
      </w:r>
      <w:r w:rsidRPr="004A2DBC">
        <w:rPr>
          <w:i/>
          <w:iCs/>
          <w:color w:val="auto"/>
          <w:lang w:val="en-US"/>
        </w:rPr>
        <w:t>Even when I had the qualifications, the company preferred to hire men because they thought women cannot handle the shift work or the physical challenges.” (Participant 7, Safety Engineer)</w:t>
      </w:r>
    </w:p>
    <w:p w14:paraId="236E063F" w14:textId="77777777" w:rsidR="004A2DBC" w:rsidRPr="004A2DBC" w:rsidRDefault="004A2DBC" w:rsidP="004A2DBC">
      <w:pPr>
        <w:pStyle w:val="NextParagraph"/>
        <w:rPr>
          <w:color w:val="auto"/>
          <w:lang w:val="en-US"/>
        </w:rPr>
      </w:pPr>
    </w:p>
    <w:p w14:paraId="4D6A1065" w14:textId="77777777" w:rsidR="004A2DBC" w:rsidRDefault="004A2DBC" w:rsidP="004A2DBC">
      <w:pPr>
        <w:pStyle w:val="NextParagraph"/>
        <w:rPr>
          <w:color w:val="auto"/>
          <w:lang w:val="en-US"/>
        </w:rPr>
      </w:pPr>
      <w:r w:rsidRPr="004A2DBC">
        <w:rPr>
          <w:color w:val="auto"/>
          <w:lang w:val="en-US"/>
        </w:rPr>
        <w:t>The absence of role models and mentorship further exacerbated these barriers. Without female pioneers in senior safety positions, younger women lacked visible pathways for advancement:</w:t>
      </w:r>
    </w:p>
    <w:p w14:paraId="45E9166F" w14:textId="77777777" w:rsidR="004A2DBC" w:rsidRPr="004A2DBC" w:rsidRDefault="004A2DBC" w:rsidP="004A2DBC">
      <w:pPr>
        <w:pStyle w:val="NextParagraph"/>
        <w:rPr>
          <w:color w:val="auto"/>
          <w:lang w:val="en-US"/>
        </w:rPr>
      </w:pPr>
    </w:p>
    <w:p w14:paraId="7903E2DB" w14:textId="77777777" w:rsidR="004A2DBC" w:rsidRDefault="004A2DBC" w:rsidP="004A2DBC">
      <w:pPr>
        <w:pStyle w:val="NextParagraph"/>
        <w:rPr>
          <w:i/>
          <w:iCs/>
          <w:color w:val="auto"/>
          <w:lang w:val="en-US"/>
        </w:rPr>
      </w:pPr>
      <w:r w:rsidRPr="004A2DBC">
        <w:rPr>
          <w:color w:val="auto"/>
          <w:lang w:val="en-US"/>
        </w:rPr>
        <w:t>“</w:t>
      </w:r>
      <w:r w:rsidRPr="004A2DBC">
        <w:rPr>
          <w:i/>
          <w:iCs/>
          <w:color w:val="auto"/>
          <w:lang w:val="en-US"/>
        </w:rPr>
        <w:t>I do not know any woman who has reached a leadership role in safety in power plants. This makes it difficult to imagine my own future in this field.” (Participant 2, Junior Safety Officer)</w:t>
      </w:r>
    </w:p>
    <w:p w14:paraId="3820F28D" w14:textId="77777777" w:rsidR="004A2DBC" w:rsidRPr="004A2DBC" w:rsidRDefault="004A2DBC" w:rsidP="004A2DBC">
      <w:pPr>
        <w:pStyle w:val="NextParagraph"/>
        <w:rPr>
          <w:i/>
          <w:iCs/>
          <w:color w:val="auto"/>
          <w:lang w:val="en-US"/>
        </w:rPr>
      </w:pPr>
    </w:p>
    <w:p w14:paraId="2522E88A" w14:textId="77777777" w:rsidR="004A2DBC" w:rsidRDefault="004A2DBC" w:rsidP="004A2DBC">
      <w:pPr>
        <w:pStyle w:val="NextParagraph"/>
        <w:rPr>
          <w:color w:val="auto"/>
          <w:lang w:val="en-US"/>
        </w:rPr>
      </w:pPr>
      <w:r w:rsidRPr="004A2DBC">
        <w:rPr>
          <w:color w:val="auto"/>
          <w:lang w:val="en-US"/>
        </w:rPr>
        <w:lastRenderedPageBreak/>
        <w:t>In addition, limited access to technical training and certification programs was highlighted as a structural barrier. Several participants reported difficulties in enrolling in specialized safety programs, which are often designed without consideration for women’s participation:</w:t>
      </w:r>
    </w:p>
    <w:p w14:paraId="742BA8BD" w14:textId="77777777" w:rsidR="004A2DBC" w:rsidRPr="004A2DBC" w:rsidRDefault="004A2DBC" w:rsidP="004A2DBC">
      <w:pPr>
        <w:pStyle w:val="NextParagraph"/>
        <w:rPr>
          <w:color w:val="auto"/>
          <w:lang w:val="en-US"/>
        </w:rPr>
      </w:pPr>
    </w:p>
    <w:p w14:paraId="473FCF13" w14:textId="77777777" w:rsidR="004A2DBC" w:rsidRDefault="004A2DBC" w:rsidP="004A2DBC">
      <w:pPr>
        <w:pStyle w:val="NextParagraph"/>
        <w:rPr>
          <w:i/>
          <w:iCs/>
          <w:color w:val="auto"/>
          <w:lang w:val="en-US"/>
        </w:rPr>
      </w:pPr>
      <w:r w:rsidRPr="004A2DBC">
        <w:rPr>
          <w:color w:val="auto"/>
          <w:lang w:val="en-US"/>
        </w:rPr>
        <w:t>“</w:t>
      </w:r>
      <w:r w:rsidRPr="004A2DBC">
        <w:rPr>
          <w:i/>
          <w:iCs/>
          <w:color w:val="auto"/>
          <w:lang w:val="en-US"/>
        </w:rPr>
        <w:t>The courses are available, but sometimes the training centers are not accessible for women, or the schedules clash with family responsibilities.” (Participant 6, Aspiring Safety Officer)</w:t>
      </w:r>
    </w:p>
    <w:p w14:paraId="65D69494" w14:textId="77777777" w:rsidR="004A2DBC" w:rsidRPr="004A2DBC" w:rsidRDefault="004A2DBC" w:rsidP="004A2DBC">
      <w:pPr>
        <w:pStyle w:val="NextParagraph"/>
        <w:rPr>
          <w:color w:val="auto"/>
          <w:lang w:val="en-US"/>
        </w:rPr>
      </w:pPr>
    </w:p>
    <w:p w14:paraId="47ECFC64" w14:textId="740EF1E4" w:rsidR="00317A87" w:rsidRPr="00063D04" w:rsidRDefault="004A2DBC" w:rsidP="004A2DBC">
      <w:pPr>
        <w:pStyle w:val="NextParagraph"/>
      </w:pPr>
      <w:r w:rsidRPr="004A2DBC">
        <w:rPr>
          <w:color w:val="auto"/>
          <w:lang w:val="en-US"/>
        </w:rPr>
        <w:t>These findings reveal that women face intertwined cultural, structural, and institutional barriers, including societal expectations, recruitment biases, lack of mentorship, and limited access to training.</w:t>
      </w:r>
    </w:p>
    <w:p w14:paraId="699B5760" w14:textId="272871EA" w:rsidR="00317A87" w:rsidRDefault="004A2DBC" w:rsidP="004A2DBC">
      <w:pPr>
        <w:pStyle w:val="SubTopic"/>
      </w:pPr>
      <w:r w:rsidRPr="004A2DBC">
        <w:rPr>
          <w:lang w:val="en-GB"/>
        </w:rPr>
        <w:t>Opportunities for Women’s Progression</w:t>
      </w:r>
    </w:p>
    <w:p w14:paraId="27A6800A" w14:textId="77777777" w:rsidR="004A2DBC" w:rsidRDefault="004A2DBC" w:rsidP="004A2DBC">
      <w:pPr>
        <w:pStyle w:val="1stParagraph"/>
      </w:pPr>
      <w:r w:rsidRPr="004A2DBC">
        <w:t>Despite these barriers, participants also identified emerging opportunities for women’s inclusion and progression in safety roles. Mentorship programs were highlighted as a potential enabler, providing women with access to guidance and professional networks:</w:t>
      </w:r>
    </w:p>
    <w:p w14:paraId="5BCBD021" w14:textId="77777777" w:rsidR="004A2DBC" w:rsidRPr="004A2DBC" w:rsidRDefault="004A2DBC" w:rsidP="004A2DBC">
      <w:pPr>
        <w:pStyle w:val="1stParagraph"/>
      </w:pPr>
    </w:p>
    <w:p w14:paraId="398AB907" w14:textId="77777777" w:rsidR="004A2DBC" w:rsidRDefault="004A2DBC" w:rsidP="004A2DBC">
      <w:pPr>
        <w:pStyle w:val="NextParagraph"/>
        <w:rPr>
          <w:i/>
          <w:iCs/>
          <w:color w:val="auto"/>
          <w:lang w:val="en-US"/>
        </w:rPr>
      </w:pPr>
      <w:r w:rsidRPr="00B236C8">
        <w:rPr>
          <w:i/>
          <w:iCs/>
          <w:color w:val="auto"/>
          <w:lang w:val="en-US"/>
        </w:rPr>
        <w:t>“If there were structured mentorship programs where we could learn from experienced professionals, more women would be encouraged to stay in this career.” (Participant 5, Safety Intern)</w:t>
      </w:r>
    </w:p>
    <w:p w14:paraId="648BB82F" w14:textId="77777777" w:rsidR="00B236C8" w:rsidRPr="00B236C8" w:rsidRDefault="00B236C8" w:rsidP="004A2DBC">
      <w:pPr>
        <w:pStyle w:val="NextParagraph"/>
        <w:rPr>
          <w:i/>
          <w:iCs/>
          <w:color w:val="auto"/>
          <w:lang w:val="en-US"/>
        </w:rPr>
      </w:pPr>
    </w:p>
    <w:p w14:paraId="19E920A1" w14:textId="77777777" w:rsidR="004A2DBC" w:rsidRDefault="004A2DBC" w:rsidP="004A2DBC">
      <w:pPr>
        <w:pStyle w:val="NextParagraph"/>
        <w:rPr>
          <w:color w:val="auto"/>
          <w:lang w:val="en-US"/>
        </w:rPr>
      </w:pPr>
      <w:r w:rsidRPr="004A2DBC">
        <w:rPr>
          <w:color w:val="auto"/>
          <w:lang w:val="en-US"/>
        </w:rPr>
        <w:t>The importance of gender-inclusive organizational policies was also emphasized. Participants felt that policies such as flexible working hours, maternity support, and career development frameworks could make safety roles more accessible:</w:t>
      </w:r>
    </w:p>
    <w:p w14:paraId="4A6D7966" w14:textId="77777777" w:rsidR="00B236C8" w:rsidRPr="004A2DBC" w:rsidRDefault="00B236C8" w:rsidP="004A2DBC">
      <w:pPr>
        <w:pStyle w:val="NextParagraph"/>
        <w:rPr>
          <w:color w:val="auto"/>
          <w:lang w:val="en-US"/>
        </w:rPr>
      </w:pPr>
    </w:p>
    <w:p w14:paraId="1F958739" w14:textId="292FCFB6" w:rsidR="004A2DBC" w:rsidRDefault="004A2DBC" w:rsidP="004A2DBC">
      <w:pPr>
        <w:pStyle w:val="NextParagraph"/>
        <w:rPr>
          <w:i/>
          <w:iCs/>
          <w:color w:val="auto"/>
          <w:lang w:val="en-US"/>
        </w:rPr>
      </w:pPr>
      <w:r w:rsidRPr="004A2DBC">
        <w:rPr>
          <w:color w:val="auto"/>
          <w:lang w:val="en-US"/>
        </w:rPr>
        <w:t>“</w:t>
      </w:r>
      <w:r w:rsidRPr="00B236C8">
        <w:rPr>
          <w:i/>
          <w:iCs/>
          <w:color w:val="auto"/>
          <w:lang w:val="en-US"/>
        </w:rPr>
        <w:t xml:space="preserve">It is not only about hiring </w:t>
      </w:r>
      <w:r w:rsidR="00B236C8" w:rsidRPr="00B236C8">
        <w:rPr>
          <w:i/>
          <w:iCs/>
          <w:color w:val="auto"/>
          <w:lang w:val="en-US"/>
        </w:rPr>
        <w:t>women but</w:t>
      </w:r>
      <w:r w:rsidRPr="00B236C8">
        <w:rPr>
          <w:i/>
          <w:iCs/>
          <w:color w:val="auto"/>
          <w:lang w:val="en-US"/>
        </w:rPr>
        <w:t xml:space="preserve"> also supporting them with policies that make it possible to balance work and family.” (Participant 1, HR Manager, Energy Sector)</w:t>
      </w:r>
    </w:p>
    <w:p w14:paraId="7FA75F16" w14:textId="77777777" w:rsidR="00B236C8" w:rsidRPr="004A2DBC" w:rsidRDefault="00B236C8" w:rsidP="004A2DBC">
      <w:pPr>
        <w:pStyle w:val="NextParagraph"/>
        <w:rPr>
          <w:color w:val="auto"/>
          <w:lang w:val="en-US"/>
        </w:rPr>
      </w:pPr>
    </w:p>
    <w:p w14:paraId="46715B2A" w14:textId="77777777" w:rsidR="004A2DBC" w:rsidRDefault="004A2DBC" w:rsidP="004A2DBC">
      <w:pPr>
        <w:pStyle w:val="NextParagraph"/>
        <w:rPr>
          <w:color w:val="auto"/>
          <w:lang w:val="en-US"/>
        </w:rPr>
      </w:pPr>
      <w:r w:rsidRPr="004A2DBC">
        <w:rPr>
          <w:color w:val="auto"/>
          <w:lang w:val="en-US"/>
        </w:rPr>
        <w:t>Furthermore, participants stressed the need for specialized training programs tailored for women in technical and safety fields:</w:t>
      </w:r>
    </w:p>
    <w:p w14:paraId="098F2F00" w14:textId="77777777" w:rsidR="00B236C8" w:rsidRPr="004A2DBC" w:rsidRDefault="00B236C8" w:rsidP="004A2DBC">
      <w:pPr>
        <w:pStyle w:val="NextParagraph"/>
        <w:rPr>
          <w:color w:val="auto"/>
          <w:lang w:val="en-US"/>
        </w:rPr>
      </w:pPr>
    </w:p>
    <w:p w14:paraId="05C342B6" w14:textId="77777777" w:rsidR="004A2DBC" w:rsidRDefault="004A2DBC" w:rsidP="004A2DBC">
      <w:pPr>
        <w:pStyle w:val="NextParagraph"/>
        <w:rPr>
          <w:i/>
          <w:iCs/>
          <w:color w:val="auto"/>
          <w:lang w:val="en-US"/>
        </w:rPr>
      </w:pPr>
      <w:r w:rsidRPr="004A2DBC">
        <w:rPr>
          <w:color w:val="auto"/>
          <w:lang w:val="en-US"/>
        </w:rPr>
        <w:t>“</w:t>
      </w:r>
      <w:r w:rsidRPr="00B236C8">
        <w:rPr>
          <w:i/>
          <w:iCs/>
          <w:color w:val="auto"/>
          <w:lang w:val="en-US"/>
        </w:rPr>
        <w:t>If training and certification programs were adapted to include women, more of us would have the chance to qualify for these jobs.” (Participant 8, Trainee in Occupational Safety)</w:t>
      </w:r>
    </w:p>
    <w:p w14:paraId="174800B2" w14:textId="77777777" w:rsidR="00B236C8" w:rsidRPr="004A2DBC" w:rsidRDefault="00B236C8" w:rsidP="004A2DBC">
      <w:pPr>
        <w:pStyle w:val="NextParagraph"/>
        <w:rPr>
          <w:color w:val="auto"/>
          <w:lang w:val="en-US"/>
        </w:rPr>
      </w:pPr>
    </w:p>
    <w:p w14:paraId="2EE2FB89" w14:textId="77777777" w:rsidR="004A2DBC" w:rsidRDefault="004A2DBC" w:rsidP="004A2DBC">
      <w:pPr>
        <w:pStyle w:val="NextParagraph"/>
        <w:rPr>
          <w:color w:val="auto"/>
          <w:lang w:val="en-US"/>
        </w:rPr>
      </w:pPr>
      <w:r w:rsidRPr="004A2DBC">
        <w:rPr>
          <w:color w:val="auto"/>
          <w:lang w:val="en-US"/>
        </w:rPr>
        <w:t>Governmental reforms under Vision 2030 were seen as a major catalyst for change, promoting gender diversity and driving organizational efforts to include women in technical sectors:</w:t>
      </w:r>
    </w:p>
    <w:p w14:paraId="43109541" w14:textId="77777777" w:rsidR="00B236C8" w:rsidRPr="004A2DBC" w:rsidRDefault="00B236C8" w:rsidP="004A2DBC">
      <w:pPr>
        <w:pStyle w:val="NextParagraph"/>
        <w:rPr>
          <w:color w:val="auto"/>
          <w:lang w:val="en-US"/>
        </w:rPr>
      </w:pPr>
    </w:p>
    <w:p w14:paraId="54D8922E" w14:textId="77777777" w:rsidR="004A2DBC" w:rsidRDefault="004A2DBC" w:rsidP="004A2DBC">
      <w:pPr>
        <w:pStyle w:val="NextParagraph"/>
        <w:rPr>
          <w:i/>
          <w:iCs/>
          <w:color w:val="auto"/>
          <w:lang w:val="en-US"/>
        </w:rPr>
      </w:pPr>
      <w:r w:rsidRPr="00B236C8">
        <w:rPr>
          <w:i/>
          <w:iCs/>
          <w:color w:val="auto"/>
          <w:lang w:val="en-US"/>
        </w:rPr>
        <w:t>“Vision 2030 gives us hope because it is creating policies that open doors for women in fields like safety.” (Participant 3, Senior Policy Expert)</w:t>
      </w:r>
    </w:p>
    <w:p w14:paraId="5EB760D1" w14:textId="77777777" w:rsidR="00B236C8" w:rsidRPr="00B236C8" w:rsidRDefault="00B236C8" w:rsidP="004A2DBC">
      <w:pPr>
        <w:pStyle w:val="NextParagraph"/>
        <w:rPr>
          <w:i/>
          <w:iCs/>
          <w:color w:val="auto"/>
          <w:lang w:val="en-US"/>
        </w:rPr>
      </w:pPr>
    </w:p>
    <w:p w14:paraId="05C7CF62" w14:textId="3C0A2CBC" w:rsidR="00154367" w:rsidRDefault="004A2DBC" w:rsidP="004A2DBC">
      <w:pPr>
        <w:pStyle w:val="NextParagraph"/>
        <w:rPr>
          <w:color w:val="auto"/>
          <w:lang w:val="en-US"/>
        </w:rPr>
      </w:pPr>
      <w:r w:rsidRPr="004A2DBC">
        <w:rPr>
          <w:color w:val="auto"/>
          <w:lang w:val="en-US"/>
        </w:rPr>
        <w:t>Opportunities for progression are emerging through mentorship, gender-inclusive policies, training programs, and government reforms. These initiatives are crucial to counteracting systemic barriers.</w:t>
      </w:r>
    </w:p>
    <w:p w14:paraId="08A97DA9" w14:textId="4784023C" w:rsidR="00B236C8" w:rsidRDefault="00B236C8" w:rsidP="00B236C8">
      <w:pPr>
        <w:pStyle w:val="SubTopic"/>
      </w:pPr>
      <w:r w:rsidRPr="00B236C8">
        <w:t>The Role of Gender Diversity in Enhancing Safety Outcomes</w:t>
      </w:r>
    </w:p>
    <w:p w14:paraId="262D0041" w14:textId="77777777" w:rsidR="00B236C8" w:rsidRDefault="00B236C8" w:rsidP="00B236C8">
      <w:pPr>
        <w:pStyle w:val="1stParagraph"/>
      </w:pPr>
      <w:r>
        <w:t>A significant theme that emerged was the recognition of gender diversity as a strength in safety management. Participants highlighted that women bring different perspectives to risk assessment, planning, and decision-making, which can enhance overall safety performance:</w:t>
      </w:r>
    </w:p>
    <w:p w14:paraId="276F7AE8" w14:textId="77777777" w:rsidR="00B236C8" w:rsidRPr="00B236C8" w:rsidRDefault="00B236C8" w:rsidP="00B236C8">
      <w:pPr>
        <w:pStyle w:val="1stParagraph"/>
        <w:rPr>
          <w:i/>
          <w:iCs/>
        </w:rPr>
      </w:pPr>
      <w:r w:rsidRPr="00B236C8">
        <w:rPr>
          <w:i/>
          <w:iCs/>
        </w:rPr>
        <w:t>“When women are part of the safety team, they see risks differently, and this helps create more comprehensive safety protocols.” (Participant 9, Power Plant Safety Supervisor)</w:t>
      </w:r>
    </w:p>
    <w:p w14:paraId="1D800A39" w14:textId="77777777" w:rsidR="00B236C8" w:rsidRDefault="00B236C8" w:rsidP="00B236C8">
      <w:pPr>
        <w:pStyle w:val="1stParagraph"/>
      </w:pPr>
    </w:p>
    <w:p w14:paraId="7ACAE015" w14:textId="77777777" w:rsidR="00B236C8" w:rsidRDefault="00B236C8" w:rsidP="00B236C8">
      <w:pPr>
        <w:pStyle w:val="1stParagraph"/>
      </w:pPr>
      <w:r>
        <w:t>Participants also emphasized that gender-diverse teams foster a stronger safety culture, as multiple viewpoints encourage collaboration and accountability:</w:t>
      </w:r>
    </w:p>
    <w:p w14:paraId="4892B21F" w14:textId="77777777" w:rsidR="00B236C8" w:rsidRDefault="00B236C8" w:rsidP="00B236C8">
      <w:pPr>
        <w:pStyle w:val="1stParagraph"/>
      </w:pPr>
    </w:p>
    <w:p w14:paraId="5403829C" w14:textId="77777777" w:rsidR="00B236C8" w:rsidRDefault="00B236C8" w:rsidP="00B236C8">
      <w:pPr>
        <w:pStyle w:val="1stParagraph"/>
        <w:rPr>
          <w:i/>
          <w:iCs/>
        </w:rPr>
      </w:pPr>
      <w:r w:rsidRPr="00B236C8">
        <w:rPr>
          <w:i/>
          <w:iCs/>
        </w:rPr>
        <w:t>“Men and women together bring balance. We think about problems differently, and this makes our safety decisions stronger.” (Participant 11, Occupational Health Specialist)</w:t>
      </w:r>
    </w:p>
    <w:p w14:paraId="2047F756" w14:textId="77777777" w:rsidR="00B236C8" w:rsidRPr="00B236C8" w:rsidRDefault="00B236C8" w:rsidP="00B236C8">
      <w:pPr>
        <w:pStyle w:val="1stParagraph"/>
        <w:rPr>
          <w:i/>
          <w:iCs/>
        </w:rPr>
      </w:pPr>
    </w:p>
    <w:p w14:paraId="25B6739D" w14:textId="77777777" w:rsidR="00B236C8" w:rsidRDefault="00B236C8" w:rsidP="00B236C8">
      <w:pPr>
        <w:pStyle w:val="1stParagraph"/>
      </w:pPr>
      <w:r>
        <w:t>Some participants further noted that women’s presence in safety roles also improves communication and trust within teams, as they often adopt participatory and inclusive approaches:</w:t>
      </w:r>
    </w:p>
    <w:p w14:paraId="02A7F09D" w14:textId="77777777" w:rsidR="00B236C8" w:rsidRDefault="00B236C8" w:rsidP="00B236C8">
      <w:pPr>
        <w:pStyle w:val="1stParagraph"/>
      </w:pPr>
    </w:p>
    <w:p w14:paraId="637E18D0" w14:textId="77777777" w:rsidR="00B236C8" w:rsidRDefault="00B236C8" w:rsidP="00B236C8">
      <w:pPr>
        <w:pStyle w:val="1stParagraph"/>
        <w:rPr>
          <w:i/>
          <w:iCs/>
        </w:rPr>
      </w:pPr>
      <w:r w:rsidRPr="00B236C8">
        <w:rPr>
          <w:i/>
          <w:iCs/>
        </w:rPr>
        <w:t>“Women in safety roles are good at engaging workers and ensuring that everyone feels heard about safety issues.” (Participant 10, Plant Safety Coordinator)</w:t>
      </w:r>
    </w:p>
    <w:p w14:paraId="7B4CC59D" w14:textId="77777777" w:rsidR="00B236C8" w:rsidRPr="00B236C8" w:rsidRDefault="00B236C8" w:rsidP="00B236C8">
      <w:pPr>
        <w:pStyle w:val="1stParagraph"/>
        <w:rPr>
          <w:i/>
          <w:iCs/>
        </w:rPr>
      </w:pPr>
    </w:p>
    <w:p w14:paraId="25334E97" w14:textId="594C18EF" w:rsidR="003C2255" w:rsidRDefault="00B236C8" w:rsidP="00B236C8">
      <w:pPr>
        <w:pStyle w:val="NextParagraph"/>
      </w:pPr>
      <w:r>
        <w:lastRenderedPageBreak/>
        <w:t>Gender diversity in safety roles not only promotes inclusion but also strengthens safety outcomes by improving risk analysis, collaboration, and organizational safety culture.</w:t>
      </w:r>
    </w:p>
    <w:p w14:paraId="12BC0FD6" w14:textId="581BC7A2" w:rsidR="000D0DD2" w:rsidRDefault="00B236C8" w:rsidP="00983F71">
      <w:pPr>
        <w:pStyle w:val="Topic"/>
        <w:rPr>
          <w:lang w:val="en-GB"/>
        </w:rPr>
      </w:pPr>
      <w:r>
        <w:rPr>
          <w:lang w:val="en-GB"/>
        </w:rPr>
        <w:t xml:space="preserve">Discussion </w:t>
      </w:r>
    </w:p>
    <w:p w14:paraId="45BAA25C" w14:textId="77777777" w:rsidR="00B236C8" w:rsidRDefault="00B236C8" w:rsidP="00B236C8">
      <w:pPr>
        <w:pStyle w:val="1stParagraph"/>
      </w:pPr>
      <w:r>
        <w:t>The findings of this study reveal that women in Saudi Arabia’s power plants continue to face multiple barriers to entering and progressing in safety management roles, including societal expectations, gender stereotypes, limited access to technical training, and lack of mentorship opportunities. At the same time, the results identified emerging opportunities such as targeted mentorship, specialized training, gender-inclusive organizational policies, and reforms under Vision 2030 that can support women’s career development. Importantly, the study also demonstrated that gender diversity enhances safety outcomes, highlighting the broader organizational benefits of women’s participation in safety roles.</w:t>
      </w:r>
    </w:p>
    <w:p w14:paraId="53B84C4C" w14:textId="23F36BE1" w:rsidR="00317A87" w:rsidRDefault="00B236C8" w:rsidP="00B236C8">
      <w:pPr>
        <w:pStyle w:val="NextParagraph"/>
      </w:pPr>
      <w:r>
        <w:t>These findings align with the research objectives by exploring the lived experiences of women in the energy sector, identifying barriers and enablers, and providing insights into the role of gender diversity in shaping safety culture.</w:t>
      </w:r>
    </w:p>
    <w:p w14:paraId="174D05F2" w14:textId="4ED2FC46" w:rsidR="00B236C8" w:rsidRPr="00B236C8" w:rsidRDefault="00B236C8" w:rsidP="00B236C8">
      <w:pPr>
        <w:pStyle w:val="SubTopic"/>
      </w:pPr>
      <w:r w:rsidRPr="00817E68">
        <w:rPr>
          <w:bCs/>
        </w:rPr>
        <w:t>Barriers to Women’s Participation in Safety Roles</w:t>
      </w:r>
    </w:p>
    <w:p w14:paraId="03FCEF47" w14:textId="52F34121" w:rsidR="00B236C8" w:rsidRDefault="00B236C8" w:rsidP="00B236C8">
      <w:pPr>
        <w:pStyle w:val="1stParagraph"/>
      </w:pPr>
      <w:r>
        <w:t>The study confirmed that cultural and societal expectations remain one of the most significant challenges to women’s entry into safety. This finding resonates with Al-Asfour et al. (2017), who argue that cultural norms in Saudi Arabia have historically restricted women’s participation in male-dominated sectors. Similarly, Shatilova et al. (2021) note that gender stereotypes and workplace segregation continue to limit women’s career mobility in the energy industry.</w:t>
      </w:r>
    </w:p>
    <w:p w14:paraId="5F96B266" w14:textId="19741897" w:rsidR="00B236C8" w:rsidRDefault="00B236C8" w:rsidP="00B236C8">
      <w:pPr>
        <w:pStyle w:val="NextParagraph"/>
      </w:pPr>
      <w:r>
        <w:t>Another key barrier identified was the lack of mentorship and role models. Without visible female leaders in safety management, younger women struggle to envision long-term career pathways. This echoes global findings in the energy sector, where women’s underrepresentation in leadership perpetuates cycles of exclusion (Maier et al., 2023). Limited access to technical training and certification programs further compounds these barriers, as also noted by AlMousa et al. (2022), who found gender gaps in occupational safety training and hazard management.</w:t>
      </w:r>
    </w:p>
    <w:p w14:paraId="4F3B7699" w14:textId="66ED1694" w:rsidR="00B236C8" w:rsidRDefault="00B236C8" w:rsidP="00B236C8">
      <w:pPr>
        <w:pStyle w:val="SubTopic"/>
      </w:pPr>
      <w:r w:rsidRPr="00B236C8">
        <w:t>Opportunities for Women’s Progression</w:t>
      </w:r>
    </w:p>
    <w:p w14:paraId="345AE273" w14:textId="77777777" w:rsidR="00B236C8" w:rsidRDefault="00B236C8" w:rsidP="00B236C8">
      <w:pPr>
        <w:pStyle w:val="1stParagraph"/>
      </w:pPr>
      <w:r>
        <w:t>Despite these challenges, the study found evidence of growing opportunities for women’s progression in safety management roles. Vision 2030 reforms were frequently mentioned by participants as a catalyst for change, opening pathways for women to enter technical fields. This is consistent with Khan (2023), who argues that inclusive HR policies and legal reforms play a pivotal role in facilitating women’s participation in high-risk sectors.</w:t>
      </w:r>
    </w:p>
    <w:p w14:paraId="714E0ECF" w14:textId="59DFD024" w:rsidR="00B236C8" w:rsidRDefault="00B236C8" w:rsidP="00B236C8">
      <w:pPr>
        <w:pStyle w:val="NextParagraph"/>
      </w:pPr>
      <w:r>
        <w:t>Mentorship and targeted training programs were identified as practical solutions to address structural and cultural barriers. International evidence supports this, with studies showing that mentorship enhances women’s confidence, technical skills, and access to professional networks (Shatilova et al., 2021). In addition, gender-sensitive organizational policies—such as flexible work arrangements and family-friendly practices were viewed as essential enablers, aligning with recommendations by the International Energy Agency (2020) on promoting gender equality in technical fields.</w:t>
      </w:r>
    </w:p>
    <w:p w14:paraId="30D2F9D9" w14:textId="2F31DAF5" w:rsidR="00B236C8" w:rsidRDefault="00B236C8" w:rsidP="00B236C8">
      <w:pPr>
        <w:pStyle w:val="SubTopic"/>
      </w:pPr>
      <w:r w:rsidRPr="00B236C8">
        <w:t>Gender Diversity and Safety Outcomes</w:t>
      </w:r>
    </w:p>
    <w:p w14:paraId="35533100" w14:textId="77777777" w:rsidR="00B236C8" w:rsidRDefault="00B236C8" w:rsidP="00B236C8">
      <w:pPr>
        <w:pStyle w:val="1stParagraph"/>
      </w:pPr>
      <w:r>
        <w:t>A unique contribution of this study is its finding that gender diversity positively influences safety outcomes in power plants. Participants noted that women bring distinct perspectives to risk assessment, planning, and communication, which strengthens safety culture and enhances decision-making. This reflects broader evidence that diverse teams contribute to improved organizational performance, innovation, and problem-solving (Maier et al., 2023).</w:t>
      </w:r>
    </w:p>
    <w:p w14:paraId="5D8C3CD3" w14:textId="538BA112" w:rsidR="00B236C8" w:rsidRDefault="00B236C8" w:rsidP="00B236C8">
      <w:pPr>
        <w:pStyle w:val="NextParagraph"/>
      </w:pPr>
      <w:r>
        <w:t>In the safety management context, AlMousa et al. (2022) observed that women’s perspectives on occupational safety can complement those of men, leading to more comprehensive safety protocols. By highlighting these benefits, this study extends the discourse beyond women’s empowerment to demonstrate the business case for gender diversity in enhancing operational safety.</w:t>
      </w:r>
    </w:p>
    <w:p w14:paraId="6C437584" w14:textId="2FE89BF3" w:rsidR="00B236C8" w:rsidRDefault="00B236C8" w:rsidP="00B236C8">
      <w:pPr>
        <w:pStyle w:val="SubTopic"/>
      </w:pPr>
      <w:r w:rsidRPr="00B236C8">
        <w:t>Theoretical Implications</w:t>
      </w:r>
    </w:p>
    <w:p w14:paraId="3B9B3755" w14:textId="77777777" w:rsidR="00B236C8" w:rsidRDefault="00B236C8" w:rsidP="00B236C8">
      <w:pPr>
        <w:pStyle w:val="1stParagraph"/>
      </w:pPr>
      <w:r>
        <w:t xml:space="preserve">From a theoretical perspective, the findings can be understood through gender role theory, which explains how societal expectations shape occupational segregation (Eagly, 1987). The persistence of cultural norms and gender stereotypes in Saudi Arabia reinforces traditional gender roles, limiting women’s access to technical </w:t>
      </w:r>
      <w:r>
        <w:lastRenderedPageBreak/>
        <w:t>careers. However, the emerging reforms under Vision 2030 suggest a shift toward a more inclusive socio-technical system, where education, organizational structures, and policies intersect to create new opportunities.</w:t>
      </w:r>
    </w:p>
    <w:p w14:paraId="71B85A4D" w14:textId="4CA68188" w:rsidR="00B236C8" w:rsidRDefault="00B236C8" w:rsidP="00B236C8">
      <w:pPr>
        <w:pStyle w:val="NextParagraph"/>
      </w:pPr>
      <w:r>
        <w:t>The results also resonate with the socio-technical systems theory, which emphasizes the interdependence of social and technical dimensions in organizational effectiveness (Trist &amp; Bamforth, 1951). By integrating women into safety roles, organizations can enhance both the social system (diversity, inclusivity, teamwork) and the technical system (safety performance, hazard management), leading to improved overall outcomes.</w:t>
      </w:r>
    </w:p>
    <w:p w14:paraId="3A365B61" w14:textId="1546CC77" w:rsidR="00B236C8" w:rsidRDefault="00B236C8" w:rsidP="00B236C8">
      <w:pPr>
        <w:pStyle w:val="SubTopic"/>
      </w:pPr>
      <w:r w:rsidRPr="00B236C8">
        <w:t>Practical Implications</w:t>
      </w:r>
    </w:p>
    <w:p w14:paraId="6F82A120" w14:textId="51A9192A" w:rsidR="007D5F15" w:rsidRDefault="007D5F15" w:rsidP="007D5F15">
      <w:pPr>
        <w:pStyle w:val="1stParagraph"/>
      </w:pPr>
      <w:r w:rsidRPr="0004583B">
        <w:t>The findings of this study carry important practical implications for policymakers, organizations, and industry stakeholders in Saudi Arabia’s energy sector. First, there is a need to establish structured mentorship programs that connect women with experienced professionals, providing them with role models and guidance to navigate career pathways in safety management. Second, the introduction of gender-sensitive training and certification programs is crucial to ensure equitable access for women to acquire the technical qualifications necessary for advancement in safety roles. Third, organizations should adopt inclusive policies, such as flexible working arrangements, maternity support, and safe workplace environments, to enable women to balance professional and family responsibilities effectively. Finally, the study emphasizes the importance of government</w:t>
      </w:r>
      <w:r>
        <w:t xml:space="preserve"> </w:t>
      </w:r>
      <w:r w:rsidRPr="0004583B">
        <w:t>industry partnerships in supporting the implementation of Vision 2030 objectives, thereby accelerating women’s integration into safety management roles within power plants</w:t>
      </w:r>
      <w:r>
        <w:t xml:space="preserve">. </w:t>
      </w:r>
    </w:p>
    <w:p w14:paraId="689C5622" w14:textId="419D1B81" w:rsidR="007D5F15" w:rsidRDefault="007D5F15" w:rsidP="007D5F15">
      <w:pPr>
        <w:pStyle w:val="Table"/>
      </w:pPr>
      <w:r>
        <w:t xml:space="preserve">Table 1: </w:t>
      </w:r>
      <w:r w:rsidRPr="007D5F15">
        <w:t>Practical Implications for Women’s Participation in Safety Roles</w:t>
      </w:r>
    </w:p>
    <w:p w14:paraId="13CA5E0E" w14:textId="77777777" w:rsidR="007D5F15" w:rsidRDefault="007D5F15" w:rsidP="007D5F15">
      <w:pPr>
        <w:pStyle w:val="Table"/>
      </w:pPr>
    </w:p>
    <w:tbl>
      <w:tblPr>
        <w:tblStyle w:val="TableGrid"/>
        <w:tblW w:w="0" w:type="auto"/>
        <w:tblLook w:val="04A0" w:firstRow="1" w:lastRow="0" w:firstColumn="1" w:lastColumn="0" w:noHBand="0" w:noVBand="1"/>
      </w:tblPr>
      <w:tblGrid>
        <w:gridCol w:w="511"/>
        <w:gridCol w:w="2282"/>
        <w:gridCol w:w="7028"/>
      </w:tblGrid>
      <w:tr w:rsidR="007D5F15" w:rsidRPr="0004583B" w14:paraId="2D5A40B3" w14:textId="77777777" w:rsidTr="007D5F15">
        <w:tc>
          <w:tcPr>
            <w:tcW w:w="0" w:type="auto"/>
            <w:tcBorders>
              <w:left w:val="nil"/>
              <w:bottom w:val="single" w:sz="4" w:space="0" w:color="auto"/>
              <w:right w:val="nil"/>
            </w:tcBorders>
            <w:hideMark/>
          </w:tcPr>
          <w:p w14:paraId="601BFA23" w14:textId="77777777" w:rsidR="007D5F15" w:rsidRPr="0004583B" w:rsidRDefault="007D5F15" w:rsidP="00690E14">
            <w:pPr>
              <w:spacing w:after="160" w:line="259" w:lineRule="auto"/>
              <w:rPr>
                <w:b/>
                <w:bCs/>
                <w:sz w:val="20"/>
                <w:szCs w:val="20"/>
              </w:rPr>
            </w:pPr>
            <w:r w:rsidRPr="0004583B">
              <w:rPr>
                <w:b/>
                <w:bCs/>
                <w:sz w:val="20"/>
                <w:szCs w:val="20"/>
              </w:rPr>
              <w:t>No.</w:t>
            </w:r>
          </w:p>
        </w:tc>
        <w:tc>
          <w:tcPr>
            <w:tcW w:w="0" w:type="auto"/>
            <w:tcBorders>
              <w:left w:val="nil"/>
              <w:bottom w:val="single" w:sz="4" w:space="0" w:color="auto"/>
              <w:right w:val="nil"/>
            </w:tcBorders>
            <w:hideMark/>
          </w:tcPr>
          <w:p w14:paraId="2C57F3EC" w14:textId="77777777" w:rsidR="007D5F15" w:rsidRPr="0004583B" w:rsidRDefault="007D5F15" w:rsidP="00690E14">
            <w:pPr>
              <w:spacing w:after="160" w:line="259" w:lineRule="auto"/>
              <w:rPr>
                <w:b/>
                <w:bCs/>
                <w:sz w:val="20"/>
                <w:szCs w:val="20"/>
              </w:rPr>
            </w:pPr>
            <w:r w:rsidRPr="0004583B">
              <w:rPr>
                <w:b/>
                <w:bCs/>
                <w:sz w:val="20"/>
                <w:szCs w:val="20"/>
              </w:rPr>
              <w:t>Practical Implication</w:t>
            </w:r>
          </w:p>
        </w:tc>
        <w:tc>
          <w:tcPr>
            <w:tcW w:w="0" w:type="auto"/>
            <w:tcBorders>
              <w:left w:val="nil"/>
              <w:bottom w:val="single" w:sz="4" w:space="0" w:color="auto"/>
              <w:right w:val="nil"/>
            </w:tcBorders>
            <w:hideMark/>
          </w:tcPr>
          <w:p w14:paraId="45356B18" w14:textId="77777777" w:rsidR="007D5F15" w:rsidRPr="0004583B" w:rsidRDefault="007D5F15" w:rsidP="00690E14">
            <w:pPr>
              <w:spacing w:after="160" w:line="259" w:lineRule="auto"/>
              <w:rPr>
                <w:b/>
                <w:bCs/>
                <w:sz w:val="20"/>
                <w:szCs w:val="20"/>
              </w:rPr>
            </w:pPr>
            <w:r w:rsidRPr="0004583B">
              <w:rPr>
                <w:b/>
                <w:bCs/>
                <w:sz w:val="20"/>
                <w:szCs w:val="20"/>
              </w:rPr>
              <w:t>Description</w:t>
            </w:r>
          </w:p>
        </w:tc>
      </w:tr>
      <w:tr w:rsidR="007D5F15" w:rsidRPr="0004583B" w14:paraId="0BE4236C" w14:textId="77777777" w:rsidTr="007D5F15">
        <w:tc>
          <w:tcPr>
            <w:tcW w:w="0" w:type="auto"/>
            <w:tcBorders>
              <w:left w:val="nil"/>
              <w:bottom w:val="nil"/>
              <w:right w:val="nil"/>
            </w:tcBorders>
            <w:hideMark/>
          </w:tcPr>
          <w:p w14:paraId="7A70E9B7" w14:textId="77777777" w:rsidR="007D5F15" w:rsidRPr="0004583B" w:rsidRDefault="007D5F15" w:rsidP="00690E14">
            <w:pPr>
              <w:spacing w:after="160" w:line="259" w:lineRule="auto"/>
              <w:rPr>
                <w:sz w:val="20"/>
                <w:szCs w:val="20"/>
              </w:rPr>
            </w:pPr>
            <w:r w:rsidRPr="0004583B">
              <w:rPr>
                <w:sz w:val="20"/>
                <w:szCs w:val="20"/>
              </w:rPr>
              <w:t>1</w:t>
            </w:r>
          </w:p>
        </w:tc>
        <w:tc>
          <w:tcPr>
            <w:tcW w:w="0" w:type="auto"/>
            <w:tcBorders>
              <w:left w:val="nil"/>
              <w:bottom w:val="nil"/>
              <w:right w:val="nil"/>
            </w:tcBorders>
            <w:hideMark/>
          </w:tcPr>
          <w:p w14:paraId="58C317C0" w14:textId="77777777" w:rsidR="007D5F15" w:rsidRPr="0004583B" w:rsidRDefault="007D5F15" w:rsidP="00690E14">
            <w:pPr>
              <w:spacing w:after="160" w:line="259" w:lineRule="auto"/>
              <w:rPr>
                <w:sz w:val="20"/>
                <w:szCs w:val="20"/>
              </w:rPr>
            </w:pPr>
            <w:r w:rsidRPr="0004583B">
              <w:rPr>
                <w:sz w:val="20"/>
                <w:szCs w:val="20"/>
              </w:rPr>
              <w:t>Structured Mentorship Programs</w:t>
            </w:r>
          </w:p>
        </w:tc>
        <w:tc>
          <w:tcPr>
            <w:tcW w:w="0" w:type="auto"/>
            <w:tcBorders>
              <w:left w:val="nil"/>
              <w:bottom w:val="nil"/>
              <w:right w:val="nil"/>
            </w:tcBorders>
            <w:hideMark/>
          </w:tcPr>
          <w:p w14:paraId="4F730DC5" w14:textId="77777777" w:rsidR="007D5F15" w:rsidRPr="0004583B" w:rsidRDefault="007D5F15" w:rsidP="00690E14">
            <w:pPr>
              <w:spacing w:after="160" w:line="259" w:lineRule="auto"/>
              <w:rPr>
                <w:sz w:val="20"/>
                <w:szCs w:val="20"/>
              </w:rPr>
            </w:pPr>
            <w:r w:rsidRPr="0004583B">
              <w:rPr>
                <w:sz w:val="20"/>
                <w:szCs w:val="20"/>
              </w:rPr>
              <w:t>Establish mentorship initiatives that connect women with senior safety professionals, offering role models, guidance, and professional networking opportunities.</w:t>
            </w:r>
          </w:p>
        </w:tc>
      </w:tr>
      <w:tr w:rsidR="007D5F15" w:rsidRPr="0004583B" w14:paraId="6AB9BED8" w14:textId="77777777" w:rsidTr="007D5F15">
        <w:tc>
          <w:tcPr>
            <w:tcW w:w="0" w:type="auto"/>
            <w:tcBorders>
              <w:top w:val="nil"/>
              <w:left w:val="nil"/>
              <w:bottom w:val="nil"/>
              <w:right w:val="nil"/>
            </w:tcBorders>
            <w:hideMark/>
          </w:tcPr>
          <w:p w14:paraId="4A2FAC71" w14:textId="77777777" w:rsidR="007D5F15" w:rsidRPr="0004583B" w:rsidRDefault="007D5F15" w:rsidP="00690E14">
            <w:pPr>
              <w:spacing w:after="160" w:line="259" w:lineRule="auto"/>
              <w:rPr>
                <w:sz w:val="20"/>
                <w:szCs w:val="20"/>
              </w:rPr>
            </w:pPr>
            <w:r w:rsidRPr="0004583B">
              <w:rPr>
                <w:sz w:val="20"/>
                <w:szCs w:val="20"/>
              </w:rPr>
              <w:t>2</w:t>
            </w:r>
          </w:p>
        </w:tc>
        <w:tc>
          <w:tcPr>
            <w:tcW w:w="0" w:type="auto"/>
            <w:tcBorders>
              <w:top w:val="nil"/>
              <w:left w:val="nil"/>
              <w:bottom w:val="nil"/>
              <w:right w:val="nil"/>
            </w:tcBorders>
            <w:hideMark/>
          </w:tcPr>
          <w:p w14:paraId="21F74C76" w14:textId="77777777" w:rsidR="007D5F15" w:rsidRPr="0004583B" w:rsidRDefault="007D5F15" w:rsidP="00690E14">
            <w:pPr>
              <w:spacing w:after="160" w:line="259" w:lineRule="auto"/>
              <w:rPr>
                <w:sz w:val="20"/>
                <w:szCs w:val="20"/>
              </w:rPr>
            </w:pPr>
            <w:r w:rsidRPr="0004583B">
              <w:rPr>
                <w:sz w:val="20"/>
                <w:szCs w:val="20"/>
              </w:rPr>
              <w:t>Gender-Sensitive Training and Certification</w:t>
            </w:r>
          </w:p>
        </w:tc>
        <w:tc>
          <w:tcPr>
            <w:tcW w:w="0" w:type="auto"/>
            <w:tcBorders>
              <w:top w:val="nil"/>
              <w:left w:val="nil"/>
              <w:bottom w:val="nil"/>
              <w:right w:val="nil"/>
            </w:tcBorders>
            <w:hideMark/>
          </w:tcPr>
          <w:p w14:paraId="273D0371" w14:textId="77777777" w:rsidR="007D5F15" w:rsidRPr="0004583B" w:rsidRDefault="007D5F15" w:rsidP="00690E14">
            <w:pPr>
              <w:spacing w:after="160" w:line="259" w:lineRule="auto"/>
              <w:rPr>
                <w:sz w:val="20"/>
                <w:szCs w:val="20"/>
              </w:rPr>
            </w:pPr>
            <w:r w:rsidRPr="0004583B">
              <w:rPr>
                <w:sz w:val="20"/>
                <w:szCs w:val="20"/>
              </w:rPr>
              <w:t>Develop training and certification programs that are accessible to women, ensuring equitable opportunities to gain technical expertise and qualifications in safety management.</w:t>
            </w:r>
          </w:p>
        </w:tc>
      </w:tr>
      <w:tr w:rsidR="007D5F15" w:rsidRPr="0004583B" w14:paraId="6E95D21C" w14:textId="77777777" w:rsidTr="007D5F15">
        <w:tc>
          <w:tcPr>
            <w:tcW w:w="0" w:type="auto"/>
            <w:tcBorders>
              <w:top w:val="nil"/>
              <w:left w:val="nil"/>
              <w:bottom w:val="nil"/>
              <w:right w:val="nil"/>
            </w:tcBorders>
            <w:hideMark/>
          </w:tcPr>
          <w:p w14:paraId="72DB5888" w14:textId="77777777" w:rsidR="007D5F15" w:rsidRPr="0004583B" w:rsidRDefault="007D5F15" w:rsidP="00690E14">
            <w:pPr>
              <w:spacing w:after="160" w:line="259" w:lineRule="auto"/>
              <w:rPr>
                <w:sz w:val="20"/>
                <w:szCs w:val="20"/>
              </w:rPr>
            </w:pPr>
            <w:r w:rsidRPr="0004583B">
              <w:rPr>
                <w:sz w:val="20"/>
                <w:szCs w:val="20"/>
              </w:rPr>
              <w:t>3</w:t>
            </w:r>
          </w:p>
        </w:tc>
        <w:tc>
          <w:tcPr>
            <w:tcW w:w="0" w:type="auto"/>
            <w:tcBorders>
              <w:top w:val="nil"/>
              <w:left w:val="nil"/>
              <w:bottom w:val="nil"/>
              <w:right w:val="nil"/>
            </w:tcBorders>
            <w:hideMark/>
          </w:tcPr>
          <w:p w14:paraId="63E0411B" w14:textId="77777777" w:rsidR="007D5F15" w:rsidRPr="0004583B" w:rsidRDefault="007D5F15" w:rsidP="00690E14">
            <w:pPr>
              <w:spacing w:after="160" w:line="259" w:lineRule="auto"/>
              <w:rPr>
                <w:sz w:val="20"/>
                <w:szCs w:val="20"/>
              </w:rPr>
            </w:pPr>
            <w:r w:rsidRPr="0004583B">
              <w:rPr>
                <w:sz w:val="20"/>
                <w:szCs w:val="20"/>
              </w:rPr>
              <w:t>Inclusive Organizational Policies</w:t>
            </w:r>
          </w:p>
        </w:tc>
        <w:tc>
          <w:tcPr>
            <w:tcW w:w="0" w:type="auto"/>
            <w:tcBorders>
              <w:top w:val="nil"/>
              <w:left w:val="nil"/>
              <w:bottom w:val="nil"/>
              <w:right w:val="nil"/>
            </w:tcBorders>
            <w:hideMark/>
          </w:tcPr>
          <w:p w14:paraId="2D2E91A2" w14:textId="77777777" w:rsidR="007D5F15" w:rsidRPr="0004583B" w:rsidRDefault="007D5F15" w:rsidP="00690E14">
            <w:pPr>
              <w:spacing w:after="160" w:line="259" w:lineRule="auto"/>
              <w:rPr>
                <w:sz w:val="20"/>
                <w:szCs w:val="20"/>
              </w:rPr>
            </w:pPr>
            <w:r w:rsidRPr="0004583B">
              <w:rPr>
                <w:sz w:val="20"/>
                <w:szCs w:val="20"/>
              </w:rPr>
              <w:t>Implement workplace policies such as flexible working hours, maternity support, and safe working environments to support women in balancing career and family responsibilities.</w:t>
            </w:r>
          </w:p>
        </w:tc>
      </w:tr>
      <w:tr w:rsidR="007D5F15" w:rsidRPr="0004583B" w14:paraId="4A5B7FDD" w14:textId="77777777" w:rsidTr="007D5F15">
        <w:tc>
          <w:tcPr>
            <w:tcW w:w="0" w:type="auto"/>
            <w:tcBorders>
              <w:top w:val="nil"/>
              <w:left w:val="nil"/>
              <w:right w:val="nil"/>
            </w:tcBorders>
            <w:hideMark/>
          </w:tcPr>
          <w:p w14:paraId="04AA6959" w14:textId="77777777" w:rsidR="007D5F15" w:rsidRPr="0004583B" w:rsidRDefault="007D5F15" w:rsidP="00690E14">
            <w:pPr>
              <w:spacing w:after="160" w:line="259" w:lineRule="auto"/>
              <w:rPr>
                <w:sz w:val="20"/>
                <w:szCs w:val="20"/>
              </w:rPr>
            </w:pPr>
            <w:r w:rsidRPr="0004583B">
              <w:rPr>
                <w:sz w:val="20"/>
                <w:szCs w:val="20"/>
              </w:rPr>
              <w:t>4</w:t>
            </w:r>
          </w:p>
        </w:tc>
        <w:tc>
          <w:tcPr>
            <w:tcW w:w="0" w:type="auto"/>
            <w:tcBorders>
              <w:top w:val="nil"/>
              <w:left w:val="nil"/>
              <w:right w:val="nil"/>
            </w:tcBorders>
            <w:hideMark/>
          </w:tcPr>
          <w:p w14:paraId="18982179" w14:textId="77777777" w:rsidR="007D5F15" w:rsidRPr="0004583B" w:rsidRDefault="007D5F15" w:rsidP="00690E14">
            <w:pPr>
              <w:spacing w:after="160" w:line="259" w:lineRule="auto"/>
              <w:rPr>
                <w:sz w:val="20"/>
                <w:szCs w:val="20"/>
              </w:rPr>
            </w:pPr>
            <w:r w:rsidRPr="0004583B">
              <w:rPr>
                <w:sz w:val="20"/>
                <w:szCs w:val="20"/>
              </w:rPr>
              <w:t>Government–Industry Partnerships</w:t>
            </w:r>
          </w:p>
        </w:tc>
        <w:tc>
          <w:tcPr>
            <w:tcW w:w="0" w:type="auto"/>
            <w:tcBorders>
              <w:top w:val="nil"/>
              <w:left w:val="nil"/>
              <w:right w:val="nil"/>
            </w:tcBorders>
            <w:hideMark/>
          </w:tcPr>
          <w:p w14:paraId="1F48E3E5" w14:textId="77777777" w:rsidR="007D5F15" w:rsidRPr="0004583B" w:rsidRDefault="007D5F15" w:rsidP="00690E14">
            <w:pPr>
              <w:spacing w:after="160" w:line="259" w:lineRule="auto"/>
              <w:rPr>
                <w:sz w:val="20"/>
                <w:szCs w:val="20"/>
              </w:rPr>
            </w:pPr>
            <w:r w:rsidRPr="0004583B">
              <w:rPr>
                <w:sz w:val="20"/>
                <w:szCs w:val="20"/>
              </w:rPr>
              <w:t>Strengthen collaborations between government bodies and industry stakeholders to operationalize Vision 2030 reforms and accelerate women’s participation in safety management within power plants.</w:t>
            </w:r>
          </w:p>
        </w:tc>
      </w:tr>
    </w:tbl>
    <w:p w14:paraId="7AF7920D" w14:textId="22387BBC" w:rsidR="007D5F15" w:rsidRDefault="007D5F15" w:rsidP="007D5F15">
      <w:pPr>
        <w:pStyle w:val="Topic"/>
      </w:pPr>
      <w:r>
        <w:t xml:space="preserve">Conclusion </w:t>
      </w:r>
    </w:p>
    <w:p w14:paraId="186ACBD2" w14:textId="77777777" w:rsidR="007D5F15" w:rsidRDefault="007D5F15" w:rsidP="007D5F15">
      <w:pPr>
        <w:pStyle w:val="1stParagraph"/>
      </w:pPr>
      <w:r>
        <w:t>The findings of this study clearly demonstrate that women in Saudi Arabia’s power plants continue to face a complex interplay of cultural and institutional barriers that limit their participation in safety management roles, with factors such as gender stereotypes, workplace segregation, limited training access, and absence of mentorship collectively reinforcing systemic challenges that discourage women from entering or progressing in this profession despite their qualifications and aspirations.</w:t>
      </w:r>
    </w:p>
    <w:p w14:paraId="271DDE15" w14:textId="77777777" w:rsidR="007D5F15" w:rsidRDefault="007D5F15" w:rsidP="007D5F15">
      <w:pPr>
        <w:pStyle w:val="NextParagraph"/>
      </w:pPr>
      <w:r>
        <w:t>At the same time, the research highlights that significant opportunities are emerging through national reforms under Vision 2030, organizational initiatives promoting gender inclusivity, and international best practices, which together create a policy and institutional environment that can begin to dismantle long-standing barriers while simultaneously empowering women to contribute meaningfully to the technical and safety dimensions of the energy sector.</w:t>
      </w:r>
    </w:p>
    <w:p w14:paraId="06C20361" w14:textId="77777777" w:rsidR="007D5F15" w:rsidRDefault="007D5F15" w:rsidP="007D5F15">
      <w:pPr>
        <w:pStyle w:val="NextParagraph"/>
      </w:pPr>
      <w:r>
        <w:t>Importantly, the study underscores that gender diversity in safety management is not merely an issue of social equity or symbolic representation, but rather a strategic factor that directly enhances safety outcomes by improving risk assessment, decision-making, collaboration, and communication across teams, thereby strengthening the overall safety culture within high-risk environments like power plants.</w:t>
      </w:r>
    </w:p>
    <w:p w14:paraId="426B2601" w14:textId="77777777" w:rsidR="007D5F15" w:rsidRDefault="007D5F15" w:rsidP="007D5F15">
      <w:pPr>
        <w:pStyle w:val="NextParagraph"/>
      </w:pPr>
      <w:r>
        <w:t xml:space="preserve">This suggests that addressing barriers through systemic interventions—such as structured mentorship programs, gender-sensitive training and certification initiatives, and inclusive organizational policies that account for work-life balance and family responsibilities—can pave the way for more equitable participation of </w:t>
      </w:r>
      <w:r>
        <w:lastRenderedPageBreak/>
        <w:t>women in safety management, which in turn contributes to both workforce diversification and operational resilience in the energy sector.</w:t>
      </w:r>
    </w:p>
    <w:p w14:paraId="644D052C" w14:textId="489CCCD7" w:rsidR="007D5F15" w:rsidRDefault="007D5F15" w:rsidP="007D5F15">
      <w:pPr>
        <w:pStyle w:val="NextParagraph"/>
      </w:pPr>
      <w:r>
        <w:t>In conclusion, by recognizing and addressing the unique challenges women face while simultaneously investing in opportunities that support their progression, policymakers and industry leaders can ensure that the integration of women into safety roles not only fulfills the national agenda for gender equality but also achieves the broader organizational goal of improving occupational safety performance, thus aligning social development with industrial excellence.</w:t>
      </w:r>
    </w:p>
    <w:p w14:paraId="39D4D922" w14:textId="77777777" w:rsidR="00221BAD" w:rsidRPr="00221BAD" w:rsidRDefault="00221BAD" w:rsidP="00950187">
      <w:pPr>
        <w:pStyle w:val="Acknowledgement"/>
      </w:pPr>
      <w:commentRangeStart w:id="2"/>
      <w:r w:rsidRPr="00221BAD">
        <w:t>Acknowledgement</w:t>
      </w:r>
      <w:commentRangeEnd w:id="2"/>
      <w:r w:rsidR="005025FB">
        <w:rPr>
          <w:rStyle w:val="CommentReference"/>
          <w:rFonts w:ascii="Times New Roman" w:hAnsi="Times New Roman"/>
          <w:b w:val="0"/>
          <w:color w:val="auto"/>
        </w:rPr>
        <w:commentReference w:id="2"/>
      </w:r>
    </w:p>
    <w:p w14:paraId="359AC53E" w14:textId="5CDBA74A" w:rsidR="00317A87" w:rsidRDefault="007D5F15" w:rsidP="00D871AC">
      <w:pPr>
        <w:pStyle w:val="1stParagraph"/>
      </w:pPr>
      <w:r>
        <w:t>T</w:t>
      </w:r>
      <w:r w:rsidRPr="007D5F15">
        <w:t xml:space="preserve">he authors gratefully </w:t>
      </w:r>
      <w:r w:rsidR="003C2384" w:rsidRPr="007D5F15">
        <w:t>acknowledge</w:t>
      </w:r>
      <w:r w:rsidRPr="007D5F15">
        <w:t xml:space="preserve"> the participants who generously shared their time and experiences, making this research possible. Appreciation is also extended to the supporting institution and colleagues for their guidance and constructive feedback throughout the study. Finally, heartfelt thanks go to family and friends for their continuous encouragement during the research process.</w:t>
      </w:r>
    </w:p>
    <w:p w14:paraId="1392EF86" w14:textId="77777777" w:rsidR="00317A87" w:rsidRDefault="00317A87" w:rsidP="00950187">
      <w:pPr>
        <w:pStyle w:val="Acknowledgement"/>
      </w:pPr>
      <w:commentRangeStart w:id="3"/>
      <w:r>
        <w:t>References</w:t>
      </w:r>
      <w:commentRangeEnd w:id="3"/>
      <w:r w:rsidR="005025FB">
        <w:rPr>
          <w:rStyle w:val="CommentReference"/>
          <w:rFonts w:ascii="Times New Roman" w:hAnsi="Times New Roman"/>
          <w:b w:val="0"/>
          <w:color w:val="auto"/>
        </w:rPr>
        <w:commentReference w:id="3"/>
      </w:r>
    </w:p>
    <w:p w14:paraId="65FE5BF9" w14:textId="77777777" w:rsidR="003C2384" w:rsidRPr="003C2384" w:rsidRDefault="003C2384" w:rsidP="003C2384">
      <w:pPr>
        <w:pStyle w:val="Reference"/>
        <w:rPr>
          <w:lang w:val="en-ID"/>
        </w:rPr>
      </w:pPr>
      <w:r w:rsidRPr="003C2384">
        <w:rPr>
          <w:lang w:val="en-ID"/>
        </w:rPr>
        <w:t xml:space="preserve">Al-Asfour, A., Tlaiss, H. A., Khan, S. A., &amp; Rajasekar, J. (2017). Saudi women’s work challenges and barriers to career advancement. </w:t>
      </w:r>
      <w:r w:rsidRPr="003C2384">
        <w:rPr>
          <w:i/>
          <w:iCs/>
          <w:lang w:val="en-ID"/>
        </w:rPr>
        <w:t>Career Development International, 22</w:t>
      </w:r>
      <w:r w:rsidRPr="003C2384">
        <w:rPr>
          <w:lang w:val="en-ID"/>
        </w:rPr>
        <w:t xml:space="preserve">(2), 184–199. </w:t>
      </w:r>
      <w:hyperlink r:id="rId9" w:tgtFrame="_new" w:history="1">
        <w:r w:rsidRPr="003C2384">
          <w:rPr>
            <w:rStyle w:val="Hyperlink"/>
            <w:lang w:val="en-ID"/>
          </w:rPr>
          <w:t>https://doi.org/10.1108/CDI-11-2016-0200</w:t>
        </w:r>
      </w:hyperlink>
    </w:p>
    <w:p w14:paraId="6A1B3D31" w14:textId="77777777" w:rsidR="003C2384" w:rsidRPr="003C2384" w:rsidRDefault="003C2384" w:rsidP="003C2384">
      <w:pPr>
        <w:pStyle w:val="Reference"/>
        <w:rPr>
          <w:lang w:val="en-ID"/>
        </w:rPr>
      </w:pPr>
      <w:r w:rsidRPr="003C2384">
        <w:rPr>
          <w:lang w:val="en-ID"/>
        </w:rPr>
        <w:t xml:space="preserve">AlMousa, N., Alshehri, A., Alanazi, R., Almalki, S., &amp; Alshahrani, S. (2022). Occupational safety climate and hazards in the industrial sector: Gender differences perspective, Saudi Arabia. </w:t>
      </w:r>
      <w:r w:rsidRPr="003C2384">
        <w:rPr>
          <w:i/>
          <w:iCs/>
          <w:lang w:val="en-ID"/>
        </w:rPr>
        <w:t>International Journal of Environmental Research and Public Health, 19</w:t>
      </w:r>
      <w:r w:rsidRPr="003C2384">
        <w:rPr>
          <w:lang w:val="en-ID"/>
        </w:rPr>
        <w:t xml:space="preserve">(12), 7234. </w:t>
      </w:r>
      <w:hyperlink r:id="rId10" w:tgtFrame="_new" w:history="1">
        <w:r w:rsidRPr="003C2384">
          <w:rPr>
            <w:rStyle w:val="Hyperlink"/>
            <w:lang w:val="en-ID"/>
          </w:rPr>
          <w:t>https://doi.org/10.3390/ijerph19127234</w:t>
        </w:r>
      </w:hyperlink>
    </w:p>
    <w:p w14:paraId="3207638F" w14:textId="77777777" w:rsidR="003C2384" w:rsidRPr="003C2384" w:rsidRDefault="003C2384" w:rsidP="003C2384">
      <w:pPr>
        <w:pStyle w:val="Reference"/>
        <w:rPr>
          <w:lang w:val="en-ID"/>
        </w:rPr>
      </w:pPr>
      <w:r w:rsidRPr="003C2384">
        <w:rPr>
          <w:lang w:val="en-ID"/>
        </w:rPr>
        <w:t xml:space="preserve">Braun, V., &amp; Clarke, V. (2006). Using thematic analysis in psychology. </w:t>
      </w:r>
      <w:r w:rsidRPr="003C2384">
        <w:rPr>
          <w:i/>
          <w:iCs/>
          <w:lang w:val="en-ID"/>
        </w:rPr>
        <w:t>Qualitative Research in Psychology, 3</w:t>
      </w:r>
      <w:r w:rsidRPr="003C2384">
        <w:rPr>
          <w:lang w:val="en-ID"/>
        </w:rPr>
        <w:t xml:space="preserve">(2), 77–101. </w:t>
      </w:r>
      <w:hyperlink r:id="rId11" w:tgtFrame="_new" w:history="1">
        <w:r w:rsidRPr="003C2384">
          <w:rPr>
            <w:rStyle w:val="Hyperlink"/>
            <w:lang w:val="en-ID"/>
          </w:rPr>
          <w:t>https://doi.org/10.1191/1478088706qp063oa</w:t>
        </w:r>
      </w:hyperlink>
    </w:p>
    <w:p w14:paraId="608327DC" w14:textId="77777777" w:rsidR="003C2384" w:rsidRPr="003C2384" w:rsidRDefault="003C2384" w:rsidP="003C2384">
      <w:pPr>
        <w:pStyle w:val="Reference"/>
        <w:rPr>
          <w:lang w:val="en-ID"/>
        </w:rPr>
      </w:pPr>
      <w:r w:rsidRPr="003C2384">
        <w:rPr>
          <w:lang w:val="en-ID"/>
        </w:rPr>
        <w:t xml:space="preserve">Creswell, J. W., &amp; Poth, C. N. (2018). </w:t>
      </w:r>
      <w:r w:rsidRPr="003C2384">
        <w:rPr>
          <w:i/>
          <w:iCs/>
          <w:lang w:val="en-ID"/>
        </w:rPr>
        <w:t>Qualitative inquiry and research design: Choosing among five approaches</w:t>
      </w:r>
      <w:r w:rsidRPr="003C2384">
        <w:rPr>
          <w:lang w:val="en-ID"/>
        </w:rPr>
        <w:t xml:space="preserve"> (4th ed.). SAGE Publications.</w:t>
      </w:r>
    </w:p>
    <w:p w14:paraId="229D04A1" w14:textId="77777777" w:rsidR="003C2384" w:rsidRPr="003C2384" w:rsidRDefault="003C2384" w:rsidP="003C2384">
      <w:pPr>
        <w:pStyle w:val="Reference"/>
        <w:rPr>
          <w:lang w:val="en-ID"/>
        </w:rPr>
      </w:pPr>
      <w:r w:rsidRPr="003C2384">
        <w:rPr>
          <w:lang w:val="en-ID"/>
        </w:rPr>
        <w:t xml:space="preserve">Eagly, A. H. (1987). </w:t>
      </w:r>
      <w:r w:rsidRPr="003C2384">
        <w:rPr>
          <w:i/>
          <w:iCs/>
          <w:lang w:val="en-ID"/>
        </w:rPr>
        <w:t>Sex differences in social behavior: A social-role interpretation</w:t>
      </w:r>
      <w:r w:rsidRPr="003C2384">
        <w:rPr>
          <w:lang w:val="en-ID"/>
        </w:rPr>
        <w:t>. Lawrence Erlbaum Associates.</w:t>
      </w:r>
    </w:p>
    <w:p w14:paraId="7CC768EE" w14:textId="77777777" w:rsidR="003C2384" w:rsidRPr="003C2384" w:rsidRDefault="003C2384" w:rsidP="003C2384">
      <w:pPr>
        <w:pStyle w:val="Reference"/>
        <w:rPr>
          <w:lang w:val="en-ID"/>
        </w:rPr>
      </w:pPr>
      <w:r w:rsidRPr="003C2384">
        <w:rPr>
          <w:lang w:val="en-ID"/>
        </w:rPr>
        <w:t xml:space="preserve">International Energy Agency. (2020). </w:t>
      </w:r>
      <w:r w:rsidRPr="003C2384">
        <w:rPr>
          <w:i/>
          <w:iCs/>
          <w:lang w:val="en-ID"/>
        </w:rPr>
        <w:t>Gender and energy: Empowering women for sustainable energy</w:t>
      </w:r>
      <w:r w:rsidRPr="003C2384">
        <w:rPr>
          <w:lang w:val="en-ID"/>
        </w:rPr>
        <w:t xml:space="preserve">. IEA Publications. </w:t>
      </w:r>
      <w:hyperlink r:id="rId12" w:tgtFrame="_new" w:history="1">
        <w:r w:rsidRPr="003C2384">
          <w:rPr>
            <w:rStyle w:val="Hyperlink"/>
            <w:lang w:val="en-ID"/>
          </w:rPr>
          <w:t>https://www.iea.org/reports/gender-and-energy</w:t>
        </w:r>
      </w:hyperlink>
    </w:p>
    <w:p w14:paraId="09116781" w14:textId="77777777" w:rsidR="003C2384" w:rsidRPr="003C2384" w:rsidRDefault="003C2384" w:rsidP="003C2384">
      <w:pPr>
        <w:pStyle w:val="Reference"/>
        <w:rPr>
          <w:lang w:val="en-ID"/>
        </w:rPr>
      </w:pPr>
      <w:r w:rsidRPr="003C2384">
        <w:rPr>
          <w:lang w:val="en-ID"/>
        </w:rPr>
        <w:t xml:space="preserve">Khan, S. (2023). Role of human resource policies in ensuring women’s safety in the workplace. </w:t>
      </w:r>
      <w:r w:rsidRPr="003C2384">
        <w:rPr>
          <w:i/>
          <w:iCs/>
          <w:lang w:val="en-ID"/>
        </w:rPr>
        <w:t>Problems and Perspectives in Management, 21</w:t>
      </w:r>
      <w:r w:rsidRPr="003C2384">
        <w:rPr>
          <w:lang w:val="en-ID"/>
        </w:rPr>
        <w:t xml:space="preserve">(1), 13–23. </w:t>
      </w:r>
      <w:hyperlink r:id="rId13" w:tgtFrame="_new" w:history="1">
        <w:r w:rsidRPr="003C2384">
          <w:rPr>
            <w:rStyle w:val="Hyperlink"/>
            <w:lang w:val="en-ID"/>
          </w:rPr>
          <w:t>https://doi.org/10.21511/ppm.21(1).2023.02</w:t>
        </w:r>
      </w:hyperlink>
    </w:p>
    <w:p w14:paraId="7BBC68D9" w14:textId="77777777" w:rsidR="003C2384" w:rsidRPr="003C2384" w:rsidRDefault="003C2384" w:rsidP="003C2384">
      <w:pPr>
        <w:pStyle w:val="Reference"/>
        <w:rPr>
          <w:lang w:val="en-ID"/>
        </w:rPr>
      </w:pPr>
      <w:r w:rsidRPr="003C2384">
        <w:rPr>
          <w:lang w:val="en-ID"/>
        </w:rPr>
        <w:t xml:space="preserve">Maier, E., Halim, R., &amp; Pratiwi, A. (2023). </w:t>
      </w:r>
      <w:r w:rsidRPr="003C2384">
        <w:rPr>
          <w:i/>
          <w:iCs/>
          <w:lang w:val="en-ID"/>
        </w:rPr>
        <w:t>Toward more and better jobs for women in energy</w:t>
      </w:r>
      <w:r w:rsidRPr="003C2384">
        <w:rPr>
          <w:lang w:val="en-ID"/>
        </w:rPr>
        <w:t xml:space="preserve">. World Bank Group. </w:t>
      </w:r>
      <w:hyperlink r:id="rId14" w:tgtFrame="_new" w:history="1">
        <w:r w:rsidRPr="003C2384">
          <w:rPr>
            <w:rStyle w:val="Hyperlink"/>
            <w:lang w:val="en-ID"/>
          </w:rPr>
          <w:t>https://documents1.worldbank.org/curated/en/099811306222220953/pdf/IDU0864241720fd0f04d5a094d009ba1a46de97d.pdf</w:t>
        </w:r>
      </w:hyperlink>
    </w:p>
    <w:p w14:paraId="060F3463" w14:textId="77777777" w:rsidR="003C2384" w:rsidRPr="003C2384" w:rsidRDefault="003C2384" w:rsidP="003C2384">
      <w:pPr>
        <w:pStyle w:val="Reference"/>
        <w:rPr>
          <w:lang w:val="en-ID"/>
        </w:rPr>
      </w:pPr>
      <w:r w:rsidRPr="003C2384">
        <w:rPr>
          <w:lang w:val="en-ID"/>
        </w:rPr>
        <w:t xml:space="preserve">Palinkas, L. A., Horwitz, S. M., Green, C. A., Wisdom, J. P., Duan, N., &amp; Hoagwood, K. (2015). Purposeful sampling for qualitative data collection and analysis in mixed method implementation research. </w:t>
      </w:r>
      <w:r w:rsidRPr="003C2384">
        <w:rPr>
          <w:i/>
          <w:iCs/>
          <w:lang w:val="en-ID"/>
        </w:rPr>
        <w:t>Administration and Policy in Mental Health and Mental Health Services Research, 42</w:t>
      </w:r>
      <w:r w:rsidRPr="003C2384">
        <w:rPr>
          <w:lang w:val="en-ID"/>
        </w:rPr>
        <w:t xml:space="preserve">(5), 533–544. </w:t>
      </w:r>
      <w:hyperlink r:id="rId15" w:tgtFrame="_new" w:history="1">
        <w:r w:rsidRPr="003C2384">
          <w:rPr>
            <w:rStyle w:val="Hyperlink"/>
            <w:lang w:val="en-ID"/>
          </w:rPr>
          <w:t>https://doi.org/10.1007/s10488-013-0528-y</w:t>
        </w:r>
      </w:hyperlink>
    </w:p>
    <w:p w14:paraId="10596EA5" w14:textId="77777777" w:rsidR="003C2384" w:rsidRPr="003C2384" w:rsidRDefault="003C2384" w:rsidP="003C2384">
      <w:pPr>
        <w:pStyle w:val="Reference"/>
        <w:rPr>
          <w:lang w:val="en-ID"/>
        </w:rPr>
      </w:pPr>
      <w:r w:rsidRPr="003C2384">
        <w:rPr>
          <w:lang w:val="en-ID"/>
        </w:rPr>
        <w:t xml:space="preserve">Shatilova, O., Saltykova, A., &amp; Ubaidullaev, A. (2021). Gender equality in the energy sector: Analysis and perspectives. </w:t>
      </w:r>
      <w:r w:rsidRPr="003C2384">
        <w:rPr>
          <w:i/>
          <w:iCs/>
          <w:lang w:val="en-ID"/>
        </w:rPr>
        <w:t>E3S Web of Conferences, 250</w:t>
      </w:r>
      <w:r w:rsidRPr="003C2384">
        <w:rPr>
          <w:lang w:val="en-ID"/>
        </w:rPr>
        <w:t xml:space="preserve">, 03002. </w:t>
      </w:r>
      <w:hyperlink r:id="rId16" w:tgtFrame="_new" w:history="1">
        <w:r w:rsidRPr="003C2384">
          <w:rPr>
            <w:rStyle w:val="Hyperlink"/>
            <w:lang w:val="en-ID"/>
          </w:rPr>
          <w:t>https://doi.org/10.1051/e3sconf/202125003002</w:t>
        </w:r>
      </w:hyperlink>
    </w:p>
    <w:p w14:paraId="51F657A7" w14:textId="77777777" w:rsidR="003C2384" w:rsidRPr="003C2384" w:rsidRDefault="003C2384" w:rsidP="003C2384">
      <w:pPr>
        <w:pStyle w:val="Reference"/>
        <w:rPr>
          <w:lang w:val="en-ID"/>
        </w:rPr>
      </w:pPr>
      <w:r w:rsidRPr="003C2384">
        <w:rPr>
          <w:lang w:val="en-ID"/>
        </w:rPr>
        <w:t xml:space="preserve">Trist, E., &amp; Bamforth, K. (1951). Some social and psychological consequences of the longwall method of coal-getting. </w:t>
      </w:r>
      <w:r w:rsidRPr="003C2384">
        <w:rPr>
          <w:i/>
          <w:iCs/>
          <w:lang w:val="en-ID"/>
        </w:rPr>
        <w:t>Human Relations, 4</w:t>
      </w:r>
      <w:r w:rsidRPr="003C2384">
        <w:rPr>
          <w:lang w:val="en-ID"/>
        </w:rPr>
        <w:t xml:space="preserve">(1), 3–38. </w:t>
      </w:r>
      <w:hyperlink r:id="rId17" w:tgtFrame="_new" w:history="1">
        <w:r w:rsidRPr="003C2384">
          <w:rPr>
            <w:rStyle w:val="Hyperlink"/>
            <w:lang w:val="en-ID"/>
          </w:rPr>
          <w:t>https://doi.org/10.1177/001872675100400101</w:t>
        </w:r>
      </w:hyperlink>
    </w:p>
    <w:p w14:paraId="5C51D59C" w14:textId="31DBEFC8" w:rsidR="00BC262C" w:rsidRPr="00BC262C" w:rsidRDefault="00BC262C" w:rsidP="00FF3EF0">
      <w:pPr>
        <w:pStyle w:val="Reference"/>
      </w:pPr>
    </w:p>
    <w:sectPr w:rsidR="00BC262C" w:rsidRPr="00BC262C" w:rsidSect="00F70C37">
      <w:footerReference w:type="default" r:id="rId18"/>
      <w:footerReference w:type="first" r:id="rId19"/>
      <w:type w:val="continuous"/>
      <w:pgSz w:w="11909" w:h="16834" w:code="9"/>
      <w:pgMar w:top="1512" w:right="1152" w:bottom="1152" w:left="1152" w:header="864" w:footer="288"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Mohammad Ahyar Bin Zulkefli" w:date="2023-06-25T08:53:00Z" w:initials="MABZ">
    <w:p w14:paraId="6997CB68" w14:textId="77777777" w:rsidR="00835116" w:rsidRDefault="00835116">
      <w:pPr>
        <w:pStyle w:val="CommentText"/>
      </w:pPr>
      <w:r>
        <w:rPr>
          <w:rStyle w:val="CommentReference"/>
        </w:rPr>
        <w:annotationRef/>
      </w:r>
      <w:r>
        <w:t>Use Topic Style</w:t>
      </w:r>
    </w:p>
  </w:comment>
  <w:comment w:id="2" w:author="Mohammad Ahyar Bin Zulkefli" w:date="2023-06-25T09:01:00Z" w:initials="MABZ">
    <w:p w14:paraId="1DEE3C02" w14:textId="77777777" w:rsidR="005025FB" w:rsidRDefault="005025FB">
      <w:pPr>
        <w:pStyle w:val="CommentText"/>
      </w:pPr>
      <w:r>
        <w:rPr>
          <w:rStyle w:val="CommentReference"/>
        </w:rPr>
        <w:annotationRef/>
      </w:r>
      <w:r>
        <w:t>Use Acknowledgement Style</w:t>
      </w:r>
    </w:p>
  </w:comment>
  <w:comment w:id="3" w:author="Mohammad Ahyar Bin Zulkefli" w:date="2023-06-25T09:02:00Z" w:initials="MABZ">
    <w:p w14:paraId="56A6A1F2" w14:textId="77777777" w:rsidR="005025FB" w:rsidRDefault="005025FB">
      <w:pPr>
        <w:pStyle w:val="CommentText"/>
      </w:pPr>
      <w:r>
        <w:rPr>
          <w:rStyle w:val="CommentReference"/>
        </w:rPr>
        <w:annotationRef/>
      </w:r>
      <w:r>
        <w:t>Use Acknowledgement Style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CD93A8F" w15:done="0"/>
  <w15:commentEx w15:paraId="6997CB68" w15:done="0"/>
  <w15:commentEx w15:paraId="1DEE3C02" w15:done="0"/>
  <w15:commentEx w15:paraId="56A6A1F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CD93A8F" w16cid:durableId="284285B1"/>
  <w16cid:commentId w16cid:paraId="6997CB68" w16cid:durableId="28427F12"/>
  <w16cid:commentId w16cid:paraId="1DEE3C02" w16cid:durableId="28428107"/>
  <w16cid:commentId w16cid:paraId="56A6A1F2" w16cid:durableId="2842813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73EEA1" w14:textId="77777777" w:rsidR="00E95254" w:rsidRDefault="00E95254">
      <w:r>
        <w:separator/>
      </w:r>
    </w:p>
  </w:endnote>
  <w:endnote w:type="continuationSeparator" w:id="0">
    <w:p w14:paraId="045D0CD0" w14:textId="77777777" w:rsidR="00E95254" w:rsidRDefault="00E95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venir LT Pro 55 Roman">
    <w:altName w:val="Calibri"/>
    <w:panose1 w:val="00000000000000000000"/>
    <w:charset w:val="00"/>
    <w:family w:val="swiss"/>
    <w:notTrueType/>
    <w:pitch w:val="default"/>
    <w:sig w:usb0="00000003" w:usb1="00000000" w:usb2="00000000" w:usb3="00000000" w:csb0="00000001" w:csb1="00000000"/>
  </w:font>
  <w:font w:name="Avenir LT Pro 45 Book">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F6C5DF" w14:textId="275C94B7" w:rsidR="00487082" w:rsidRPr="00487082" w:rsidRDefault="00487082" w:rsidP="00A6069A">
    <w:pPr>
      <w:pStyle w:val="Footer"/>
      <w:jc w:val="right"/>
      <w:rPr>
        <w:rFonts w:ascii="Cambria" w:hAnsi="Cambr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89ADC8" w14:textId="77777777" w:rsidR="00400AEE" w:rsidRPr="00F16924" w:rsidRDefault="00400AEE" w:rsidP="0012506A">
    <w:pPr>
      <w:pStyle w:val="Header"/>
      <w:tabs>
        <w:tab w:val="center" w:pos="3329"/>
        <w:tab w:val="left" w:pos="5284"/>
      </w:tabs>
      <w:jc w:val="center"/>
      <w:rPr>
        <w:rFonts w:ascii="Cambria" w:hAnsi="Cambria"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7C2F59" w14:textId="77777777" w:rsidR="00E95254" w:rsidRDefault="00E95254">
      <w:r>
        <w:separator/>
      </w:r>
    </w:p>
  </w:footnote>
  <w:footnote w:type="continuationSeparator" w:id="0">
    <w:p w14:paraId="498C6774" w14:textId="77777777" w:rsidR="00E95254" w:rsidRDefault="00E952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A0D6C"/>
    <w:multiLevelType w:val="hybridMultilevel"/>
    <w:tmpl w:val="57DCE9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BF60D3"/>
    <w:multiLevelType w:val="hybridMultilevel"/>
    <w:tmpl w:val="99FAB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0130AA"/>
    <w:multiLevelType w:val="multilevel"/>
    <w:tmpl w:val="7E98FB52"/>
    <w:lvl w:ilvl="0">
      <w:start w:val="1"/>
      <w:numFmt w:val="decimal"/>
      <w:pStyle w:val="Topic"/>
      <w:lvlText w:val="%1."/>
      <w:lvlJc w:val="left"/>
      <w:pPr>
        <w:tabs>
          <w:tab w:val="num" w:pos="720"/>
        </w:tabs>
        <w:ind w:left="720" w:hanging="360"/>
      </w:pPr>
      <w:rPr>
        <w:rFonts w:hint="default"/>
      </w:rPr>
    </w:lvl>
    <w:lvl w:ilvl="1">
      <w:start w:val="1"/>
      <w:numFmt w:val="decimal"/>
      <w:pStyle w:val="SubTopic"/>
      <w:isLgl/>
      <w:lvlText w:val="%1.%2"/>
      <w:lvlJc w:val="left"/>
      <w:pPr>
        <w:tabs>
          <w:tab w:val="num" w:pos="720"/>
        </w:tabs>
        <w:ind w:left="720" w:hanging="360"/>
      </w:pPr>
      <w:rPr>
        <w:rFonts w:hint="default"/>
      </w:rPr>
    </w:lvl>
    <w:lvl w:ilvl="2">
      <w:start w:val="1"/>
      <w:numFmt w:val="decimal"/>
      <w:pStyle w:val="SubTopic3"/>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nsid w:val="18DF629F"/>
    <w:multiLevelType w:val="hybridMultilevel"/>
    <w:tmpl w:val="5194FDAA"/>
    <w:lvl w:ilvl="0" w:tplc="45D67C6C">
      <w:start w:val="1"/>
      <w:numFmt w:val="decimal"/>
      <w:lvlText w:val="%1"/>
      <w:lvlJc w:val="left"/>
      <w:pPr>
        <w:ind w:left="45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nsid w:val="231802D1"/>
    <w:multiLevelType w:val="multilevel"/>
    <w:tmpl w:val="47DB5B81"/>
    <w:lvl w:ilvl="0">
      <w:start w:val="1"/>
      <w:numFmt w:val="decimal"/>
      <w:lvlText w:val="[%1]"/>
      <w:lvlJc w:val="left"/>
      <w:pPr>
        <w:ind w:left="432" w:hanging="432"/>
      </w:pPr>
      <w:rPr>
        <w:rFonts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26122907"/>
    <w:multiLevelType w:val="multilevel"/>
    <w:tmpl w:val="47DB5B81"/>
    <w:lvl w:ilvl="0">
      <w:start w:val="1"/>
      <w:numFmt w:val="decimal"/>
      <w:lvlText w:val="[%1]"/>
      <w:lvlJc w:val="left"/>
      <w:pPr>
        <w:ind w:left="432" w:hanging="432"/>
      </w:pPr>
      <w:rPr>
        <w:rFonts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3ECF394A"/>
    <w:multiLevelType w:val="multilevel"/>
    <w:tmpl w:val="2E886F0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47DB5B81"/>
    <w:multiLevelType w:val="multilevel"/>
    <w:tmpl w:val="D38C58BC"/>
    <w:lvl w:ilvl="0">
      <w:start w:val="1"/>
      <w:numFmt w:val="decimal"/>
      <w:lvlText w:val="[%1]"/>
      <w:lvlJc w:val="left"/>
      <w:pPr>
        <w:ind w:left="432" w:hanging="432"/>
      </w:pPr>
      <w:rPr>
        <w:rFonts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
  </w:num>
  <w:num w:numId="2">
    <w:abstractNumId w:val="7"/>
  </w:num>
  <w:num w:numId="3">
    <w:abstractNumId w:val="0"/>
  </w:num>
  <w:num w:numId="4">
    <w:abstractNumId w:val="1"/>
  </w:num>
  <w:num w:numId="5">
    <w:abstractNumId w:val="6"/>
  </w:num>
  <w:num w:numId="6">
    <w:abstractNumId w:val="3"/>
  </w:num>
  <w:num w:numId="7">
    <w:abstractNumId w:val="4"/>
  </w:num>
  <w:num w:numId="8">
    <w:abstractNumId w:val="5"/>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hammad Ahyar Bin Zulkefli">
    <w15:presenceInfo w15:providerId="AD" w15:userId="S::ahyar@uthm.edu.my::60ae57d9-6e35-4d0a-987e-80f03d0d7a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3E9F"/>
    <w:rsid w:val="000025E7"/>
    <w:rsid w:val="00002DB2"/>
    <w:rsid w:val="00011FFB"/>
    <w:rsid w:val="000144CE"/>
    <w:rsid w:val="00026265"/>
    <w:rsid w:val="00031243"/>
    <w:rsid w:val="000334F1"/>
    <w:rsid w:val="00036AF6"/>
    <w:rsid w:val="000426CD"/>
    <w:rsid w:val="0004751E"/>
    <w:rsid w:val="0006013C"/>
    <w:rsid w:val="00063D04"/>
    <w:rsid w:val="000643A7"/>
    <w:rsid w:val="00067806"/>
    <w:rsid w:val="0007170B"/>
    <w:rsid w:val="00083A94"/>
    <w:rsid w:val="00085E42"/>
    <w:rsid w:val="000953A2"/>
    <w:rsid w:val="000B4B2F"/>
    <w:rsid w:val="000B7735"/>
    <w:rsid w:val="000C22D6"/>
    <w:rsid w:val="000C36F3"/>
    <w:rsid w:val="000D0DD2"/>
    <w:rsid w:val="000D3017"/>
    <w:rsid w:val="000E7E25"/>
    <w:rsid w:val="000F5ABE"/>
    <w:rsid w:val="00103901"/>
    <w:rsid w:val="00103E9F"/>
    <w:rsid w:val="00115FEC"/>
    <w:rsid w:val="0011656D"/>
    <w:rsid w:val="00116E8E"/>
    <w:rsid w:val="001225FC"/>
    <w:rsid w:val="0012506A"/>
    <w:rsid w:val="001457D8"/>
    <w:rsid w:val="0015094A"/>
    <w:rsid w:val="00154367"/>
    <w:rsid w:val="001549B5"/>
    <w:rsid w:val="00165FF3"/>
    <w:rsid w:val="001830D8"/>
    <w:rsid w:val="00187B0E"/>
    <w:rsid w:val="001961DB"/>
    <w:rsid w:val="001962E1"/>
    <w:rsid w:val="001974A5"/>
    <w:rsid w:val="001A7810"/>
    <w:rsid w:val="001B435F"/>
    <w:rsid w:val="001B5830"/>
    <w:rsid w:val="001C1C24"/>
    <w:rsid w:val="001D0132"/>
    <w:rsid w:val="001D2900"/>
    <w:rsid w:val="001D4CA2"/>
    <w:rsid w:val="001F011C"/>
    <w:rsid w:val="001F0151"/>
    <w:rsid w:val="001F6975"/>
    <w:rsid w:val="001F7767"/>
    <w:rsid w:val="00221BAD"/>
    <w:rsid w:val="00230164"/>
    <w:rsid w:val="00230495"/>
    <w:rsid w:val="00236ED2"/>
    <w:rsid w:val="00253601"/>
    <w:rsid w:val="00276D5C"/>
    <w:rsid w:val="002B52FD"/>
    <w:rsid w:val="002D46E7"/>
    <w:rsid w:val="002D501F"/>
    <w:rsid w:val="002F5149"/>
    <w:rsid w:val="002F6609"/>
    <w:rsid w:val="002F7B10"/>
    <w:rsid w:val="00307AC7"/>
    <w:rsid w:val="00311122"/>
    <w:rsid w:val="0031381E"/>
    <w:rsid w:val="00317A87"/>
    <w:rsid w:val="0032591F"/>
    <w:rsid w:val="00327619"/>
    <w:rsid w:val="003514D7"/>
    <w:rsid w:val="0035408D"/>
    <w:rsid w:val="0036038F"/>
    <w:rsid w:val="00362CAC"/>
    <w:rsid w:val="003659D1"/>
    <w:rsid w:val="003748A6"/>
    <w:rsid w:val="00380315"/>
    <w:rsid w:val="0038135C"/>
    <w:rsid w:val="00386343"/>
    <w:rsid w:val="003A583D"/>
    <w:rsid w:val="003B6D97"/>
    <w:rsid w:val="003C2255"/>
    <w:rsid w:val="003C2384"/>
    <w:rsid w:val="003C3F81"/>
    <w:rsid w:val="003D2CEB"/>
    <w:rsid w:val="003D3930"/>
    <w:rsid w:val="003D500B"/>
    <w:rsid w:val="003D52D2"/>
    <w:rsid w:val="003E4570"/>
    <w:rsid w:val="003F3C73"/>
    <w:rsid w:val="00400AEE"/>
    <w:rsid w:val="00410C7D"/>
    <w:rsid w:val="00415AAB"/>
    <w:rsid w:val="00424978"/>
    <w:rsid w:val="004325F8"/>
    <w:rsid w:val="00440301"/>
    <w:rsid w:val="00441B90"/>
    <w:rsid w:val="00444E3A"/>
    <w:rsid w:val="00450F11"/>
    <w:rsid w:val="004533B9"/>
    <w:rsid w:val="0046144D"/>
    <w:rsid w:val="00463AB4"/>
    <w:rsid w:val="004756CD"/>
    <w:rsid w:val="00487082"/>
    <w:rsid w:val="0049391E"/>
    <w:rsid w:val="0049430A"/>
    <w:rsid w:val="004A2DBC"/>
    <w:rsid w:val="004B59C7"/>
    <w:rsid w:val="004C2F0E"/>
    <w:rsid w:val="004C3154"/>
    <w:rsid w:val="004C678A"/>
    <w:rsid w:val="004D1B83"/>
    <w:rsid w:val="004D3882"/>
    <w:rsid w:val="004F0645"/>
    <w:rsid w:val="004F25F2"/>
    <w:rsid w:val="005025FB"/>
    <w:rsid w:val="00505721"/>
    <w:rsid w:val="00506567"/>
    <w:rsid w:val="00506D54"/>
    <w:rsid w:val="005361A6"/>
    <w:rsid w:val="00540E37"/>
    <w:rsid w:val="00554B53"/>
    <w:rsid w:val="00562511"/>
    <w:rsid w:val="00565AE0"/>
    <w:rsid w:val="00566217"/>
    <w:rsid w:val="00576120"/>
    <w:rsid w:val="00584CA4"/>
    <w:rsid w:val="00585483"/>
    <w:rsid w:val="005B05CE"/>
    <w:rsid w:val="005B2859"/>
    <w:rsid w:val="005B65B7"/>
    <w:rsid w:val="005C5085"/>
    <w:rsid w:val="005D405B"/>
    <w:rsid w:val="005D5962"/>
    <w:rsid w:val="005E7493"/>
    <w:rsid w:val="005F5203"/>
    <w:rsid w:val="005F6551"/>
    <w:rsid w:val="00600AB6"/>
    <w:rsid w:val="00607A2A"/>
    <w:rsid w:val="00621FA2"/>
    <w:rsid w:val="00623BA3"/>
    <w:rsid w:val="00624C2D"/>
    <w:rsid w:val="00632371"/>
    <w:rsid w:val="00672B24"/>
    <w:rsid w:val="006A2351"/>
    <w:rsid w:val="006A2EC0"/>
    <w:rsid w:val="006A751B"/>
    <w:rsid w:val="006B4558"/>
    <w:rsid w:val="006C0F69"/>
    <w:rsid w:val="006C7618"/>
    <w:rsid w:val="00702729"/>
    <w:rsid w:val="007036DE"/>
    <w:rsid w:val="0072121D"/>
    <w:rsid w:val="007413E8"/>
    <w:rsid w:val="0074437C"/>
    <w:rsid w:val="007730D0"/>
    <w:rsid w:val="00773F64"/>
    <w:rsid w:val="0077522C"/>
    <w:rsid w:val="007960BD"/>
    <w:rsid w:val="007A6E59"/>
    <w:rsid w:val="007A7C00"/>
    <w:rsid w:val="007B474A"/>
    <w:rsid w:val="007B6308"/>
    <w:rsid w:val="007D35EA"/>
    <w:rsid w:val="007D5F15"/>
    <w:rsid w:val="007E07DC"/>
    <w:rsid w:val="0082668E"/>
    <w:rsid w:val="00831CA9"/>
    <w:rsid w:val="00835116"/>
    <w:rsid w:val="008459AB"/>
    <w:rsid w:val="008634CD"/>
    <w:rsid w:val="00880928"/>
    <w:rsid w:val="00886948"/>
    <w:rsid w:val="00895840"/>
    <w:rsid w:val="008A08CC"/>
    <w:rsid w:val="008A092B"/>
    <w:rsid w:val="008A1394"/>
    <w:rsid w:val="008A2BEF"/>
    <w:rsid w:val="008B278E"/>
    <w:rsid w:val="008B3278"/>
    <w:rsid w:val="008B50F7"/>
    <w:rsid w:val="008E3551"/>
    <w:rsid w:val="008E4927"/>
    <w:rsid w:val="008F04A7"/>
    <w:rsid w:val="008F6500"/>
    <w:rsid w:val="0091150F"/>
    <w:rsid w:val="00915013"/>
    <w:rsid w:val="009150ED"/>
    <w:rsid w:val="009409C9"/>
    <w:rsid w:val="00947FB3"/>
    <w:rsid w:val="00950187"/>
    <w:rsid w:val="00983F71"/>
    <w:rsid w:val="0099163C"/>
    <w:rsid w:val="00994BD8"/>
    <w:rsid w:val="00994C0E"/>
    <w:rsid w:val="009A3DDC"/>
    <w:rsid w:val="009A5B94"/>
    <w:rsid w:val="009A62D2"/>
    <w:rsid w:val="009B37DE"/>
    <w:rsid w:val="009B58C2"/>
    <w:rsid w:val="009B7BC6"/>
    <w:rsid w:val="009C3009"/>
    <w:rsid w:val="009C4F8B"/>
    <w:rsid w:val="009D0A55"/>
    <w:rsid w:val="009E5503"/>
    <w:rsid w:val="009E5993"/>
    <w:rsid w:val="00A0544B"/>
    <w:rsid w:val="00A113B5"/>
    <w:rsid w:val="00A24936"/>
    <w:rsid w:val="00A27980"/>
    <w:rsid w:val="00A351A9"/>
    <w:rsid w:val="00A52050"/>
    <w:rsid w:val="00A6069A"/>
    <w:rsid w:val="00A76AD5"/>
    <w:rsid w:val="00A82D2C"/>
    <w:rsid w:val="00A839D2"/>
    <w:rsid w:val="00A90C52"/>
    <w:rsid w:val="00A9173C"/>
    <w:rsid w:val="00AA0A70"/>
    <w:rsid w:val="00AA2E2E"/>
    <w:rsid w:val="00AC00D0"/>
    <w:rsid w:val="00AC3AD3"/>
    <w:rsid w:val="00AD3C54"/>
    <w:rsid w:val="00AD769C"/>
    <w:rsid w:val="00AE1FB3"/>
    <w:rsid w:val="00AE3077"/>
    <w:rsid w:val="00AE3EE1"/>
    <w:rsid w:val="00AF28C5"/>
    <w:rsid w:val="00AF31B4"/>
    <w:rsid w:val="00AF5059"/>
    <w:rsid w:val="00AF65B5"/>
    <w:rsid w:val="00B007B3"/>
    <w:rsid w:val="00B02975"/>
    <w:rsid w:val="00B10364"/>
    <w:rsid w:val="00B11734"/>
    <w:rsid w:val="00B20D0C"/>
    <w:rsid w:val="00B22240"/>
    <w:rsid w:val="00B236C8"/>
    <w:rsid w:val="00B32C96"/>
    <w:rsid w:val="00B400F6"/>
    <w:rsid w:val="00B50F8B"/>
    <w:rsid w:val="00B55780"/>
    <w:rsid w:val="00B64E33"/>
    <w:rsid w:val="00B704EA"/>
    <w:rsid w:val="00B74676"/>
    <w:rsid w:val="00B764E4"/>
    <w:rsid w:val="00B810CA"/>
    <w:rsid w:val="00B85A31"/>
    <w:rsid w:val="00BA4D35"/>
    <w:rsid w:val="00BB4221"/>
    <w:rsid w:val="00BC1182"/>
    <w:rsid w:val="00BC2531"/>
    <w:rsid w:val="00BC262C"/>
    <w:rsid w:val="00BC3658"/>
    <w:rsid w:val="00BD7A43"/>
    <w:rsid w:val="00BE2006"/>
    <w:rsid w:val="00BF04EB"/>
    <w:rsid w:val="00C01753"/>
    <w:rsid w:val="00C14B41"/>
    <w:rsid w:val="00C40EE1"/>
    <w:rsid w:val="00C450FC"/>
    <w:rsid w:val="00C5236C"/>
    <w:rsid w:val="00C54495"/>
    <w:rsid w:val="00C629FA"/>
    <w:rsid w:val="00C671F7"/>
    <w:rsid w:val="00C778DA"/>
    <w:rsid w:val="00C84B9E"/>
    <w:rsid w:val="00C867E6"/>
    <w:rsid w:val="00C86BF1"/>
    <w:rsid w:val="00C91F19"/>
    <w:rsid w:val="00CA0F94"/>
    <w:rsid w:val="00CB3BA0"/>
    <w:rsid w:val="00CB50F7"/>
    <w:rsid w:val="00CB7073"/>
    <w:rsid w:val="00CD0A7F"/>
    <w:rsid w:val="00CD6104"/>
    <w:rsid w:val="00D00594"/>
    <w:rsid w:val="00D01676"/>
    <w:rsid w:val="00D13F43"/>
    <w:rsid w:val="00D14038"/>
    <w:rsid w:val="00D16BC9"/>
    <w:rsid w:val="00D238F5"/>
    <w:rsid w:val="00D37823"/>
    <w:rsid w:val="00D74D9B"/>
    <w:rsid w:val="00D85BAA"/>
    <w:rsid w:val="00D871AC"/>
    <w:rsid w:val="00D919AE"/>
    <w:rsid w:val="00D95304"/>
    <w:rsid w:val="00DA1884"/>
    <w:rsid w:val="00DB094E"/>
    <w:rsid w:val="00DB3186"/>
    <w:rsid w:val="00DB634B"/>
    <w:rsid w:val="00DB6AE4"/>
    <w:rsid w:val="00DB6BDF"/>
    <w:rsid w:val="00DC0E4F"/>
    <w:rsid w:val="00DC6EB5"/>
    <w:rsid w:val="00DD7D83"/>
    <w:rsid w:val="00DE54B3"/>
    <w:rsid w:val="00DF15F3"/>
    <w:rsid w:val="00DF240B"/>
    <w:rsid w:val="00DF602C"/>
    <w:rsid w:val="00E04627"/>
    <w:rsid w:val="00E23826"/>
    <w:rsid w:val="00E24678"/>
    <w:rsid w:val="00E304BC"/>
    <w:rsid w:val="00E478F2"/>
    <w:rsid w:val="00E506EF"/>
    <w:rsid w:val="00E5339A"/>
    <w:rsid w:val="00E54CC2"/>
    <w:rsid w:val="00E5580F"/>
    <w:rsid w:val="00E56148"/>
    <w:rsid w:val="00E565A1"/>
    <w:rsid w:val="00E57C8B"/>
    <w:rsid w:val="00E60D89"/>
    <w:rsid w:val="00E643B8"/>
    <w:rsid w:val="00E670F6"/>
    <w:rsid w:val="00E67309"/>
    <w:rsid w:val="00E90237"/>
    <w:rsid w:val="00E95254"/>
    <w:rsid w:val="00EA52FB"/>
    <w:rsid w:val="00EA6AF8"/>
    <w:rsid w:val="00EB1287"/>
    <w:rsid w:val="00EB1E3A"/>
    <w:rsid w:val="00EC05DE"/>
    <w:rsid w:val="00ED66D8"/>
    <w:rsid w:val="00EE7D39"/>
    <w:rsid w:val="00EE7DA6"/>
    <w:rsid w:val="00EF25AA"/>
    <w:rsid w:val="00EF4717"/>
    <w:rsid w:val="00F00AEC"/>
    <w:rsid w:val="00F136E9"/>
    <w:rsid w:val="00F1410A"/>
    <w:rsid w:val="00F16924"/>
    <w:rsid w:val="00F255D4"/>
    <w:rsid w:val="00F303DF"/>
    <w:rsid w:val="00F36B06"/>
    <w:rsid w:val="00F54E5D"/>
    <w:rsid w:val="00F5523A"/>
    <w:rsid w:val="00F60332"/>
    <w:rsid w:val="00F619DC"/>
    <w:rsid w:val="00F62B0B"/>
    <w:rsid w:val="00F63EDC"/>
    <w:rsid w:val="00F70C37"/>
    <w:rsid w:val="00F751C4"/>
    <w:rsid w:val="00F770B0"/>
    <w:rsid w:val="00F82CFD"/>
    <w:rsid w:val="00F87646"/>
    <w:rsid w:val="00F94F71"/>
    <w:rsid w:val="00FA2AE7"/>
    <w:rsid w:val="00FA3F58"/>
    <w:rsid w:val="00FB2CEF"/>
    <w:rsid w:val="00FC6DC6"/>
    <w:rsid w:val="00FD47F9"/>
    <w:rsid w:val="00FE1DDF"/>
    <w:rsid w:val="00FE62E6"/>
    <w:rsid w:val="00FF1613"/>
    <w:rsid w:val="00FF3EF0"/>
    <w:rsid w:val="6ECD4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E27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nhideWhenUsed="1"/>
    <w:lsdException w:name="footer" w:uiPriority="99" w:unhideWhenUsed="1"/>
    <w:lsdException w:name="caption" w:uiPriority="13"/>
    <w:lsdException w:name="Default Paragraph Font" w:semiHidden="1"/>
    <w:lsdException w:name="Subtitle"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pPr>
      <w:keepNext/>
      <w:spacing w:before="240" w:after="60"/>
      <w:outlineLvl w:val="0"/>
    </w:pPr>
    <w:rPr>
      <w:rFonts w:ascii="Calibri Light" w:eastAsia="Times New Roman" w:hAnsi="Calibri Light"/>
      <w:b/>
      <w:bCs/>
      <w:kern w:val="32"/>
      <w:sz w:val="32"/>
      <w:szCs w:val="32"/>
    </w:rPr>
  </w:style>
  <w:style w:type="paragraph" w:styleId="Heading2">
    <w:name w:val="heading 2"/>
    <w:next w:val="Normal"/>
    <w:pPr>
      <w:spacing w:before="240" w:after="60"/>
      <w:outlineLvl w:val="1"/>
    </w:pPr>
    <w:rPr>
      <w:rFonts w:eastAsia="Times New Roman" w:cs="Arial"/>
      <w:b/>
      <w:bCs/>
      <w:iCs/>
      <w:sz w:val="24"/>
      <w:szCs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Light" w:eastAsia="Times New Roman" w:hAnsi="Calibri Light" w:cs="Times New Roman"/>
      <w:b/>
      <w:bCs/>
      <w:kern w:val="32"/>
      <w:sz w:val="32"/>
      <w:szCs w:val="32"/>
    </w:rPr>
  </w:style>
  <w:style w:type="paragraph" w:styleId="Caption">
    <w:name w:val="caption"/>
    <w:basedOn w:val="Normal"/>
    <w:next w:val="Normal"/>
    <w:uiPriority w:val="13"/>
    <w:pPr>
      <w:spacing w:after="200"/>
    </w:pPr>
    <w:rPr>
      <w:rFonts w:eastAsia="Times New Roman"/>
      <w:b/>
      <w:bCs/>
      <w:color w:val="5B9BD5"/>
      <w:szCs w:val="18"/>
      <w:lang w:val="ms-MY"/>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rFonts w:eastAsia="MS Mincho"/>
      <w:sz w:val="24"/>
      <w:szCs w:val="24"/>
      <w:lang w:val="en-US" w:eastAsia="en-US" w:bidi="ar-SA"/>
    </w:rPr>
  </w:style>
  <w:style w:type="paragraph" w:styleId="Header">
    <w:name w:val="header"/>
    <w:aliases w:val="page-number"/>
    <w:basedOn w:val="Normal"/>
    <w:link w:val="HeaderChar"/>
    <w:unhideWhenUsed/>
    <w:pPr>
      <w:tabs>
        <w:tab w:val="center" w:pos="4513"/>
        <w:tab w:val="right" w:pos="9026"/>
      </w:tabs>
    </w:pPr>
  </w:style>
  <w:style w:type="character" w:customStyle="1" w:styleId="HeaderChar">
    <w:name w:val="Header Char"/>
    <w:aliases w:val="page-number Char"/>
    <w:link w:val="Header"/>
    <w:rPr>
      <w:rFonts w:eastAsia="MS Mincho"/>
      <w:sz w:val="24"/>
      <w:szCs w:val="24"/>
      <w:lang w:val="en-US" w:eastAsia="en-US" w:bidi="ar-SA"/>
    </w:rPr>
  </w:style>
  <w:style w:type="character" w:styleId="Hyperlink">
    <w:name w:val="Hyperlink"/>
    <w:rPr>
      <w:color w:val="0000FF"/>
      <w:u w:val="single"/>
    </w:rPr>
  </w:style>
  <w:style w:type="character" w:styleId="PageNumber">
    <w:name w:val="page number"/>
  </w:style>
  <w:style w:type="table" w:styleId="TableGrid">
    <w:name w:val="Table Grid"/>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unning-head">
    <w:name w:val="Running-head"/>
    <w:basedOn w:val="Header"/>
    <w:pPr>
      <w:tabs>
        <w:tab w:val="clear" w:pos="4513"/>
        <w:tab w:val="clear" w:pos="9026"/>
        <w:tab w:val="center" w:pos="4706"/>
        <w:tab w:val="center" w:pos="4920"/>
        <w:tab w:val="right" w:pos="9356"/>
      </w:tabs>
      <w:spacing w:after="80" w:line="200" w:lineRule="exact"/>
      <w:jc w:val="center"/>
    </w:pPr>
    <w:rPr>
      <w:rFonts w:eastAsia="SimSun"/>
      <w:smallCaps/>
      <w:sz w:val="14"/>
      <w:szCs w:val="20"/>
    </w:rPr>
  </w:style>
  <w:style w:type="paragraph" w:customStyle="1" w:styleId="Els-table-caption">
    <w:name w:val="Els-table-caption"/>
    <w:pPr>
      <w:keepLines/>
      <w:spacing w:before="230" w:after="230" w:line="200" w:lineRule="exact"/>
    </w:pPr>
    <w:rPr>
      <w:rFonts w:eastAsia="SimSun"/>
      <w:b/>
      <w:sz w:val="16"/>
    </w:rPr>
  </w:style>
  <w:style w:type="paragraph" w:customStyle="1" w:styleId="Els-table-text">
    <w:name w:val="Els-table-text"/>
    <w:pPr>
      <w:spacing w:after="80" w:line="200" w:lineRule="exact"/>
    </w:pPr>
    <w:rPr>
      <w:rFonts w:eastAsia="SimSun"/>
      <w:sz w:val="14"/>
    </w:rPr>
  </w:style>
  <w:style w:type="paragraph" w:customStyle="1" w:styleId="Els-table-col-head">
    <w:name w:val="Els-table-col-head"/>
    <w:basedOn w:val="Els-table-text"/>
    <w:rPr>
      <w:b/>
      <w:sz w:val="16"/>
    </w:rPr>
  </w:style>
  <w:style w:type="paragraph" w:customStyle="1" w:styleId="Els-equation">
    <w:name w:val="Els-equation"/>
    <w:next w:val="Normal"/>
    <w:pPr>
      <w:widowControl w:val="0"/>
      <w:tabs>
        <w:tab w:val="right" w:pos="4320"/>
        <w:tab w:val="right" w:pos="9120"/>
      </w:tabs>
      <w:spacing w:before="230" w:after="230" w:line="360" w:lineRule="auto"/>
    </w:pPr>
    <w:rPr>
      <w:rFonts w:eastAsia="SimSun"/>
      <w:i/>
      <w:sz w:val="16"/>
    </w:rPr>
  </w:style>
  <w:style w:type="paragraph" w:customStyle="1" w:styleId="UTEMPARA1">
    <w:name w:val="UTEM PARA 1"/>
    <w:basedOn w:val="Normal"/>
    <w:uiPriority w:val="4"/>
    <w:pPr>
      <w:framePr w:hSpace="180" w:wrap="around" w:vAnchor="text" w:hAnchor="margin" w:xAlign="center" w:y="378"/>
      <w:spacing w:before="60" w:after="60"/>
    </w:pPr>
    <w:rPr>
      <w:rFonts w:eastAsia="Calibri"/>
      <w:lang w:val="en-GB"/>
    </w:rPr>
  </w:style>
  <w:style w:type="table" w:customStyle="1" w:styleId="TableGridLight1">
    <w:name w:val="Table Grid Light1"/>
    <w:basedOn w:val="TableNormal"/>
    <w:uiPriority w:val="40"/>
    <w:rPr>
      <w:rFonts w:ascii="Calibri" w:eastAsia="Calibri" w:hAnsi="Calibri" w:cs="Arial"/>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ListTable22">
    <w:name w:val="List Table 22"/>
    <w:basedOn w:val="TableNormal"/>
    <w:uiPriority w:val="47"/>
    <w:qFormat/>
    <w:rPr>
      <w:rFonts w:ascii="Calibri" w:eastAsia="SimSun" w:hAnsi="Calibri" w:cs="Arial"/>
      <w:lang w:val="en-MY" w:eastAsia="ja-JP"/>
    </w:rPr>
    <w:tblPr>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Emphasis">
    <w:name w:val="Emphasis"/>
    <w:rsid w:val="000643A7"/>
    <w:rPr>
      <w:i/>
      <w:iCs/>
    </w:rPr>
  </w:style>
  <w:style w:type="paragraph" w:customStyle="1" w:styleId="Topic">
    <w:name w:val="Topic"/>
    <w:basedOn w:val="Normal"/>
    <w:link w:val="TopicChar"/>
    <w:qFormat/>
    <w:rsid w:val="00026265"/>
    <w:pPr>
      <w:numPr>
        <w:numId w:val="1"/>
      </w:numPr>
      <w:tabs>
        <w:tab w:val="clear" w:pos="720"/>
        <w:tab w:val="left" w:pos="360"/>
        <w:tab w:val="left" w:pos="4203"/>
      </w:tabs>
      <w:spacing w:before="240" w:after="80"/>
      <w:ind w:left="360"/>
      <w:jc w:val="both"/>
    </w:pPr>
    <w:rPr>
      <w:rFonts w:ascii="Cambria" w:hAnsi="Cambria"/>
      <w:b/>
      <w:color w:val="2F5496"/>
    </w:rPr>
  </w:style>
  <w:style w:type="paragraph" w:customStyle="1" w:styleId="SubTopic">
    <w:name w:val="Sub Topic"/>
    <w:basedOn w:val="Topic"/>
    <w:link w:val="SubTopicChar"/>
    <w:qFormat/>
    <w:rsid w:val="006C7618"/>
    <w:pPr>
      <w:numPr>
        <w:ilvl w:val="1"/>
      </w:numPr>
      <w:tabs>
        <w:tab w:val="clear" w:pos="360"/>
        <w:tab w:val="left" w:pos="450"/>
      </w:tabs>
      <w:ind w:hanging="720"/>
    </w:pPr>
  </w:style>
  <w:style w:type="character" w:customStyle="1" w:styleId="TopicChar">
    <w:name w:val="Topic Char"/>
    <w:link w:val="Topic"/>
    <w:rsid w:val="00026265"/>
    <w:rPr>
      <w:rFonts w:ascii="Cambria" w:hAnsi="Cambria"/>
      <w:b/>
      <w:color w:val="2F5496"/>
      <w:sz w:val="24"/>
      <w:szCs w:val="24"/>
    </w:rPr>
  </w:style>
  <w:style w:type="paragraph" w:styleId="Subtitle">
    <w:name w:val="Subtitle"/>
    <w:basedOn w:val="Normal"/>
    <w:next w:val="Normal"/>
    <w:link w:val="SubtitleChar"/>
    <w:qFormat/>
    <w:rsid w:val="006C7618"/>
    <w:pPr>
      <w:spacing w:after="60"/>
      <w:jc w:val="center"/>
      <w:outlineLvl w:val="1"/>
    </w:pPr>
    <w:rPr>
      <w:rFonts w:ascii="Calibri Light" w:eastAsia="Times New Roman" w:hAnsi="Calibri Light"/>
    </w:rPr>
  </w:style>
  <w:style w:type="character" w:customStyle="1" w:styleId="SubTopicChar">
    <w:name w:val="Sub Topic Char"/>
    <w:link w:val="SubTopic"/>
    <w:rsid w:val="006C7618"/>
    <w:rPr>
      <w:rFonts w:ascii="Cambria" w:hAnsi="Cambria"/>
      <w:b/>
      <w:color w:val="2F5496"/>
      <w:sz w:val="24"/>
      <w:szCs w:val="24"/>
    </w:rPr>
  </w:style>
  <w:style w:type="character" w:customStyle="1" w:styleId="SubtitleChar">
    <w:name w:val="Subtitle Char"/>
    <w:link w:val="Subtitle"/>
    <w:rsid w:val="006C7618"/>
    <w:rPr>
      <w:rFonts w:ascii="Calibri Light" w:eastAsia="Times New Roman" w:hAnsi="Calibri Light" w:cs="Times New Roman"/>
      <w:sz w:val="24"/>
      <w:szCs w:val="24"/>
    </w:rPr>
  </w:style>
  <w:style w:type="character" w:customStyle="1" w:styleId="UnresolvedMention">
    <w:name w:val="Unresolved Mention"/>
    <w:uiPriority w:val="99"/>
    <w:semiHidden/>
    <w:unhideWhenUsed/>
    <w:rsid w:val="00154367"/>
    <w:rPr>
      <w:color w:val="605E5C"/>
      <w:shd w:val="clear" w:color="auto" w:fill="E1DFDD"/>
    </w:rPr>
  </w:style>
  <w:style w:type="paragraph" w:customStyle="1" w:styleId="ArticleTitle">
    <w:name w:val="Article Title"/>
    <w:basedOn w:val="Normal"/>
    <w:link w:val="ArticleTitleChar"/>
    <w:qFormat/>
    <w:rsid w:val="00A24936"/>
    <w:pPr>
      <w:spacing w:before="240" w:after="240"/>
    </w:pPr>
    <w:rPr>
      <w:rFonts w:ascii="Cambria" w:hAnsi="Cambria"/>
      <w:b/>
      <w:bCs/>
      <w:color w:val="2F5496"/>
      <w:sz w:val="36"/>
      <w:szCs w:val="48"/>
      <w:lang w:val="en-GB"/>
    </w:rPr>
  </w:style>
  <w:style w:type="paragraph" w:customStyle="1" w:styleId="Author">
    <w:name w:val="Author"/>
    <w:basedOn w:val="Normal"/>
    <w:link w:val="AuthorChar"/>
    <w:qFormat/>
    <w:rsid w:val="00A24936"/>
    <w:pPr>
      <w:spacing w:after="200"/>
    </w:pPr>
    <w:rPr>
      <w:rFonts w:ascii="Cambria" w:hAnsi="Cambria"/>
      <w:b/>
      <w:sz w:val="28"/>
      <w:szCs w:val="22"/>
      <w:lang w:val="sv-SE"/>
    </w:rPr>
  </w:style>
  <w:style w:type="character" w:customStyle="1" w:styleId="ArticleTitleChar">
    <w:name w:val="Article Title Char"/>
    <w:link w:val="ArticleTitle"/>
    <w:rsid w:val="00A24936"/>
    <w:rPr>
      <w:rFonts w:ascii="Cambria" w:hAnsi="Cambria"/>
      <w:b/>
      <w:bCs/>
      <w:color w:val="2F5496"/>
      <w:sz w:val="36"/>
      <w:szCs w:val="48"/>
      <w:lang w:val="en-GB"/>
    </w:rPr>
  </w:style>
  <w:style w:type="paragraph" w:customStyle="1" w:styleId="Table">
    <w:name w:val="Table"/>
    <w:basedOn w:val="Normal"/>
    <w:link w:val="TableChar"/>
    <w:qFormat/>
    <w:rsid w:val="005E7493"/>
    <w:pPr>
      <w:tabs>
        <w:tab w:val="left" w:pos="4203"/>
      </w:tabs>
      <w:spacing w:before="240" w:after="80"/>
      <w:jc w:val="center"/>
    </w:pPr>
    <w:rPr>
      <w:rFonts w:ascii="Cambria" w:hAnsi="Cambria"/>
      <w:b/>
      <w:bCs/>
      <w:sz w:val="20"/>
      <w:szCs w:val="20"/>
    </w:rPr>
  </w:style>
  <w:style w:type="character" w:customStyle="1" w:styleId="AuthorChar">
    <w:name w:val="Author Char"/>
    <w:link w:val="Author"/>
    <w:rsid w:val="00A24936"/>
    <w:rPr>
      <w:rFonts w:ascii="Cambria" w:hAnsi="Cambria"/>
      <w:b/>
      <w:sz w:val="28"/>
      <w:szCs w:val="22"/>
      <w:lang w:val="sv-SE"/>
    </w:rPr>
  </w:style>
  <w:style w:type="paragraph" w:customStyle="1" w:styleId="1stParagraph">
    <w:name w:val="1st Paragraph"/>
    <w:basedOn w:val="Normal"/>
    <w:link w:val="1stParagraphChar"/>
    <w:qFormat/>
    <w:rsid w:val="00D871AC"/>
    <w:pPr>
      <w:tabs>
        <w:tab w:val="left" w:pos="4203"/>
      </w:tabs>
      <w:jc w:val="both"/>
    </w:pPr>
    <w:rPr>
      <w:rFonts w:ascii="Cambria" w:hAnsi="Cambria"/>
      <w:sz w:val="20"/>
      <w:szCs w:val="20"/>
    </w:rPr>
  </w:style>
  <w:style w:type="character" w:customStyle="1" w:styleId="TableChar">
    <w:name w:val="Table Char"/>
    <w:link w:val="Table"/>
    <w:rsid w:val="005E7493"/>
    <w:rPr>
      <w:rFonts w:ascii="Cambria" w:hAnsi="Cambria"/>
      <w:b/>
      <w:bCs/>
    </w:rPr>
  </w:style>
  <w:style w:type="paragraph" w:customStyle="1" w:styleId="Figure">
    <w:name w:val="Figure"/>
    <w:basedOn w:val="Normal"/>
    <w:link w:val="FigureChar"/>
    <w:qFormat/>
    <w:rsid w:val="00A0544B"/>
    <w:pPr>
      <w:tabs>
        <w:tab w:val="left" w:pos="4203"/>
      </w:tabs>
      <w:spacing w:before="80" w:after="120"/>
      <w:ind w:left="360" w:hanging="360"/>
      <w:jc w:val="center"/>
    </w:pPr>
    <w:rPr>
      <w:rFonts w:ascii="Cambria" w:hAnsi="Cambria"/>
      <w:b/>
      <w:color w:val="000000"/>
      <w:sz w:val="20"/>
      <w:szCs w:val="20"/>
      <w:lang w:val="en-GB"/>
    </w:rPr>
  </w:style>
  <w:style w:type="character" w:customStyle="1" w:styleId="1stParagraphChar">
    <w:name w:val="1st Paragraph Char"/>
    <w:link w:val="1stParagraph"/>
    <w:rsid w:val="00D871AC"/>
    <w:rPr>
      <w:rFonts w:ascii="Cambria" w:hAnsi="Cambria"/>
    </w:rPr>
  </w:style>
  <w:style w:type="paragraph" w:customStyle="1" w:styleId="Acknowledgement">
    <w:name w:val="Acknowledgement"/>
    <w:basedOn w:val="Normal"/>
    <w:link w:val="AcknowledgementChar"/>
    <w:qFormat/>
    <w:rsid w:val="00026265"/>
    <w:pPr>
      <w:tabs>
        <w:tab w:val="left" w:pos="360"/>
        <w:tab w:val="left" w:pos="4203"/>
      </w:tabs>
      <w:spacing w:before="240" w:after="80"/>
      <w:ind w:left="360" w:hanging="360"/>
      <w:jc w:val="both"/>
    </w:pPr>
    <w:rPr>
      <w:rFonts w:ascii="Cambria" w:hAnsi="Cambria"/>
      <w:b/>
      <w:color w:val="2F5496"/>
    </w:rPr>
  </w:style>
  <w:style w:type="character" w:customStyle="1" w:styleId="FigureChar">
    <w:name w:val="Figure Char"/>
    <w:link w:val="Figure"/>
    <w:rsid w:val="00A0544B"/>
    <w:rPr>
      <w:rFonts w:ascii="Cambria" w:hAnsi="Cambria"/>
      <w:b/>
      <w:color w:val="000000"/>
      <w:lang w:val="en-GB"/>
    </w:rPr>
  </w:style>
  <w:style w:type="paragraph" w:customStyle="1" w:styleId="NextParagraph">
    <w:name w:val="Next Paragraph"/>
    <w:basedOn w:val="Normal"/>
    <w:link w:val="NextParagraphChar"/>
    <w:qFormat/>
    <w:rsid w:val="00D871AC"/>
    <w:pPr>
      <w:tabs>
        <w:tab w:val="left" w:pos="4203"/>
      </w:tabs>
      <w:ind w:firstLine="360"/>
      <w:jc w:val="both"/>
    </w:pPr>
    <w:rPr>
      <w:rFonts w:ascii="Cambria" w:hAnsi="Cambria"/>
      <w:color w:val="000000"/>
      <w:sz w:val="20"/>
      <w:szCs w:val="20"/>
      <w:lang w:val="en-GB"/>
    </w:rPr>
  </w:style>
  <w:style w:type="character" w:customStyle="1" w:styleId="AcknowledgementChar">
    <w:name w:val="Acknowledgement Char"/>
    <w:link w:val="Acknowledgement"/>
    <w:rsid w:val="00026265"/>
    <w:rPr>
      <w:rFonts w:ascii="Cambria" w:hAnsi="Cambria"/>
      <w:b/>
      <w:color w:val="2F5496"/>
      <w:sz w:val="24"/>
      <w:szCs w:val="24"/>
    </w:rPr>
  </w:style>
  <w:style w:type="paragraph" w:customStyle="1" w:styleId="AuthorContribution">
    <w:name w:val="Author Contribution"/>
    <w:basedOn w:val="Acknowledgement"/>
    <w:link w:val="AuthorContributionChar"/>
    <w:rsid w:val="00DC0E4F"/>
  </w:style>
  <w:style w:type="character" w:customStyle="1" w:styleId="NextParagraphChar">
    <w:name w:val="Next Paragraph Char"/>
    <w:link w:val="NextParagraph"/>
    <w:rsid w:val="00D871AC"/>
    <w:rPr>
      <w:rFonts w:ascii="Cambria" w:hAnsi="Cambria"/>
      <w:color w:val="000000"/>
      <w:lang w:val="en-GB"/>
    </w:rPr>
  </w:style>
  <w:style w:type="paragraph" w:customStyle="1" w:styleId="Default">
    <w:name w:val="Default"/>
    <w:rsid w:val="008A2BEF"/>
    <w:pPr>
      <w:autoSpaceDE w:val="0"/>
      <w:autoSpaceDN w:val="0"/>
      <w:adjustRightInd w:val="0"/>
    </w:pPr>
    <w:rPr>
      <w:rFonts w:ascii="Avenir LT Pro 55 Roman" w:hAnsi="Avenir LT Pro 55 Roman" w:cs="Avenir LT Pro 55 Roman"/>
      <w:color w:val="000000"/>
      <w:sz w:val="24"/>
      <w:szCs w:val="24"/>
    </w:rPr>
  </w:style>
  <w:style w:type="character" w:customStyle="1" w:styleId="AuthorContributionChar">
    <w:name w:val="Author Contribution Char"/>
    <w:link w:val="AuthorContribution"/>
    <w:rsid w:val="00DC0E4F"/>
    <w:rPr>
      <w:rFonts w:ascii="Cambria" w:hAnsi="Cambria"/>
      <w:b/>
      <w:color w:val="2F5496"/>
      <w:sz w:val="24"/>
      <w:szCs w:val="24"/>
    </w:rPr>
  </w:style>
  <w:style w:type="paragraph" w:customStyle="1" w:styleId="Pa3">
    <w:name w:val="Pa3"/>
    <w:basedOn w:val="Default"/>
    <w:next w:val="Default"/>
    <w:uiPriority w:val="99"/>
    <w:rsid w:val="008A2BEF"/>
    <w:pPr>
      <w:spacing w:line="221" w:lineRule="atLeast"/>
    </w:pPr>
    <w:rPr>
      <w:rFonts w:cs="Times New Roman"/>
      <w:color w:val="auto"/>
    </w:rPr>
  </w:style>
  <w:style w:type="paragraph" w:customStyle="1" w:styleId="Pa5">
    <w:name w:val="Pa5"/>
    <w:basedOn w:val="Default"/>
    <w:next w:val="Default"/>
    <w:uiPriority w:val="99"/>
    <w:rsid w:val="008A2BEF"/>
    <w:pPr>
      <w:spacing w:line="221" w:lineRule="atLeast"/>
    </w:pPr>
    <w:rPr>
      <w:rFonts w:cs="Times New Roman"/>
      <w:color w:val="auto"/>
    </w:rPr>
  </w:style>
  <w:style w:type="character" w:customStyle="1" w:styleId="A3">
    <w:name w:val="A3"/>
    <w:uiPriority w:val="99"/>
    <w:rsid w:val="008A2BEF"/>
    <w:rPr>
      <w:rFonts w:ascii="Avenir LT Pro 45 Book" w:hAnsi="Avenir LT Pro 45 Book" w:cs="Avenir LT Pro 45 Book"/>
      <w:color w:val="0E8092"/>
      <w:sz w:val="22"/>
      <w:szCs w:val="22"/>
      <w:u w:val="single"/>
    </w:rPr>
  </w:style>
  <w:style w:type="paragraph" w:customStyle="1" w:styleId="Pa4">
    <w:name w:val="Pa4"/>
    <w:basedOn w:val="Default"/>
    <w:next w:val="Default"/>
    <w:uiPriority w:val="99"/>
    <w:rsid w:val="008A2BEF"/>
    <w:pPr>
      <w:spacing w:line="221" w:lineRule="atLeast"/>
    </w:pPr>
    <w:rPr>
      <w:rFonts w:cs="Times New Roman"/>
      <w:color w:val="auto"/>
    </w:rPr>
  </w:style>
  <w:style w:type="paragraph" w:customStyle="1" w:styleId="Pa7">
    <w:name w:val="Pa7"/>
    <w:basedOn w:val="Default"/>
    <w:next w:val="Default"/>
    <w:uiPriority w:val="99"/>
    <w:rsid w:val="008A2BEF"/>
    <w:pPr>
      <w:spacing w:line="201" w:lineRule="atLeast"/>
    </w:pPr>
    <w:rPr>
      <w:rFonts w:cs="Times New Roman"/>
      <w:color w:val="auto"/>
    </w:rPr>
  </w:style>
  <w:style w:type="character" w:customStyle="1" w:styleId="A4">
    <w:name w:val="A4"/>
    <w:uiPriority w:val="99"/>
    <w:rsid w:val="008A2BEF"/>
    <w:rPr>
      <w:rFonts w:ascii="Avenir LT Pro 45 Book" w:hAnsi="Avenir LT Pro 45 Book" w:cs="Avenir LT Pro 45 Book"/>
      <w:color w:val="252525"/>
      <w:sz w:val="12"/>
      <w:szCs w:val="12"/>
    </w:rPr>
  </w:style>
  <w:style w:type="paragraph" w:customStyle="1" w:styleId="Reference">
    <w:name w:val="Reference"/>
    <w:basedOn w:val="Normal"/>
    <w:link w:val="ReferenceChar"/>
    <w:qFormat/>
    <w:rsid w:val="00FF3EF0"/>
    <w:pPr>
      <w:ind w:left="720" w:hanging="720"/>
    </w:pPr>
    <w:rPr>
      <w:rFonts w:ascii="Cambria" w:hAnsi="Cambria"/>
      <w:color w:val="000000"/>
      <w:sz w:val="20"/>
      <w:szCs w:val="20"/>
    </w:rPr>
  </w:style>
  <w:style w:type="paragraph" w:customStyle="1" w:styleId="SubTopic3">
    <w:name w:val="Sub Topic3"/>
    <w:basedOn w:val="SubTopic"/>
    <w:link w:val="SubTopic3Char"/>
    <w:qFormat/>
    <w:rsid w:val="008B278E"/>
    <w:pPr>
      <w:numPr>
        <w:ilvl w:val="2"/>
      </w:numPr>
      <w:tabs>
        <w:tab w:val="left" w:pos="630"/>
      </w:tabs>
      <w:ind w:hanging="1080"/>
    </w:pPr>
  </w:style>
  <w:style w:type="character" w:customStyle="1" w:styleId="ReferenceChar">
    <w:name w:val="Reference Char"/>
    <w:link w:val="Reference"/>
    <w:rsid w:val="00FF3EF0"/>
    <w:rPr>
      <w:rFonts w:ascii="Cambria" w:hAnsi="Cambria"/>
      <w:color w:val="000000"/>
    </w:rPr>
  </w:style>
  <w:style w:type="paragraph" w:styleId="NormalWeb">
    <w:name w:val="Normal (Web)"/>
    <w:basedOn w:val="Normal"/>
    <w:uiPriority w:val="99"/>
    <w:unhideWhenUsed/>
    <w:rsid w:val="002F6609"/>
    <w:pPr>
      <w:spacing w:before="100" w:beforeAutospacing="1" w:after="100" w:afterAutospacing="1"/>
    </w:pPr>
    <w:rPr>
      <w:rFonts w:eastAsia="Times New Roman"/>
    </w:rPr>
  </w:style>
  <w:style w:type="character" w:customStyle="1" w:styleId="SubTopic3Char">
    <w:name w:val="Sub Topic3 Char"/>
    <w:link w:val="SubTopic3"/>
    <w:rsid w:val="008B278E"/>
    <w:rPr>
      <w:rFonts w:ascii="Cambria" w:hAnsi="Cambria"/>
      <w:b/>
      <w:color w:val="2F5496"/>
      <w:sz w:val="24"/>
      <w:szCs w:val="24"/>
    </w:rPr>
  </w:style>
  <w:style w:type="character" w:styleId="CommentReference">
    <w:name w:val="annotation reference"/>
    <w:rsid w:val="00835116"/>
    <w:rPr>
      <w:sz w:val="16"/>
      <w:szCs w:val="16"/>
    </w:rPr>
  </w:style>
  <w:style w:type="paragraph" w:styleId="CommentText">
    <w:name w:val="annotation text"/>
    <w:basedOn w:val="Normal"/>
    <w:link w:val="CommentTextChar"/>
    <w:rsid w:val="00835116"/>
    <w:rPr>
      <w:sz w:val="20"/>
      <w:szCs w:val="20"/>
    </w:rPr>
  </w:style>
  <w:style w:type="character" w:customStyle="1" w:styleId="CommentTextChar">
    <w:name w:val="Comment Text Char"/>
    <w:basedOn w:val="DefaultParagraphFont"/>
    <w:link w:val="CommentText"/>
    <w:rsid w:val="00835116"/>
  </w:style>
  <w:style w:type="paragraph" w:styleId="CommentSubject">
    <w:name w:val="annotation subject"/>
    <w:basedOn w:val="CommentText"/>
    <w:next w:val="CommentText"/>
    <w:link w:val="CommentSubjectChar"/>
    <w:rsid w:val="00835116"/>
    <w:rPr>
      <w:b/>
      <w:bCs/>
    </w:rPr>
  </w:style>
  <w:style w:type="character" w:customStyle="1" w:styleId="CommentSubjectChar">
    <w:name w:val="Comment Subject Char"/>
    <w:link w:val="CommentSubject"/>
    <w:rsid w:val="00835116"/>
    <w:rPr>
      <w:b/>
      <w:bCs/>
    </w:rPr>
  </w:style>
  <w:style w:type="paragraph" w:styleId="BalloonText">
    <w:name w:val="Balloon Text"/>
    <w:basedOn w:val="Normal"/>
    <w:link w:val="BalloonTextChar"/>
    <w:rsid w:val="00DD7D83"/>
    <w:rPr>
      <w:rFonts w:ascii="Segoe UI" w:hAnsi="Segoe UI" w:cs="Segoe UI"/>
      <w:sz w:val="18"/>
      <w:szCs w:val="18"/>
    </w:rPr>
  </w:style>
  <w:style w:type="character" w:customStyle="1" w:styleId="BalloonTextChar">
    <w:name w:val="Balloon Text Char"/>
    <w:link w:val="BalloonText"/>
    <w:rsid w:val="00DD7D83"/>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nhideWhenUsed="1"/>
    <w:lsdException w:name="footer" w:uiPriority="99" w:unhideWhenUsed="1"/>
    <w:lsdException w:name="caption" w:uiPriority="13"/>
    <w:lsdException w:name="Default Paragraph Font" w:semiHidden="1"/>
    <w:lsdException w:name="Subtitle"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pPr>
      <w:keepNext/>
      <w:spacing w:before="240" w:after="60"/>
      <w:outlineLvl w:val="0"/>
    </w:pPr>
    <w:rPr>
      <w:rFonts w:ascii="Calibri Light" w:eastAsia="Times New Roman" w:hAnsi="Calibri Light"/>
      <w:b/>
      <w:bCs/>
      <w:kern w:val="32"/>
      <w:sz w:val="32"/>
      <w:szCs w:val="32"/>
    </w:rPr>
  </w:style>
  <w:style w:type="paragraph" w:styleId="Heading2">
    <w:name w:val="heading 2"/>
    <w:next w:val="Normal"/>
    <w:pPr>
      <w:spacing w:before="240" w:after="60"/>
      <w:outlineLvl w:val="1"/>
    </w:pPr>
    <w:rPr>
      <w:rFonts w:eastAsia="Times New Roman" w:cs="Arial"/>
      <w:b/>
      <w:bCs/>
      <w:iCs/>
      <w:sz w:val="24"/>
      <w:szCs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Light" w:eastAsia="Times New Roman" w:hAnsi="Calibri Light" w:cs="Times New Roman"/>
      <w:b/>
      <w:bCs/>
      <w:kern w:val="32"/>
      <w:sz w:val="32"/>
      <w:szCs w:val="32"/>
    </w:rPr>
  </w:style>
  <w:style w:type="paragraph" w:styleId="Caption">
    <w:name w:val="caption"/>
    <w:basedOn w:val="Normal"/>
    <w:next w:val="Normal"/>
    <w:uiPriority w:val="13"/>
    <w:pPr>
      <w:spacing w:after="200"/>
    </w:pPr>
    <w:rPr>
      <w:rFonts w:eastAsia="Times New Roman"/>
      <w:b/>
      <w:bCs/>
      <w:color w:val="5B9BD5"/>
      <w:szCs w:val="18"/>
      <w:lang w:val="ms-MY"/>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rFonts w:eastAsia="MS Mincho"/>
      <w:sz w:val="24"/>
      <w:szCs w:val="24"/>
      <w:lang w:val="en-US" w:eastAsia="en-US" w:bidi="ar-SA"/>
    </w:rPr>
  </w:style>
  <w:style w:type="paragraph" w:styleId="Header">
    <w:name w:val="header"/>
    <w:aliases w:val="page-number"/>
    <w:basedOn w:val="Normal"/>
    <w:link w:val="HeaderChar"/>
    <w:unhideWhenUsed/>
    <w:pPr>
      <w:tabs>
        <w:tab w:val="center" w:pos="4513"/>
        <w:tab w:val="right" w:pos="9026"/>
      </w:tabs>
    </w:pPr>
  </w:style>
  <w:style w:type="character" w:customStyle="1" w:styleId="HeaderChar">
    <w:name w:val="Header Char"/>
    <w:aliases w:val="page-number Char"/>
    <w:link w:val="Header"/>
    <w:rPr>
      <w:rFonts w:eastAsia="MS Mincho"/>
      <w:sz w:val="24"/>
      <w:szCs w:val="24"/>
      <w:lang w:val="en-US" w:eastAsia="en-US" w:bidi="ar-SA"/>
    </w:rPr>
  </w:style>
  <w:style w:type="character" w:styleId="Hyperlink">
    <w:name w:val="Hyperlink"/>
    <w:rPr>
      <w:color w:val="0000FF"/>
      <w:u w:val="single"/>
    </w:rPr>
  </w:style>
  <w:style w:type="character" w:styleId="PageNumber">
    <w:name w:val="page number"/>
  </w:style>
  <w:style w:type="table" w:styleId="TableGrid">
    <w:name w:val="Table Grid"/>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unning-head">
    <w:name w:val="Running-head"/>
    <w:basedOn w:val="Header"/>
    <w:pPr>
      <w:tabs>
        <w:tab w:val="clear" w:pos="4513"/>
        <w:tab w:val="clear" w:pos="9026"/>
        <w:tab w:val="center" w:pos="4706"/>
        <w:tab w:val="center" w:pos="4920"/>
        <w:tab w:val="right" w:pos="9356"/>
      </w:tabs>
      <w:spacing w:after="80" w:line="200" w:lineRule="exact"/>
      <w:jc w:val="center"/>
    </w:pPr>
    <w:rPr>
      <w:rFonts w:eastAsia="SimSun"/>
      <w:smallCaps/>
      <w:sz w:val="14"/>
      <w:szCs w:val="20"/>
    </w:rPr>
  </w:style>
  <w:style w:type="paragraph" w:customStyle="1" w:styleId="Els-table-caption">
    <w:name w:val="Els-table-caption"/>
    <w:pPr>
      <w:keepLines/>
      <w:spacing w:before="230" w:after="230" w:line="200" w:lineRule="exact"/>
    </w:pPr>
    <w:rPr>
      <w:rFonts w:eastAsia="SimSun"/>
      <w:b/>
      <w:sz w:val="16"/>
    </w:rPr>
  </w:style>
  <w:style w:type="paragraph" w:customStyle="1" w:styleId="Els-table-text">
    <w:name w:val="Els-table-text"/>
    <w:pPr>
      <w:spacing w:after="80" w:line="200" w:lineRule="exact"/>
    </w:pPr>
    <w:rPr>
      <w:rFonts w:eastAsia="SimSun"/>
      <w:sz w:val="14"/>
    </w:rPr>
  </w:style>
  <w:style w:type="paragraph" w:customStyle="1" w:styleId="Els-table-col-head">
    <w:name w:val="Els-table-col-head"/>
    <w:basedOn w:val="Els-table-text"/>
    <w:rPr>
      <w:b/>
      <w:sz w:val="16"/>
    </w:rPr>
  </w:style>
  <w:style w:type="paragraph" w:customStyle="1" w:styleId="Els-equation">
    <w:name w:val="Els-equation"/>
    <w:next w:val="Normal"/>
    <w:pPr>
      <w:widowControl w:val="0"/>
      <w:tabs>
        <w:tab w:val="right" w:pos="4320"/>
        <w:tab w:val="right" w:pos="9120"/>
      </w:tabs>
      <w:spacing w:before="230" w:after="230" w:line="360" w:lineRule="auto"/>
    </w:pPr>
    <w:rPr>
      <w:rFonts w:eastAsia="SimSun"/>
      <w:i/>
      <w:sz w:val="16"/>
    </w:rPr>
  </w:style>
  <w:style w:type="paragraph" w:customStyle="1" w:styleId="UTEMPARA1">
    <w:name w:val="UTEM PARA 1"/>
    <w:basedOn w:val="Normal"/>
    <w:uiPriority w:val="4"/>
    <w:pPr>
      <w:framePr w:hSpace="180" w:wrap="around" w:vAnchor="text" w:hAnchor="margin" w:xAlign="center" w:y="378"/>
      <w:spacing w:before="60" w:after="60"/>
    </w:pPr>
    <w:rPr>
      <w:rFonts w:eastAsia="Calibri"/>
      <w:lang w:val="en-GB"/>
    </w:rPr>
  </w:style>
  <w:style w:type="table" w:customStyle="1" w:styleId="TableGridLight1">
    <w:name w:val="Table Grid Light1"/>
    <w:basedOn w:val="TableNormal"/>
    <w:uiPriority w:val="40"/>
    <w:rPr>
      <w:rFonts w:ascii="Calibri" w:eastAsia="Calibri" w:hAnsi="Calibri" w:cs="Arial"/>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ListTable22">
    <w:name w:val="List Table 22"/>
    <w:basedOn w:val="TableNormal"/>
    <w:uiPriority w:val="47"/>
    <w:qFormat/>
    <w:rPr>
      <w:rFonts w:ascii="Calibri" w:eastAsia="SimSun" w:hAnsi="Calibri" w:cs="Arial"/>
      <w:lang w:val="en-MY" w:eastAsia="ja-JP"/>
    </w:rPr>
    <w:tblPr>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Emphasis">
    <w:name w:val="Emphasis"/>
    <w:rsid w:val="000643A7"/>
    <w:rPr>
      <w:i/>
      <w:iCs/>
    </w:rPr>
  </w:style>
  <w:style w:type="paragraph" w:customStyle="1" w:styleId="Topic">
    <w:name w:val="Topic"/>
    <w:basedOn w:val="Normal"/>
    <w:link w:val="TopicChar"/>
    <w:qFormat/>
    <w:rsid w:val="00026265"/>
    <w:pPr>
      <w:numPr>
        <w:numId w:val="1"/>
      </w:numPr>
      <w:tabs>
        <w:tab w:val="clear" w:pos="720"/>
        <w:tab w:val="left" w:pos="360"/>
        <w:tab w:val="left" w:pos="4203"/>
      </w:tabs>
      <w:spacing w:before="240" w:after="80"/>
      <w:ind w:left="360"/>
      <w:jc w:val="both"/>
    </w:pPr>
    <w:rPr>
      <w:rFonts w:ascii="Cambria" w:hAnsi="Cambria"/>
      <w:b/>
      <w:color w:val="2F5496"/>
    </w:rPr>
  </w:style>
  <w:style w:type="paragraph" w:customStyle="1" w:styleId="SubTopic">
    <w:name w:val="Sub Topic"/>
    <w:basedOn w:val="Topic"/>
    <w:link w:val="SubTopicChar"/>
    <w:qFormat/>
    <w:rsid w:val="006C7618"/>
    <w:pPr>
      <w:numPr>
        <w:ilvl w:val="1"/>
      </w:numPr>
      <w:tabs>
        <w:tab w:val="clear" w:pos="360"/>
        <w:tab w:val="left" w:pos="450"/>
      </w:tabs>
      <w:ind w:hanging="720"/>
    </w:pPr>
  </w:style>
  <w:style w:type="character" w:customStyle="1" w:styleId="TopicChar">
    <w:name w:val="Topic Char"/>
    <w:link w:val="Topic"/>
    <w:rsid w:val="00026265"/>
    <w:rPr>
      <w:rFonts w:ascii="Cambria" w:hAnsi="Cambria"/>
      <w:b/>
      <w:color w:val="2F5496"/>
      <w:sz w:val="24"/>
      <w:szCs w:val="24"/>
    </w:rPr>
  </w:style>
  <w:style w:type="paragraph" w:styleId="Subtitle">
    <w:name w:val="Subtitle"/>
    <w:basedOn w:val="Normal"/>
    <w:next w:val="Normal"/>
    <w:link w:val="SubtitleChar"/>
    <w:qFormat/>
    <w:rsid w:val="006C7618"/>
    <w:pPr>
      <w:spacing w:after="60"/>
      <w:jc w:val="center"/>
      <w:outlineLvl w:val="1"/>
    </w:pPr>
    <w:rPr>
      <w:rFonts w:ascii="Calibri Light" w:eastAsia="Times New Roman" w:hAnsi="Calibri Light"/>
    </w:rPr>
  </w:style>
  <w:style w:type="character" w:customStyle="1" w:styleId="SubTopicChar">
    <w:name w:val="Sub Topic Char"/>
    <w:link w:val="SubTopic"/>
    <w:rsid w:val="006C7618"/>
    <w:rPr>
      <w:rFonts w:ascii="Cambria" w:hAnsi="Cambria"/>
      <w:b/>
      <w:color w:val="2F5496"/>
      <w:sz w:val="24"/>
      <w:szCs w:val="24"/>
    </w:rPr>
  </w:style>
  <w:style w:type="character" w:customStyle="1" w:styleId="SubtitleChar">
    <w:name w:val="Subtitle Char"/>
    <w:link w:val="Subtitle"/>
    <w:rsid w:val="006C7618"/>
    <w:rPr>
      <w:rFonts w:ascii="Calibri Light" w:eastAsia="Times New Roman" w:hAnsi="Calibri Light" w:cs="Times New Roman"/>
      <w:sz w:val="24"/>
      <w:szCs w:val="24"/>
    </w:rPr>
  </w:style>
  <w:style w:type="character" w:customStyle="1" w:styleId="UnresolvedMention">
    <w:name w:val="Unresolved Mention"/>
    <w:uiPriority w:val="99"/>
    <w:semiHidden/>
    <w:unhideWhenUsed/>
    <w:rsid w:val="00154367"/>
    <w:rPr>
      <w:color w:val="605E5C"/>
      <w:shd w:val="clear" w:color="auto" w:fill="E1DFDD"/>
    </w:rPr>
  </w:style>
  <w:style w:type="paragraph" w:customStyle="1" w:styleId="ArticleTitle">
    <w:name w:val="Article Title"/>
    <w:basedOn w:val="Normal"/>
    <w:link w:val="ArticleTitleChar"/>
    <w:qFormat/>
    <w:rsid w:val="00A24936"/>
    <w:pPr>
      <w:spacing w:before="240" w:after="240"/>
    </w:pPr>
    <w:rPr>
      <w:rFonts w:ascii="Cambria" w:hAnsi="Cambria"/>
      <w:b/>
      <w:bCs/>
      <w:color w:val="2F5496"/>
      <w:sz w:val="36"/>
      <w:szCs w:val="48"/>
      <w:lang w:val="en-GB"/>
    </w:rPr>
  </w:style>
  <w:style w:type="paragraph" w:customStyle="1" w:styleId="Author">
    <w:name w:val="Author"/>
    <w:basedOn w:val="Normal"/>
    <w:link w:val="AuthorChar"/>
    <w:qFormat/>
    <w:rsid w:val="00A24936"/>
    <w:pPr>
      <w:spacing w:after="200"/>
    </w:pPr>
    <w:rPr>
      <w:rFonts w:ascii="Cambria" w:hAnsi="Cambria"/>
      <w:b/>
      <w:sz w:val="28"/>
      <w:szCs w:val="22"/>
      <w:lang w:val="sv-SE"/>
    </w:rPr>
  </w:style>
  <w:style w:type="character" w:customStyle="1" w:styleId="ArticleTitleChar">
    <w:name w:val="Article Title Char"/>
    <w:link w:val="ArticleTitle"/>
    <w:rsid w:val="00A24936"/>
    <w:rPr>
      <w:rFonts w:ascii="Cambria" w:hAnsi="Cambria"/>
      <w:b/>
      <w:bCs/>
      <w:color w:val="2F5496"/>
      <w:sz w:val="36"/>
      <w:szCs w:val="48"/>
      <w:lang w:val="en-GB"/>
    </w:rPr>
  </w:style>
  <w:style w:type="paragraph" w:customStyle="1" w:styleId="Table">
    <w:name w:val="Table"/>
    <w:basedOn w:val="Normal"/>
    <w:link w:val="TableChar"/>
    <w:qFormat/>
    <w:rsid w:val="005E7493"/>
    <w:pPr>
      <w:tabs>
        <w:tab w:val="left" w:pos="4203"/>
      </w:tabs>
      <w:spacing w:before="240" w:after="80"/>
      <w:jc w:val="center"/>
    </w:pPr>
    <w:rPr>
      <w:rFonts w:ascii="Cambria" w:hAnsi="Cambria"/>
      <w:b/>
      <w:bCs/>
      <w:sz w:val="20"/>
      <w:szCs w:val="20"/>
    </w:rPr>
  </w:style>
  <w:style w:type="character" w:customStyle="1" w:styleId="AuthorChar">
    <w:name w:val="Author Char"/>
    <w:link w:val="Author"/>
    <w:rsid w:val="00A24936"/>
    <w:rPr>
      <w:rFonts w:ascii="Cambria" w:hAnsi="Cambria"/>
      <w:b/>
      <w:sz w:val="28"/>
      <w:szCs w:val="22"/>
      <w:lang w:val="sv-SE"/>
    </w:rPr>
  </w:style>
  <w:style w:type="paragraph" w:customStyle="1" w:styleId="1stParagraph">
    <w:name w:val="1st Paragraph"/>
    <w:basedOn w:val="Normal"/>
    <w:link w:val="1stParagraphChar"/>
    <w:qFormat/>
    <w:rsid w:val="00D871AC"/>
    <w:pPr>
      <w:tabs>
        <w:tab w:val="left" w:pos="4203"/>
      </w:tabs>
      <w:jc w:val="both"/>
    </w:pPr>
    <w:rPr>
      <w:rFonts w:ascii="Cambria" w:hAnsi="Cambria"/>
      <w:sz w:val="20"/>
      <w:szCs w:val="20"/>
    </w:rPr>
  </w:style>
  <w:style w:type="character" w:customStyle="1" w:styleId="TableChar">
    <w:name w:val="Table Char"/>
    <w:link w:val="Table"/>
    <w:rsid w:val="005E7493"/>
    <w:rPr>
      <w:rFonts w:ascii="Cambria" w:hAnsi="Cambria"/>
      <w:b/>
      <w:bCs/>
    </w:rPr>
  </w:style>
  <w:style w:type="paragraph" w:customStyle="1" w:styleId="Figure">
    <w:name w:val="Figure"/>
    <w:basedOn w:val="Normal"/>
    <w:link w:val="FigureChar"/>
    <w:qFormat/>
    <w:rsid w:val="00A0544B"/>
    <w:pPr>
      <w:tabs>
        <w:tab w:val="left" w:pos="4203"/>
      </w:tabs>
      <w:spacing w:before="80" w:after="120"/>
      <w:ind w:left="360" w:hanging="360"/>
      <w:jc w:val="center"/>
    </w:pPr>
    <w:rPr>
      <w:rFonts w:ascii="Cambria" w:hAnsi="Cambria"/>
      <w:b/>
      <w:color w:val="000000"/>
      <w:sz w:val="20"/>
      <w:szCs w:val="20"/>
      <w:lang w:val="en-GB"/>
    </w:rPr>
  </w:style>
  <w:style w:type="character" w:customStyle="1" w:styleId="1stParagraphChar">
    <w:name w:val="1st Paragraph Char"/>
    <w:link w:val="1stParagraph"/>
    <w:rsid w:val="00D871AC"/>
    <w:rPr>
      <w:rFonts w:ascii="Cambria" w:hAnsi="Cambria"/>
    </w:rPr>
  </w:style>
  <w:style w:type="paragraph" w:customStyle="1" w:styleId="Acknowledgement">
    <w:name w:val="Acknowledgement"/>
    <w:basedOn w:val="Normal"/>
    <w:link w:val="AcknowledgementChar"/>
    <w:qFormat/>
    <w:rsid w:val="00026265"/>
    <w:pPr>
      <w:tabs>
        <w:tab w:val="left" w:pos="360"/>
        <w:tab w:val="left" w:pos="4203"/>
      </w:tabs>
      <w:spacing w:before="240" w:after="80"/>
      <w:ind w:left="360" w:hanging="360"/>
      <w:jc w:val="both"/>
    </w:pPr>
    <w:rPr>
      <w:rFonts w:ascii="Cambria" w:hAnsi="Cambria"/>
      <w:b/>
      <w:color w:val="2F5496"/>
    </w:rPr>
  </w:style>
  <w:style w:type="character" w:customStyle="1" w:styleId="FigureChar">
    <w:name w:val="Figure Char"/>
    <w:link w:val="Figure"/>
    <w:rsid w:val="00A0544B"/>
    <w:rPr>
      <w:rFonts w:ascii="Cambria" w:hAnsi="Cambria"/>
      <w:b/>
      <w:color w:val="000000"/>
      <w:lang w:val="en-GB"/>
    </w:rPr>
  </w:style>
  <w:style w:type="paragraph" w:customStyle="1" w:styleId="NextParagraph">
    <w:name w:val="Next Paragraph"/>
    <w:basedOn w:val="Normal"/>
    <w:link w:val="NextParagraphChar"/>
    <w:qFormat/>
    <w:rsid w:val="00D871AC"/>
    <w:pPr>
      <w:tabs>
        <w:tab w:val="left" w:pos="4203"/>
      </w:tabs>
      <w:ind w:firstLine="360"/>
      <w:jc w:val="both"/>
    </w:pPr>
    <w:rPr>
      <w:rFonts w:ascii="Cambria" w:hAnsi="Cambria"/>
      <w:color w:val="000000"/>
      <w:sz w:val="20"/>
      <w:szCs w:val="20"/>
      <w:lang w:val="en-GB"/>
    </w:rPr>
  </w:style>
  <w:style w:type="character" w:customStyle="1" w:styleId="AcknowledgementChar">
    <w:name w:val="Acknowledgement Char"/>
    <w:link w:val="Acknowledgement"/>
    <w:rsid w:val="00026265"/>
    <w:rPr>
      <w:rFonts w:ascii="Cambria" w:hAnsi="Cambria"/>
      <w:b/>
      <w:color w:val="2F5496"/>
      <w:sz w:val="24"/>
      <w:szCs w:val="24"/>
    </w:rPr>
  </w:style>
  <w:style w:type="paragraph" w:customStyle="1" w:styleId="AuthorContribution">
    <w:name w:val="Author Contribution"/>
    <w:basedOn w:val="Acknowledgement"/>
    <w:link w:val="AuthorContributionChar"/>
    <w:rsid w:val="00DC0E4F"/>
  </w:style>
  <w:style w:type="character" w:customStyle="1" w:styleId="NextParagraphChar">
    <w:name w:val="Next Paragraph Char"/>
    <w:link w:val="NextParagraph"/>
    <w:rsid w:val="00D871AC"/>
    <w:rPr>
      <w:rFonts w:ascii="Cambria" w:hAnsi="Cambria"/>
      <w:color w:val="000000"/>
      <w:lang w:val="en-GB"/>
    </w:rPr>
  </w:style>
  <w:style w:type="paragraph" w:customStyle="1" w:styleId="Default">
    <w:name w:val="Default"/>
    <w:rsid w:val="008A2BEF"/>
    <w:pPr>
      <w:autoSpaceDE w:val="0"/>
      <w:autoSpaceDN w:val="0"/>
      <w:adjustRightInd w:val="0"/>
    </w:pPr>
    <w:rPr>
      <w:rFonts w:ascii="Avenir LT Pro 55 Roman" w:hAnsi="Avenir LT Pro 55 Roman" w:cs="Avenir LT Pro 55 Roman"/>
      <w:color w:val="000000"/>
      <w:sz w:val="24"/>
      <w:szCs w:val="24"/>
    </w:rPr>
  </w:style>
  <w:style w:type="character" w:customStyle="1" w:styleId="AuthorContributionChar">
    <w:name w:val="Author Contribution Char"/>
    <w:link w:val="AuthorContribution"/>
    <w:rsid w:val="00DC0E4F"/>
    <w:rPr>
      <w:rFonts w:ascii="Cambria" w:hAnsi="Cambria"/>
      <w:b/>
      <w:color w:val="2F5496"/>
      <w:sz w:val="24"/>
      <w:szCs w:val="24"/>
    </w:rPr>
  </w:style>
  <w:style w:type="paragraph" w:customStyle="1" w:styleId="Pa3">
    <w:name w:val="Pa3"/>
    <w:basedOn w:val="Default"/>
    <w:next w:val="Default"/>
    <w:uiPriority w:val="99"/>
    <w:rsid w:val="008A2BEF"/>
    <w:pPr>
      <w:spacing w:line="221" w:lineRule="atLeast"/>
    </w:pPr>
    <w:rPr>
      <w:rFonts w:cs="Times New Roman"/>
      <w:color w:val="auto"/>
    </w:rPr>
  </w:style>
  <w:style w:type="paragraph" w:customStyle="1" w:styleId="Pa5">
    <w:name w:val="Pa5"/>
    <w:basedOn w:val="Default"/>
    <w:next w:val="Default"/>
    <w:uiPriority w:val="99"/>
    <w:rsid w:val="008A2BEF"/>
    <w:pPr>
      <w:spacing w:line="221" w:lineRule="atLeast"/>
    </w:pPr>
    <w:rPr>
      <w:rFonts w:cs="Times New Roman"/>
      <w:color w:val="auto"/>
    </w:rPr>
  </w:style>
  <w:style w:type="character" w:customStyle="1" w:styleId="A3">
    <w:name w:val="A3"/>
    <w:uiPriority w:val="99"/>
    <w:rsid w:val="008A2BEF"/>
    <w:rPr>
      <w:rFonts w:ascii="Avenir LT Pro 45 Book" w:hAnsi="Avenir LT Pro 45 Book" w:cs="Avenir LT Pro 45 Book"/>
      <w:color w:val="0E8092"/>
      <w:sz w:val="22"/>
      <w:szCs w:val="22"/>
      <w:u w:val="single"/>
    </w:rPr>
  </w:style>
  <w:style w:type="paragraph" w:customStyle="1" w:styleId="Pa4">
    <w:name w:val="Pa4"/>
    <w:basedOn w:val="Default"/>
    <w:next w:val="Default"/>
    <w:uiPriority w:val="99"/>
    <w:rsid w:val="008A2BEF"/>
    <w:pPr>
      <w:spacing w:line="221" w:lineRule="atLeast"/>
    </w:pPr>
    <w:rPr>
      <w:rFonts w:cs="Times New Roman"/>
      <w:color w:val="auto"/>
    </w:rPr>
  </w:style>
  <w:style w:type="paragraph" w:customStyle="1" w:styleId="Pa7">
    <w:name w:val="Pa7"/>
    <w:basedOn w:val="Default"/>
    <w:next w:val="Default"/>
    <w:uiPriority w:val="99"/>
    <w:rsid w:val="008A2BEF"/>
    <w:pPr>
      <w:spacing w:line="201" w:lineRule="atLeast"/>
    </w:pPr>
    <w:rPr>
      <w:rFonts w:cs="Times New Roman"/>
      <w:color w:val="auto"/>
    </w:rPr>
  </w:style>
  <w:style w:type="character" w:customStyle="1" w:styleId="A4">
    <w:name w:val="A4"/>
    <w:uiPriority w:val="99"/>
    <w:rsid w:val="008A2BEF"/>
    <w:rPr>
      <w:rFonts w:ascii="Avenir LT Pro 45 Book" w:hAnsi="Avenir LT Pro 45 Book" w:cs="Avenir LT Pro 45 Book"/>
      <w:color w:val="252525"/>
      <w:sz w:val="12"/>
      <w:szCs w:val="12"/>
    </w:rPr>
  </w:style>
  <w:style w:type="paragraph" w:customStyle="1" w:styleId="Reference">
    <w:name w:val="Reference"/>
    <w:basedOn w:val="Normal"/>
    <w:link w:val="ReferenceChar"/>
    <w:qFormat/>
    <w:rsid w:val="00FF3EF0"/>
    <w:pPr>
      <w:ind w:left="720" w:hanging="720"/>
    </w:pPr>
    <w:rPr>
      <w:rFonts w:ascii="Cambria" w:hAnsi="Cambria"/>
      <w:color w:val="000000"/>
      <w:sz w:val="20"/>
      <w:szCs w:val="20"/>
    </w:rPr>
  </w:style>
  <w:style w:type="paragraph" w:customStyle="1" w:styleId="SubTopic3">
    <w:name w:val="Sub Topic3"/>
    <w:basedOn w:val="SubTopic"/>
    <w:link w:val="SubTopic3Char"/>
    <w:qFormat/>
    <w:rsid w:val="008B278E"/>
    <w:pPr>
      <w:numPr>
        <w:ilvl w:val="2"/>
      </w:numPr>
      <w:tabs>
        <w:tab w:val="left" w:pos="630"/>
      </w:tabs>
      <w:ind w:hanging="1080"/>
    </w:pPr>
  </w:style>
  <w:style w:type="character" w:customStyle="1" w:styleId="ReferenceChar">
    <w:name w:val="Reference Char"/>
    <w:link w:val="Reference"/>
    <w:rsid w:val="00FF3EF0"/>
    <w:rPr>
      <w:rFonts w:ascii="Cambria" w:hAnsi="Cambria"/>
      <w:color w:val="000000"/>
    </w:rPr>
  </w:style>
  <w:style w:type="paragraph" w:styleId="NormalWeb">
    <w:name w:val="Normal (Web)"/>
    <w:basedOn w:val="Normal"/>
    <w:uiPriority w:val="99"/>
    <w:unhideWhenUsed/>
    <w:rsid w:val="002F6609"/>
    <w:pPr>
      <w:spacing w:before="100" w:beforeAutospacing="1" w:after="100" w:afterAutospacing="1"/>
    </w:pPr>
    <w:rPr>
      <w:rFonts w:eastAsia="Times New Roman"/>
    </w:rPr>
  </w:style>
  <w:style w:type="character" w:customStyle="1" w:styleId="SubTopic3Char">
    <w:name w:val="Sub Topic3 Char"/>
    <w:link w:val="SubTopic3"/>
    <w:rsid w:val="008B278E"/>
    <w:rPr>
      <w:rFonts w:ascii="Cambria" w:hAnsi="Cambria"/>
      <w:b/>
      <w:color w:val="2F5496"/>
      <w:sz w:val="24"/>
      <w:szCs w:val="24"/>
    </w:rPr>
  </w:style>
  <w:style w:type="character" w:styleId="CommentReference">
    <w:name w:val="annotation reference"/>
    <w:rsid w:val="00835116"/>
    <w:rPr>
      <w:sz w:val="16"/>
      <w:szCs w:val="16"/>
    </w:rPr>
  </w:style>
  <w:style w:type="paragraph" w:styleId="CommentText">
    <w:name w:val="annotation text"/>
    <w:basedOn w:val="Normal"/>
    <w:link w:val="CommentTextChar"/>
    <w:rsid w:val="00835116"/>
    <w:rPr>
      <w:sz w:val="20"/>
      <w:szCs w:val="20"/>
    </w:rPr>
  </w:style>
  <w:style w:type="character" w:customStyle="1" w:styleId="CommentTextChar">
    <w:name w:val="Comment Text Char"/>
    <w:basedOn w:val="DefaultParagraphFont"/>
    <w:link w:val="CommentText"/>
    <w:rsid w:val="00835116"/>
  </w:style>
  <w:style w:type="paragraph" w:styleId="CommentSubject">
    <w:name w:val="annotation subject"/>
    <w:basedOn w:val="CommentText"/>
    <w:next w:val="CommentText"/>
    <w:link w:val="CommentSubjectChar"/>
    <w:rsid w:val="00835116"/>
    <w:rPr>
      <w:b/>
      <w:bCs/>
    </w:rPr>
  </w:style>
  <w:style w:type="character" w:customStyle="1" w:styleId="CommentSubjectChar">
    <w:name w:val="Comment Subject Char"/>
    <w:link w:val="CommentSubject"/>
    <w:rsid w:val="00835116"/>
    <w:rPr>
      <w:b/>
      <w:bCs/>
    </w:rPr>
  </w:style>
  <w:style w:type="paragraph" w:styleId="BalloonText">
    <w:name w:val="Balloon Text"/>
    <w:basedOn w:val="Normal"/>
    <w:link w:val="BalloonTextChar"/>
    <w:rsid w:val="00DD7D83"/>
    <w:rPr>
      <w:rFonts w:ascii="Segoe UI" w:hAnsi="Segoe UI" w:cs="Segoe UI"/>
      <w:sz w:val="18"/>
      <w:szCs w:val="18"/>
    </w:rPr>
  </w:style>
  <w:style w:type="character" w:customStyle="1" w:styleId="BalloonTextChar">
    <w:name w:val="Balloon Text Char"/>
    <w:link w:val="BalloonText"/>
    <w:rsid w:val="00DD7D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295284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doi.org/10.21511/ppm.21(1).2023.02" TargetMode="External"/><Relationship Id="rId18"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iea.org/reports/gender-and-energy" TargetMode="External"/><Relationship Id="rId17" Type="http://schemas.openxmlformats.org/officeDocument/2006/relationships/hyperlink" Target="https://doi.org/10.1177/001872675100400101" TargetMode="External"/><Relationship Id="rId2" Type="http://schemas.openxmlformats.org/officeDocument/2006/relationships/styles" Target="styles.xml"/><Relationship Id="rId16" Type="http://schemas.openxmlformats.org/officeDocument/2006/relationships/hyperlink" Target="https://doi.org/10.1051/e3sconf/202125003002"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1191/1478088706qp063oa" TargetMode="Externa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doi.org/10.1007/s10488-013-0528-y" TargetMode="External"/><Relationship Id="rId23" Type="http://schemas.microsoft.com/office/2016/09/relationships/commentsIds" Target="commentsIds.xml"/><Relationship Id="rId10" Type="http://schemas.openxmlformats.org/officeDocument/2006/relationships/hyperlink" Target="https://doi.org/10.3390/ijerph19127234"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doi.org/10.1108/CDI-11-2016-0200" TargetMode="External"/><Relationship Id="rId14" Type="http://schemas.openxmlformats.org/officeDocument/2006/relationships/hyperlink" Target="https://documents1.worldbank.org/curated/en/099811306222220953/pdf/IDU0864241720fd0f04d5a094d009ba1a46de97d.pdf?utm_source=chatgpt.com" TargetMode="External"/><Relationship Id="rId22"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4483</Words>
  <Characters>25557</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Universiti Tun Hussein Onn Malaysia</Company>
  <LinksUpToDate>false</LinksUpToDate>
  <CharactersWithSpaces>29981</CharactersWithSpaces>
  <SharedDoc>false</SharedDoc>
  <HLinks>
    <vt:vector size="30" baseType="variant">
      <vt:variant>
        <vt:i4>1572959</vt:i4>
      </vt:variant>
      <vt:variant>
        <vt:i4>12</vt:i4>
      </vt:variant>
      <vt:variant>
        <vt:i4>0</vt:i4>
      </vt:variant>
      <vt:variant>
        <vt:i4>5</vt:i4>
      </vt:variant>
      <vt:variant>
        <vt:lpwstr>https://coronavirus.jhu.edu/map.html</vt:lpwstr>
      </vt:variant>
      <vt:variant>
        <vt:lpwstr/>
      </vt:variant>
      <vt:variant>
        <vt:i4>1638484</vt:i4>
      </vt:variant>
      <vt:variant>
        <vt:i4>9</vt:i4>
      </vt:variant>
      <vt:variant>
        <vt:i4>0</vt:i4>
      </vt:variant>
      <vt:variant>
        <vt:i4>5</vt:i4>
      </vt:variant>
      <vt:variant>
        <vt:lpwstr>https://doi.org/10.3886/</vt:lpwstr>
      </vt:variant>
      <vt:variant>
        <vt:lpwstr/>
      </vt:variant>
      <vt:variant>
        <vt:i4>3670123</vt:i4>
      </vt:variant>
      <vt:variant>
        <vt:i4>6</vt:i4>
      </vt:variant>
      <vt:variant>
        <vt:i4>0</vt:i4>
      </vt:variant>
      <vt:variant>
        <vt:i4>5</vt:i4>
      </vt:variant>
      <vt:variant>
        <vt:lpwstr>https://doi.org/10.1037/0000157-002</vt:lpwstr>
      </vt:variant>
      <vt:variant>
        <vt:lpwstr/>
      </vt:variant>
      <vt:variant>
        <vt:i4>3735653</vt:i4>
      </vt:variant>
      <vt:variant>
        <vt:i4>3</vt:i4>
      </vt:variant>
      <vt:variant>
        <vt:i4>0</vt:i4>
      </vt:variant>
      <vt:variant>
        <vt:i4>5</vt:i4>
      </vt:variant>
      <vt:variant>
        <vt:lpwstr>https://doi.org/10.1037/0000048-000</vt:lpwstr>
      </vt:variant>
      <vt:variant>
        <vt:lpwstr/>
      </vt:variant>
      <vt:variant>
        <vt:i4>4390932</vt:i4>
      </vt:variant>
      <vt:variant>
        <vt:i4>0</vt:i4>
      </vt:variant>
      <vt:variant>
        <vt:i4>0</vt:i4>
      </vt:variant>
      <vt:variant>
        <vt:i4>5</vt:i4>
      </vt:variant>
      <vt:variant>
        <vt:lpwstr>https://www.pamelarutledge.com/2019/03/11/the-upside-of-social-media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Uthm</dc:creator>
  <cp:keywords/>
  <cp:lastModifiedBy>qwert</cp:lastModifiedBy>
  <cp:revision>3</cp:revision>
  <cp:lastPrinted>2023-05-21T08:29:00Z</cp:lastPrinted>
  <dcterms:created xsi:type="dcterms:W3CDTF">2026-04-21T13:32:00Z</dcterms:created>
  <dcterms:modified xsi:type="dcterms:W3CDTF">2026-04-22T13:17:00Z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1033-11.2.0.10114</vt:lpwstr>
  </property>
</Properties>
</file>