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8C9" w:rsidRDefault="009558C9"/>
    <w:p w:rsidR="009558C9" w:rsidRDefault="007342A8">
      <w:pPr>
        <w:pStyle w:val="Title"/>
        <w:jc w:val="center"/>
      </w:pPr>
      <w:bookmarkStart w:id="0" w:name="_8io6cfs5k39k" w:colFirst="0" w:colLast="0"/>
      <w:bookmarkEnd w:id="0"/>
      <w:r>
        <w:t>Benchmarking Resilience: Asymmetric Latent Purification Inspired by Generative Diffusion Bottlenecks</w:t>
      </w:r>
    </w:p>
    <w:p w:rsidR="009558C9" w:rsidRDefault="009558C9">
      <w:bookmarkStart w:id="1" w:name="_GoBack"/>
      <w:bookmarkEnd w:id="1"/>
    </w:p>
    <w:p w:rsidR="009558C9" w:rsidRDefault="007342A8">
      <w:pPr>
        <w:rPr>
          <w:b/>
          <w:bCs/>
        </w:rPr>
      </w:pPr>
      <w:r>
        <w:rPr>
          <w:b/>
          <w:bCs/>
        </w:rPr>
        <w:t>Abstract</w:t>
      </w:r>
      <w:r>
        <w:rPr>
          <w:b/>
          <w:bCs/>
        </w:rPr>
        <w:t>—Deep learning classifiers tend to exhibit significant vulnerability to adversarial perturbations, frequently failing under high-precision, deterministic attacks. To address this challenge, we introduce the Asymmetric Latent Purifier (ALP), an unprecedente</w:t>
      </w:r>
      <w:r>
        <w:rPr>
          <w:b/>
          <w:bCs/>
        </w:rPr>
        <w:t>d zero-shot defence mechanism inspired by the fixed noise bottlenecks of the 2026 Unified Latents (UL) generative framework along with recent insights into diffusion compression errors. ALP operates by injecting a fixed, non-differentiable Gaussian noise t</w:t>
      </w:r>
      <w:r>
        <w:rPr>
          <w:b/>
          <w:bCs/>
        </w:rPr>
        <w:t>ensor into an autoencoder's latent space. This very stochastic bottleneck effectively decimates adversarial gradients while also simultaneously preserving essential low-frequency semantic features. Empirically validated on the Apple M4 8-Core GPU architect</w:t>
      </w:r>
      <w:r>
        <w:rPr>
          <w:b/>
          <w:bCs/>
        </w:rPr>
        <w:t>ure, our single-step approach boosts classification accuracy from a baseline of 33.1% to 37.7% under strong FGSM attacks (epsilon=0.3). Furthermore, ALP achieves an unprecedented inference latency of 0.005 ms per sample, thus evading the exorbitant computa</w:t>
      </w:r>
      <w:r>
        <w:rPr>
          <w:b/>
          <w:bCs/>
        </w:rPr>
        <w:t>tional costs associated with iterative diffusion based purifiers. Bolstered by a comprehensive tabular literature review spanning 15 research papers, this research cogently demonstrates a highly efficient, structural pathway for deploying adversarial resil</w:t>
      </w:r>
      <w:r>
        <w:rPr>
          <w:b/>
          <w:bCs/>
        </w:rPr>
        <w:t>ience in real-time systems.</w:t>
      </w:r>
    </w:p>
    <w:p w:rsidR="009558C9" w:rsidRDefault="007342A8">
      <w:pPr>
        <w:rPr>
          <w:b/>
          <w:bCs/>
        </w:rPr>
      </w:pPr>
      <w:r>
        <w:rPr>
          <w:b/>
          <w:bCs/>
        </w:rPr>
        <w:t>Index Terms—Adversarial Attacks, Unified Latents, Generative Purification, Zero-Shot Robustness, Deep Learning.</w:t>
      </w:r>
    </w:p>
    <w:p w:rsidR="009558C9" w:rsidRDefault="009558C9">
      <w:pPr>
        <w:rPr>
          <w:b/>
          <w:bCs/>
        </w:rPr>
      </w:pPr>
    </w:p>
    <w:p w:rsidR="009558C9" w:rsidRDefault="009558C9">
      <w:pPr>
        <w:rPr>
          <w:b/>
          <w:bCs/>
        </w:rPr>
      </w:pPr>
    </w:p>
    <w:p w:rsidR="009558C9" w:rsidRDefault="007342A8">
      <w:pPr>
        <w:pStyle w:val="Subtitle"/>
      </w:pPr>
      <w:bookmarkStart w:id="2" w:name="_n9xfvcaglghg" w:colFirst="0" w:colLast="0"/>
      <w:bookmarkEnd w:id="2"/>
      <w:r>
        <w:t>I. INTRODUCTION</w:t>
      </w:r>
    </w:p>
    <w:p w:rsidR="009558C9" w:rsidRDefault="007342A8">
      <w:r>
        <w:t xml:space="preserve">The all-pervading acclimation of Deep Neural Networks (DNNs) entail standards of reliability that </w:t>
      </w:r>
      <w:r>
        <w:t>go far beyond just standard accuracy on clean test sets. Though modern architectures excel at feature extraction, they tend to exhibit an untenable frailty: susceptibility to adversarial examples.</w:t>
      </w:r>
    </w:p>
    <w:p w:rsidR="009558C9" w:rsidRDefault="007342A8">
      <w:r>
        <w:t>Convolutional Neural Network (CNN) is mathematically determ</w:t>
      </w:r>
      <w:r>
        <w:t>inistic, thus it generates ditto output each time for an input always by virtue of this rigid predictability of standard neural networks they tend to get ‘trapped’ by adversarial attacks. In order to break this rigid loop of for input ‘A’ the output is ‘B’</w:t>
      </w:r>
      <w:r>
        <w:t xml:space="preserve"> we need to inject random noise into our network which makes them unpredictable and therefore escaping from the adversarial trap.</w:t>
      </w:r>
    </w:p>
    <w:p w:rsidR="009558C9" w:rsidRDefault="007342A8">
      <w:r>
        <w:t xml:space="preserve">In recent times, beau ideal of Computer Vision has moved towards Generative AI from Classification. In February 2026, Heek et </w:t>
      </w:r>
      <w:r>
        <w:t xml:space="preserve">al. at Google Deepmind introduced Unified Latents (UL) [1], proving that encoding latents with a fixed amount of Gaussian noise creates a highly </w:t>
      </w:r>
      <w:r>
        <w:lastRenderedPageBreak/>
        <w:t>effective information bottleneck, retaining semantic density while repudiating high-frequency redundancy. Conte</w:t>
      </w:r>
      <w:r>
        <w:t>mporaneously, the 2025 survey by Jensen et al. [2] mathematically emphasised how quantisation and compression errors tend to augment through the iteration of diffusion denoising.</w:t>
      </w:r>
    </w:p>
    <w:p w:rsidR="009558C9" w:rsidRDefault="007342A8">
      <w:r>
        <w:t xml:space="preserve">We postulate that this generative degradation mechanism can be weaponised in </w:t>
      </w:r>
      <w:r>
        <w:t>order to serve as a zero-shot defence. Adversarial attacks such as FGSM rely on high-precision perturbations within the “redundant” bit-space of an image. By passing the image through our Asymmetric Latent Purifier (ALP) - an auto encoder equipped with a f</w:t>
      </w:r>
      <w:r>
        <w:t>ixed Gaussian noise injection layer, we thus eliminate adversarial noise before it reaches the classifier, therefore achieving structural immunity at computational cost significantly lesser than that of iterative diffusion models.</w:t>
      </w:r>
    </w:p>
    <w:p w:rsidR="009558C9" w:rsidRDefault="009558C9"/>
    <w:p w:rsidR="009558C9" w:rsidRDefault="007342A8">
      <w:pPr>
        <w:pStyle w:val="Subtitle"/>
      </w:pPr>
      <w:bookmarkStart w:id="3" w:name="_f2o1eknllso4" w:colFirst="0" w:colLast="0"/>
      <w:bookmarkEnd w:id="3"/>
      <w:r>
        <w:t>II. RELATED WORK AND LIT</w:t>
      </w:r>
      <w:r>
        <w:t>ERATURE REVIEW</w:t>
      </w:r>
    </w:p>
    <w:p w:rsidR="009558C9" w:rsidRDefault="007342A8">
      <w:r>
        <w:t>Research in the field of adversarial robustness has pivoted from standard empirical defences to more advanced generative purification techniques. In order to provide context for the Asymmetric Latent Purifier (ALP), we have consolidated fift</w:t>
      </w:r>
      <w:r>
        <w:t>een foundational and contemporary studies in Table I. This tabular review outlines the transition from early adversarial attack discovery to the recent diffusion-based defences, ultimately distinguishing the computational limitations that our proposed arch</w:t>
      </w:r>
      <w:r>
        <w:t>itecture addresses.</w:t>
      </w:r>
    </w:p>
    <w:p w:rsidR="009558C9" w:rsidRDefault="009558C9"/>
    <w:p w:rsidR="009558C9" w:rsidRDefault="009558C9"/>
    <w:p w:rsidR="009558C9" w:rsidRDefault="009558C9"/>
    <w:p w:rsidR="009558C9" w:rsidRDefault="009558C9"/>
    <w:p w:rsidR="009558C9" w:rsidRDefault="009558C9"/>
    <w:p w:rsidR="009558C9" w:rsidRDefault="009558C9"/>
    <w:p w:rsidR="009558C9" w:rsidRDefault="009558C9"/>
    <w:p w:rsidR="009558C9" w:rsidRDefault="009558C9"/>
    <w:p w:rsidR="009558C9" w:rsidRDefault="009558C9"/>
    <w:p w:rsidR="009558C9" w:rsidRDefault="009558C9"/>
    <w:p w:rsidR="009558C9" w:rsidRDefault="009558C9"/>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2475"/>
        <w:gridCol w:w="2340"/>
        <w:gridCol w:w="2340"/>
      </w:tblGrid>
      <w:tr w:rsidR="009558C9">
        <w:tc>
          <w:tcPr>
            <w:tcW w:w="2205" w:type="dxa"/>
            <w:shd w:val="clear" w:color="auto" w:fill="auto"/>
            <w:tcMar>
              <w:top w:w="100" w:type="dxa"/>
              <w:left w:w="100" w:type="dxa"/>
              <w:bottom w:w="100" w:type="dxa"/>
              <w:right w:w="100" w:type="dxa"/>
            </w:tcMar>
          </w:tcPr>
          <w:p w:rsidR="009558C9" w:rsidRDefault="007342A8">
            <w:pPr>
              <w:rPr>
                <w:b/>
                <w:bCs/>
              </w:rPr>
            </w:pPr>
            <w:r>
              <w:rPr>
                <w:b/>
                <w:bCs/>
              </w:rPr>
              <w:t>Author(s) &amp; Year</w:t>
            </w:r>
          </w:p>
        </w:tc>
        <w:tc>
          <w:tcPr>
            <w:tcW w:w="2475" w:type="dxa"/>
            <w:shd w:val="clear" w:color="auto" w:fill="auto"/>
            <w:tcMar>
              <w:top w:w="100" w:type="dxa"/>
              <w:left w:w="100" w:type="dxa"/>
              <w:bottom w:w="100" w:type="dxa"/>
              <w:right w:w="100" w:type="dxa"/>
            </w:tcMar>
          </w:tcPr>
          <w:p w:rsidR="009558C9" w:rsidRDefault="007342A8">
            <w:pPr>
              <w:rPr>
                <w:b/>
                <w:bCs/>
              </w:rPr>
            </w:pPr>
            <w:r>
              <w:rPr>
                <w:b/>
                <w:bCs/>
              </w:rPr>
              <w:t>Core Concept (Gist)</w:t>
            </w:r>
          </w:p>
        </w:tc>
        <w:tc>
          <w:tcPr>
            <w:tcW w:w="2340" w:type="dxa"/>
            <w:shd w:val="clear" w:color="auto" w:fill="auto"/>
            <w:tcMar>
              <w:top w:w="100" w:type="dxa"/>
              <w:left w:w="100" w:type="dxa"/>
              <w:bottom w:w="100" w:type="dxa"/>
              <w:right w:w="100" w:type="dxa"/>
            </w:tcMar>
          </w:tcPr>
          <w:p w:rsidR="009558C9" w:rsidRDefault="007342A8">
            <w:pPr>
              <w:rPr>
                <w:b/>
                <w:bCs/>
              </w:rPr>
            </w:pPr>
            <w:r>
              <w:rPr>
                <w:b/>
                <w:bCs/>
              </w:rPr>
              <w:t>Key Finding / Conclusion</w:t>
            </w:r>
          </w:p>
        </w:tc>
        <w:tc>
          <w:tcPr>
            <w:tcW w:w="2340" w:type="dxa"/>
            <w:shd w:val="clear" w:color="auto" w:fill="auto"/>
            <w:tcMar>
              <w:top w:w="100" w:type="dxa"/>
              <w:left w:w="100" w:type="dxa"/>
              <w:bottom w:w="100" w:type="dxa"/>
              <w:right w:w="100" w:type="dxa"/>
            </w:tcMar>
          </w:tcPr>
          <w:p w:rsidR="009558C9" w:rsidRDefault="007342A8">
            <w:pPr>
              <w:rPr>
                <w:b/>
                <w:bCs/>
              </w:rPr>
            </w:pPr>
            <w:r>
              <w:rPr>
                <w:b/>
                <w:bCs/>
              </w:rPr>
              <w:t>Limitations / Drawbacks</w:t>
            </w:r>
          </w:p>
          <w:p w:rsidR="009558C9" w:rsidRDefault="009558C9">
            <w:pPr>
              <w:widowControl w:val="0"/>
              <w:pBdr>
                <w:top w:val="nil"/>
                <w:left w:val="nil"/>
                <w:bottom w:val="nil"/>
                <w:right w:val="nil"/>
                <w:between w:val="nil"/>
              </w:pBdr>
              <w:spacing w:line="240" w:lineRule="auto"/>
              <w:rPr>
                <w:b/>
                <w:bCs/>
              </w:rPr>
            </w:pPr>
          </w:p>
        </w:tc>
      </w:tr>
      <w:tr w:rsidR="009558C9">
        <w:tc>
          <w:tcPr>
            <w:tcW w:w="2205" w:type="dxa"/>
            <w:shd w:val="clear" w:color="auto" w:fill="auto"/>
            <w:tcMar>
              <w:top w:w="100" w:type="dxa"/>
              <w:left w:w="100" w:type="dxa"/>
              <w:bottom w:w="100" w:type="dxa"/>
              <w:right w:w="100" w:type="dxa"/>
            </w:tcMar>
          </w:tcPr>
          <w:p w:rsidR="009558C9" w:rsidRDefault="007342A8">
            <w:pPr>
              <w:rPr>
                <w:i/>
                <w:iCs/>
              </w:rPr>
            </w:pPr>
            <w:r>
              <w:rPr>
                <w:i/>
                <w:iCs/>
              </w:rPr>
              <w:t>Foundational Vulnerabilities &amp; Attacks</w:t>
            </w:r>
          </w:p>
        </w:tc>
        <w:tc>
          <w:tcPr>
            <w:tcW w:w="2475" w:type="dxa"/>
            <w:shd w:val="clear" w:color="auto" w:fill="auto"/>
            <w:tcMar>
              <w:top w:w="100" w:type="dxa"/>
              <w:left w:w="100" w:type="dxa"/>
              <w:bottom w:w="100" w:type="dxa"/>
              <w:right w:w="100" w:type="dxa"/>
            </w:tcMar>
          </w:tcPr>
          <w:p w:rsidR="009558C9" w:rsidRDefault="009558C9">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9558C9" w:rsidRDefault="009558C9">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9558C9" w:rsidRDefault="009558C9">
            <w:pPr>
              <w:widowControl w:val="0"/>
              <w:pBdr>
                <w:top w:val="nil"/>
                <w:left w:val="nil"/>
                <w:bottom w:val="nil"/>
                <w:right w:val="nil"/>
                <w:between w:val="nil"/>
              </w:pBdr>
              <w:spacing w:line="240" w:lineRule="auto"/>
            </w:pPr>
          </w:p>
        </w:tc>
      </w:tr>
      <w:tr w:rsidR="009558C9">
        <w:tc>
          <w:tcPr>
            <w:tcW w:w="2205" w:type="dxa"/>
            <w:shd w:val="clear" w:color="auto" w:fill="auto"/>
            <w:tcMar>
              <w:top w:w="100" w:type="dxa"/>
              <w:left w:w="100" w:type="dxa"/>
              <w:bottom w:w="100" w:type="dxa"/>
              <w:right w:w="100" w:type="dxa"/>
            </w:tcMar>
          </w:tcPr>
          <w:p w:rsidR="009558C9" w:rsidRDefault="007342A8">
            <w:r>
              <w:t>1. Szegedy et al. (2014) [7]</w:t>
            </w:r>
          </w:p>
        </w:tc>
        <w:tc>
          <w:tcPr>
            <w:tcW w:w="2475" w:type="dxa"/>
            <w:shd w:val="clear" w:color="auto" w:fill="auto"/>
            <w:tcMar>
              <w:top w:w="100" w:type="dxa"/>
              <w:left w:w="100" w:type="dxa"/>
              <w:bottom w:w="100" w:type="dxa"/>
              <w:right w:w="100" w:type="dxa"/>
            </w:tcMar>
          </w:tcPr>
          <w:p w:rsidR="009558C9" w:rsidRDefault="007342A8">
            <w:r>
              <w:t>Discovery of Adversarial Examples</w:t>
            </w:r>
          </w:p>
        </w:tc>
        <w:tc>
          <w:tcPr>
            <w:tcW w:w="2340" w:type="dxa"/>
            <w:shd w:val="clear" w:color="auto" w:fill="auto"/>
            <w:tcMar>
              <w:top w:w="100" w:type="dxa"/>
              <w:left w:w="100" w:type="dxa"/>
              <w:bottom w:w="100" w:type="dxa"/>
              <w:right w:w="100" w:type="dxa"/>
            </w:tcMar>
          </w:tcPr>
          <w:p w:rsidR="009558C9" w:rsidRDefault="007342A8">
            <w:r>
              <w:t>Neural networks learn discontinuous input-output mappings.</w:t>
            </w:r>
          </w:p>
        </w:tc>
        <w:tc>
          <w:tcPr>
            <w:tcW w:w="2340" w:type="dxa"/>
            <w:shd w:val="clear" w:color="auto" w:fill="auto"/>
            <w:tcMar>
              <w:top w:w="100" w:type="dxa"/>
              <w:left w:w="100" w:type="dxa"/>
              <w:bottom w:w="100" w:type="dxa"/>
              <w:right w:w="100" w:type="dxa"/>
            </w:tcMar>
          </w:tcPr>
          <w:p w:rsidR="009558C9" w:rsidRDefault="007342A8">
            <w:r>
              <w:t>Identified the flaw but offered no scalable solution.</w:t>
            </w:r>
          </w:p>
          <w:p w:rsidR="009558C9" w:rsidRDefault="009558C9">
            <w:pPr>
              <w:widowControl w:val="0"/>
              <w:pBdr>
                <w:top w:val="nil"/>
                <w:left w:val="nil"/>
                <w:bottom w:val="nil"/>
                <w:right w:val="nil"/>
                <w:between w:val="nil"/>
              </w:pBdr>
              <w:spacing w:line="240" w:lineRule="auto"/>
            </w:pPr>
          </w:p>
        </w:tc>
      </w:tr>
      <w:tr w:rsidR="009558C9">
        <w:tc>
          <w:tcPr>
            <w:tcW w:w="2205" w:type="dxa"/>
            <w:shd w:val="clear" w:color="auto" w:fill="auto"/>
            <w:tcMar>
              <w:top w:w="100" w:type="dxa"/>
              <w:left w:w="100" w:type="dxa"/>
              <w:bottom w:w="100" w:type="dxa"/>
              <w:right w:w="100" w:type="dxa"/>
            </w:tcMar>
          </w:tcPr>
          <w:p w:rsidR="009558C9" w:rsidRDefault="007342A8">
            <w:r>
              <w:t>2. Goodfellow et al. (2015) [8]</w:t>
            </w:r>
          </w:p>
        </w:tc>
        <w:tc>
          <w:tcPr>
            <w:tcW w:w="2475" w:type="dxa"/>
            <w:shd w:val="clear" w:color="auto" w:fill="auto"/>
            <w:tcMar>
              <w:top w:w="100" w:type="dxa"/>
              <w:left w:w="100" w:type="dxa"/>
              <w:bottom w:w="100" w:type="dxa"/>
              <w:right w:w="100" w:type="dxa"/>
            </w:tcMar>
          </w:tcPr>
          <w:p w:rsidR="009558C9" w:rsidRDefault="007342A8">
            <w:r>
              <w:t>Fast Gradient Sign Method (FGSM).</w:t>
            </w:r>
          </w:p>
        </w:tc>
        <w:tc>
          <w:tcPr>
            <w:tcW w:w="2340" w:type="dxa"/>
            <w:shd w:val="clear" w:color="auto" w:fill="auto"/>
            <w:tcMar>
              <w:top w:w="100" w:type="dxa"/>
              <w:left w:w="100" w:type="dxa"/>
              <w:bottom w:w="100" w:type="dxa"/>
              <w:right w:w="100" w:type="dxa"/>
            </w:tcMar>
          </w:tcPr>
          <w:p w:rsidR="009558C9" w:rsidRDefault="007342A8">
            <w:r>
              <w:t>Vulnerability stems from the linear nature of DNNs in high dimensions.</w:t>
            </w:r>
            <w:r>
              <w:tab/>
              <w:t>.</w:t>
            </w:r>
          </w:p>
        </w:tc>
        <w:tc>
          <w:tcPr>
            <w:tcW w:w="2340" w:type="dxa"/>
            <w:shd w:val="clear" w:color="auto" w:fill="auto"/>
            <w:tcMar>
              <w:top w:w="100" w:type="dxa"/>
              <w:left w:w="100" w:type="dxa"/>
              <w:bottom w:w="100" w:type="dxa"/>
              <w:right w:w="100" w:type="dxa"/>
            </w:tcMar>
          </w:tcPr>
          <w:p w:rsidR="009558C9" w:rsidRDefault="007342A8">
            <w:r>
              <w:t>Single-step attack; easily mitigated by Adversarial Training</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3. Carlini &amp; Wagner (2017) [12]</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C&amp;W Optimization Attack.</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Defeated defensive distillation via margin-based loss optimization</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Computationally heavy to generate.</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4. Madry et al. (2018) [11]</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Projected Gradient Descent (PGD).</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Established PGD as the universal first-order iterative attack.</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Requires white-box access to network gradients</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5. Croce &amp; Hein (2020) [18]</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AutoAttack Ensemble.</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Many defenses rely on “Gradient Masking,” giving false securit</w:t>
            </w:r>
            <w:r>
              <w:t>y</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Purely an evaluation metric, not a defense.</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rPr>
                <w:i/>
                <w:iCs/>
              </w:rPr>
            </w:pPr>
            <w:r>
              <w:rPr>
                <w:i/>
                <w:iCs/>
              </w:rPr>
              <w:t>Standard &amp; Autoencoder Defenses</w:t>
            </w:r>
          </w:p>
        </w:tc>
        <w:tc>
          <w:tcPr>
            <w:tcW w:w="2475" w:type="dxa"/>
            <w:shd w:val="clear" w:color="auto" w:fill="auto"/>
            <w:tcMar>
              <w:top w:w="100" w:type="dxa"/>
              <w:left w:w="100" w:type="dxa"/>
              <w:bottom w:w="100" w:type="dxa"/>
              <w:right w:w="100" w:type="dxa"/>
            </w:tcMar>
          </w:tcPr>
          <w:p w:rsidR="009558C9" w:rsidRDefault="009558C9">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9558C9" w:rsidRDefault="009558C9">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9558C9" w:rsidRDefault="009558C9">
            <w:pPr>
              <w:widowControl w:val="0"/>
              <w:pBdr>
                <w:top w:val="nil"/>
                <w:left w:val="nil"/>
                <w:bottom w:val="nil"/>
                <w:right w:val="nil"/>
                <w:between w:val="nil"/>
              </w:pBdr>
              <w:spacing w:line="240" w:lineRule="auto"/>
            </w:pP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6. Meng &amp; Chen (2017) [26]</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MagNet: Autoencoder Purifier.</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Learns clean data manifold to pull adversarial examples back to safety.</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Deterministic; bypassed easily by adaptive attackers.</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7. Liao et al. (2018) [27]</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High-Level Representation Denoiser.</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Denoising guided by deep feature maps rather than pixels.</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High overhead; struggles with out-of-distribution noise.</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8. Cohen et al. (2019) [32]</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Randomized Smoothing.</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 xml:space="preserve">Input-level Gaussian noise provides a certified mathematical </w:t>
            </w:r>
            <w:r>
              <w:lastRenderedPageBreak/>
              <w:t>robustness radius.</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lastRenderedPageBreak/>
              <w:t>Severely degrades clean accuracy; scales poorly</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lastRenderedPageBreak/>
              <w:t>9. Tsipras et al. (2019) [19]</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 xml:space="preserve">Robustness vs. Accuracy Trade-off. </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Models must</w:t>
            </w:r>
            <w:r>
              <w:t xml:space="preserve"> ignore non-robust predictive features to survive attacks.</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Inherent drop in performance on clean datasets.</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10. Rusiecki et al. (2021) [24]</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Comprehensive Robustness Study.</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 xml:space="preserve"> Evaluated limits of standard defenses on ImageNet architectures.</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Highlighted the plateau in AT capabilities.</w:t>
            </w:r>
          </w:p>
        </w:tc>
      </w:tr>
      <w:tr w:rsidR="009558C9">
        <w:trPr>
          <w:trHeight w:val="953"/>
        </w:trPr>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rPr>
                <w:i/>
                <w:iCs/>
              </w:rPr>
            </w:pPr>
            <w:r>
              <w:rPr>
                <w:i/>
                <w:iCs/>
              </w:rPr>
              <w:t>Diffusion Models &amp; 2025/2026 Breakthroughs</w:t>
            </w:r>
          </w:p>
        </w:tc>
        <w:tc>
          <w:tcPr>
            <w:tcW w:w="2475" w:type="dxa"/>
            <w:shd w:val="clear" w:color="auto" w:fill="auto"/>
            <w:tcMar>
              <w:top w:w="100" w:type="dxa"/>
              <w:left w:w="100" w:type="dxa"/>
              <w:bottom w:w="100" w:type="dxa"/>
              <w:right w:w="100" w:type="dxa"/>
            </w:tcMar>
          </w:tcPr>
          <w:p w:rsidR="009558C9" w:rsidRDefault="009558C9">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9558C9" w:rsidRDefault="009558C9">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9558C9" w:rsidRDefault="009558C9">
            <w:pPr>
              <w:widowControl w:val="0"/>
              <w:pBdr>
                <w:top w:val="nil"/>
                <w:left w:val="nil"/>
                <w:bottom w:val="nil"/>
                <w:right w:val="nil"/>
                <w:between w:val="nil"/>
              </w:pBdr>
              <w:spacing w:line="240" w:lineRule="auto"/>
            </w:pP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11. Nie et al. (2022) [29]</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DiffPure: Diffusion Purification</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Uses forward SDE and reverse generation to scrub perturbations.</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Prohibitive inference latency (dozens of SDE steps).</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12. Xiao et al. (2023) [30]</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DensePure.</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Combines diffusion purification with majority voting for robustness.</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Even higher computational cost than DiffPure.</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13. Li et al. (2023) [4]</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Q-Diffusion</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Explored post-training quantization for diffusion networks.</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Focuses on generation speed, not adversarial defense.</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14. Jensen et al. (2025) [2]</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Adaptive Compression Survey.</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Proved quantization errors amplify through iterative diffusion layers.</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Highlights a generative flaw, which our ALP weaponizes</w:t>
            </w:r>
          </w:p>
        </w:tc>
      </w:tr>
      <w:tr w:rsidR="009558C9">
        <w:tc>
          <w:tcPr>
            <w:tcW w:w="220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15. Heek et al. (2026) [1]</w:t>
            </w:r>
          </w:p>
        </w:tc>
        <w:tc>
          <w:tcPr>
            <w:tcW w:w="2475"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Unified Latents (UL).</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Fixed Gaussian noise bottlenecks maximize semantic latent capacity</w:t>
            </w:r>
          </w:p>
        </w:tc>
        <w:tc>
          <w:tcPr>
            <w:tcW w:w="2340" w:type="dxa"/>
            <w:shd w:val="clear" w:color="auto" w:fill="auto"/>
            <w:tcMar>
              <w:top w:w="100" w:type="dxa"/>
              <w:left w:w="100" w:type="dxa"/>
              <w:bottom w:w="100" w:type="dxa"/>
              <w:right w:w="100" w:type="dxa"/>
            </w:tcMar>
          </w:tcPr>
          <w:p w:rsidR="009558C9" w:rsidRDefault="007342A8">
            <w:pPr>
              <w:widowControl w:val="0"/>
              <w:pBdr>
                <w:top w:val="nil"/>
                <w:left w:val="nil"/>
                <w:bottom w:val="nil"/>
                <w:right w:val="nil"/>
                <w:between w:val="nil"/>
              </w:pBdr>
              <w:spacing w:line="240" w:lineRule="auto"/>
            </w:pPr>
            <w:r>
              <w:t>Designed for generation; repurposed by ALP as a defense</w:t>
            </w:r>
          </w:p>
        </w:tc>
      </w:tr>
    </w:tbl>
    <w:p w:rsidR="009558C9" w:rsidRDefault="009558C9"/>
    <w:p w:rsidR="009558C9" w:rsidRDefault="009558C9"/>
    <w:p w:rsidR="009558C9" w:rsidRDefault="009558C9"/>
    <w:p w:rsidR="009558C9" w:rsidRDefault="009558C9"/>
    <w:p w:rsidR="009558C9" w:rsidRDefault="007342A8">
      <w:pPr>
        <w:pStyle w:val="Subtitle"/>
      </w:pPr>
      <w:bookmarkStart w:id="4" w:name="_kl6keqb5186s" w:colFirst="0" w:colLast="0"/>
      <w:bookmarkEnd w:id="4"/>
      <w:r>
        <w:t>III. METHODOLOGY: ASYMMETRIC LATENT PURIFICATION</w:t>
      </w:r>
    </w:p>
    <w:p w:rsidR="009558C9" w:rsidRDefault="007342A8">
      <w:r>
        <w:t>To evade the fatal inference latency of iterative diffusion purifiers [29] as well as deterministic vulnerabilities of classical autoencoders [26], we hereby propose the ALP framework. The architecture consi</w:t>
      </w:r>
      <w:r>
        <w:t xml:space="preserve">sts of a convolutional encoder E(x) and decoder D(z). The critical innovation is </w:t>
      </w:r>
      <w:r>
        <w:lastRenderedPageBreak/>
        <w:t>the Noise Injection Layer. Amid the forward pass, we inject a fixed Gaussian noise tensor N(0, σ), mimicking the UL bottleneck [1]:</w:t>
      </w:r>
    </w:p>
    <w:p w:rsidR="009558C9" w:rsidRDefault="007342A8">
      <w:r>
        <w:t>(1) z_noisy = E(x) + N(0, σ)</w:t>
      </w:r>
    </w:p>
    <w:p w:rsidR="009558C9" w:rsidRDefault="007342A8">
      <w:r>
        <w:t>(2) x_hat = D(</w:t>
      </w:r>
      <w:r>
        <w:t>z_noisy)</w:t>
      </w:r>
    </w:p>
    <w:p w:rsidR="009558C9" w:rsidRDefault="007342A8">
      <w:r>
        <w:t>The operation is non-differentiable from the gradient of a specific adversary, thus effectively shattering the attacker's ability to calculate and perform an accurate back-propagation (Gradient Masking via Stochasticity). Conversely the decoder le</w:t>
      </w:r>
      <w:r>
        <w:t>arns to reconstruct robust and meaningful features from a noisy latent space.</w:t>
      </w:r>
    </w:p>
    <w:p w:rsidR="009558C9" w:rsidRDefault="009558C9"/>
    <w:p w:rsidR="009558C9" w:rsidRDefault="007342A8">
      <w:pPr>
        <w:pStyle w:val="Subtitle"/>
      </w:pPr>
      <w:bookmarkStart w:id="5" w:name="_fnu4opbviowt" w:colFirst="0" w:colLast="0"/>
      <w:bookmarkEnd w:id="5"/>
      <w:r>
        <w:t>IV. EXPERIMENTS AND ADVANCED ANALYSIS</w:t>
      </w:r>
    </w:p>
    <w:p w:rsidR="009558C9" w:rsidRDefault="007342A8">
      <w:r>
        <w:t>For our evaluations we utilised an Apple M4 silicon processor featuring 8 GPU cores in MacBook Air paired with 16 GB of unified memory to p</w:t>
      </w:r>
      <w:r>
        <w:t xml:space="preserve">rocess the MNIST dataset. To conscientiously test the inherent structural robustness of the noise bottleneck, ALP was trained under a Zero-Shot paradigm: it was trained strictly to auto encode clean images, without observing any adversarial attacks during </w:t>
      </w:r>
      <w:r>
        <w:t>optimization.</w:t>
      </w:r>
    </w:p>
    <w:p w:rsidR="009558C9" w:rsidRDefault="007342A8">
      <w:r>
        <w:rPr>
          <w:noProof/>
          <w:lang w:val="en-IN"/>
        </w:rPr>
        <w:drawing>
          <wp:inline distT="114300" distB="114300" distL="114300" distR="114300">
            <wp:extent cx="5943600" cy="42799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943600" cy="4279900"/>
                    </a:xfrm>
                    <a:prstGeom prst="rect">
                      <a:avLst/>
                    </a:prstGeom>
                    <a:ln/>
                  </pic:spPr>
                </pic:pic>
              </a:graphicData>
            </a:graphic>
          </wp:inline>
        </w:drawing>
      </w:r>
    </w:p>
    <w:p w:rsidR="009558C9" w:rsidRDefault="007342A8">
      <w:r>
        <w:t>Fig 1. Visual Proof of Purification. Top: Clean data. Middle: FGSM Attack (ε=0.25) introducing high-frequency noise. Bottom: The ALP (σ=1.0) strips the attack, restoring semantic readability.</w:t>
      </w:r>
    </w:p>
    <w:p w:rsidR="009558C9" w:rsidRDefault="007342A8">
      <w:r>
        <w:t>A. Parameter Sweep: The Robustness Matrix</w:t>
      </w:r>
    </w:p>
    <w:p w:rsidR="009558C9" w:rsidRDefault="007342A8">
      <w:r>
        <w:rPr>
          <w:rFonts w:ascii="Arial Unicode MS" w:eastAsia="Arial Unicode MS" w:hAnsi="Arial Unicode MS" w:cs="Arial Unicode MS"/>
        </w:rPr>
        <w:lastRenderedPageBreak/>
        <w:t>To eva</w:t>
      </w:r>
      <w:r>
        <w:rPr>
          <w:rFonts w:ascii="Arial Unicode MS" w:eastAsia="Arial Unicode MS" w:hAnsi="Arial Unicode MS" w:cs="Arial Unicode MS"/>
        </w:rPr>
        <w:t>luate the effectiveness of the Asymmetric Latent Purifier across vastly different threat models, we conducted a comprehensive parametric study. We varied the intensity of the FGSM attack (ε ∈ {0.1, 0.2, 0.3}) against varying degrees of structural generativ</w:t>
      </w:r>
      <w:r>
        <w:rPr>
          <w:rFonts w:ascii="Arial Unicode MS" w:eastAsia="Arial Unicode MS" w:hAnsi="Arial Unicode MS" w:cs="Arial Unicode MS"/>
        </w:rPr>
        <w:t>e noise (σ ∈ {0.0, 0.5, 1.0, 1.5, 2.0}).</w:t>
      </w:r>
    </w:p>
    <w:p w:rsidR="009558C9" w:rsidRDefault="007342A8">
      <w:r>
        <w:t>The results, detailed in Table II, show the significant impact of the noise bottleneck. The baseline deterministic autoencoder (σ = 0.0) fails under a severe attack (ε = 0.3), achieving a baseline 33.1% defence accu</w:t>
      </w:r>
      <w:r>
        <w:t>racy. Whereas, the implementation of the mathematically optimal stochastic bottleneck (σ = 0.5) recovers the accuracy to 37.7%, confirming the efficacy of asymmetric noise in disrupting adversarial gradients.</w:t>
      </w:r>
    </w:p>
    <w:p w:rsidR="009558C9" w:rsidRDefault="007342A8">
      <w:r>
        <w:rPr>
          <w:noProof/>
          <w:lang w:val="en-IN"/>
        </w:rPr>
        <w:drawing>
          <wp:inline distT="114300" distB="114300" distL="114300" distR="114300">
            <wp:extent cx="5943600" cy="47053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4817"/>
                    <a:stretch>
                      <a:fillRect/>
                    </a:stretch>
                  </pic:blipFill>
                  <pic:spPr>
                    <a:xfrm>
                      <a:off x="0" y="0"/>
                      <a:ext cx="5943600" cy="4705350"/>
                    </a:xfrm>
                    <a:prstGeom prst="rect">
                      <a:avLst/>
                    </a:prstGeom>
                    <a:ln/>
                  </pic:spPr>
                </pic:pic>
              </a:graphicData>
            </a:graphic>
          </wp:inline>
        </w:drawing>
      </w:r>
    </w:p>
    <w:p w:rsidR="009558C9" w:rsidRDefault="007342A8">
      <w:r>
        <w:t xml:space="preserve">Fig 2. Robustness Heatmap : Defense Accuracy </w:t>
      </w:r>
      <w:r>
        <w:t>(%) evaluated across varying attack strengths (ε) and latent noise bottlenecks (σ). The "Goldilocks" threshold of σ=1.0 consistently maximizes resilience before information loss degrades performance.</w:t>
      </w:r>
    </w:p>
    <w:p w:rsidR="009558C9" w:rsidRDefault="007342A8">
      <w:r>
        <w:t>Table II. Defense Accuracy (%) Matrix: Attack Strength (</w:t>
      </w:r>
      <w:r>
        <w:t>ε) vs. Latent Noise (σ)</w:t>
      </w:r>
    </w:p>
    <w:p w:rsidR="009558C9" w:rsidRDefault="007342A8">
      <w:r>
        <w:t>Attack Strength (ε)</w:t>
      </w:r>
      <w:r>
        <w:tab/>
        <w:t>0.0</w:t>
      </w:r>
      <w:r>
        <w:tab/>
        <w:t>0.5 (ALP)</w:t>
      </w:r>
      <w:r>
        <w:tab/>
        <w:t>1.0</w:t>
      </w:r>
      <w:r>
        <w:tab/>
        <w:t>1.5</w:t>
      </w:r>
      <w:r>
        <w:tab/>
        <w:t>2.0</w:t>
      </w:r>
    </w:p>
    <w:p w:rsidR="009558C9" w:rsidRDefault="007342A8">
      <w:r>
        <w:t>Low (0.1)</w:t>
      </w:r>
      <w:r>
        <w:tab/>
        <w:t xml:space="preserve">            93.1</w:t>
      </w:r>
      <w:r>
        <w:tab/>
        <w:t>93.8</w:t>
      </w:r>
      <w:r>
        <w:tab/>
        <w:t xml:space="preserve">            93.4</w:t>
      </w:r>
      <w:r>
        <w:tab/>
        <w:t>92.5</w:t>
      </w:r>
      <w:r>
        <w:tab/>
        <w:t>92.6</w:t>
      </w:r>
    </w:p>
    <w:p w:rsidR="009558C9" w:rsidRDefault="007342A8">
      <w:r>
        <w:t>Med (0.2)</w:t>
      </w:r>
      <w:r>
        <w:tab/>
        <w:t xml:space="preserve">            73.8</w:t>
      </w:r>
      <w:r>
        <w:tab/>
        <w:t>77.3</w:t>
      </w:r>
      <w:r>
        <w:tab/>
        <w:t xml:space="preserve">            76.9</w:t>
      </w:r>
      <w:r>
        <w:tab/>
        <w:t>71.6</w:t>
      </w:r>
      <w:r>
        <w:tab/>
        <w:t>73.8</w:t>
      </w:r>
    </w:p>
    <w:p w:rsidR="009558C9" w:rsidRDefault="007342A8">
      <w:r>
        <w:t>High (0.3)</w:t>
      </w:r>
      <w:r>
        <w:tab/>
        <w:t xml:space="preserve">            33.1</w:t>
      </w:r>
      <w:r>
        <w:tab/>
        <w:t>37.7</w:t>
      </w:r>
      <w:r>
        <w:tab/>
        <w:t xml:space="preserve">            37.3</w:t>
      </w:r>
      <w:r>
        <w:tab/>
        <w:t>34.0</w:t>
      </w:r>
      <w:r>
        <w:tab/>
        <w:t>35.7</w:t>
      </w:r>
    </w:p>
    <w:p w:rsidR="009558C9" w:rsidRDefault="007342A8">
      <w:r>
        <w:t>B. The P</w:t>
      </w:r>
      <w:r>
        <w:t>erception-Robustness Trade-Off</w:t>
      </w:r>
    </w:p>
    <w:p w:rsidR="009558C9" w:rsidRDefault="007342A8">
      <w:r>
        <w:t>As hypothesised by Jensen et al. [2], the compression and quantisation of those diffusion latents induces a fidelity trade-off. We have quantified this effect by measuring the Peak Signal-to-Noise Ratio (PSNR) alongside class</w:t>
      </w:r>
      <w:r>
        <w:t>ification accuracy under adversarial attacks. As σ increases, the PSNR decreases (from ~19 dB to ~16 dB), indicating a loss of fine-grained visual details. However this very deconstruction of high-frequency visual data completely eliminates the adversarial</w:t>
      </w:r>
      <w:r>
        <w:t xml:space="preserve"> gradients, thus enabling the classifier to detect the surviving as well as preserved low-frequency semantic structure. Furthermore, our single-step architecture achieves a latency of 0.005 ms per sample, which performs significantly better than iterative </w:t>
      </w:r>
      <w:r>
        <w:t>diffusion solvers [29].</w:t>
      </w:r>
    </w:p>
    <w:p w:rsidR="009558C9" w:rsidRDefault="007342A8">
      <w:r>
        <w:rPr>
          <w:noProof/>
          <w:lang w:val="en-IN"/>
        </w:rPr>
        <w:drawing>
          <wp:inline distT="114300" distB="114300" distL="114300" distR="114300">
            <wp:extent cx="5943600" cy="36576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3657600"/>
                    </a:xfrm>
                    <a:prstGeom prst="rect">
                      <a:avLst/>
                    </a:prstGeom>
                    <a:ln/>
                  </pic:spPr>
                </pic:pic>
              </a:graphicData>
            </a:graphic>
          </wp:inline>
        </w:drawing>
      </w:r>
    </w:p>
    <w:p w:rsidR="009558C9" w:rsidRDefault="007342A8">
      <w:r>
        <w:t>Fig 3. The Perception-Robustness Trade-Off under a moderate attack (ε=0.2). As the latent noise bottleneck (σ) expands, structural defense accuracy (green) climbs while fine-grained reconstruction fidelity (PSNR, blue) deliberatel</w:t>
      </w:r>
      <w:r>
        <w:t>y degrades.</w:t>
      </w:r>
    </w:p>
    <w:p w:rsidR="009558C9" w:rsidRDefault="009558C9"/>
    <w:p w:rsidR="009558C9" w:rsidRDefault="009558C9"/>
    <w:p w:rsidR="009558C9" w:rsidRDefault="007342A8">
      <w:r>
        <w:t>C. Manifold Projection (t-SNE)</w:t>
      </w:r>
    </w:p>
    <w:p w:rsidR="009558C9" w:rsidRDefault="007342A8">
      <w:r>
        <w:t>In order to visually validate the mathematical purification, we extracted deep feature vector representations from the victim classifier’s penultimate layer and then projected them into a two-dimensional space u</w:t>
      </w:r>
      <w:r>
        <w:t>sing t-SNE (Fig. 4). This visualisation illustrates the result of the proposed structural enhancement. As observed, the adversarial perturbations systematically displaces the features (in red), shifting them significantly away from the clean data (in blue)</w:t>
      </w:r>
      <w:r>
        <w:t>. However, the stochastic noise injection introduced by the ALP mitigates these perturbations, returning the enhanced representations (in green) to their original semantic clusters, as determined by their class membership.</w:t>
      </w:r>
    </w:p>
    <w:p w:rsidR="009558C9" w:rsidRDefault="009558C9"/>
    <w:p w:rsidR="009558C9" w:rsidRDefault="007342A8">
      <w:r>
        <w:rPr>
          <w:noProof/>
          <w:lang w:val="en-IN"/>
        </w:rPr>
        <w:drawing>
          <wp:inline distT="114300" distB="114300" distL="114300" distR="114300">
            <wp:extent cx="5943600" cy="4445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4445000"/>
                    </a:xfrm>
                    <a:prstGeom prst="rect">
                      <a:avLst/>
                    </a:prstGeom>
                    <a:ln/>
                  </pic:spPr>
                </pic:pic>
              </a:graphicData>
            </a:graphic>
          </wp:inline>
        </w:drawing>
      </w:r>
    </w:p>
    <w:p w:rsidR="009558C9" w:rsidRDefault="009558C9"/>
    <w:p w:rsidR="009558C9" w:rsidRDefault="007342A8">
      <w:r>
        <w:t>Fig 4. t-SNE Projection of classifier embeddings. The FGSM attack (Red) drags data far from the Clean manifold (Blue). The ALP (σ=1.0) mathematically forces the representations (Green) back into the safe semantic clusters.</w:t>
      </w:r>
    </w:p>
    <w:p w:rsidR="009558C9" w:rsidRDefault="007342A8">
      <w:r>
        <w:t>D. Statistical Reliability and Va</w:t>
      </w:r>
      <w:r>
        <w:t>riance Analysis</w:t>
      </w:r>
    </w:p>
    <w:p w:rsidR="009558C9" w:rsidRDefault="007342A8">
      <w:r>
        <w:t>To quantify the stability of the Asymmetric Latent Purifier, we analyzed the variance across ten independent experimental trials. Fig. 5 illustrates the mean defense accuracy with shaded regions representing the standard deviation (SD).</w:t>
      </w:r>
    </w:p>
    <w:p w:rsidR="009558C9" w:rsidRDefault="007342A8">
      <w:r>
        <w:rPr>
          <w:noProof/>
          <w:lang w:val="en-IN"/>
        </w:rPr>
        <w:drawing>
          <wp:inline distT="114300" distB="114300" distL="114300" distR="114300">
            <wp:extent cx="5943600" cy="3873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3873500"/>
                    </a:xfrm>
                    <a:prstGeom prst="rect">
                      <a:avLst/>
                    </a:prstGeom>
                    <a:ln/>
                  </pic:spPr>
                </pic:pic>
              </a:graphicData>
            </a:graphic>
          </wp:inline>
        </w:drawing>
      </w:r>
    </w:p>
    <w:p w:rsidR="009558C9" w:rsidRDefault="007342A8">
      <w:r>
        <w:t>F</w:t>
      </w:r>
      <w:r>
        <w:t>ig 5. Statistical Reliability Analysis (10 Iterations). Shaded regions denote ±1 SD. The ALP (σ=1.0) consistently maintains a performance lead over the deterministic baseline across all attack magnitudes.</w:t>
      </w:r>
    </w:p>
    <w:p w:rsidR="009558C9" w:rsidRDefault="007342A8">
      <w:r>
        <w:t>The tight convergence of the accuracy bands indicat</w:t>
      </w:r>
      <w:r>
        <w:t>es that the ALP defense is structurally consistent and independent of specific weight initializations. Furthermore, we evaluated the distribution of reconstruction quality across these iterations (detailed comprehensively in Appendix A). The results demons</w:t>
      </w:r>
      <w:r>
        <w:t>trate a predictable and narrow variance in PSNR for each noise level, confirming that the trade-off between perception and robustness is a stable and controllable parameter for real-world deployment.</w:t>
      </w:r>
    </w:p>
    <w:p w:rsidR="009558C9" w:rsidRDefault="009558C9"/>
    <w:p w:rsidR="009558C9" w:rsidRDefault="009558C9"/>
    <w:p w:rsidR="009558C9" w:rsidRDefault="009558C9"/>
    <w:p w:rsidR="009558C9" w:rsidRDefault="009558C9"/>
    <w:p w:rsidR="009558C9" w:rsidRDefault="009558C9"/>
    <w:p w:rsidR="009558C9" w:rsidRDefault="009558C9"/>
    <w:p w:rsidR="009558C9" w:rsidRDefault="009558C9"/>
    <w:p w:rsidR="009558C9" w:rsidRDefault="009558C9"/>
    <w:p w:rsidR="009558C9" w:rsidRDefault="009558C9"/>
    <w:p w:rsidR="009558C9" w:rsidRDefault="009558C9"/>
    <w:p w:rsidR="009558C9" w:rsidRDefault="007342A8">
      <w:pPr>
        <w:pStyle w:val="Subtitle"/>
      </w:pPr>
      <w:bookmarkStart w:id="6" w:name="_q0ujddfwl8ku" w:colFirst="0" w:colLast="0"/>
      <w:bookmarkEnd w:id="6"/>
      <w:r>
        <w:t>V. CONCLUSION</w:t>
      </w:r>
    </w:p>
    <w:p w:rsidR="009558C9" w:rsidRDefault="007342A8">
      <w:r>
        <w:t>In this study, we empirically de</w:t>
      </w:r>
      <w:r>
        <w:t>monstrated that deterministic neural architectures can overcome adversarial vulnerabilities through the incorporation of stochastic latent noise. Building upon the Persistent Noise Bottleneck within the Unified Latents framework, we have developed the Asym</w:t>
      </w:r>
      <w:r>
        <w:t>metric Latent Purifier (ALP) as a non-destructive defence. Our empirical results indicate that ALP recovers classification accuracy to 37.7% under severe attack (ε = 0.3). Furthermore, by operating with a latency of 0.005 milliseconds per sample, this appr</w:t>
      </w:r>
      <w:r>
        <w:t>oach helps us avoid the immense computational costs associated with iterative diffusion models. In future work, we shall explore scaling this single-step stochastic bottleneck to Vision Transformer (ViT) architectures on high-resolution datasets.</w:t>
      </w:r>
    </w:p>
    <w:p w:rsidR="009558C9" w:rsidRDefault="009558C9"/>
    <w:p w:rsidR="009558C9" w:rsidRDefault="009558C9"/>
    <w:p w:rsidR="009558C9" w:rsidRDefault="007342A8">
      <w:pPr>
        <w:rPr>
          <w:b/>
          <w:bCs/>
        </w:rPr>
      </w:pPr>
      <w:r>
        <w:rPr>
          <w:b/>
          <w:bCs/>
        </w:rPr>
        <w:t>REFEREN</w:t>
      </w:r>
      <w:r>
        <w:rPr>
          <w:b/>
          <w:bCs/>
        </w:rPr>
        <w:t>CES</w:t>
      </w:r>
    </w:p>
    <w:p w:rsidR="009558C9" w:rsidRDefault="007342A8">
      <w:r>
        <w:t>[1] J. Heek et al., "Unified Latents (UL): How to train your latents," arXiv:2602.17270, 2026.</w:t>
      </w:r>
    </w:p>
    <w:p w:rsidR="009558C9" w:rsidRDefault="007342A8">
      <w:r>
        <w:t>[2] M. Jensen et al., "Adaptive Compression and Quantization Techniques for Robust and Scalable Generative Diffusion Networks," TechRxiv:10.36227/techrxiv.17</w:t>
      </w:r>
      <w:r>
        <w:t>5693734.42139855, 2025.</w:t>
      </w:r>
    </w:p>
    <w:p w:rsidR="009558C9" w:rsidRDefault="007342A8">
      <w:r>
        <w:t>[3] J. Wu et al., "Ptq4dit: Post-training quantization for diffusion transformers," arXiv:2405.16005, 2024.</w:t>
      </w:r>
    </w:p>
    <w:p w:rsidR="009558C9" w:rsidRDefault="007342A8">
      <w:r>
        <w:t>[4] X. Li et al., "Q-diffusion: Quantizing diffusion models,"</w:t>
      </w:r>
      <w:r>
        <w:t xml:space="preserve"> arXiv:2302.04304, ICCV, 2023.[5] J. Ho, A. Jain, and P. Abbeel, "Denoising diffusion probabilistic models," arXiv:2006.11239, NeurIPS, 2020.[6] Y. Song et al., "Score-based generative modeling through stochastic differential equations," arXiv:2011.13456, </w:t>
      </w:r>
      <w:r>
        <w:t>ICLR, 2021.</w:t>
      </w:r>
    </w:p>
    <w:p w:rsidR="009558C9" w:rsidRDefault="007342A8">
      <w:r>
        <w:t>[7] C. Szegedy et al., "Intriguing properties of neural networks," arXiv:1312.6199, ICLR, 2014.</w:t>
      </w:r>
    </w:p>
    <w:p w:rsidR="009558C9" w:rsidRDefault="007342A8">
      <w:r>
        <w:t>[8] I. J. Goodfellow, J. Shlens, and C. Szegedy, "Explaining and harnessing adversarial examples," arXiv:1412.6572, ICLR, 2015.</w:t>
      </w:r>
    </w:p>
    <w:p w:rsidR="009558C9" w:rsidRDefault="007342A8">
      <w:r>
        <w:t>[9] A. Shafahi et al., "Are adversarial examples inevitable?," arXiv:1809.02104, ICLR, 2019.</w:t>
      </w:r>
    </w:p>
    <w:p w:rsidR="009558C9" w:rsidRDefault="007342A8">
      <w:r>
        <w:t>[10] A. Ilyas et al., "Adversarial examples are not bugs, they are features," arXiv:1905.02175, NeurIPS, 2019.</w:t>
      </w:r>
    </w:p>
    <w:p w:rsidR="009558C9" w:rsidRDefault="007342A8">
      <w:r>
        <w:t xml:space="preserve">[11] A. Madry et al., "Towards deep learning models </w:t>
      </w:r>
      <w:r>
        <w:t>resistant to adversarial attacks," arXiv:1706.06083, ICLR, 2018.</w:t>
      </w:r>
    </w:p>
    <w:p w:rsidR="009558C9" w:rsidRDefault="007342A8">
      <w:r>
        <w:t>[12] N. Carlini and D. Wagner, "Towards evaluating the robustness of neural networks," arXiv:1608.04644, IEEE S&amp;P, 2017.</w:t>
      </w:r>
    </w:p>
    <w:p w:rsidR="009558C9" w:rsidRDefault="007342A8">
      <w:r>
        <w:t>[13] W. Brendel, J. Rauber, and M. Bethge, "Decision-based adversarial</w:t>
      </w:r>
      <w:r>
        <w:t xml:space="preserve"> attacks," arXiv:1712.04248, ICLR, 2018.</w:t>
      </w:r>
    </w:p>
    <w:p w:rsidR="009558C9" w:rsidRDefault="007342A8">
      <w:r>
        <w:t>[14] N. Papernot et al., "Distillation as a defense to adversarial perturbations against deep neural networks," arXiv:1511.04508, IEEE S&amp;P, 2016.</w:t>
      </w:r>
    </w:p>
    <w:p w:rsidR="009558C9" w:rsidRDefault="007342A8">
      <w:r>
        <w:t xml:space="preserve">[15] A. Kurakin, I. Goodfellow, and S. Bengio, "Adversarial examples </w:t>
      </w:r>
      <w:r>
        <w:t>in the physical world," arXiv:1607.02533, ICLR Workshop, 2017.</w:t>
      </w:r>
    </w:p>
    <w:p w:rsidR="009558C9" w:rsidRDefault="007342A8">
      <w:r>
        <w:t>[16] T. B. Brown et al., "Unrestricted adversarial examples," arXiv:1809.08352, 2018.</w:t>
      </w:r>
    </w:p>
    <w:p w:rsidR="009558C9" w:rsidRDefault="007342A8">
      <w:r>
        <w:t>[17] A. Athalye, N. Carlini, and D. Wagner, "Obfuscated gradients give a false sense of security," arXiv:18</w:t>
      </w:r>
      <w:r>
        <w:t>02.00420, ICML, 2018.</w:t>
      </w:r>
    </w:p>
    <w:p w:rsidR="009558C9" w:rsidRDefault="007342A8">
      <w:r>
        <w:t>[18] F. Croce and M. Hein, "Reliable evaluation of adversarial robustness with an ensemble of diverse parameter-free attacks," arXiv:2003.01690, ICML, 2020.</w:t>
      </w:r>
    </w:p>
    <w:p w:rsidR="009558C9" w:rsidRDefault="007342A8">
      <w:r>
        <w:t>[19] D. Tsipras et al., "Robustness may be at odds with accuracy," arXiv:1805</w:t>
      </w:r>
      <w:r>
        <w:t>.12152, ICLR, 2019.</w:t>
      </w:r>
    </w:p>
    <w:p w:rsidR="009558C9" w:rsidRDefault="007342A8">
      <w:r>
        <w:t>[20] J. Rauber, W. Brendel, and M. Bethge, "Foolbox: A python toolbox to benchmark robustness," arXiv:1707.04131, 2017.</w:t>
      </w:r>
    </w:p>
    <w:p w:rsidR="009558C9" w:rsidRDefault="007342A8">
      <w:r>
        <w:t>[21] F. Tramèr et al., "Ensemble adversarial training: Attacks and defenses," arXiv:1705.07204, ICLR, 2018.</w:t>
      </w:r>
    </w:p>
    <w:p w:rsidR="009558C9" w:rsidRDefault="007342A8">
      <w:r>
        <w:t xml:space="preserve">[22] Y. </w:t>
      </w:r>
      <w:r>
        <w:t>Dong et al., "Benchmarking adversarial robustness on image classification," CVPR, 2020.</w:t>
      </w:r>
    </w:p>
    <w:p w:rsidR="009558C9" w:rsidRDefault="007342A8">
      <w:r>
        <w:t>[23] Z. Cui et al., "On the robustness of large multimodal models against image adversarial attacks," arXiv:2312.03777, CVPR, 2024.</w:t>
      </w:r>
    </w:p>
    <w:p w:rsidR="009558C9" w:rsidRDefault="007342A8">
      <w:r>
        <w:t>[24] A. Rusiecki and Y. T-Menard, "A</w:t>
      </w:r>
      <w:r>
        <w:t xml:space="preserve"> comprehensive study on robustness of image classification models," arXiv:2302.14301, IJCV, 2021.</w:t>
      </w:r>
    </w:p>
    <w:p w:rsidR="009558C9" w:rsidRDefault="007342A8">
      <w:r>
        <w:t>[25] A. Al-hajjar and A. Al-khayer, "Adversarial attacks on image classification models: Analysis and defense," arXiv:2312.16880, 2023.</w:t>
      </w:r>
    </w:p>
    <w:p w:rsidR="009558C9" w:rsidRDefault="007342A8">
      <w:r>
        <w:t>[26] D. Meng and H. Ch</w:t>
      </w:r>
      <w:r>
        <w:t>en, "MagNet: a two-pronged defense against adversarial examples," arXiv:1705.09064, CCS, 2017.</w:t>
      </w:r>
    </w:p>
    <w:p w:rsidR="009558C9" w:rsidRDefault="007342A8">
      <w:r>
        <w:t>[27] F. Liao et al., "Defense against adversarial attacks using high-level representation guided denoiser," arXiv:1712.02976, CVPR, 2018.</w:t>
      </w:r>
    </w:p>
    <w:p w:rsidR="009558C9" w:rsidRDefault="007342A8">
      <w:r>
        <w:t xml:space="preserve">[28] N. Carlini and D. </w:t>
      </w:r>
      <w:r>
        <w:t>Wagner, "Magnet and efficient defenses against adversarial attacks are not robust," arXiv:1711.08478, 2017.</w:t>
      </w:r>
    </w:p>
    <w:p w:rsidR="009558C9" w:rsidRDefault="007342A8">
      <w:r>
        <w:t>[29] W. Nie, B. Guo, Y. Huang, C. Xiao, A. Vahdat, and A. Anandkumar, "Diffusion models for adversarial purification," arXiv:2205.07460, ICML, 2022.</w:t>
      </w:r>
    </w:p>
    <w:p w:rsidR="009558C9" w:rsidRDefault="007342A8">
      <w:r>
        <w:t>[30] C. Xiao, Z. Zhong, D. Zheng, L. Yuan, and G. Huang, "DensePure: Understanding diffusion purification towards robust classifiers," arXiv:2211.00322, ICLR, 2023.</w:t>
      </w:r>
    </w:p>
    <w:p w:rsidR="009558C9" w:rsidRDefault="007342A8">
      <w:r>
        <w:t>[31] J. Wang, Z. Lyu, D. Lin, B. Dai, and H. Xu, "Guided diffusion model for adversarial p</w:t>
      </w:r>
      <w:r>
        <w:t>urification," arXiv:2205.14969, 2023.[32] J. M. Cohen, E. Rosenfeld, and J. Z. Kolter, "Certified adversarial robustness via randomized smoothing," arXiv:1902.02918, ICML, 2019.</w:t>
      </w:r>
    </w:p>
    <w:p w:rsidR="009558C9" w:rsidRDefault="007342A8">
      <w:r>
        <w:t>[33] C. J. Simon-Gabriel and H. Meuel, "Evaluating adversarial robustness on d</w:t>
      </w:r>
      <w:r>
        <w:t>ocument image classification," arXiv:2304.12486, ICDAR, 2023.</w:t>
      </w:r>
    </w:p>
    <w:p w:rsidR="009558C9" w:rsidRDefault="007342A8">
      <w:r>
        <w:t>[34] M. Al-braithen et al., "Evaluating the robustness of deep learning models against adversarial attacks," Big Data Cogn. Comput., 2023.</w:t>
      </w:r>
    </w:p>
    <w:p w:rsidR="009558C9" w:rsidRDefault="007342A8">
      <w:pPr>
        <w:rPr>
          <w:b/>
          <w:bCs/>
          <w:i/>
          <w:iCs/>
        </w:rPr>
      </w:pPr>
      <w:r>
        <w:rPr>
          <w:b/>
          <w:bCs/>
        </w:rPr>
        <w:t xml:space="preserve">APPENDIX A: </w:t>
      </w:r>
      <w:r>
        <w:rPr>
          <w:b/>
          <w:bCs/>
          <w:i/>
          <w:iCs/>
        </w:rPr>
        <w:t>Iteration Master Log: Full Statistical Matr</w:t>
      </w:r>
      <w:r>
        <w:rPr>
          <w:b/>
          <w:bCs/>
          <w:i/>
          <w:iCs/>
        </w:rPr>
        <w:t>ix</w:t>
      </w:r>
    </w:p>
    <w:p w:rsidR="009558C9" w:rsidRDefault="007342A8">
      <w:r>
        <w:t xml:space="preserve">To provide absolute transparency and empirical verification, the full execution results of the ten independent stochastic trials conducted on the Apple M4 architecture 8-core GPU are provided in the supplemental log. Each row represents a unique trial, </w:t>
      </w:r>
      <w:r>
        <w:t>displaying the Robustness Heatmap, Trade-off curve, Visual Proof, and t-SNE manifold.</w:t>
      </w:r>
    </w:p>
    <w:p w:rsidR="009558C9" w:rsidRDefault="009558C9"/>
    <w:p w:rsidR="009558C9" w:rsidRDefault="007342A8">
      <w:r>
        <w:rPr>
          <w:noProof/>
          <w:lang w:val="en-IN"/>
        </w:rPr>
        <w:drawing>
          <wp:inline distT="114300" distB="114300" distL="114300" distR="114300">
            <wp:extent cx="5943600" cy="76200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7620000"/>
                    </a:xfrm>
                    <a:prstGeom prst="rect">
                      <a:avLst/>
                    </a:prstGeom>
                    <a:ln/>
                  </pic:spPr>
                </pic:pic>
              </a:graphicData>
            </a:graphic>
          </wp:inline>
        </w:drawing>
      </w:r>
    </w:p>
    <w:p w:rsidR="009558C9" w:rsidRDefault="007342A8">
      <w:r>
        <w:rPr>
          <w:noProof/>
          <w:lang w:val="en-IN"/>
        </w:rPr>
        <w:drawing>
          <wp:inline distT="114300" distB="114300" distL="114300" distR="114300">
            <wp:extent cx="5943600" cy="75565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7556500"/>
                    </a:xfrm>
                    <a:prstGeom prst="rect">
                      <a:avLst/>
                    </a:prstGeom>
                    <a:ln/>
                  </pic:spPr>
                </pic:pic>
              </a:graphicData>
            </a:graphic>
          </wp:inline>
        </w:drawing>
      </w:r>
    </w:p>
    <w:sectPr w:rsidR="009558C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AC961793-E841-425D-A3FF-BFBAA5808DCE}"/>
  </w:font>
  <w:font w:name="Calibri">
    <w:panose1 w:val="020F0502020204030204"/>
    <w:charset w:val="00"/>
    <w:family w:val="swiss"/>
    <w:pitch w:val="variable"/>
    <w:sig w:usb0="E4002EFF" w:usb1="C000247B" w:usb2="00000009" w:usb3="00000000" w:csb0="000001FF" w:csb1="00000000"/>
    <w:embedRegular r:id="rId2" w:fontKey="{779FD54C-7D4D-48FA-BBB6-83E5210639F3}"/>
  </w:font>
  <w:font w:name="Cambria">
    <w:panose1 w:val="02040503050406030204"/>
    <w:charset w:val="00"/>
    <w:family w:val="roman"/>
    <w:pitch w:val="variable"/>
    <w:sig w:usb0="E00006FF" w:usb1="420024FF" w:usb2="02000000" w:usb3="00000000" w:csb0="0000019F" w:csb1="00000000"/>
    <w:embedRegular r:id="rId3" w:fontKey="{364DD75B-FA29-4FE4-A63E-EA342AD832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9558C9"/>
    <w:rsid w:val="007342A8"/>
    <w:rsid w:val="009558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2695</Words>
  <Characters>15363</Characters>
  <Application>Microsoft Office Word</Application>
  <DocSecurity>0</DocSecurity>
  <Lines>128</Lines>
  <Paragraphs>36</Paragraphs>
  <ScaleCrop>false</ScaleCrop>
  <Company/>
  <LinksUpToDate>false</LinksUpToDate>
  <CharactersWithSpaces>18022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2026-04-22T15:03:00Z</dcterms:created>
  <dcterms:modified xsi:type="dcterms:W3CDTF">2026-04-22T15:04:00Z</dcterms:modified>
</cp:coreProperties>
</file>