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640F57" w14:textId="77777777" w:rsidR="00AF610A" w:rsidRPr="003B555F" w:rsidRDefault="00DF167B">
      <w:pPr>
        <w:spacing w:before="440" w:after="200"/>
        <w:jc w:val="center"/>
        <w:rPr>
          <w:sz w:val="20"/>
          <w:szCs w:val="20"/>
        </w:rPr>
      </w:pPr>
      <w:r w:rsidRPr="003B555F">
        <w:rPr>
          <w:rFonts w:ascii="Arial" w:eastAsia="Arial" w:hAnsi="Arial" w:cs="Arial"/>
          <w:b/>
          <w:bCs/>
          <w:color w:val="1B4F72"/>
          <w:sz w:val="32"/>
          <w:szCs w:val="32"/>
        </w:rPr>
        <w:t>Adaptive AI-Driven Bioenzyme Dosing for Real-Time Optimization of Decentralized Wastewater Treatment Systems</w:t>
      </w:r>
    </w:p>
    <w:p w14:paraId="56B34BD9" w14:textId="77777777" w:rsidR="00AF610A" w:rsidRPr="003B555F" w:rsidRDefault="00DF167B">
      <w:pPr>
        <w:pStyle w:val="Heading1"/>
        <w:rPr>
          <w:sz w:val="24"/>
          <w:szCs w:val="24"/>
        </w:rPr>
      </w:pPr>
      <w:bookmarkStart w:id="0" w:name="_GoBack"/>
      <w:bookmarkEnd w:id="0"/>
      <w:r w:rsidRPr="003B555F">
        <w:rPr>
          <w:sz w:val="24"/>
          <w:szCs w:val="24"/>
        </w:rPr>
        <w:t>Abstract</w:t>
      </w:r>
    </w:p>
    <w:p w14:paraId="3771B4F9" w14:textId="77777777" w:rsidR="00AF610A" w:rsidRPr="003B555F" w:rsidRDefault="00DF167B">
      <w:pPr>
        <w:spacing w:before="80" w:after="80" w:line="276" w:lineRule="auto"/>
        <w:ind w:firstLine="720"/>
        <w:jc w:val="both"/>
        <w:rPr>
          <w:sz w:val="20"/>
          <w:szCs w:val="20"/>
        </w:rPr>
      </w:pPr>
      <w:r w:rsidRPr="003B555F">
        <w:rPr>
          <w:color w:val="000000"/>
          <w:sz w:val="20"/>
          <w:szCs w:val="20"/>
        </w:rPr>
        <w:t>Decentralized wastewater treatment systems (DWTS) face critical operational challenges including fluctuating influent loads, limited human oversight, and sub-optimal chemical and biological dosing. This paper presents a novel integrated framework for Adapt</w:t>
      </w:r>
      <w:r w:rsidRPr="003B555F">
        <w:rPr>
          <w:color w:val="000000"/>
          <w:sz w:val="20"/>
          <w:szCs w:val="20"/>
        </w:rPr>
        <w:t xml:space="preserve">ive AI-Driven Bioenzyme Dosing (AABD) that synergizes real-time IoT sensor networks, machine learning predictive models, and reinforcement </w:t>
      </w:r>
      <w:proofErr w:type="gramStart"/>
      <w:r w:rsidRPr="003B555F">
        <w:rPr>
          <w:color w:val="000000"/>
          <w:sz w:val="20"/>
          <w:szCs w:val="20"/>
        </w:rPr>
        <w:t>learning</w:t>
      </w:r>
      <w:proofErr w:type="gramEnd"/>
      <w:r w:rsidRPr="003B555F">
        <w:rPr>
          <w:color w:val="000000"/>
          <w:sz w:val="20"/>
          <w:szCs w:val="20"/>
        </w:rPr>
        <w:t xml:space="preserve"> (RL) control agents to dynamically regulate bioenzyme addition in small-to-medium scale treatment units. The</w:t>
      </w:r>
      <w:r w:rsidRPr="003B555F">
        <w:rPr>
          <w:color w:val="000000"/>
          <w:sz w:val="20"/>
          <w:szCs w:val="20"/>
        </w:rPr>
        <w:t xml:space="preserve"> proposed architecture employs a multi-layered sensing infrastructure capturing pH, dissolved oxygen (DO), chemical oxygen demand (COD), biochemical oxygen demand (BOD), turbidity, temperature, and nutrient concentrations at 1–15 minute intervals, </w:t>
      </w:r>
      <w:proofErr w:type="gramStart"/>
      <w:r w:rsidRPr="003B555F">
        <w:rPr>
          <w:color w:val="000000"/>
          <w:sz w:val="20"/>
          <w:szCs w:val="20"/>
        </w:rPr>
        <w:t>transmit</w:t>
      </w:r>
      <w:r w:rsidRPr="003B555F">
        <w:rPr>
          <w:color w:val="000000"/>
          <w:sz w:val="20"/>
          <w:szCs w:val="20"/>
        </w:rPr>
        <w:t>ted</w:t>
      </w:r>
      <w:proofErr w:type="gramEnd"/>
      <w:r w:rsidRPr="003B555F">
        <w:rPr>
          <w:color w:val="000000"/>
          <w:sz w:val="20"/>
          <w:szCs w:val="20"/>
        </w:rPr>
        <w:t xml:space="preserve"> via LoRaWAN/NB-IoT to an edge-cloud AI processing module.</w:t>
      </w:r>
    </w:p>
    <w:p w14:paraId="203898F0" w14:textId="77777777" w:rsidR="00AF610A" w:rsidRPr="003B555F" w:rsidRDefault="00DF167B">
      <w:pPr>
        <w:spacing w:before="80" w:after="80" w:line="276" w:lineRule="auto"/>
        <w:ind w:firstLine="720"/>
        <w:jc w:val="both"/>
        <w:rPr>
          <w:sz w:val="20"/>
          <w:szCs w:val="20"/>
        </w:rPr>
      </w:pPr>
      <w:r w:rsidRPr="003B555F">
        <w:rPr>
          <w:color w:val="000000"/>
          <w:sz w:val="20"/>
          <w:szCs w:val="20"/>
        </w:rPr>
        <w:t>A hybrid AI ensemble combining Long Short-Term Memory (LSTM) networks for influent forecasting, Random Forest (RF) for effluent quality prediction, and a model-free deep RL agent for adaptive do</w:t>
      </w:r>
      <w:r w:rsidRPr="003B555F">
        <w:rPr>
          <w:color w:val="000000"/>
          <w:sz w:val="20"/>
          <w:szCs w:val="20"/>
        </w:rPr>
        <w:t>sing policy optimization demonstrates superior performance over conventional fixed-dose systems. Experimental data from pilot-scale implementations and published case studies indicate that the AABD framework achieves 92–96% COD removal and 93–95% BOD remov</w:t>
      </w:r>
      <w:r w:rsidRPr="003B555F">
        <w:rPr>
          <w:color w:val="000000"/>
          <w:sz w:val="20"/>
          <w:szCs w:val="20"/>
        </w:rPr>
        <w:t>al efficiency, representing improvements of 37–41% over conventional activated sludge processes. Energy consumption was reduced by 38.8%, operational costs by 40.6%, and regulatory compliance violations were nearly eliminated (2 events per year vs. 18 in c</w:t>
      </w:r>
      <w:r w:rsidRPr="003B555F">
        <w:rPr>
          <w:color w:val="000000"/>
          <w:sz w:val="20"/>
          <w:szCs w:val="20"/>
        </w:rPr>
        <w:t>onventional systems).</w:t>
      </w:r>
    </w:p>
    <w:p w14:paraId="364FF8EB" w14:textId="77777777" w:rsidR="00AF610A" w:rsidRPr="003B555F" w:rsidRDefault="00DF167B">
      <w:pPr>
        <w:spacing w:before="80" w:after="80" w:line="276" w:lineRule="auto"/>
        <w:ind w:firstLine="720"/>
        <w:jc w:val="both"/>
        <w:rPr>
          <w:sz w:val="20"/>
          <w:szCs w:val="20"/>
        </w:rPr>
      </w:pPr>
      <w:r w:rsidRPr="003B555F">
        <w:rPr>
          <w:color w:val="000000"/>
          <w:sz w:val="20"/>
          <w:szCs w:val="20"/>
        </w:rPr>
        <w:t>Five classes of bioenzymes (protease, lipase, amylase, laccase, and cellulase) are dynamically dosed based on real-time wastewater composition, achieving synergistic pollutant degradation. The closed-loop prediction-optimization-contr</w:t>
      </w:r>
      <w:r w:rsidRPr="003B555F">
        <w:rPr>
          <w:color w:val="000000"/>
          <w:sz w:val="20"/>
          <w:szCs w:val="20"/>
        </w:rPr>
        <w:t xml:space="preserve">ol framework significantly reduces overdosing, sludge production by </w:t>
      </w:r>
      <w:proofErr w:type="gramStart"/>
      <w:r w:rsidRPr="003B555F">
        <w:rPr>
          <w:color w:val="000000"/>
          <w:sz w:val="20"/>
          <w:szCs w:val="20"/>
        </w:rPr>
        <w:t>37.8%,</w:t>
      </w:r>
      <w:proofErr w:type="gramEnd"/>
      <w:r w:rsidRPr="003B555F">
        <w:rPr>
          <w:color w:val="000000"/>
          <w:sz w:val="20"/>
          <w:szCs w:val="20"/>
        </w:rPr>
        <w:t xml:space="preserve"> and greenhouse gas (GHG) emissions by 41.8%. This research offers a scalable, low-cost, and intelligent alternative to centralized treatment infrastructure, particularly for rural c</w:t>
      </w:r>
      <w:r w:rsidRPr="003B555F">
        <w:rPr>
          <w:color w:val="000000"/>
          <w:sz w:val="20"/>
          <w:szCs w:val="20"/>
        </w:rPr>
        <w:t>ommunities, industrial clusters, and resource-limited settings, aligning with United Nations Sustainable Development Goal 6 (Clean Water and Sanitation).</w:t>
      </w:r>
    </w:p>
    <w:p w14:paraId="506915D0" w14:textId="77777777" w:rsidR="003A77D5" w:rsidRPr="003B555F" w:rsidRDefault="003A77D5" w:rsidP="003A77D5">
      <w:pPr>
        <w:spacing w:before="100" w:after="100" w:line="276" w:lineRule="auto"/>
        <w:jc w:val="both"/>
        <w:rPr>
          <w:sz w:val="20"/>
          <w:szCs w:val="20"/>
        </w:rPr>
      </w:pPr>
      <w:r w:rsidRPr="003B555F">
        <w:rPr>
          <w:b/>
          <w:bCs/>
          <w:color w:val="1B4F72"/>
          <w:sz w:val="20"/>
          <w:szCs w:val="20"/>
        </w:rPr>
        <w:t xml:space="preserve">Keywords: </w:t>
      </w:r>
      <w:r w:rsidRPr="003B555F">
        <w:rPr>
          <w:i/>
          <w:iCs/>
          <w:color w:val="000000"/>
          <w:sz w:val="20"/>
          <w:szCs w:val="20"/>
        </w:rPr>
        <w:t>Adaptive bioenzyme dosing; Decentralized wastewater treatment; Artificial intelligence; Machine learning; IoT-based monitoring; Reinforcement learning; Deep learning; Real-time optimization; COD/BOD removal; Sustainable water management</w:t>
      </w:r>
    </w:p>
    <w:p w14:paraId="536BDFE0" w14:textId="77777777" w:rsidR="00AF610A" w:rsidRPr="003B555F" w:rsidRDefault="00DF167B" w:rsidP="003B555F">
      <w:pPr>
        <w:pStyle w:val="Heading1"/>
        <w:spacing w:before="0"/>
        <w:rPr>
          <w:sz w:val="24"/>
          <w:szCs w:val="24"/>
        </w:rPr>
      </w:pPr>
      <w:r w:rsidRPr="003B555F">
        <w:rPr>
          <w:sz w:val="24"/>
          <w:szCs w:val="24"/>
        </w:rPr>
        <w:t>1. Introduction</w:t>
      </w:r>
    </w:p>
    <w:p w14:paraId="6C788524" w14:textId="4DB82E08" w:rsidR="00AF610A" w:rsidRPr="003B555F" w:rsidRDefault="00DF167B">
      <w:pPr>
        <w:spacing w:before="80" w:after="80" w:line="276" w:lineRule="auto"/>
        <w:ind w:firstLine="720"/>
        <w:jc w:val="both"/>
        <w:rPr>
          <w:sz w:val="20"/>
          <w:szCs w:val="20"/>
        </w:rPr>
      </w:pPr>
      <w:r w:rsidRPr="003B555F">
        <w:rPr>
          <w:color w:val="000000"/>
          <w:sz w:val="20"/>
          <w:szCs w:val="20"/>
        </w:rPr>
        <w:t>Access to clean water remains one of the defining challenges of the 21st century. According</w:t>
      </w:r>
      <w:r w:rsidRPr="003B555F">
        <w:rPr>
          <w:color w:val="000000"/>
          <w:sz w:val="20"/>
          <w:szCs w:val="20"/>
        </w:rPr>
        <w:t xml:space="preserve"> to the United Nations World Water Development Report (2024), approximately 44% of global wastewater generated is discharged without adequate treatment, with consequences including eutrophication, waterborne disease, biodiversity loss, and public health cr</w:t>
      </w:r>
      <w:r w:rsidRPr="003B555F">
        <w:rPr>
          <w:color w:val="000000"/>
          <w:sz w:val="20"/>
          <w:szCs w:val="20"/>
        </w:rPr>
        <w:t>ises [5]. The situation is particularly acute in low-income and rural regions where centralized treatment infrastructure is economically and logistically prohibitive. Decentralized wastewater treatment systems (DWTS) comprising septic tanks, biofilm reacto</w:t>
      </w:r>
      <w:r w:rsidRPr="003B555F">
        <w:rPr>
          <w:color w:val="000000"/>
          <w:sz w:val="20"/>
          <w:szCs w:val="20"/>
        </w:rPr>
        <w:t>rs, constructed wetlands, membrane bioreactors (MBR), and modular package treatment plants have emerged as viable alternatives, yet their operational efficiency suffers from manual, reactive management practices.</w:t>
      </w:r>
    </w:p>
    <w:p w14:paraId="66989E14" w14:textId="3F63F40D" w:rsidR="00AF610A" w:rsidRPr="003B555F" w:rsidRDefault="00DF167B">
      <w:pPr>
        <w:spacing w:before="80" w:after="80" w:line="276" w:lineRule="auto"/>
        <w:ind w:firstLine="720"/>
        <w:jc w:val="both"/>
        <w:rPr>
          <w:sz w:val="20"/>
          <w:szCs w:val="20"/>
        </w:rPr>
      </w:pPr>
      <w:r w:rsidRPr="003B555F">
        <w:rPr>
          <w:color w:val="000000"/>
          <w:sz w:val="20"/>
          <w:szCs w:val="20"/>
        </w:rPr>
        <w:t>Bioenzyme-based biological treatment repres</w:t>
      </w:r>
      <w:r w:rsidRPr="003B555F">
        <w:rPr>
          <w:color w:val="000000"/>
          <w:sz w:val="20"/>
          <w:szCs w:val="20"/>
        </w:rPr>
        <w:t>ents a compelling, eco-compatible strategy for enhancing pollutant removal in decentralized contexts. Enzymes such as proteases, lipases, amylases, laccases, and cellulases act as biocatalysts that selectively break down complex organic compounds proteins,</w:t>
      </w:r>
      <w:r w:rsidRPr="003B555F">
        <w:rPr>
          <w:color w:val="000000"/>
          <w:sz w:val="20"/>
          <w:szCs w:val="20"/>
        </w:rPr>
        <w:t xml:space="preserve"> lipids, starches, dyes, and cellulosic matter under mild operational conditions without generating toxic residues [19</w:t>
      </w:r>
      <w:proofErr w:type="gramStart"/>
      <w:r w:rsidRPr="003B555F">
        <w:rPr>
          <w:color w:val="000000"/>
          <w:sz w:val="20"/>
          <w:szCs w:val="20"/>
        </w:rPr>
        <w:t>,26</w:t>
      </w:r>
      <w:proofErr w:type="gramEnd"/>
      <w:r w:rsidRPr="003B555F">
        <w:rPr>
          <w:color w:val="000000"/>
          <w:sz w:val="20"/>
          <w:szCs w:val="20"/>
        </w:rPr>
        <w:t>]. Microbial enzyme consortia have demonstrated 50–70% COD reductions within 24–48 hours in aerobic biological treatment processes [21]</w:t>
      </w:r>
      <w:r w:rsidRPr="003B555F">
        <w:rPr>
          <w:color w:val="000000"/>
          <w:sz w:val="20"/>
          <w:szCs w:val="20"/>
        </w:rPr>
        <w:t>, and mixed-enzyme formulations have achieved 75% COD and 70% BOD reductions in domestic wastewater [22]. Despite these promising performances, the static, empirical dosing practices employed in most installations fail to account for the dynamic variabilit</w:t>
      </w:r>
      <w:r w:rsidRPr="003B555F">
        <w:rPr>
          <w:color w:val="000000"/>
          <w:sz w:val="20"/>
          <w:szCs w:val="20"/>
        </w:rPr>
        <w:t>y of wastewater composition, resulting in enzyme overdose, underdose, or mismatch-induced treatment failures.</w:t>
      </w:r>
    </w:p>
    <w:p w14:paraId="07F5439B" w14:textId="2D125254" w:rsidR="00AF610A" w:rsidRPr="003B555F" w:rsidRDefault="00DF167B">
      <w:pPr>
        <w:spacing w:before="80" w:after="80" w:line="276" w:lineRule="auto"/>
        <w:ind w:firstLine="720"/>
        <w:jc w:val="both"/>
        <w:rPr>
          <w:sz w:val="20"/>
          <w:szCs w:val="20"/>
        </w:rPr>
      </w:pPr>
      <w:r w:rsidRPr="003B555F">
        <w:rPr>
          <w:color w:val="000000"/>
          <w:sz w:val="20"/>
          <w:szCs w:val="20"/>
        </w:rPr>
        <w:t>Artificial intelligence (AI) and machine learning (ML) have emerged as transformative tools for addressing nonlinear, time-varying process control</w:t>
      </w:r>
      <w:r w:rsidRPr="003B555F">
        <w:rPr>
          <w:color w:val="000000"/>
          <w:sz w:val="20"/>
          <w:szCs w:val="20"/>
        </w:rPr>
        <w:t xml:space="preserve"> challenges in wastewater treatment [8]. AI techniques including artificial neural networks (ANNs), support vector machines (SVMs), gradient-boosted ensembles, recurrent networks (LSTM), and reinforcement learning (RL) agents enable data-driven prediction,</w:t>
      </w:r>
      <w:r w:rsidRPr="003B555F">
        <w:rPr>
          <w:color w:val="000000"/>
          <w:sz w:val="20"/>
          <w:szCs w:val="20"/>
        </w:rPr>
        <w:t xml:space="preserve"> fault detection, and closed-loop adaptive optimization [1,37]. Concurrent advances in Internet of Things (IoT) infrastructure have enabled the deployment of low-cost, wireless multi-parameter sensor networks capable of providing continuous, high-resolutio</w:t>
      </w:r>
      <w:r w:rsidRPr="003B555F">
        <w:rPr>
          <w:color w:val="000000"/>
          <w:sz w:val="20"/>
          <w:szCs w:val="20"/>
        </w:rPr>
        <w:t>n water quality data streams [10,11,13]. This confluence of AI intelligence and IoT connectivity creates a uniquely powerful platform for real-time adaptive bioenzyme dosing control in decentralized settings.</w:t>
      </w:r>
    </w:p>
    <w:p w14:paraId="672F38B8" w14:textId="521F7414" w:rsidR="00AF610A" w:rsidRPr="003B555F" w:rsidRDefault="00DF167B">
      <w:pPr>
        <w:spacing w:before="80" w:after="80" w:line="276" w:lineRule="auto"/>
        <w:ind w:firstLine="720"/>
        <w:jc w:val="both"/>
        <w:rPr>
          <w:sz w:val="20"/>
          <w:szCs w:val="20"/>
        </w:rPr>
      </w:pPr>
      <w:r w:rsidRPr="003B555F">
        <w:rPr>
          <w:color w:val="000000"/>
          <w:sz w:val="20"/>
          <w:szCs w:val="20"/>
        </w:rPr>
        <w:lastRenderedPageBreak/>
        <w:t>Despite significant progress in AI applications</w:t>
      </w:r>
      <w:r w:rsidRPr="003B555F">
        <w:rPr>
          <w:color w:val="000000"/>
          <w:sz w:val="20"/>
          <w:szCs w:val="20"/>
        </w:rPr>
        <w:t xml:space="preserve"> for centralized wastewater treatment plants (WWTPs) [4</w:t>
      </w:r>
      <w:proofErr w:type="gramStart"/>
      <w:r w:rsidRPr="003B555F">
        <w:rPr>
          <w:color w:val="000000"/>
          <w:sz w:val="20"/>
          <w:szCs w:val="20"/>
        </w:rPr>
        <w:t>,39</w:t>
      </w:r>
      <w:proofErr w:type="gramEnd"/>
      <w:r w:rsidRPr="003B555F">
        <w:rPr>
          <w:color w:val="000000"/>
          <w:sz w:val="20"/>
          <w:szCs w:val="20"/>
        </w:rPr>
        <w:t>], the specific integration of adaptive AI-driven bioenzyme dosing within decentralized treatment architectures remains understudied. Existing review literature on AI in wastewater treatment [5</w:t>
      </w:r>
      <w:proofErr w:type="gramStart"/>
      <w:r w:rsidRPr="003B555F">
        <w:rPr>
          <w:color w:val="000000"/>
          <w:sz w:val="20"/>
          <w:szCs w:val="20"/>
        </w:rPr>
        <w:t>,8,9,</w:t>
      </w:r>
      <w:r w:rsidRPr="003B555F">
        <w:rPr>
          <w:color w:val="000000"/>
          <w:sz w:val="20"/>
          <w:szCs w:val="20"/>
        </w:rPr>
        <w:t>34,36</w:t>
      </w:r>
      <w:proofErr w:type="gramEnd"/>
      <w:r w:rsidRPr="003B555F">
        <w:rPr>
          <w:color w:val="000000"/>
          <w:sz w:val="20"/>
          <w:szCs w:val="20"/>
        </w:rPr>
        <w:t>] addresses chemical dosing (coagulants, flocculants, disinfectants) in large-scale plants but does not systematically address the unique challenges of enzymatic biological dosing in small-scale, resource-constrained decentralized systems. Furthermore</w:t>
      </w:r>
      <w:r w:rsidRPr="003B555F">
        <w:rPr>
          <w:color w:val="000000"/>
          <w:sz w:val="20"/>
          <w:szCs w:val="20"/>
        </w:rPr>
        <w:t>, the reinforcement learning paradigm uniquely suited for continuous adaptive optimization in dynamic environments [27</w:t>
      </w:r>
      <w:proofErr w:type="gramStart"/>
      <w:r w:rsidRPr="003B555F">
        <w:rPr>
          <w:color w:val="000000"/>
          <w:sz w:val="20"/>
          <w:szCs w:val="20"/>
        </w:rPr>
        <w:t>,30,32,33</w:t>
      </w:r>
      <w:proofErr w:type="gramEnd"/>
      <w:r w:rsidRPr="003B555F">
        <w:rPr>
          <w:color w:val="000000"/>
          <w:sz w:val="20"/>
          <w:szCs w:val="20"/>
        </w:rPr>
        <w:t>]  has not been specifically applied to bioenzyme dosing control.</w:t>
      </w:r>
    </w:p>
    <w:p w14:paraId="199FD984" w14:textId="77777777" w:rsidR="00AF610A" w:rsidRPr="003B555F" w:rsidRDefault="00DF167B">
      <w:pPr>
        <w:spacing w:before="80" w:after="80" w:line="276" w:lineRule="auto"/>
        <w:ind w:firstLine="720"/>
        <w:jc w:val="both"/>
        <w:rPr>
          <w:sz w:val="20"/>
          <w:szCs w:val="20"/>
        </w:rPr>
      </w:pPr>
      <w:r w:rsidRPr="003B555F">
        <w:rPr>
          <w:color w:val="000000"/>
          <w:sz w:val="20"/>
          <w:szCs w:val="20"/>
        </w:rPr>
        <w:t>This paper addresses these research gaps through a comprehensiv</w:t>
      </w:r>
      <w:r w:rsidRPr="003B555F">
        <w:rPr>
          <w:color w:val="000000"/>
          <w:sz w:val="20"/>
          <w:szCs w:val="20"/>
        </w:rPr>
        <w:t>e investigation of Adaptive AI-Driven Bioenzyme Dosing (AABD) for real-time optimization of DWTS. Our specific objectives are: (1) to design and characterize a layered IoT-AI architecture for real-time bioenzyme dosing control; (2) to evaluate the performa</w:t>
      </w:r>
      <w:r w:rsidRPr="003B555F">
        <w:rPr>
          <w:color w:val="000000"/>
          <w:sz w:val="20"/>
          <w:szCs w:val="20"/>
        </w:rPr>
        <w:t xml:space="preserve">nce of multiple AI models (ANN, LSTM, RF, RL, hybrid ensemble) for dosing prediction and optimization; (3) to quantify treatment efficiency improvements, energy savings, and cost reductions relative to conventional systems; and (4) to present case studies </w:t>
      </w:r>
      <w:r w:rsidRPr="003B555F">
        <w:rPr>
          <w:color w:val="000000"/>
          <w:sz w:val="20"/>
          <w:szCs w:val="20"/>
        </w:rPr>
        <w:t>validating the framework across diverse decentralized treatment contexts.</w:t>
      </w:r>
    </w:p>
    <w:p w14:paraId="52832AE1" w14:textId="77777777" w:rsidR="00AF610A" w:rsidRPr="003B555F" w:rsidRDefault="00DF167B">
      <w:pPr>
        <w:pStyle w:val="Heading1"/>
        <w:rPr>
          <w:sz w:val="24"/>
          <w:szCs w:val="24"/>
        </w:rPr>
      </w:pPr>
      <w:r w:rsidRPr="003B555F">
        <w:rPr>
          <w:sz w:val="24"/>
          <w:szCs w:val="24"/>
        </w:rPr>
        <w:t>2. Background and Literature Review</w:t>
      </w:r>
    </w:p>
    <w:p w14:paraId="0D10E364" w14:textId="77777777" w:rsidR="00AF610A" w:rsidRPr="003B555F" w:rsidRDefault="00DF167B">
      <w:pPr>
        <w:pStyle w:val="Heading2"/>
        <w:spacing w:after="100"/>
        <w:rPr>
          <w:sz w:val="22"/>
          <w:szCs w:val="22"/>
        </w:rPr>
      </w:pPr>
      <w:r w:rsidRPr="003B555F">
        <w:rPr>
          <w:sz w:val="22"/>
          <w:szCs w:val="22"/>
        </w:rPr>
        <w:t>2.1 Bioenzyme-Based Wastewater Treatment</w:t>
      </w:r>
    </w:p>
    <w:p w14:paraId="5BF02B26" w14:textId="77777777" w:rsidR="00AF610A" w:rsidRPr="003B555F" w:rsidRDefault="00DF167B">
      <w:pPr>
        <w:spacing w:before="80" w:after="80" w:line="276" w:lineRule="auto"/>
        <w:ind w:firstLine="720"/>
        <w:jc w:val="both"/>
        <w:rPr>
          <w:sz w:val="20"/>
          <w:szCs w:val="20"/>
        </w:rPr>
      </w:pPr>
      <w:r w:rsidRPr="003B555F">
        <w:rPr>
          <w:color w:val="000000"/>
          <w:sz w:val="20"/>
          <w:szCs w:val="20"/>
        </w:rPr>
        <w:t xml:space="preserve">Enzymes are high-value biocatalysts with catalytic efficiencies several orders of magnitude greater than </w:t>
      </w:r>
      <w:r w:rsidRPr="003B555F">
        <w:rPr>
          <w:color w:val="000000"/>
          <w:sz w:val="20"/>
          <w:szCs w:val="20"/>
        </w:rPr>
        <w:t>inorganic chemical catalysts under mild conditions [29]. In wastewater treatment, enzymatic degradation operates through highly specific substrate-enzyme interactions, enabling selective removal of target pollutant classes without the non-specific toxicity</w:t>
      </w:r>
      <w:r w:rsidRPr="003B555F">
        <w:rPr>
          <w:color w:val="000000"/>
          <w:sz w:val="20"/>
          <w:szCs w:val="20"/>
        </w:rPr>
        <w:t xml:space="preserve"> associated with chemical oxidants. The primary enzyme classes and their wastewater treatment roles are summarized in Table 1.</w:t>
      </w:r>
    </w:p>
    <w:p w14:paraId="47AF1846" w14:textId="48E02C28" w:rsidR="00AF610A" w:rsidRPr="003B555F" w:rsidRDefault="00DF167B">
      <w:pPr>
        <w:spacing w:before="60" w:after="30"/>
        <w:jc w:val="center"/>
        <w:rPr>
          <w:sz w:val="20"/>
          <w:szCs w:val="20"/>
        </w:rPr>
      </w:pPr>
      <w:r w:rsidRPr="003B555F">
        <w:rPr>
          <w:rFonts w:ascii="Arial" w:eastAsia="Arial" w:hAnsi="Arial" w:cs="Arial"/>
          <w:b/>
          <w:bCs/>
          <w:color w:val="1B4F72"/>
          <w:sz w:val="18"/>
          <w:szCs w:val="18"/>
        </w:rPr>
        <w:t>Table 1: Bioenzyme Classes, Mechanisms, and Wastewater Treatment Applications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3"/>
        <w:gridCol w:w="3257"/>
        <w:gridCol w:w="2384"/>
        <w:gridCol w:w="1350"/>
        <w:gridCol w:w="1356"/>
      </w:tblGrid>
      <w:tr w:rsidR="00AF610A" w:rsidRPr="003B555F" w14:paraId="557DEC33" w14:textId="77777777" w:rsidTr="003B555F">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3431963"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Enzyme Type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031AA47"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Mechanism of Action</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C5E5249"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Target Wastewater</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7987BB51"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Removal Efficiency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72A1BEB"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Optimal Conditions</w:t>
            </w:r>
          </w:p>
        </w:tc>
      </w:tr>
      <w:tr w:rsidR="00AF610A" w:rsidRPr="003B555F" w14:paraId="3C4FE63C"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ADB3498" w14:textId="77777777" w:rsidR="00AF610A" w:rsidRPr="003B555F" w:rsidRDefault="00DF167B">
            <w:pPr>
              <w:spacing w:before="40" w:after="40"/>
              <w:rPr>
                <w:sz w:val="12"/>
                <w:szCs w:val="12"/>
              </w:rPr>
            </w:pPr>
            <w:r w:rsidRPr="003B555F">
              <w:rPr>
                <w:rFonts w:ascii="Arial" w:eastAsia="Arial" w:hAnsi="Arial" w:cs="Arial"/>
                <w:color w:val="1A1A1A"/>
                <w:sz w:val="12"/>
                <w:szCs w:val="12"/>
              </w:rPr>
              <w:t>Protease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67DA3C8" w14:textId="77777777" w:rsidR="00AF610A" w:rsidRPr="003B555F" w:rsidRDefault="00DF167B">
            <w:pPr>
              <w:spacing w:before="40" w:after="40"/>
              <w:rPr>
                <w:sz w:val="12"/>
                <w:szCs w:val="12"/>
              </w:rPr>
            </w:pPr>
            <w:r w:rsidRPr="003B555F">
              <w:rPr>
                <w:rFonts w:ascii="Arial" w:eastAsia="Arial" w:hAnsi="Arial" w:cs="Arial"/>
                <w:color w:val="1A1A1A"/>
                <w:sz w:val="12"/>
                <w:szCs w:val="12"/>
              </w:rPr>
              <w:t>Protein hydrolysis (peptide bond cleavage)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D00ED19" w14:textId="77777777" w:rsidR="00AF610A" w:rsidRPr="003B555F" w:rsidRDefault="00DF167B">
            <w:pPr>
              <w:spacing w:before="40" w:after="40"/>
              <w:rPr>
                <w:sz w:val="12"/>
                <w:szCs w:val="12"/>
              </w:rPr>
            </w:pPr>
            <w:r w:rsidRPr="003B555F">
              <w:rPr>
                <w:rFonts w:ascii="Arial" w:eastAsia="Arial" w:hAnsi="Arial" w:cs="Arial"/>
                <w:color w:val="1A1A1A"/>
                <w:sz w:val="12"/>
                <w:szCs w:val="12"/>
              </w:rPr>
              <w:t>Food processing, dairy, tannery effluents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794AFD2" w14:textId="77777777" w:rsidR="00AF610A" w:rsidRPr="003B555F" w:rsidRDefault="00DF167B">
            <w:pPr>
              <w:spacing w:before="40" w:after="40"/>
              <w:rPr>
                <w:sz w:val="12"/>
                <w:szCs w:val="12"/>
              </w:rPr>
            </w:pPr>
            <w:r w:rsidRPr="003B555F">
              <w:rPr>
                <w:rFonts w:ascii="Arial" w:eastAsia="Arial" w:hAnsi="Arial" w:cs="Arial"/>
                <w:color w:val="1A1A1A"/>
                <w:sz w:val="12"/>
                <w:szCs w:val="12"/>
              </w:rPr>
              <w:t>BOD ↓ 60–75%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E2A0007" w14:textId="77777777" w:rsidR="00AF610A" w:rsidRPr="003B555F" w:rsidRDefault="00DF167B">
            <w:pPr>
              <w:spacing w:before="40" w:after="40"/>
              <w:rPr>
                <w:sz w:val="12"/>
                <w:szCs w:val="12"/>
              </w:rPr>
            </w:pPr>
            <w:r w:rsidRPr="003B555F">
              <w:rPr>
                <w:rFonts w:ascii="Arial" w:eastAsia="Arial" w:hAnsi="Arial" w:cs="Arial"/>
                <w:color w:val="1A1A1A"/>
                <w:sz w:val="12"/>
                <w:szCs w:val="12"/>
              </w:rPr>
              <w:t>35–50°C, pH 7–9</w:t>
            </w:r>
          </w:p>
        </w:tc>
      </w:tr>
      <w:tr w:rsidR="00AF610A" w:rsidRPr="003B555F" w14:paraId="4D90A782"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0404F88" w14:textId="77777777" w:rsidR="00AF610A" w:rsidRPr="003B555F" w:rsidRDefault="00DF167B">
            <w:pPr>
              <w:spacing w:before="40" w:after="40"/>
              <w:rPr>
                <w:sz w:val="12"/>
                <w:szCs w:val="12"/>
              </w:rPr>
            </w:pPr>
            <w:r w:rsidRPr="003B555F">
              <w:rPr>
                <w:rFonts w:ascii="Arial" w:eastAsia="Arial" w:hAnsi="Arial" w:cs="Arial"/>
                <w:color w:val="1A1A1A"/>
                <w:sz w:val="12"/>
                <w:szCs w:val="12"/>
              </w:rPr>
              <w:t>Lipase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E37F60A" w14:textId="77777777" w:rsidR="00AF610A" w:rsidRPr="003B555F" w:rsidRDefault="00DF167B">
            <w:pPr>
              <w:spacing w:before="40" w:after="40"/>
              <w:rPr>
                <w:sz w:val="12"/>
                <w:szCs w:val="12"/>
              </w:rPr>
            </w:pPr>
            <w:r w:rsidRPr="003B555F">
              <w:rPr>
                <w:rFonts w:ascii="Arial" w:eastAsia="Arial" w:hAnsi="Arial" w:cs="Arial"/>
                <w:color w:val="1A1A1A"/>
                <w:sz w:val="12"/>
                <w:szCs w:val="12"/>
              </w:rPr>
              <w:t>Lipid &amp; fat breakdown into fatty acids + glycerol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3E6AB1B" w14:textId="77777777" w:rsidR="00AF610A" w:rsidRPr="003B555F" w:rsidRDefault="00DF167B">
            <w:pPr>
              <w:spacing w:before="40" w:after="40"/>
              <w:rPr>
                <w:sz w:val="12"/>
                <w:szCs w:val="12"/>
              </w:rPr>
            </w:pPr>
            <w:r w:rsidRPr="003B555F">
              <w:rPr>
                <w:rFonts w:ascii="Arial" w:eastAsia="Arial" w:hAnsi="Arial" w:cs="Arial"/>
                <w:color w:val="1A1A1A"/>
                <w:sz w:val="12"/>
                <w:szCs w:val="12"/>
              </w:rPr>
              <w:t>Restaurant, meat, dairy wastewater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33F23F8" w14:textId="77777777" w:rsidR="00AF610A" w:rsidRPr="003B555F" w:rsidRDefault="00DF167B">
            <w:pPr>
              <w:spacing w:before="40" w:after="40"/>
              <w:rPr>
                <w:sz w:val="12"/>
                <w:szCs w:val="12"/>
              </w:rPr>
            </w:pPr>
            <w:r w:rsidRPr="003B555F">
              <w:rPr>
                <w:rFonts w:ascii="Arial" w:eastAsia="Arial" w:hAnsi="Arial" w:cs="Arial"/>
                <w:color w:val="1A1A1A"/>
                <w:sz w:val="12"/>
                <w:szCs w:val="12"/>
              </w:rPr>
              <w:t>Oil/grease ↓ &gt;85%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853AFEB" w14:textId="77777777" w:rsidR="00AF610A" w:rsidRPr="003B555F" w:rsidRDefault="00DF167B">
            <w:pPr>
              <w:spacing w:before="40" w:after="40"/>
              <w:rPr>
                <w:sz w:val="12"/>
                <w:szCs w:val="12"/>
              </w:rPr>
            </w:pPr>
            <w:r w:rsidRPr="003B555F">
              <w:rPr>
                <w:rFonts w:ascii="Arial" w:eastAsia="Arial" w:hAnsi="Arial" w:cs="Arial"/>
                <w:color w:val="1A1A1A"/>
                <w:sz w:val="12"/>
                <w:szCs w:val="12"/>
              </w:rPr>
              <w:t>30–45°C, pH 7–8</w:t>
            </w:r>
          </w:p>
        </w:tc>
      </w:tr>
      <w:tr w:rsidR="00AF610A" w:rsidRPr="003B555F" w14:paraId="43FDF877"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176F799" w14:textId="77777777" w:rsidR="00AF610A" w:rsidRPr="003B555F" w:rsidRDefault="00DF167B">
            <w:pPr>
              <w:spacing w:before="40" w:after="40"/>
              <w:rPr>
                <w:sz w:val="12"/>
                <w:szCs w:val="12"/>
              </w:rPr>
            </w:pPr>
            <w:r w:rsidRPr="003B555F">
              <w:rPr>
                <w:rFonts w:ascii="Arial" w:eastAsia="Arial" w:hAnsi="Arial" w:cs="Arial"/>
                <w:color w:val="1A1A1A"/>
                <w:sz w:val="12"/>
                <w:szCs w:val="12"/>
              </w:rPr>
              <w:t>Amylase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C058C77" w14:textId="77777777" w:rsidR="00AF610A" w:rsidRPr="003B555F" w:rsidRDefault="00DF167B">
            <w:pPr>
              <w:spacing w:before="40" w:after="40"/>
              <w:rPr>
                <w:sz w:val="12"/>
                <w:szCs w:val="12"/>
              </w:rPr>
            </w:pPr>
            <w:r w:rsidRPr="003B555F">
              <w:rPr>
                <w:rFonts w:ascii="Arial" w:eastAsia="Arial" w:hAnsi="Arial" w:cs="Arial"/>
                <w:color w:val="1A1A1A"/>
                <w:sz w:val="12"/>
                <w:szCs w:val="12"/>
              </w:rPr>
              <w:t>Starch hydrolysis to maltose/glucose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BEA6993" w14:textId="77777777" w:rsidR="00AF610A" w:rsidRPr="003B555F" w:rsidRDefault="00DF167B">
            <w:pPr>
              <w:spacing w:before="40" w:after="40"/>
              <w:rPr>
                <w:sz w:val="12"/>
                <w:szCs w:val="12"/>
              </w:rPr>
            </w:pPr>
            <w:r w:rsidRPr="003B555F">
              <w:rPr>
                <w:rFonts w:ascii="Arial" w:eastAsia="Arial" w:hAnsi="Arial" w:cs="Arial"/>
                <w:color w:val="1A1A1A"/>
                <w:sz w:val="12"/>
                <w:szCs w:val="12"/>
              </w:rPr>
              <w:t>Paper mills, food industry, breweries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AE11D04" w14:textId="77777777" w:rsidR="00AF610A" w:rsidRPr="003B555F" w:rsidRDefault="00DF167B">
            <w:pPr>
              <w:spacing w:before="40" w:after="40"/>
              <w:rPr>
                <w:sz w:val="12"/>
                <w:szCs w:val="12"/>
              </w:rPr>
            </w:pPr>
            <w:r w:rsidRPr="003B555F">
              <w:rPr>
                <w:rFonts w:ascii="Arial" w:eastAsia="Arial" w:hAnsi="Arial" w:cs="Arial"/>
                <w:color w:val="1A1A1A"/>
                <w:sz w:val="12"/>
                <w:szCs w:val="12"/>
              </w:rPr>
              <w:t>TSS ↓ 40–60%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92322E2" w14:textId="77777777" w:rsidR="00AF610A" w:rsidRPr="003B555F" w:rsidRDefault="00DF167B">
            <w:pPr>
              <w:spacing w:before="40" w:after="40"/>
              <w:rPr>
                <w:sz w:val="12"/>
                <w:szCs w:val="12"/>
              </w:rPr>
            </w:pPr>
            <w:r w:rsidRPr="003B555F">
              <w:rPr>
                <w:rFonts w:ascii="Arial" w:eastAsia="Arial" w:hAnsi="Arial" w:cs="Arial"/>
                <w:color w:val="1A1A1A"/>
                <w:sz w:val="12"/>
                <w:szCs w:val="12"/>
              </w:rPr>
              <w:t>40–60°C, pH 6–7</w:t>
            </w:r>
          </w:p>
        </w:tc>
      </w:tr>
      <w:tr w:rsidR="00AF610A" w:rsidRPr="003B555F" w14:paraId="7B38176D"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131C833" w14:textId="77777777" w:rsidR="00AF610A" w:rsidRPr="003B555F" w:rsidRDefault="00DF167B">
            <w:pPr>
              <w:spacing w:before="40" w:after="40"/>
              <w:rPr>
                <w:sz w:val="12"/>
                <w:szCs w:val="12"/>
              </w:rPr>
            </w:pPr>
            <w:r w:rsidRPr="003B555F">
              <w:rPr>
                <w:rFonts w:ascii="Arial" w:eastAsia="Arial" w:hAnsi="Arial" w:cs="Arial"/>
                <w:color w:val="1A1A1A"/>
                <w:sz w:val="12"/>
                <w:szCs w:val="12"/>
              </w:rPr>
              <w:t>Laccase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DD9ED45" w14:textId="77777777" w:rsidR="00AF610A" w:rsidRPr="003B555F" w:rsidRDefault="00DF167B">
            <w:pPr>
              <w:spacing w:before="40" w:after="40"/>
              <w:rPr>
                <w:sz w:val="12"/>
                <w:szCs w:val="12"/>
              </w:rPr>
            </w:pPr>
            <w:r w:rsidRPr="003B555F">
              <w:rPr>
                <w:rFonts w:ascii="Arial" w:eastAsia="Arial" w:hAnsi="Arial" w:cs="Arial"/>
                <w:color w:val="1A1A1A"/>
                <w:sz w:val="12"/>
                <w:szCs w:val="12"/>
              </w:rPr>
              <w:t>Oxidation of phenolic compounds; azo dye decolorization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C70585E" w14:textId="77777777" w:rsidR="00AF610A" w:rsidRPr="003B555F" w:rsidRDefault="00DF167B">
            <w:pPr>
              <w:spacing w:before="40" w:after="40"/>
              <w:rPr>
                <w:sz w:val="12"/>
                <w:szCs w:val="12"/>
              </w:rPr>
            </w:pPr>
            <w:r w:rsidRPr="003B555F">
              <w:rPr>
                <w:rFonts w:ascii="Arial" w:eastAsia="Arial" w:hAnsi="Arial" w:cs="Arial"/>
                <w:color w:val="1A1A1A"/>
                <w:sz w:val="12"/>
                <w:szCs w:val="12"/>
              </w:rPr>
              <w:t>Textile effluents, pulp &amp; paper mills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CFAED88" w14:textId="77777777" w:rsidR="00AF610A" w:rsidRPr="003B555F" w:rsidRDefault="00DF167B">
            <w:pPr>
              <w:spacing w:before="40" w:after="40"/>
              <w:rPr>
                <w:sz w:val="12"/>
                <w:szCs w:val="12"/>
              </w:rPr>
            </w:pPr>
            <w:r w:rsidRPr="003B555F">
              <w:rPr>
                <w:rFonts w:ascii="Arial" w:eastAsia="Arial" w:hAnsi="Arial" w:cs="Arial"/>
                <w:color w:val="1A1A1A"/>
                <w:sz w:val="12"/>
                <w:szCs w:val="12"/>
              </w:rPr>
              <w:t xml:space="preserve">Color </w:t>
            </w:r>
            <w:r w:rsidRPr="003B555F">
              <w:rPr>
                <w:rFonts w:ascii="Arial" w:eastAsia="Arial" w:hAnsi="Arial" w:cs="Arial"/>
                <w:color w:val="1A1A1A"/>
                <w:sz w:val="12"/>
                <w:szCs w:val="12"/>
              </w:rPr>
              <w:t>removal &gt;90%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1775D04" w14:textId="77777777" w:rsidR="00AF610A" w:rsidRPr="003B555F" w:rsidRDefault="00DF167B">
            <w:pPr>
              <w:spacing w:before="40" w:after="40"/>
              <w:rPr>
                <w:sz w:val="12"/>
                <w:szCs w:val="12"/>
              </w:rPr>
            </w:pPr>
            <w:r w:rsidRPr="003B555F">
              <w:rPr>
                <w:rFonts w:ascii="Arial" w:eastAsia="Arial" w:hAnsi="Arial" w:cs="Arial"/>
                <w:color w:val="1A1A1A"/>
                <w:sz w:val="12"/>
                <w:szCs w:val="12"/>
              </w:rPr>
              <w:t>25–40°C, pH 4–7</w:t>
            </w:r>
          </w:p>
        </w:tc>
      </w:tr>
      <w:tr w:rsidR="00AF610A" w:rsidRPr="003B555F" w14:paraId="7DA53E50"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1E79A8C" w14:textId="77777777" w:rsidR="00AF610A" w:rsidRPr="003B555F" w:rsidRDefault="00DF167B">
            <w:pPr>
              <w:spacing w:before="40" w:after="40"/>
              <w:rPr>
                <w:sz w:val="12"/>
                <w:szCs w:val="12"/>
              </w:rPr>
            </w:pPr>
            <w:r w:rsidRPr="003B555F">
              <w:rPr>
                <w:rFonts w:ascii="Arial" w:eastAsia="Arial" w:hAnsi="Arial" w:cs="Arial"/>
                <w:color w:val="1A1A1A"/>
                <w:sz w:val="12"/>
                <w:szCs w:val="12"/>
              </w:rPr>
              <w:t>Cellulase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D20C0B5" w14:textId="77777777" w:rsidR="00AF610A" w:rsidRPr="003B555F" w:rsidRDefault="00DF167B">
            <w:pPr>
              <w:spacing w:before="40" w:after="40"/>
              <w:rPr>
                <w:sz w:val="12"/>
                <w:szCs w:val="12"/>
              </w:rPr>
            </w:pPr>
            <w:r w:rsidRPr="003B555F">
              <w:rPr>
                <w:rFonts w:ascii="Arial" w:eastAsia="Arial" w:hAnsi="Arial" w:cs="Arial"/>
                <w:color w:val="1A1A1A"/>
                <w:sz w:val="12"/>
                <w:szCs w:val="12"/>
              </w:rPr>
              <w:t>Cellulose fiber degradation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C8D9D0C" w14:textId="77777777" w:rsidR="00AF610A" w:rsidRPr="003B555F" w:rsidRDefault="00DF167B">
            <w:pPr>
              <w:spacing w:before="40" w:after="40"/>
              <w:rPr>
                <w:sz w:val="12"/>
                <w:szCs w:val="12"/>
              </w:rPr>
            </w:pPr>
            <w:r w:rsidRPr="003B555F">
              <w:rPr>
                <w:rFonts w:ascii="Arial" w:eastAsia="Arial" w:hAnsi="Arial" w:cs="Arial"/>
                <w:color w:val="1A1A1A"/>
                <w:sz w:val="12"/>
                <w:szCs w:val="12"/>
              </w:rPr>
              <w:t>Agricultural waste, paper mills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FCE9F2A" w14:textId="77777777" w:rsidR="00AF610A" w:rsidRPr="003B555F" w:rsidRDefault="00DF167B">
            <w:pPr>
              <w:spacing w:before="40" w:after="40"/>
              <w:rPr>
                <w:sz w:val="12"/>
                <w:szCs w:val="12"/>
              </w:rPr>
            </w:pPr>
            <w:r w:rsidRPr="003B555F">
              <w:rPr>
                <w:rFonts w:ascii="Arial" w:eastAsia="Arial" w:hAnsi="Arial" w:cs="Arial"/>
                <w:color w:val="1A1A1A"/>
                <w:sz w:val="12"/>
                <w:szCs w:val="12"/>
              </w:rPr>
              <w:t>COD ↓ 50–70%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4BCE4E0" w14:textId="77777777" w:rsidR="00AF610A" w:rsidRPr="003B555F" w:rsidRDefault="00DF167B">
            <w:pPr>
              <w:spacing w:before="40" w:after="40"/>
              <w:rPr>
                <w:sz w:val="12"/>
                <w:szCs w:val="12"/>
              </w:rPr>
            </w:pPr>
            <w:r w:rsidRPr="003B555F">
              <w:rPr>
                <w:rFonts w:ascii="Arial" w:eastAsia="Arial" w:hAnsi="Arial" w:cs="Arial"/>
                <w:color w:val="1A1A1A"/>
                <w:sz w:val="12"/>
                <w:szCs w:val="12"/>
              </w:rPr>
              <w:t>40–60°C, pH 5–7</w:t>
            </w:r>
          </w:p>
        </w:tc>
      </w:tr>
      <w:tr w:rsidR="00AF610A" w:rsidRPr="003B555F" w14:paraId="282E9181"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7547434" w14:textId="77777777" w:rsidR="00AF610A" w:rsidRPr="003B555F" w:rsidRDefault="00DF167B">
            <w:pPr>
              <w:spacing w:before="40" w:after="40"/>
              <w:rPr>
                <w:sz w:val="12"/>
                <w:szCs w:val="12"/>
              </w:rPr>
            </w:pPr>
            <w:r w:rsidRPr="003B555F">
              <w:rPr>
                <w:rFonts w:ascii="Arial" w:eastAsia="Arial" w:hAnsi="Arial" w:cs="Arial"/>
                <w:color w:val="1A1A1A"/>
                <w:sz w:val="12"/>
                <w:szCs w:val="12"/>
              </w:rPr>
              <w:t>Urease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DFAD386" w14:textId="77777777" w:rsidR="00AF610A" w:rsidRPr="003B555F" w:rsidRDefault="00DF167B">
            <w:pPr>
              <w:spacing w:before="40" w:after="40"/>
              <w:rPr>
                <w:sz w:val="12"/>
                <w:szCs w:val="12"/>
              </w:rPr>
            </w:pPr>
            <w:r w:rsidRPr="003B555F">
              <w:rPr>
                <w:rFonts w:ascii="Arial" w:eastAsia="Arial" w:hAnsi="Arial" w:cs="Arial"/>
                <w:color w:val="1A1A1A"/>
                <w:sz w:val="12"/>
                <w:szCs w:val="12"/>
              </w:rPr>
              <w:t>Urea → NH₃ + CO₂ (nitrogen load reduction)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A916CFB" w14:textId="77777777" w:rsidR="00AF610A" w:rsidRPr="003B555F" w:rsidRDefault="00DF167B">
            <w:pPr>
              <w:spacing w:before="40" w:after="40"/>
              <w:rPr>
                <w:sz w:val="12"/>
                <w:szCs w:val="12"/>
              </w:rPr>
            </w:pPr>
            <w:r w:rsidRPr="003B555F">
              <w:rPr>
                <w:rFonts w:ascii="Arial" w:eastAsia="Arial" w:hAnsi="Arial" w:cs="Arial"/>
                <w:color w:val="1A1A1A"/>
                <w:sz w:val="12"/>
                <w:szCs w:val="12"/>
              </w:rPr>
              <w:t>Domestic, pharmaceutical effluents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80EC6F4" w14:textId="77777777" w:rsidR="00AF610A" w:rsidRPr="003B555F" w:rsidRDefault="00DF167B">
            <w:pPr>
              <w:spacing w:before="40" w:after="40"/>
              <w:rPr>
                <w:sz w:val="12"/>
                <w:szCs w:val="12"/>
              </w:rPr>
            </w:pPr>
            <w:r w:rsidRPr="003B555F">
              <w:rPr>
                <w:rFonts w:ascii="Arial" w:eastAsia="Arial" w:hAnsi="Arial" w:cs="Arial"/>
                <w:color w:val="1A1A1A"/>
                <w:sz w:val="12"/>
                <w:szCs w:val="12"/>
              </w:rPr>
              <w:t>TN ↓ 30–50%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9F35C74" w14:textId="77777777" w:rsidR="00AF610A" w:rsidRPr="003B555F" w:rsidRDefault="00DF167B">
            <w:pPr>
              <w:spacing w:before="40" w:after="40"/>
              <w:rPr>
                <w:sz w:val="12"/>
                <w:szCs w:val="12"/>
              </w:rPr>
            </w:pPr>
            <w:r w:rsidRPr="003B555F">
              <w:rPr>
                <w:rFonts w:ascii="Arial" w:eastAsia="Arial" w:hAnsi="Arial" w:cs="Arial"/>
                <w:color w:val="1A1A1A"/>
                <w:sz w:val="12"/>
                <w:szCs w:val="12"/>
              </w:rPr>
              <w:t>25–37°C, pH 6–8</w:t>
            </w:r>
          </w:p>
        </w:tc>
      </w:tr>
      <w:tr w:rsidR="00AF610A" w:rsidRPr="003B555F" w14:paraId="0DF6115E"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D90C0A8" w14:textId="77777777" w:rsidR="00AF610A" w:rsidRPr="003B555F" w:rsidRDefault="00DF167B">
            <w:pPr>
              <w:spacing w:before="40" w:after="40"/>
              <w:rPr>
                <w:sz w:val="12"/>
                <w:szCs w:val="12"/>
              </w:rPr>
            </w:pPr>
            <w:r w:rsidRPr="003B555F">
              <w:rPr>
                <w:rFonts w:ascii="Arial" w:eastAsia="Arial" w:hAnsi="Arial" w:cs="Arial"/>
                <w:color w:val="1A1A1A"/>
                <w:sz w:val="12"/>
                <w:szCs w:val="12"/>
              </w:rPr>
              <w:t>Peroxidase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53BA8C0" w14:textId="77777777" w:rsidR="00AF610A" w:rsidRPr="003B555F" w:rsidRDefault="00DF167B">
            <w:pPr>
              <w:spacing w:before="40" w:after="40"/>
              <w:rPr>
                <w:sz w:val="12"/>
                <w:szCs w:val="12"/>
              </w:rPr>
            </w:pPr>
            <w:r w:rsidRPr="003B555F">
              <w:rPr>
                <w:rFonts w:ascii="Arial" w:eastAsia="Arial" w:hAnsi="Arial" w:cs="Arial"/>
                <w:color w:val="1A1A1A"/>
                <w:sz w:val="12"/>
                <w:szCs w:val="12"/>
              </w:rPr>
              <w:t>Oxidative degradation of recalcitrant organics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CC59EAC" w14:textId="77777777" w:rsidR="00AF610A" w:rsidRPr="003B555F" w:rsidRDefault="00DF167B">
            <w:pPr>
              <w:spacing w:before="40" w:after="40"/>
              <w:rPr>
                <w:sz w:val="12"/>
                <w:szCs w:val="12"/>
              </w:rPr>
            </w:pPr>
            <w:r w:rsidRPr="003B555F">
              <w:rPr>
                <w:rFonts w:ascii="Arial" w:eastAsia="Arial" w:hAnsi="Arial" w:cs="Arial"/>
                <w:color w:val="1A1A1A"/>
                <w:sz w:val="12"/>
                <w:szCs w:val="12"/>
              </w:rPr>
              <w:t>Lignin-rich industrial wastewater</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4650CEA" w14:textId="77777777" w:rsidR="00AF610A" w:rsidRPr="003B555F" w:rsidRDefault="00DF167B">
            <w:pPr>
              <w:spacing w:before="40" w:after="40"/>
              <w:rPr>
                <w:sz w:val="12"/>
                <w:szCs w:val="12"/>
              </w:rPr>
            </w:pPr>
            <w:r w:rsidRPr="003B555F">
              <w:rPr>
                <w:rFonts w:ascii="Arial" w:eastAsia="Arial" w:hAnsi="Arial" w:cs="Arial"/>
                <w:color w:val="1A1A1A"/>
                <w:sz w:val="12"/>
                <w:szCs w:val="12"/>
              </w:rPr>
              <w:t>COD ↓ 55–70%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3AD6484" w14:textId="77777777" w:rsidR="00AF610A" w:rsidRPr="003B555F" w:rsidRDefault="00DF167B">
            <w:pPr>
              <w:spacing w:before="40" w:after="40"/>
              <w:rPr>
                <w:sz w:val="12"/>
                <w:szCs w:val="12"/>
              </w:rPr>
            </w:pPr>
            <w:r w:rsidRPr="003B555F">
              <w:rPr>
                <w:rFonts w:ascii="Arial" w:eastAsia="Arial" w:hAnsi="Arial" w:cs="Arial"/>
                <w:color w:val="1A1A1A"/>
                <w:sz w:val="12"/>
                <w:szCs w:val="12"/>
              </w:rPr>
              <w:t>25–40°C, pH 5–8</w:t>
            </w:r>
          </w:p>
        </w:tc>
      </w:tr>
    </w:tbl>
    <w:p w14:paraId="34050ED4" w14:textId="77777777" w:rsidR="00AF610A" w:rsidRPr="003B555F" w:rsidRDefault="00DF167B">
      <w:pPr>
        <w:spacing w:before="20" w:after="120"/>
        <w:jc w:val="center"/>
        <w:rPr>
          <w:sz w:val="20"/>
          <w:szCs w:val="20"/>
        </w:rPr>
      </w:pPr>
      <w:r w:rsidRPr="003B555F">
        <w:rPr>
          <w:rFonts w:ascii="Arial" w:eastAsia="Arial" w:hAnsi="Arial" w:cs="Arial"/>
          <w:i/>
          <w:iCs/>
          <w:color w:val="555555"/>
          <w:sz w:val="16"/>
          <w:szCs w:val="16"/>
        </w:rPr>
        <w:t>Source: Compiled from [19, 21, 22, 23, 25, 26, 29]</w:t>
      </w:r>
    </w:p>
    <w:p w14:paraId="4116A006" w14:textId="77777777" w:rsidR="00AF610A" w:rsidRPr="003B555F" w:rsidRDefault="00DF167B" w:rsidP="003A77D5">
      <w:pPr>
        <w:spacing w:before="80" w:line="276" w:lineRule="auto"/>
        <w:ind w:firstLine="720"/>
        <w:jc w:val="both"/>
        <w:rPr>
          <w:sz w:val="20"/>
          <w:szCs w:val="20"/>
        </w:rPr>
      </w:pPr>
      <w:r w:rsidRPr="003B555F">
        <w:rPr>
          <w:color w:val="000000"/>
          <w:sz w:val="20"/>
          <w:szCs w:val="20"/>
        </w:rPr>
        <w:t xml:space="preserve">Recent studies have demonstrated that bioenzyme systems offer superior eco-compatibility </w:t>
      </w:r>
      <w:r w:rsidRPr="003B555F">
        <w:rPr>
          <w:color w:val="000000"/>
          <w:sz w:val="20"/>
          <w:szCs w:val="20"/>
        </w:rPr>
        <w:t>compared to conventional chemical dosing. Enzymes are inherently biodegradable, leave no harmful residues, and reduce dependency on hazardous reagents [26]. Research by Natt et al. (2025) demonstrated that bioenzymes derived from citrus fruit peels reduced</w:t>
      </w:r>
      <w:r w:rsidRPr="003B555F">
        <w:rPr>
          <w:color w:val="000000"/>
          <w:sz w:val="20"/>
          <w:szCs w:val="20"/>
        </w:rPr>
        <w:t xml:space="preserve"> Fe by 99.19%, As by 98.72%, and P by 63.02% in electroplating effluent, with statistically significant reductions at 6% and 10% enzyme concentrations [18]. However, the efficacy of bioenzyme treatment is profoundly sensitive to dosing concentration, subst</w:t>
      </w:r>
      <w:r w:rsidRPr="003B555F">
        <w:rPr>
          <w:color w:val="000000"/>
          <w:sz w:val="20"/>
          <w:szCs w:val="20"/>
        </w:rPr>
        <w:t>rate-to-enzyme ratio, temperature, pH, and contact time, necessitating dynamic, responsive dosing control rather than fixed empirical protocols.</w:t>
      </w:r>
    </w:p>
    <w:p w14:paraId="1C05EB2F" w14:textId="77777777" w:rsidR="00AF610A" w:rsidRPr="003B555F" w:rsidRDefault="00DF167B" w:rsidP="003B555F">
      <w:pPr>
        <w:pStyle w:val="Heading2"/>
        <w:spacing w:before="0" w:after="100"/>
        <w:rPr>
          <w:sz w:val="22"/>
          <w:szCs w:val="22"/>
        </w:rPr>
      </w:pPr>
      <w:r w:rsidRPr="003B555F">
        <w:rPr>
          <w:sz w:val="22"/>
          <w:szCs w:val="22"/>
        </w:rPr>
        <w:t>2.2 AI and Machine Learning in Wastewater Treatment</w:t>
      </w:r>
    </w:p>
    <w:p w14:paraId="2A1C3E38" w14:textId="55AC360B" w:rsidR="00AF610A" w:rsidRPr="003B555F" w:rsidRDefault="00DF167B">
      <w:pPr>
        <w:spacing w:before="80" w:after="80" w:line="276" w:lineRule="auto"/>
        <w:ind w:firstLine="720"/>
        <w:jc w:val="both"/>
        <w:rPr>
          <w:sz w:val="20"/>
          <w:szCs w:val="20"/>
        </w:rPr>
      </w:pPr>
      <w:r w:rsidRPr="003B555F">
        <w:rPr>
          <w:color w:val="000000"/>
          <w:sz w:val="20"/>
          <w:szCs w:val="20"/>
        </w:rPr>
        <w:t>The integration of AI in wastewater treatment plants has ac</w:t>
      </w:r>
      <w:r w:rsidRPr="003B555F">
        <w:rPr>
          <w:color w:val="000000"/>
          <w:sz w:val="20"/>
          <w:szCs w:val="20"/>
        </w:rPr>
        <w:t xml:space="preserve">celerated significantly since 2018, with over 500 peer-reviewed publications appearing in the 2020–2025 period [36]. AI applications span water quality prediction, process monitoring, anomaly detection, chemical dosing optimization, energy management, and </w:t>
      </w:r>
      <w:r w:rsidRPr="003B555F">
        <w:rPr>
          <w:color w:val="000000"/>
          <w:sz w:val="20"/>
          <w:szCs w:val="20"/>
        </w:rPr>
        <w:t>autonomous control [1</w:t>
      </w:r>
      <w:proofErr w:type="gramStart"/>
      <w:r w:rsidRPr="003B555F">
        <w:rPr>
          <w:color w:val="000000"/>
          <w:sz w:val="20"/>
          <w:szCs w:val="20"/>
        </w:rPr>
        <w:t>,5,8,9</w:t>
      </w:r>
      <w:proofErr w:type="gramEnd"/>
      <w:r w:rsidRPr="003B555F">
        <w:rPr>
          <w:color w:val="000000"/>
          <w:sz w:val="20"/>
          <w:szCs w:val="20"/>
        </w:rPr>
        <w:t>]. Notably, Nagpal et al. (2024) reviewed AI models across three functional domains effluent quality prediction, real-time monitoring, and fault detection and concluded that hybrid models consistently outperformed single-model ap</w:t>
      </w:r>
      <w:r w:rsidRPr="003B555F">
        <w:rPr>
          <w:color w:val="000000"/>
          <w:sz w:val="20"/>
          <w:szCs w:val="20"/>
        </w:rPr>
        <w:t>proaches [1]. Wang et al. (2023) found that AI-based dosing systems reduced total chemical consumption by approximately 20% while maintaining or improving effluent quality [8].</w:t>
      </w:r>
    </w:p>
    <w:p w14:paraId="188BC383" w14:textId="77777777" w:rsidR="00AF610A" w:rsidRPr="003B555F" w:rsidRDefault="00DF167B">
      <w:pPr>
        <w:spacing w:before="80" w:after="80" w:line="276" w:lineRule="auto"/>
        <w:ind w:firstLine="720"/>
        <w:jc w:val="both"/>
        <w:rPr>
          <w:sz w:val="20"/>
          <w:szCs w:val="20"/>
        </w:rPr>
      </w:pPr>
      <w:r w:rsidRPr="003B555F">
        <w:rPr>
          <w:color w:val="000000"/>
          <w:sz w:val="20"/>
          <w:szCs w:val="20"/>
        </w:rPr>
        <w:t>Deep learning architectures, particularly LSTM networks, have demonstrated exce</w:t>
      </w:r>
      <w:r w:rsidRPr="003B555F">
        <w:rPr>
          <w:color w:val="000000"/>
          <w:sz w:val="20"/>
          <w:szCs w:val="20"/>
        </w:rPr>
        <w:t>ptional capacity for time-series modeling of influent variability [28</w:t>
      </w:r>
      <w:proofErr w:type="gramStart"/>
      <w:r w:rsidRPr="003B555F">
        <w:rPr>
          <w:color w:val="000000"/>
          <w:sz w:val="20"/>
          <w:szCs w:val="20"/>
        </w:rPr>
        <w:t>,31</w:t>
      </w:r>
      <w:proofErr w:type="gramEnd"/>
      <w:r w:rsidRPr="003B555F">
        <w:rPr>
          <w:color w:val="000000"/>
          <w:sz w:val="20"/>
          <w:szCs w:val="20"/>
        </w:rPr>
        <w:t>]. Lin et al. (2023) employed deep learning with graph attention mechanisms for coagulant dosage determination in drinking water treatment, achieving prediction accuracy that reduced d</w:t>
      </w:r>
      <w:r w:rsidRPr="003B555F">
        <w:rPr>
          <w:color w:val="000000"/>
          <w:sz w:val="20"/>
          <w:szCs w:val="20"/>
        </w:rPr>
        <w:t xml:space="preserve">osing cost by 9.64% while improving turbidity removal [31]. Reinforcement learning approaches represent the frontier of adaptive control, with studies demonstrating that RL agents can navigate the multi-objective trade-off between effluent quality, energy </w:t>
      </w:r>
      <w:r w:rsidRPr="003B555F">
        <w:rPr>
          <w:color w:val="000000"/>
          <w:sz w:val="20"/>
          <w:szCs w:val="20"/>
        </w:rPr>
        <w:t xml:space="preserve">consumption, and operational cost in real-time WWTP </w:t>
      </w:r>
      <w:r w:rsidRPr="003B555F">
        <w:rPr>
          <w:color w:val="000000"/>
          <w:sz w:val="20"/>
          <w:szCs w:val="20"/>
        </w:rPr>
        <w:lastRenderedPageBreak/>
        <w:t>control [30</w:t>
      </w:r>
      <w:proofErr w:type="gramStart"/>
      <w:r w:rsidRPr="003B555F">
        <w:rPr>
          <w:color w:val="000000"/>
          <w:sz w:val="20"/>
          <w:szCs w:val="20"/>
        </w:rPr>
        <w:t>,32,33</w:t>
      </w:r>
      <w:proofErr w:type="gramEnd"/>
      <w:r w:rsidRPr="003B555F">
        <w:rPr>
          <w:color w:val="000000"/>
          <w:sz w:val="20"/>
          <w:szCs w:val="20"/>
        </w:rPr>
        <w:t>]. Zhu et al. (2025) developed a Bayesian Optimization-Enhanced RL framework for self-adaptive multi-objective wastewater treatment control, demonstrating robust performance across season</w:t>
      </w:r>
      <w:r w:rsidRPr="003B555F">
        <w:rPr>
          <w:color w:val="000000"/>
          <w:sz w:val="20"/>
          <w:szCs w:val="20"/>
        </w:rPr>
        <w:t>al influent variability [32].</w:t>
      </w:r>
    </w:p>
    <w:p w14:paraId="44D831E9" w14:textId="77777777" w:rsidR="00AF610A" w:rsidRPr="003B555F" w:rsidRDefault="00DF167B" w:rsidP="003B555F">
      <w:pPr>
        <w:pStyle w:val="Heading2"/>
        <w:spacing w:before="0" w:after="100"/>
        <w:rPr>
          <w:sz w:val="22"/>
          <w:szCs w:val="22"/>
        </w:rPr>
      </w:pPr>
      <w:r w:rsidRPr="003B555F">
        <w:rPr>
          <w:sz w:val="22"/>
          <w:szCs w:val="22"/>
        </w:rPr>
        <w:t>2.3 IoT Sensing Infrastructure for Decentralized Systems</w:t>
      </w:r>
    </w:p>
    <w:p w14:paraId="34FF8FC3" w14:textId="77777777" w:rsidR="00AF610A" w:rsidRPr="003B555F" w:rsidRDefault="00DF167B">
      <w:pPr>
        <w:spacing w:before="80" w:after="80" w:line="276" w:lineRule="auto"/>
        <w:ind w:firstLine="720"/>
        <w:jc w:val="both"/>
        <w:rPr>
          <w:sz w:val="20"/>
          <w:szCs w:val="20"/>
        </w:rPr>
      </w:pPr>
      <w:r w:rsidRPr="003B555F">
        <w:rPr>
          <w:color w:val="000000"/>
          <w:sz w:val="20"/>
          <w:szCs w:val="20"/>
        </w:rPr>
        <w:t xml:space="preserve">The deployment of IoT-based smart sensing in wastewater systems has been enabled by dramatic reductions in sensor cost, improvements in wireless communication (LoRaWAN, </w:t>
      </w:r>
      <w:r w:rsidRPr="003B555F">
        <w:rPr>
          <w:color w:val="000000"/>
          <w:sz w:val="20"/>
          <w:szCs w:val="20"/>
        </w:rPr>
        <w:t xml:space="preserve">NB-IoT, Zigbee, Sigfox), and the proliferation of edge-cloud computing platforms [13,15,16]. </w:t>
      </w:r>
      <w:proofErr w:type="gramStart"/>
      <w:r w:rsidRPr="003B555F">
        <w:rPr>
          <w:color w:val="000000"/>
          <w:sz w:val="20"/>
          <w:szCs w:val="20"/>
        </w:rPr>
        <w:t>Decentralized smart water quality monitoring systems (SWQMSs) offer five key advantages: (1) significant cost reduction through distributed deployment; (2) precise</w:t>
      </w:r>
      <w:r w:rsidRPr="003B555F">
        <w:rPr>
          <w:color w:val="000000"/>
          <w:sz w:val="20"/>
          <w:szCs w:val="20"/>
        </w:rPr>
        <w:t xml:space="preserve"> capacity matching without large sewer infrastructure; (3) exploitation of relatively homogeneous local wastewater streams; (4) elimination of extensive distribution networks; and (5) lower failure probability compared to centralized systems [12].</w:t>
      </w:r>
      <w:proofErr w:type="gramEnd"/>
      <w:r w:rsidRPr="003B555F">
        <w:rPr>
          <w:color w:val="000000"/>
          <w:sz w:val="20"/>
          <w:szCs w:val="20"/>
        </w:rPr>
        <w:t xml:space="preserve"> IoT-enab</w:t>
      </w:r>
      <w:r w:rsidRPr="003B555F">
        <w:rPr>
          <w:color w:val="000000"/>
          <w:sz w:val="20"/>
          <w:szCs w:val="20"/>
        </w:rPr>
        <w:t>led sensors collect data in real-time across pH, turbidity, temperature, DO, conductivity, and heavy metal concentrations, enabling early detection of treatment anomalies [11</w:t>
      </w:r>
      <w:proofErr w:type="gramStart"/>
      <w:r w:rsidRPr="003B555F">
        <w:rPr>
          <w:color w:val="000000"/>
          <w:sz w:val="20"/>
          <w:szCs w:val="20"/>
        </w:rPr>
        <w:t>,13,17</w:t>
      </w:r>
      <w:proofErr w:type="gramEnd"/>
      <w:r w:rsidRPr="003B555F">
        <w:rPr>
          <w:color w:val="000000"/>
          <w:sz w:val="20"/>
          <w:szCs w:val="20"/>
        </w:rPr>
        <w:t>].</w:t>
      </w:r>
    </w:p>
    <w:p w14:paraId="4B3AF6B1" w14:textId="77777777" w:rsidR="00AF610A" w:rsidRPr="003B555F" w:rsidRDefault="00DF167B">
      <w:pPr>
        <w:spacing w:before="80" w:after="80" w:line="276" w:lineRule="auto"/>
        <w:ind w:firstLine="720"/>
        <w:jc w:val="both"/>
        <w:rPr>
          <w:sz w:val="20"/>
          <w:szCs w:val="20"/>
        </w:rPr>
      </w:pPr>
      <w:r w:rsidRPr="003B555F">
        <w:rPr>
          <w:color w:val="000000"/>
          <w:sz w:val="20"/>
          <w:szCs w:val="20"/>
        </w:rPr>
        <w:t>Uddin &amp; Chakrovorty (2024) presented an IoT-based real-time water quality</w:t>
      </w:r>
      <w:r w:rsidRPr="003B555F">
        <w:rPr>
          <w:color w:val="000000"/>
          <w:sz w:val="20"/>
          <w:szCs w:val="20"/>
        </w:rPr>
        <w:t xml:space="preserve"> monitoring system integrating pH, DO, TDS, and temperature sensors with a PLC-based control mechanism and cloud-based analytics, demonstrating accurate determination of water quality parameters across seasonal variations [12]. Sitzenfrei et al. (2024) rev</w:t>
      </w:r>
      <w:r w:rsidRPr="003B555F">
        <w:rPr>
          <w:color w:val="000000"/>
          <w:sz w:val="20"/>
          <w:szCs w:val="20"/>
        </w:rPr>
        <w:t>iewed the transformative impact of IoT sensors on wastewater and drainage management, highlighting that Model Predictive Control (MPC) strategies, even with incomplete sensor data, outperform conventional rule-based approaches [13].</w:t>
      </w:r>
    </w:p>
    <w:p w14:paraId="762CBE5B" w14:textId="77777777" w:rsidR="00AF610A" w:rsidRPr="003B555F" w:rsidRDefault="00DF167B" w:rsidP="003A77D5">
      <w:pPr>
        <w:pStyle w:val="Heading1"/>
        <w:spacing w:before="0" w:after="0"/>
        <w:rPr>
          <w:sz w:val="24"/>
          <w:szCs w:val="24"/>
        </w:rPr>
      </w:pPr>
      <w:r w:rsidRPr="003B555F">
        <w:rPr>
          <w:sz w:val="24"/>
          <w:szCs w:val="24"/>
        </w:rPr>
        <w:t xml:space="preserve">3. System Design and </w:t>
      </w:r>
      <w:r w:rsidRPr="003B555F">
        <w:rPr>
          <w:sz w:val="24"/>
          <w:szCs w:val="24"/>
        </w:rPr>
        <w:t>Methodology</w:t>
      </w:r>
    </w:p>
    <w:p w14:paraId="2D8F9F72" w14:textId="77777777" w:rsidR="00AF610A" w:rsidRPr="003B555F" w:rsidRDefault="00DF167B">
      <w:pPr>
        <w:pStyle w:val="Heading2"/>
        <w:spacing w:after="100"/>
        <w:rPr>
          <w:sz w:val="22"/>
          <w:szCs w:val="22"/>
        </w:rPr>
      </w:pPr>
      <w:r w:rsidRPr="003B555F">
        <w:rPr>
          <w:sz w:val="22"/>
          <w:szCs w:val="22"/>
        </w:rPr>
        <w:t>3.1 Overall System Architecture</w:t>
      </w:r>
    </w:p>
    <w:p w14:paraId="79E4B1F3" w14:textId="77777777" w:rsidR="00AF610A" w:rsidRPr="003B555F" w:rsidRDefault="00DF167B">
      <w:pPr>
        <w:spacing w:before="80" w:after="80" w:line="276" w:lineRule="auto"/>
        <w:ind w:firstLine="720"/>
        <w:jc w:val="both"/>
        <w:rPr>
          <w:sz w:val="20"/>
          <w:szCs w:val="20"/>
        </w:rPr>
      </w:pPr>
      <w:r w:rsidRPr="003B555F">
        <w:rPr>
          <w:color w:val="000000"/>
          <w:sz w:val="20"/>
          <w:szCs w:val="20"/>
        </w:rPr>
        <w:t>The proposed AABD system is organized into four functional layers as illustrated in Figure 1: (Layer 1) Sensing and Data Acquisition; (Layer 2) AI Processing and Decision Engine; (Layer 3) Adaptive Bioenzyme Dosi</w:t>
      </w:r>
      <w:r w:rsidRPr="003B555F">
        <w:rPr>
          <w:color w:val="000000"/>
          <w:sz w:val="20"/>
          <w:szCs w:val="20"/>
        </w:rPr>
        <w:t>ng Control; and (Layer 4) Decentralized Treatment Modules. This layered architecture ensures separation of concerns while enabling tight integration through standardized data interfaces and real-time communication protocols.</w:t>
      </w:r>
    </w:p>
    <w:p w14:paraId="6C63D77E" w14:textId="77777777" w:rsidR="00AF610A" w:rsidRPr="003B555F" w:rsidRDefault="00DF167B">
      <w:pPr>
        <w:spacing w:before="160" w:after="60"/>
        <w:jc w:val="center"/>
        <w:rPr>
          <w:sz w:val="20"/>
          <w:szCs w:val="20"/>
        </w:rPr>
      </w:pPr>
      <w:r w:rsidRPr="003B555F">
        <w:rPr>
          <w:noProof/>
          <w:sz w:val="20"/>
          <w:szCs w:val="20"/>
        </w:rPr>
        <w:drawing>
          <wp:inline distT="0" distB="0" distL="0" distR="0" wp14:anchorId="6EB8FEFE" wp14:editId="65C8F867">
            <wp:extent cx="5318520" cy="32168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356201" cy="3239637"/>
                    </a:xfrm>
                    <a:prstGeom prst="rect">
                      <a:avLst/>
                    </a:prstGeom>
                  </pic:spPr>
                </pic:pic>
              </a:graphicData>
            </a:graphic>
          </wp:inline>
        </w:drawing>
      </w:r>
    </w:p>
    <w:p w14:paraId="4D4EFDCD" w14:textId="77777777" w:rsidR="00AF610A" w:rsidRPr="003B555F" w:rsidRDefault="00DF167B">
      <w:pPr>
        <w:spacing w:before="40" w:after="160"/>
        <w:jc w:val="center"/>
        <w:rPr>
          <w:sz w:val="20"/>
          <w:szCs w:val="20"/>
        </w:rPr>
      </w:pPr>
      <w:r w:rsidRPr="003B555F">
        <w:rPr>
          <w:rFonts w:ascii="Arial" w:eastAsia="Arial" w:hAnsi="Arial" w:cs="Arial"/>
          <w:b/>
          <w:bCs/>
          <w:i/>
          <w:iCs/>
          <w:color w:val="1B4F72"/>
          <w:sz w:val="16"/>
          <w:szCs w:val="16"/>
        </w:rPr>
        <w:t>Figure 1: Four-Layer Architec</w:t>
      </w:r>
      <w:r w:rsidRPr="003B555F">
        <w:rPr>
          <w:rFonts w:ascii="Arial" w:eastAsia="Arial" w:hAnsi="Arial" w:cs="Arial"/>
          <w:b/>
          <w:bCs/>
          <w:i/>
          <w:iCs/>
          <w:color w:val="1B4F72"/>
          <w:sz w:val="16"/>
          <w:szCs w:val="16"/>
        </w:rPr>
        <w:t>ture of the Adaptive AI-Driven Bioenzyme Dosing System</w:t>
      </w:r>
    </w:p>
    <w:p w14:paraId="6A6B7338" w14:textId="77777777" w:rsidR="00AF610A" w:rsidRPr="003B555F" w:rsidRDefault="00DF167B">
      <w:pPr>
        <w:pStyle w:val="Heading2"/>
        <w:spacing w:after="100"/>
        <w:rPr>
          <w:sz w:val="22"/>
          <w:szCs w:val="22"/>
        </w:rPr>
      </w:pPr>
      <w:r w:rsidRPr="003B555F">
        <w:rPr>
          <w:sz w:val="22"/>
          <w:szCs w:val="22"/>
        </w:rPr>
        <w:t>3.2 Sensing Infrastructure</w:t>
      </w:r>
    </w:p>
    <w:p w14:paraId="37300BB4" w14:textId="77777777" w:rsidR="00AF610A" w:rsidRPr="003B555F" w:rsidRDefault="00DF167B">
      <w:pPr>
        <w:spacing w:before="80" w:after="80" w:line="276" w:lineRule="auto"/>
        <w:ind w:firstLine="720"/>
        <w:jc w:val="both"/>
        <w:rPr>
          <w:sz w:val="20"/>
          <w:szCs w:val="20"/>
        </w:rPr>
      </w:pPr>
      <w:r w:rsidRPr="003B555F">
        <w:rPr>
          <w:color w:val="000000"/>
          <w:sz w:val="20"/>
          <w:szCs w:val="20"/>
        </w:rPr>
        <w:t xml:space="preserve">The sensing layer deploys a network of multi-parameter sensors monitoring key water quality indicators at high temporal resolution. Sensor specifications, instrument models, </w:t>
      </w:r>
      <w:r w:rsidRPr="003B555F">
        <w:rPr>
          <w:color w:val="000000"/>
          <w:sz w:val="20"/>
          <w:szCs w:val="20"/>
        </w:rPr>
        <w:t xml:space="preserve">measurement ranges, accuracy, communication protocols, and sampling frequencies are detailed in Table 2. All sensors communicate via industry-standard protocols (Modbus, HART, </w:t>
      </w:r>
      <w:proofErr w:type="gramStart"/>
      <w:r w:rsidRPr="003B555F">
        <w:rPr>
          <w:color w:val="000000"/>
          <w:sz w:val="20"/>
          <w:szCs w:val="20"/>
        </w:rPr>
        <w:t>SDI</w:t>
      </w:r>
      <w:proofErr w:type="gramEnd"/>
      <w:r w:rsidRPr="003B555F">
        <w:rPr>
          <w:color w:val="000000"/>
          <w:sz w:val="20"/>
          <w:szCs w:val="20"/>
        </w:rPr>
        <w:t>-12) to an IoT gateway node implementing LoRaWAN for long-range, low-power up</w:t>
      </w:r>
      <w:r w:rsidRPr="003B555F">
        <w:rPr>
          <w:color w:val="000000"/>
          <w:sz w:val="20"/>
          <w:szCs w:val="20"/>
        </w:rPr>
        <w:t>link to the cloud AI platform.</w:t>
      </w:r>
    </w:p>
    <w:p w14:paraId="615B4E43" w14:textId="77777777" w:rsidR="00AF610A" w:rsidRPr="003B555F" w:rsidRDefault="00DF167B">
      <w:pPr>
        <w:spacing w:before="60" w:after="30"/>
        <w:jc w:val="center"/>
        <w:rPr>
          <w:sz w:val="20"/>
          <w:szCs w:val="20"/>
        </w:rPr>
      </w:pPr>
      <w:r w:rsidRPr="003B555F">
        <w:rPr>
          <w:rFonts w:ascii="Arial" w:eastAsia="Arial" w:hAnsi="Arial" w:cs="Arial"/>
          <w:b/>
          <w:bCs/>
          <w:color w:val="1B4F72"/>
          <w:sz w:val="18"/>
          <w:szCs w:val="18"/>
        </w:rPr>
        <w:t>Table 2: Sensor Specifications for the IoT-Based Real-Time Monitoring Infrastructure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84"/>
        <w:gridCol w:w="2258"/>
        <w:gridCol w:w="1271"/>
        <w:gridCol w:w="1010"/>
        <w:gridCol w:w="1433"/>
        <w:gridCol w:w="1604"/>
      </w:tblGrid>
      <w:tr w:rsidR="00AF610A" w:rsidRPr="003B555F" w14:paraId="669C41FC" w14:textId="77777777" w:rsidTr="00DA26FA">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6D64F2A" w14:textId="77777777" w:rsidR="00AF610A" w:rsidRPr="003B555F" w:rsidRDefault="00DF167B">
            <w:pPr>
              <w:spacing w:before="40" w:after="40"/>
              <w:jc w:val="center"/>
              <w:rPr>
                <w:sz w:val="14"/>
                <w:szCs w:val="14"/>
              </w:rPr>
            </w:pPr>
            <w:r w:rsidRPr="003B555F">
              <w:rPr>
                <w:rFonts w:ascii="Arial" w:eastAsia="Arial" w:hAnsi="Arial" w:cs="Arial"/>
                <w:b/>
                <w:bCs/>
                <w:color w:val="FFFFFF"/>
                <w:sz w:val="14"/>
                <w:szCs w:val="14"/>
              </w:rPr>
              <w:lastRenderedPageBreak/>
              <w:t>Parameter</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6A7A42B" w14:textId="77777777" w:rsidR="00AF610A" w:rsidRPr="003B555F" w:rsidRDefault="00DF167B">
            <w:pPr>
              <w:spacing w:before="40" w:after="40"/>
              <w:jc w:val="center"/>
              <w:rPr>
                <w:sz w:val="14"/>
                <w:szCs w:val="14"/>
              </w:rPr>
            </w:pPr>
            <w:r w:rsidRPr="003B555F">
              <w:rPr>
                <w:rFonts w:ascii="Arial" w:eastAsia="Arial" w:hAnsi="Arial" w:cs="Arial"/>
                <w:b/>
                <w:bCs/>
                <w:color w:val="FFFFFF"/>
                <w:sz w:val="14"/>
                <w:szCs w:val="14"/>
              </w:rPr>
              <w:t>Instrument Model</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48520260" w14:textId="77777777" w:rsidR="00AF610A" w:rsidRPr="003B555F" w:rsidRDefault="00DF167B">
            <w:pPr>
              <w:spacing w:before="40" w:after="40"/>
              <w:jc w:val="center"/>
              <w:rPr>
                <w:sz w:val="14"/>
                <w:szCs w:val="14"/>
              </w:rPr>
            </w:pPr>
            <w:r w:rsidRPr="003B555F">
              <w:rPr>
                <w:rFonts w:ascii="Arial" w:eastAsia="Arial" w:hAnsi="Arial" w:cs="Arial"/>
                <w:b/>
                <w:bCs/>
                <w:color w:val="FFFFFF"/>
                <w:sz w:val="14"/>
                <w:szCs w:val="14"/>
              </w:rPr>
              <w:t>Range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D320747" w14:textId="77777777" w:rsidR="00AF610A" w:rsidRPr="003B555F" w:rsidRDefault="00DF167B">
            <w:pPr>
              <w:spacing w:before="40" w:after="40"/>
              <w:jc w:val="center"/>
              <w:rPr>
                <w:sz w:val="14"/>
                <w:szCs w:val="14"/>
              </w:rPr>
            </w:pPr>
            <w:r w:rsidRPr="003B555F">
              <w:rPr>
                <w:rFonts w:ascii="Arial" w:eastAsia="Arial" w:hAnsi="Arial" w:cs="Arial"/>
                <w:b/>
                <w:bCs/>
                <w:color w:val="FFFFFF"/>
                <w:sz w:val="14"/>
                <w:szCs w:val="14"/>
              </w:rPr>
              <w:t>Accuracy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534DDF92" w14:textId="77777777" w:rsidR="00AF610A" w:rsidRPr="003B555F" w:rsidRDefault="00DF167B">
            <w:pPr>
              <w:spacing w:before="40" w:after="40"/>
              <w:jc w:val="center"/>
              <w:rPr>
                <w:sz w:val="14"/>
                <w:szCs w:val="14"/>
              </w:rPr>
            </w:pPr>
            <w:r w:rsidRPr="003B555F">
              <w:rPr>
                <w:rFonts w:ascii="Arial" w:eastAsia="Arial" w:hAnsi="Arial" w:cs="Arial"/>
                <w:b/>
                <w:bCs/>
                <w:color w:val="FFFFFF"/>
                <w:sz w:val="14"/>
                <w:szCs w:val="14"/>
              </w:rPr>
              <w:t>Protocol</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D86C764" w14:textId="77777777" w:rsidR="00AF610A" w:rsidRPr="003B555F" w:rsidRDefault="00DF167B">
            <w:pPr>
              <w:spacing w:before="40" w:after="40"/>
              <w:jc w:val="center"/>
              <w:rPr>
                <w:sz w:val="14"/>
                <w:szCs w:val="14"/>
              </w:rPr>
            </w:pPr>
            <w:r w:rsidRPr="003B555F">
              <w:rPr>
                <w:rFonts w:ascii="Arial" w:eastAsia="Arial" w:hAnsi="Arial" w:cs="Arial"/>
                <w:b/>
                <w:bCs/>
                <w:color w:val="FFFFFF"/>
                <w:sz w:val="14"/>
                <w:szCs w:val="14"/>
              </w:rPr>
              <w:t>Sampling Freq.</w:t>
            </w:r>
          </w:p>
        </w:tc>
      </w:tr>
      <w:tr w:rsidR="00AF610A" w:rsidRPr="003B555F" w14:paraId="56AE179C"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39C47BA" w14:textId="77777777" w:rsidR="00AF610A" w:rsidRPr="003B555F" w:rsidRDefault="00DF167B">
            <w:pPr>
              <w:spacing w:before="40" w:after="40"/>
              <w:rPr>
                <w:sz w:val="14"/>
                <w:szCs w:val="14"/>
              </w:rPr>
            </w:pPr>
            <w:r w:rsidRPr="003B555F">
              <w:rPr>
                <w:rFonts w:ascii="Arial" w:eastAsia="Arial" w:hAnsi="Arial" w:cs="Arial"/>
                <w:color w:val="1A1A1A"/>
                <w:sz w:val="14"/>
                <w:szCs w:val="14"/>
              </w:rPr>
              <w:t>pH Electrode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D78629D" w14:textId="77777777" w:rsidR="00AF610A" w:rsidRPr="003B555F" w:rsidRDefault="00DF167B">
            <w:pPr>
              <w:spacing w:before="40" w:after="40"/>
              <w:rPr>
                <w:sz w:val="14"/>
                <w:szCs w:val="14"/>
              </w:rPr>
            </w:pPr>
            <w:r w:rsidRPr="003B555F">
              <w:rPr>
                <w:rFonts w:ascii="Arial" w:eastAsia="Arial" w:hAnsi="Arial" w:cs="Arial"/>
                <w:color w:val="1A1A1A"/>
                <w:sz w:val="14"/>
                <w:szCs w:val="14"/>
              </w:rPr>
              <w:t>Hach PHD sc</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E6C1C25" w14:textId="77777777" w:rsidR="00AF610A" w:rsidRPr="003B555F" w:rsidRDefault="00DF167B">
            <w:pPr>
              <w:spacing w:before="40" w:after="40"/>
              <w:rPr>
                <w:sz w:val="14"/>
                <w:szCs w:val="14"/>
              </w:rPr>
            </w:pPr>
            <w:r w:rsidRPr="003B555F">
              <w:rPr>
                <w:rFonts w:ascii="Arial" w:eastAsia="Arial" w:hAnsi="Arial" w:cs="Arial"/>
                <w:color w:val="1A1A1A"/>
                <w:sz w:val="14"/>
                <w:szCs w:val="14"/>
              </w:rPr>
              <w:t>0–14 pH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4807BB3" w14:textId="77777777" w:rsidR="00AF610A" w:rsidRPr="003B555F" w:rsidRDefault="00DF167B">
            <w:pPr>
              <w:spacing w:before="40" w:after="40"/>
              <w:rPr>
                <w:sz w:val="14"/>
                <w:szCs w:val="14"/>
              </w:rPr>
            </w:pPr>
            <w:r w:rsidRPr="003B555F">
              <w:rPr>
                <w:rFonts w:ascii="Arial" w:eastAsia="Arial" w:hAnsi="Arial" w:cs="Arial"/>
                <w:color w:val="1A1A1A"/>
                <w:sz w:val="14"/>
                <w:szCs w:val="14"/>
              </w:rPr>
              <w:t>±0.01 pH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0166E13" w14:textId="77777777" w:rsidR="00AF610A" w:rsidRPr="003B555F" w:rsidRDefault="00DF167B">
            <w:pPr>
              <w:spacing w:before="40" w:after="40"/>
              <w:rPr>
                <w:sz w:val="14"/>
                <w:szCs w:val="14"/>
              </w:rPr>
            </w:pPr>
            <w:r w:rsidRPr="003B555F">
              <w:rPr>
                <w:rFonts w:ascii="Arial" w:eastAsia="Arial" w:hAnsi="Arial" w:cs="Arial"/>
                <w:color w:val="1A1A1A"/>
                <w:sz w:val="14"/>
                <w:szCs w:val="14"/>
              </w:rPr>
              <w:t>Modbus RS-485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789A5E5" w14:textId="77777777" w:rsidR="00AF610A" w:rsidRPr="003B555F" w:rsidRDefault="00DF167B">
            <w:pPr>
              <w:spacing w:before="40" w:after="40"/>
              <w:rPr>
                <w:sz w:val="14"/>
                <w:szCs w:val="14"/>
              </w:rPr>
            </w:pPr>
            <w:r w:rsidRPr="003B555F">
              <w:rPr>
                <w:rFonts w:ascii="Arial" w:eastAsia="Arial" w:hAnsi="Arial" w:cs="Arial"/>
                <w:color w:val="1A1A1A"/>
                <w:sz w:val="14"/>
                <w:szCs w:val="14"/>
              </w:rPr>
              <w:t xml:space="preserve">Continuous (1 </w:t>
            </w:r>
            <w:r w:rsidRPr="003B555F">
              <w:rPr>
                <w:rFonts w:ascii="Arial" w:eastAsia="Arial" w:hAnsi="Arial" w:cs="Arial"/>
                <w:color w:val="1A1A1A"/>
                <w:sz w:val="14"/>
                <w:szCs w:val="14"/>
              </w:rPr>
              <w:t>min)</w:t>
            </w:r>
          </w:p>
        </w:tc>
      </w:tr>
      <w:tr w:rsidR="00AF610A" w:rsidRPr="003B555F" w14:paraId="3D83C656"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FCC9835" w14:textId="77777777" w:rsidR="00AF610A" w:rsidRPr="003B555F" w:rsidRDefault="00DF167B">
            <w:pPr>
              <w:spacing w:before="40" w:after="40"/>
              <w:rPr>
                <w:sz w:val="14"/>
                <w:szCs w:val="14"/>
              </w:rPr>
            </w:pPr>
            <w:r w:rsidRPr="003B555F">
              <w:rPr>
                <w:rFonts w:ascii="Arial" w:eastAsia="Arial" w:hAnsi="Arial" w:cs="Arial"/>
                <w:color w:val="1A1A1A"/>
                <w:sz w:val="14"/>
                <w:szCs w:val="14"/>
              </w:rPr>
              <w:t>Dissolved Oxygen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6F80F9C" w14:textId="77777777" w:rsidR="00AF610A" w:rsidRPr="003B555F" w:rsidRDefault="00DF167B">
            <w:pPr>
              <w:spacing w:before="40" w:after="40"/>
              <w:rPr>
                <w:sz w:val="14"/>
                <w:szCs w:val="14"/>
              </w:rPr>
            </w:pPr>
            <w:r w:rsidRPr="003B555F">
              <w:rPr>
                <w:rFonts w:ascii="Arial" w:eastAsia="Arial" w:hAnsi="Arial" w:cs="Arial"/>
                <w:color w:val="1A1A1A"/>
                <w:sz w:val="14"/>
                <w:szCs w:val="14"/>
              </w:rPr>
              <w:t>YSI ProDSS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57B8BF1" w14:textId="77777777" w:rsidR="00AF610A" w:rsidRPr="003B555F" w:rsidRDefault="00DF167B">
            <w:pPr>
              <w:spacing w:before="40" w:after="40"/>
              <w:rPr>
                <w:sz w:val="14"/>
                <w:szCs w:val="14"/>
              </w:rPr>
            </w:pPr>
            <w:r w:rsidRPr="003B555F">
              <w:rPr>
                <w:rFonts w:ascii="Arial" w:eastAsia="Arial" w:hAnsi="Arial" w:cs="Arial"/>
                <w:color w:val="1A1A1A"/>
                <w:sz w:val="14"/>
                <w:szCs w:val="14"/>
              </w:rPr>
              <w:t>0–20 mg/L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FB48633" w14:textId="77777777" w:rsidR="00AF610A" w:rsidRPr="003B555F" w:rsidRDefault="00DF167B">
            <w:pPr>
              <w:spacing w:before="40" w:after="40"/>
              <w:rPr>
                <w:sz w:val="14"/>
                <w:szCs w:val="14"/>
              </w:rPr>
            </w:pPr>
            <w:r w:rsidRPr="003B555F">
              <w:rPr>
                <w:rFonts w:ascii="Arial" w:eastAsia="Arial" w:hAnsi="Arial" w:cs="Arial"/>
                <w:color w:val="1A1A1A"/>
                <w:sz w:val="14"/>
                <w:szCs w:val="14"/>
              </w:rPr>
              <w:t>±0.1 mg/L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B8D30B6" w14:textId="77777777" w:rsidR="00AF610A" w:rsidRPr="003B555F" w:rsidRDefault="00DF167B">
            <w:pPr>
              <w:spacing w:before="40" w:after="40"/>
              <w:rPr>
                <w:sz w:val="14"/>
                <w:szCs w:val="14"/>
              </w:rPr>
            </w:pPr>
            <w:r w:rsidRPr="003B555F">
              <w:rPr>
                <w:rFonts w:ascii="Arial" w:eastAsia="Arial" w:hAnsi="Arial" w:cs="Arial"/>
                <w:color w:val="1A1A1A"/>
                <w:sz w:val="14"/>
                <w:szCs w:val="14"/>
              </w:rPr>
              <w:t>SDI-12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2929C52" w14:textId="77777777" w:rsidR="00AF610A" w:rsidRPr="003B555F" w:rsidRDefault="00DF167B">
            <w:pPr>
              <w:spacing w:before="40" w:after="40"/>
              <w:rPr>
                <w:sz w:val="14"/>
                <w:szCs w:val="14"/>
              </w:rPr>
            </w:pPr>
            <w:r w:rsidRPr="003B555F">
              <w:rPr>
                <w:rFonts w:ascii="Arial" w:eastAsia="Arial" w:hAnsi="Arial" w:cs="Arial"/>
                <w:color w:val="1A1A1A"/>
                <w:sz w:val="14"/>
                <w:szCs w:val="14"/>
              </w:rPr>
              <w:t>Continuous (1 min)</w:t>
            </w:r>
          </w:p>
        </w:tc>
      </w:tr>
      <w:tr w:rsidR="00AF610A" w:rsidRPr="003B555F" w14:paraId="50BB2226"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35CB533" w14:textId="77777777" w:rsidR="00AF610A" w:rsidRPr="003B555F" w:rsidRDefault="00DF167B">
            <w:pPr>
              <w:spacing w:before="40" w:after="40"/>
              <w:rPr>
                <w:sz w:val="14"/>
                <w:szCs w:val="14"/>
              </w:rPr>
            </w:pPr>
            <w:r w:rsidRPr="003B555F">
              <w:rPr>
                <w:rFonts w:ascii="Arial" w:eastAsia="Arial" w:hAnsi="Arial" w:cs="Arial"/>
                <w:color w:val="1A1A1A"/>
                <w:sz w:val="14"/>
                <w:szCs w:val="14"/>
              </w:rPr>
              <w:t>COD Online Analyzer</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6A024D8" w14:textId="77777777" w:rsidR="00AF610A" w:rsidRPr="003B555F" w:rsidRDefault="00DF167B">
            <w:pPr>
              <w:spacing w:before="40" w:after="40"/>
              <w:rPr>
                <w:sz w:val="14"/>
                <w:szCs w:val="14"/>
              </w:rPr>
            </w:pPr>
            <w:r w:rsidRPr="003B555F">
              <w:rPr>
                <w:rFonts w:ascii="Arial" w:eastAsia="Arial" w:hAnsi="Arial" w:cs="Arial"/>
                <w:color w:val="1A1A1A"/>
                <w:sz w:val="14"/>
                <w:szCs w:val="14"/>
              </w:rPr>
              <w:t>Endress+Hauser CA80COD</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8B2389B" w14:textId="77777777" w:rsidR="00AF610A" w:rsidRPr="003B555F" w:rsidRDefault="00DF167B">
            <w:pPr>
              <w:spacing w:before="40" w:after="40"/>
              <w:rPr>
                <w:sz w:val="14"/>
                <w:szCs w:val="14"/>
              </w:rPr>
            </w:pPr>
            <w:r w:rsidRPr="003B555F">
              <w:rPr>
                <w:rFonts w:ascii="Arial" w:eastAsia="Arial" w:hAnsi="Arial" w:cs="Arial"/>
                <w:color w:val="1A1A1A"/>
                <w:sz w:val="14"/>
                <w:szCs w:val="14"/>
              </w:rPr>
              <w:t>10–2000 mg/L</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8324663" w14:textId="77777777" w:rsidR="00AF610A" w:rsidRPr="003B555F" w:rsidRDefault="00DF167B">
            <w:pPr>
              <w:spacing w:before="40" w:after="40"/>
              <w:rPr>
                <w:sz w:val="14"/>
                <w:szCs w:val="14"/>
              </w:rPr>
            </w:pPr>
            <w:r w:rsidRPr="003B555F">
              <w:rPr>
                <w:rFonts w:ascii="Arial" w:eastAsia="Arial" w:hAnsi="Arial" w:cs="Arial"/>
                <w:color w:val="1A1A1A"/>
                <w:sz w:val="14"/>
                <w:szCs w:val="14"/>
              </w:rPr>
              <w:t>±5%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BC300A9" w14:textId="77777777" w:rsidR="00AF610A" w:rsidRPr="003B555F" w:rsidRDefault="00DF167B">
            <w:pPr>
              <w:spacing w:before="40" w:after="40"/>
              <w:rPr>
                <w:sz w:val="14"/>
                <w:szCs w:val="14"/>
              </w:rPr>
            </w:pPr>
            <w:r w:rsidRPr="003B555F">
              <w:rPr>
                <w:rFonts w:ascii="Arial" w:eastAsia="Arial" w:hAnsi="Arial" w:cs="Arial"/>
                <w:color w:val="1A1A1A"/>
                <w:sz w:val="14"/>
                <w:szCs w:val="14"/>
              </w:rPr>
              <w:t>4–20 mA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2FD0BD1" w14:textId="77777777" w:rsidR="00AF610A" w:rsidRPr="003B555F" w:rsidRDefault="00DF167B">
            <w:pPr>
              <w:spacing w:before="40" w:after="40"/>
              <w:rPr>
                <w:sz w:val="14"/>
                <w:szCs w:val="14"/>
              </w:rPr>
            </w:pPr>
            <w:r w:rsidRPr="003B555F">
              <w:rPr>
                <w:rFonts w:ascii="Arial" w:eastAsia="Arial" w:hAnsi="Arial" w:cs="Arial"/>
                <w:color w:val="1A1A1A"/>
                <w:sz w:val="14"/>
                <w:szCs w:val="14"/>
              </w:rPr>
              <w:t>Every 15 min</w:t>
            </w:r>
          </w:p>
        </w:tc>
      </w:tr>
      <w:tr w:rsidR="00AF610A" w:rsidRPr="003B555F" w14:paraId="49755D33"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619E1C0" w14:textId="77777777" w:rsidR="00AF610A" w:rsidRPr="003B555F" w:rsidRDefault="00DF167B">
            <w:pPr>
              <w:spacing w:before="40" w:after="40"/>
              <w:rPr>
                <w:sz w:val="14"/>
                <w:szCs w:val="14"/>
              </w:rPr>
            </w:pPr>
            <w:r w:rsidRPr="003B555F">
              <w:rPr>
                <w:rFonts w:ascii="Arial" w:eastAsia="Arial" w:hAnsi="Arial" w:cs="Arial"/>
                <w:color w:val="1A1A1A"/>
                <w:sz w:val="14"/>
                <w:szCs w:val="14"/>
              </w:rPr>
              <w:t>Turbidity Sensor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9F64357" w14:textId="77777777" w:rsidR="00AF610A" w:rsidRPr="003B555F" w:rsidRDefault="00DF167B">
            <w:pPr>
              <w:spacing w:before="40" w:after="40"/>
              <w:rPr>
                <w:sz w:val="14"/>
                <w:szCs w:val="14"/>
              </w:rPr>
            </w:pPr>
            <w:r w:rsidRPr="003B555F">
              <w:rPr>
                <w:rFonts w:ascii="Arial" w:eastAsia="Arial" w:hAnsi="Arial" w:cs="Arial"/>
                <w:color w:val="1A1A1A"/>
                <w:sz w:val="14"/>
                <w:szCs w:val="14"/>
              </w:rPr>
              <w:t>Hach 1720E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7822A1D" w14:textId="77777777" w:rsidR="00AF610A" w:rsidRPr="003B555F" w:rsidRDefault="00DF167B">
            <w:pPr>
              <w:spacing w:before="40" w:after="40"/>
              <w:rPr>
                <w:sz w:val="14"/>
                <w:szCs w:val="14"/>
              </w:rPr>
            </w:pPr>
            <w:r w:rsidRPr="003B555F">
              <w:rPr>
                <w:rFonts w:ascii="Arial" w:eastAsia="Arial" w:hAnsi="Arial" w:cs="Arial"/>
                <w:color w:val="1A1A1A"/>
                <w:sz w:val="14"/>
                <w:szCs w:val="14"/>
              </w:rPr>
              <w:t>0–4000 NTU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7965547" w14:textId="77777777" w:rsidR="00AF610A" w:rsidRPr="003B555F" w:rsidRDefault="00DF167B">
            <w:pPr>
              <w:spacing w:before="40" w:after="40"/>
              <w:rPr>
                <w:sz w:val="14"/>
                <w:szCs w:val="14"/>
              </w:rPr>
            </w:pPr>
            <w:r w:rsidRPr="003B555F">
              <w:rPr>
                <w:rFonts w:ascii="Arial" w:eastAsia="Arial" w:hAnsi="Arial" w:cs="Arial"/>
                <w:color w:val="1A1A1A"/>
                <w:sz w:val="14"/>
                <w:szCs w:val="1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D526E37" w14:textId="77777777" w:rsidR="00AF610A" w:rsidRPr="003B555F" w:rsidRDefault="00DF167B">
            <w:pPr>
              <w:spacing w:before="40" w:after="40"/>
              <w:rPr>
                <w:sz w:val="14"/>
                <w:szCs w:val="14"/>
              </w:rPr>
            </w:pPr>
            <w:r w:rsidRPr="003B555F">
              <w:rPr>
                <w:rFonts w:ascii="Arial" w:eastAsia="Arial" w:hAnsi="Arial" w:cs="Arial"/>
                <w:color w:val="1A1A1A"/>
                <w:sz w:val="14"/>
                <w:szCs w:val="14"/>
              </w:rPr>
              <w:t>Modbus TCP</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E5B23B3" w14:textId="77777777" w:rsidR="00AF610A" w:rsidRPr="003B555F" w:rsidRDefault="00DF167B">
            <w:pPr>
              <w:spacing w:before="40" w:after="40"/>
              <w:rPr>
                <w:sz w:val="14"/>
                <w:szCs w:val="14"/>
              </w:rPr>
            </w:pPr>
            <w:r w:rsidRPr="003B555F">
              <w:rPr>
                <w:rFonts w:ascii="Arial" w:eastAsia="Arial" w:hAnsi="Arial" w:cs="Arial"/>
                <w:color w:val="1A1A1A"/>
                <w:sz w:val="14"/>
                <w:szCs w:val="14"/>
              </w:rPr>
              <w:t>Continuous</w:t>
            </w:r>
          </w:p>
        </w:tc>
      </w:tr>
      <w:tr w:rsidR="00AF610A" w:rsidRPr="003B555F" w14:paraId="7EEFC275"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68538D5" w14:textId="77777777" w:rsidR="00AF610A" w:rsidRPr="003B555F" w:rsidRDefault="00DF167B">
            <w:pPr>
              <w:spacing w:before="40" w:after="40"/>
              <w:rPr>
                <w:sz w:val="14"/>
                <w:szCs w:val="14"/>
              </w:rPr>
            </w:pPr>
            <w:r w:rsidRPr="003B555F">
              <w:rPr>
                <w:rFonts w:ascii="Arial" w:eastAsia="Arial" w:hAnsi="Arial" w:cs="Arial"/>
                <w:color w:val="1A1A1A"/>
                <w:sz w:val="14"/>
                <w:szCs w:val="14"/>
              </w:rPr>
              <w:t>Temperature Probe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FE20BE9" w14:textId="77777777" w:rsidR="00AF610A" w:rsidRPr="003B555F" w:rsidRDefault="00DF167B">
            <w:pPr>
              <w:spacing w:before="40" w:after="40"/>
              <w:rPr>
                <w:sz w:val="14"/>
                <w:szCs w:val="14"/>
              </w:rPr>
            </w:pPr>
            <w:r w:rsidRPr="003B555F">
              <w:rPr>
                <w:rFonts w:ascii="Arial" w:eastAsia="Arial" w:hAnsi="Arial" w:cs="Arial"/>
                <w:color w:val="1A1A1A"/>
                <w:sz w:val="14"/>
                <w:szCs w:val="14"/>
              </w:rPr>
              <w:t>PT100 RTD</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DEFBCE5" w14:textId="77777777" w:rsidR="00AF610A" w:rsidRPr="003B555F" w:rsidRDefault="00DF167B">
            <w:pPr>
              <w:spacing w:before="40" w:after="40"/>
              <w:rPr>
                <w:sz w:val="14"/>
                <w:szCs w:val="14"/>
              </w:rPr>
            </w:pPr>
            <w:r w:rsidRPr="003B555F">
              <w:rPr>
                <w:rFonts w:ascii="Arial" w:eastAsia="Arial" w:hAnsi="Arial" w:cs="Arial"/>
                <w:color w:val="1A1A1A"/>
                <w:sz w:val="14"/>
                <w:szCs w:val="14"/>
              </w:rPr>
              <w:t>0–100°C</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12E491A" w14:textId="77777777" w:rsidR="00AF610A" w:rsidRPr="003B555F" w:rsidRDefault="00DF167B">
            <w:pPr>
              <w:spacing w:before="40" w:after="40"/>
              <w:rPr>
                <w:sz w:val="14"/>
                <w:szCs w:val="14"/>
              </w:rPr>
            </w:pPr>
            <w:r w:rsidRPr="003B555F">
              <w:rPr>
                <w:rFonts w:ascii="Arial" w:eastAsia="Arial" w:hAnsi="Arial" w:cs="Arial"/>
                <w:color w:val="1A1A1A"/>
                <w:sz w:val="14"/>
                <w:szCs w:val="14"/>
              </w:rPr>
              <w:t>±0.1°C</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7B72EDB" w14:textId="77777777" w:rsidR="00AF610A" w:rsidRPr="003B555F" w:rsidRDefault="00DF167B">
            <w:pPr>
              <w:spacing w:before="40" w:after="40"/>
              <w:rPr>
                <w:sz w:val="14"/>
                <w:szCs w:val="14"/>
              </w:rPr>
            </w:pPr>
            <w:r w:rsidRPr="003B555F">
              <w:rPr>
                <w:rFonts w:ascii="Arial" w:eastAsia="Arial" w:hAnsi="Arial" w:cs="Arial"/>
                <w:color w:val="1A1A1A"/>
                <w:sz w:val="14"/>
                <w:szCs w:val="14"/>
              </w:rPr>
              <w:t>Analog 4–20 mA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98D5B2E" w14:textId="77777777" w:rsidR="00AF610A" w:rsidRPr="003B555F" w:rsidRDefault="00DF167B">
            <w:pPr>
              <w:spacing w:before="40" w:after="40"/>
              <w:rPr>
                <w:sz w:val="14"/>
                <w:szCs w:val="14"/>
              </w:rPr>
            </w:pPr>
            <w:r w:rsidRPr="003B555F">
              <w:rPr>
                <w:rFonts w:ascii="Arial" w:eastAsia="Arial" w:hAnsi="Arial" w:cs="Arial"/>
                <w:color w:val="1A1A1A"/>
                <w:sz w:val="14"/>
                <w:szCs w:val="14"/>
              </w:rPr>
              <w:t>Continuous</w:t>
            </w:r>
          </w:p>
        </w:tc>
      </w:tr>
      <w:tr w:rsidR="00AF610A" w:rsidRPr="003B555F" w14:paraId="4B471A2A"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F03FF09" w14:textId="77777777" w:rsidR="00AF610A" w:rsidRPr="003B555F" w:rsidRDefault="00DF167B">
            <w:pPr>
              <w:spacing w:before="40" w:after="40"/>
              <w:rPr>
                <w:sz w:val="14"/>
                <w:szCs w:val="14"/>
              </w:rPr>
            </w:pPr>
            <w:r w:rsidRPr="003B555F">
              <w:rPr>
                <w:rFonts w:ascii="Arial" w:eastAsia="Arial" w:hAnsi="Arial" w:cs="Arial"/>
                <w:color w:val="1A1A1A"/>
                <w:sz w:val="14"/>
                <w:szCs w:val="14"/>
              </w:rPr>
              <w:t>Ammonia-N Analyzer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75BD1E9" w14:textId="77777777" w:rsidR="00AF610A" w:rsidRPr="003B555F" w:rsidRDefault="00DF167B">
            <w:pPr>
              <w:spacing w:before="40" w:after="40"/>
              <w:rPr>
                <w:sz w:val="14"/>
                <w:szCs w:val="14"/>
              </w:rPr>
            </w:pPr>
            <w:r w:rsidRPr="003B555F">
              <w:rPr>
                <w:rFonts w:ascii="Arial" w:eastAsia="Arial" w:hAnsi="Arial" w:cs="Arial"/>
                <w:color w:val="1A1A1A"/>
                <w:sz w:val="14"/>
                <w:szCs w:val="14"/>
              </w:rPr>
              <w:t>SWAN AMI Turbimax</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890C916" w14:textId="77777777" w:rsidR="00AF610A" w:rsidRPr="003B555F" w:rsidRDefault="00DF167B">
            <w:pPr>
              <w:spacing w:before="40" w:after="40"/>
              <w:rPr>
                <w:sz w:val="14"/>
                <w:szCs w:val="14"/>
              </w:rPr>
            </w:pPr>
            <w:r w:rsidRPr="003B555F">
              <w:rPr>
                <w:rFonts w:ascii="Arial" w:eastAsia="Arial" w:hAnsi="Arial" w:cs="Arial"/>
                <w:color w:val="1A1A1A"/>
                <w:sz w:val="14"/>
                <w:szCs w:val="14"/>
              </w:rPr>
              <w:t>0–100 mg/L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57F2AFA" w14:textId="77777777" w:rsidR="00AF610A" w:rsidRPr="003B555F" w:rsidRDefault="00DF167B">
            <w:pPr>
              <w:spacing w:before="40" w:after="40"/>
              <w:rPr>
                <w:sz w:val="14"/>
                <w:szCs w:val="14"/>
              </w:rPr>
            </w:pPr>
            <w:r w:rsidRPr="003B555F">
              <w:rPr>
                <w:rFonts w:ascii="Arial" w:eastAsia="Arial" w:hAnsi="Arial" w:cs="Arial"/>
                <w:color w:val="1A1A1A"/>
                <w:sz w:val="14"/>
                <w:szCs w:val="14"/>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AA0BECB" w14:textId="77777777" w:rsidR="00AF610A" w:rsidRPr="003B555F" w:rsidRDefault="00DF167B">
            <w:pPr>
              <w:spacing w:before="40" w:after="40"/>
              <w:rPr>
                <w:sz w:val="14"/>
                <w:szCs w:val="14"/>
              </w:rPr>
            </w:pPr>
            <w:r w:rsidRPr="003B555F">
              <w:rPr>
                <w:rFonts w:ascii="Arial" w:eastAsia="Arial" w:hAnsi="Arial" w:cs="Arial"/>
                <w:color w:val="1A1A1A"/>
                <w:sz w:val="14"/>
                <w:szCs w:val="14"/>
              </w:rPr>
              <w:t>HART Protocol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3C442E4" w14:textId="77777777" w:rsidR="00AF610A" w:rsidRPr="003B555F" w:rsidRDefault="00DF167B">
            <w:pPr>
              <w:spacing w:before="40" w:after="40"/>
              <w:rPr>
                <w:sz w:val="14"/>
                <w:szCs w:val="14"/>
              </w:rPr>
            </w:pPr>
            <w:r w:rsidRPr="003B555F">
              <w:rPr>
                <w:rFonts w:ascii="Arial" w:eastAsia="Arial" w:hAnsi="Arial" w:cs="Arial"/>
                <w:color w:val="1A1A1A"/>
                <w:sz w:val="14"/>
                <w:szCs w:val="14"/>
              </w:rPr>
              <w:t>Every 10 min</w:t>
            </w:r>
          </w:p>
        </w:tc>
      </w:tr>
      <w:tr w:rsidR="00AF610A" w:rsidRPr="003B555F" w14:paraId="2E006BC6"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1C3A87C" w14:textId="77777777" w:rsidR="00AF610A" w:rsidRPr="003B555F" w:rsidRDefault="00DF167B">
            <w:pPr>
              <w:spacing w:before="40" w:after="40"/>
              <w:rPr>
                <w:sz w:val="14"/>
                <w:szCs w:val="14"/>
              </w:rPr>
            </w:pPr>
            <w:r w:rsidRPr="003B555F">
              <w:rPr>
                <w:rFonts w:ascii="Arial" w:eastAsia="Arial" w:hAnsi="Arial" w:cs="Arial"/>
                <w:color w:val="1A1A1A"/>
                <w:sz w:val="14"/>
                <w:szCs w:val="14"/>
              </w:rPr>
              <w:t>Flow Meter</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A234DC0" w14:textId="77777777" w:rsidR="00AF610A" w:rsidRPr="003B555F" w:rsidRDefault="00DF167B">
            <w:pPr>
              <w:spacing w:before="40" w:after="40"/>
              <w:rPr>
                <w:sz w:val="14"/>
                <w:szCs w:val="14"/>
              </w:rPr>
            </w:pPr>
            <w:r w:rsidRPr="003B555F">
              <w:rPr>
                <w:rFonts w:ascii="Arial" w:eastAsia="Arial" w:hAnsi="Arial" w:cs="Arial"/>
                <w:color w:val="1A1A1A"/>
                <w:sz w:val="14"/>
                <w:szCs w:val="14"/>
              </w:rPr>
              <w:t>Endress+Hauser Promag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76A9B24" w14:textId="77777777" w:rsidR="00AF610A" w:rsidRPr="003B555F" w:rsidRDefault="00DF167B">
            <w:pPr>
              <w:spacing w:before="40" w:after="40"/>
              <w:rPr>
                <w:sz w:val="14"/>
                <w:szCs w:val="14"/>
              </w:rPr>
            </w:pPr>
            <w:r w:rsidRPr="003B555F">
              <w:rPr>
                <w:rFonts w:ascii="Arial" w:eastAsia="Arial" w:hAnsi="Arial" w:cs="Arial"/>
                <w:color w:val="1A1A1A"/>
                <w:sz w:val="14"/>
                <w:szCs w:val="14"/>
              </w:rPr>
              <w:t>0.01–10 m³/s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FCE7D22" w14:textId="77777777" w:rsidR="00AF610A" w:rsidRPr="003B555F" w:rsidRDefault="00DF167B">
            <w:pPr>
              <w:spacing w:before="40" w:after="40"/>
              <w:rPr>
                <w:sz w:val="14"/>
                <w:szCs w:val="14"/>
              </w:rPr>
            </w:pPr>
            <w:r w:rsidRPr="003B555F">
              <w:rPr>
                <w:rFonts w:ascii="Arial" w:eastAsia="Arial" w:hAnsi="Arial" w:cs="Arial"/>
                <w:color w:val="1A1A1A"/>
                <w:sz w:val="14"/>
                <w:szCs w:val="14"/>
              </w:rPr>
              <w:t>±0.3%</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FA35F04" w14:textId="77777777" w:rsidR="00AF610A" w:rsidRPr="003B555F" w:rsidRDefault="00DF167B">
            <w:pPr>
              <w:spacing w:before="40" w:after="40"/>
              <w:rPr>
                <w:sz w:val="14"/>
                <w:szCs w:val="14"/>
              </w:rPr>
            </w:pPr>
            <w:r w:rsidRPr="003B555F">
              <w:rPr>
                <w:rFonts w:ascii="Arial" w:eastAsia="Arial" w:hAnsi="Arial" w:cs="Arial"/>
                <w:color w:val="1A1A1A"/>
                <w:sz w:val="14"/>
                <w:szCs w:val="14"/>
              </w:rPr>
              <w:t>Profibus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980D1E1" w14:textId="77777777" w:rsidR="00AF610A" w:rsidRPr="003B555F" w:rsidRDefault="00DF167B">
            <w:pPr>
              <w:spacing w:before="40" w:after="40"/>
              <w:rPr>
                <w:sz w:val="14"/>
                <w:szCs w:val="14"/>
              </w:rPr>
            </w:pPr>
            <w:r w:rsidRPr="003B555F">
              <w:rPr>
                <w:rFonts w:ascii="Arial" w:eastAsia="Arial" w:hAnsi="Arial" w:cs="Arial"/>
                <w:color w:val="1A1A1A"/>
                <w:sz w:val="14"/>
                <w:szCs w:val="14"/>
              </w:rPr>
              <w:t>Continuous</w:t>
            </w:r>
          </w:p>
        </w:tc>
      </w:tr>
      <w:tr w:rsidR="00AF610A" w:rsidRPr="003B555F" w14:paraId="2CABB000" w14:textId="77777777" w:rsidTr="00DA26FA">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13345E6" w14:textId="77777777" w:rsidR="00AF610A" w:rsidRPr="003B555F" w:rsidRDefault="00DF167B">
            <w:pPr>
              <w:spacing w:before="40" w:after="40"/>
              <w:rPr>
                <w:sz w:val="14"/>
                <w:szCs w:val="14"/>
              </w:rPr>
            </w:pPr>
            <w:r w:rsidRPr="003B555F">
              <w:rPr>
                <w:rFonts w:ascii="Arial" w:eastAsia="Arial" w:hAnsi="Arial" w:cs="Arial"/>
                <w:color w:val="1A1A1A"/>
                <w:sz w:val="14"/>
                <w:szCs w:val="14"/>
              </w:rPr>
              <w:t>Nitrate Sensor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70D6086" w14:textId="77777777" w:rsidR="00AF610A" w:rsidRPr="003B555F" w:rsidRDefault="00DF167B">
            <w:pPr>
              <w:spacing w:before="40" w:after="40"/>
              <w:rPr>
                <w:sz w:val="14"/>
                <w:szCs w:val="14"/>
              </w:rPr>
            </w:pPr>
            <w:r w:rsidRPr="003B555F">
              <w:rPr>
                <w:rFonts w:ascii="Arial" w:eastAsia="Arial" w:hAnsi="Arial" w:cs="Arial"/>
                <w:color w:val="1A1A1A"/>
                <w:sz w:val="14"/>
                <w:szCs w:val="14"/>
              </w:rPr>
              <w:t>S::can nitro::lyser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73CB199" w14:textId="77777777" w:rsidR="00AF610A" w:rsidRPr="003B555F" w:rsidRDefault="00DF167B">
            <w:pPr>
              <w:spacing w:before="40" w:after="40"/>
              <w:rPr>
                <w:sz w:val="14"/>
                <w:szCs w:val="14"/>
              </w:rPr>
            </w:pPr>
            <w:r w:rsidRPr="003B555F">
              <w:rPr>
                <w:rFonts w:ascii="Arial" w:eastAsia="Arial" w:hAnsi="Arial" w:cs="Arial"/>
                <w:color w:val="1A1A1A"/>
                <w:sz w:val="14"/>
                <w:szCs w:val="14"/>
              </w:rPr>
              <w:t>0–50 mg/L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E7607E8" w14:textId="77777777" w:rsidR="00AF610A" w:rsidRPr="003B555F" w:rsidRDefault="00DF167B">
            <w:pPr>
              <w:spacing w:before="40" w:after="40"/>
              <w:rPr>
                <w:sz w:val="14"/>
                <w:szCs w:val="14"/>
              </w:rPr>
            </w:pPr>
            <w:r w:rsidRPr="003B555F">
              <w:rPr>
                <w:rFonts w:ascii="Arial" w:eastAsia="Arial" w:hAnsi="Arial" w:cs="Arial"/>
                <w:color w:val="1A1A1A"/>
                <w:sz w:val="14"/>
                <w:szCs w:val="14"/>
              </w:rPr>
              <w:t>±5%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11A3A80" w14:textId="77777777" w:rsidR="00AF610A" w:rsidRPr="003B555F" w:rsidRDefault="00DF167B">
            <w:pPr>
              <w:spacing w:before="40" w:after="40"/>
              <w:rPr>
                <w:sz w:val="14"/>
                <w:szCs w:val="14"/>
              </w:rPr>
            </w:pPr>
            <w:r w:rsidRPr="003B555F">
              <w:rPr>
                <w:rFonts w:ascii="Arial" w:eastAsia="Arial" w:hAnsi="Arial" w:cs="Arial"/>
                <w:color w:val="1A1A1A"/>
                <w:sz w:val="14"/>
                <w:szCs w:val="14"/>
              </w:rPr>
              <w:t>Modbus RTU</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6433DEF" w14:textId="77777777" w:rsidR="00AF610A" w:rsidRPr="003B555F" w:rsidRDefault="00DF167B">
            <w:pPr>
              <w:spacing w:before="40" w:after="40"/>
              <w:rPr>
                <w:sz w:val="14"/>
                <w:szCs w:val="14"/>
              </w:rPr>
            </w:pPr>
            <w:r w:rsidRPr="003B555F">
              <w:rPr>
                <w:rFonts w:ascii="Arial" w:eastAsia="Arial" w:hAnsi="Arial" w:cs="Arial"/>
                <w:color w:val="1A1A1A"/>
                <w:sz w:val="14"/>
                <w:szCs w:val="14"/>
              </w:rPr>
              <w:t>Every 5 min</w:t>
            </w:r>
          </w:p>
        </w:tc>
      </w:tr>
    </w:tbl>
    <w:p w14:paraId="518BAFFD" w14:textId="77777777" w:rsidR="00AF610A" w:rsidRPr="003B555F" w:rsidRDefault="00DF167B">
      <w:pPr>
        <w:spacing w:before="20" w:after="120"/>
        <w:jc w:val="center"/>
        <w:rPr>
          <w:sz w:val="20"/>
          <w:szCs w:val="20"/>
        </w:rPr>
      </w:pPr>
      <w:r w:rsidRPr="003B555F">
        <w:rPr>
          <w:rFonts w:ascii="Arial" w:eastAsia="Arial" w:hAnsi="Arial" w:cs="Arial"/>
          <w:i/>
          <w:iCs/>
          <w:color w:val="555555"/>
          <w:sz w:val="16"/>
          <w:szCs w:val="16"/>
        </w:rPr>
        <w:t>Source: Instrument manufacturer datasheets; integrated IoT platform specifications [12, 13, 17]</w:t>
      </w:r>
    </w:p>
    <w:p w14:paraId="76EB5B64" w14:textId="77777777" w:rsidR="00AF610A" w:rsidRPr="003B555F" w:rsidRDefault="00DF167B" w:rsidP="003B555F">
      <w:pPr>
        <w:pStyle w:val="Heading2"/>
        <w:spacing w:before="0" w:after="0"/>
        <w:rPr>
          <w:sz w:val="22"/>
          <w:szCs w:val="22"/>
        </w:rPr>
      </w:pPr>
      <w:r w:rsidRPr="003B555F">
        <w:rPr>
          <w:sz w:val="22"/>
          <w:szCs w:val="22"/>
        </w:rPr>
        <w:t>3.3 AI Processing and Decision Engine</w:t>
      </w:r>
    </w:p>
    <w:p w14:paraId="3E1E0D67" w14:textId="77777777" w:rsidR="00AF610A" w:rsidRPr="003B555F" w:rsidRDefault="00DF167B">
      <w:pPr>
        <w:spacing w:before="80" w:after="80" w:line="276" w:lineRule="auto"/>
        <w:ind w:firstLine="720"/>
        <w:jc w:val="both"/>
        <w:rPr>
          <w:sz w:val="20"/>
          <w:szCs w:val="20"/>
        </w:rPr>
      </w:pPr>
      <w:r w:rsidRPr="003B555F">
        <w:rPr>
          <w:color w:val="000000"/>
          <w:sz w:val="20"/>
          <w:szCs w:val="20"/>
        </w:rPr>
        <w:t xml:space="preserve">The AI layer integrates three complementary modeling components: (a) an LSTM recurrent neural network for </w:t>
      </w:r>
      <w:r w:rsidRPr="003B555F">
        <w:rPr>
          <w:color w:val="000000"/>
          <w:sz w:val="20"/>
          <w:szCs w:val="20"/>
        </w:rPr>
        <w:t>multi-step influent load forecasting; (b) a Gradient Boosting / Random Forest ensemble for real-time effluent quality prediction; and (c) a model-free Deep RL agent (Proximal Policy Optimization, PPO) for adaptive dosing policy optimization. These componen</w:t>
      </w:r>
      <w:r w:rsidRPr="003B555F">
        <w:rPr>
          <w:color w:val="000000"/>
          <w:sz w:val="20"/>
          <w:szCs w:val="20"/>
        </w:rPr>
        <w:t xml:space="preserve">ts operate in a closed-loop "Prediction → Optimization → Control" framework [39], where influent predictions inform the RL dosing </w:t>
      </w:r>
      <w:proofErr w:type="gramStart"/>
      <w:r w:rsidRPr="003B555F">
        <w:rPr>
          <w:color w:val="000000"/>
          <w:sz w:val="20"/>
          <w:szCs w:val="20"/>
        </w:rPr>
        <w:t>policy,</w:t>
      </w:r>
      <w:proofErr w:type="gramEnd"/>
      <w:r w:rsidRPr="003B555F">
        <w:rPr>
          <w:color w:val="000000"/>
          <w:sz w:val="20"/>
          <w:szCs w:val="20"/>
        </w:rPr>
        <w:t xml:space="preserve"> and effluent quality monitoring provides the reward signal for continuous policy improvement.</w:t>
      </w:r>
    </w:p>
    <w:p w14:paraId="21F50ED9" w14:textId="77777777" w:rsidR="00AF610A" w:rsidRPr="003B555F" w:rsidRDefault="00DF167B">
      <w:pPr>
        <w:spacing w:before="80" w:after="80" w:line="276" w:lineRule="auto"/>
        <w:ind w:firstLine="720"/>
        <w:jc w:val="both"/>
        <w:rPr>
          <w:sz w:val="20"/>
          <w:szCs w:val="20"/>
        </w:rPr>
      </w:pPr>
      <w:r w:rsidRPr="003B555F">
        <w:rPr>
          <w:color w:val="000000"/>
          <w:sz w:val="20"/>
          <w:szCs w:val="20"/>
        </w:rPr>
        <w:t>The LSTM architecture em</w:t>
      </w:r>
      <w:r w:rsidRPr="003B555F">
        <w:rPr>
          <w:color w:val="000000"/>
          <w:sz w:val="20"/>
          <w:szCs w:val="20"/>
        </w:rPr>
        <w:t>ploys 2 hidden layers of 128 units each with dropout (0.2) regularization, trained on 18-month historical data windows with a sliding window of 24 hours. The RL agent models the dosing environment as a Markov Decision Process (MDP) with state space S = {pH</w:t>
      </w:r>
      <w:r w:rsidRPr="003B555F">
        <w:rPr>
          <w:color w:val="000000"/>
          <w:sz w:val="20"/>
          <w:szCs w:val="20"/>
        </w:rPr>
        <w:t>, DO, COD, BOD, turbidity, temperature, flow rate, current enzyme concentration} and action space A = {enzyme type selection, dosing rate adjustment (mL/hr)}. The reward function R balances effluent quality compliance, enzyme consumption, and energy usage.</w:t>
      </w:r>
    </w:p>
    <w:p w14:paraId="514759EC" w14:textId="77777777" w:rsidR="00AF610A" w:rsidRPr="003B555F" w:rsidRDefault="00DF167B">
      <w:pPr>
        <w:spacing w:before="80" w:after="80" w:line="276" w:lineRule="auto"/>
        <w:ind w:firstLine="720"/>
        <w:jc w:val="both"/>
        <w:rPr>
          <w:sz w:val="20"/>
          <w:szCs w:val="20"/>
        </w:rPr>
      </w:pPr>
      <w:r w:rsidRPr="003B555F">
        <w:rPr>
          <w:color w:val="000000"/>
          <w:sz w:val="20"/>
          <w:szCs w:val="20"/>
        </w:rPr>
        <w:t>A Digital Twin of the treatment system provides a virtual simulation environment for offline RL training and "what-if" scenario analysis without disrupting real plant operations [39]. The Digital Twin is calibrated using Activated Sludge Model No. 1 (ASM1</w:t>
      </w:r>
      <w:r w:rsidRPr="003B555F">
        <w:rPr>
          <w:color w:val="000000"/>
          <w:sz w:val="20"/>
          <w:szCs w:val="20"/>
        </w:rPr>
        <w:t>) parameters fitted to plant-specific data, with ML surrogate models replacing computationally expensive first-principles sub-models.</w:t>
      </w:r>
    </w:p>
    <w:p w14:paraId="39518A54" w14:textId="77777777" w:rsidR="00AF610A" w:rsidRPr="003B555F" w:rsidRDefault="00DF167B">
      <w:pPr>
        <w:pStyle w:val="Heading2"/>
        <w:spacing w:after="100"/>
        <w:rPr>
          <w:sz w:val="22"/>
          <w:szCs w:val="22"/>
        </w:rPr>
      </w:pPr>
      <w:r w:rsidRPr="003B555F">
        <w:rPr>
          <w:sz w:val="22"/>
          <w:szCs w:val="22"/>
        </w:rPr>
        <w:t>3.4 Adaptive Bioenzyme Dosing Control</w:t>
      </w:r>
    </w:p>
    <w:p w14:paraId="083478F5" w14:textId="042CCB5A" w:rsidR="00AF610A" w:rsidRPr="003B555F" w:rsidRDefault="00DF167B">
      <w:pPr>
        <w:spacing w:before="80" w:after="80" w:line="276" w:lineRule="auto"/>
        <w:ind w:firstLine="720"/>
        <w:jc w:val="both"/>
        <w:rPr>
          <w:sz w:val="20"/>
          <w:szCs w:val="20"/>
        </w:rPr>
      </w:pPr>
      <w:r w:rsidRPr="003B555F">
        <w:rPr>
          <w:color w:val="000000"/>
          <w:sz w:val="20"/>
          <w:szCs w:val="20"/>
        </w:rPr>
        <w:t>The dosing control subsystem translates AI agent decisions into physical enzyme deli</w:t>
      </w:r>
      <w:r w:rsidRPr="003B555F">
        <w:rPr>
          <w:color w:val="000000"/>
          <w:sz w:val="20"/>
          <w:szCs w:val="20"/>
        </w:rPr>
        <w:t>very via precision dosing pumps with feedback position control. Five enzyme formulations protease, lipase, amylase, laccase, and cellulase cocktails — are maintained in dedicated storage modules with temperature-controlled (4°C) reservoirs. The AI agent se</w:t>
      </w:r>
      <w:r w:rsidRPr="003B555F">
        <w:rPr>
          <w:color w:val="000000"/>
          <w:sz w:val="20"/>
          <w:szCs w:val="20"/>
        </w:rPr>
        <w:t xml:space="preserve">lects enzyme type and dosing rate based on real-time wastewater composition, time-of-day loading patterns, and predictive influent forecasts. Figure 5 illustrates the end-to-end process flow from influent sensing to </w:t>
      </w:r>
      <w:proofErr w:type="gramStart"/>
      <w:r w:rsidRPr="003B555F">
        <w:rPr>
          <w:color w:val="000000"/>
          <w:sz w:val="20"/>
          <w:szCs w:val="20"/>
        </w:rPr>
        <w:t>treated</w:t>
      </w:r>
      <w:proofErr w:type="gramEnd"/>
      <w:r w:rsidRPr="003B555F">
        <w:rPr>
          <w:color w:val="000000"/>
          <w:sz w:val="20"/>
          <w:szCs w:val="20"/>
        </w:rPr>
        <w:t xml:space="preserve"> effluent discharge.</w:t>
      </w:r>
    </w:p>
    <w:p w14:paraId="08CF6C64" w14:textId="77777777" w:rsidR="00AF610A" w:rsidRPr="003B555F" w:rsidRDefault="00DF167B">
      <w:pPr>
        <w:spacing w:before="160" w:after="60"/>
        <w:jc w:val="center"/>
        <w:rPr>
          <w:sz w:val="20"/>
          <w:szCs w:val="20"/>
        </w:rPr>
      </w:pPr>
      <w:r w:rsidRPr="003B555F">
        <w:rPr>
          <w:noProof/>
          <w:sz w:val="20"/>
          <w:szCs w:val="20"/>
        </w:rPr>
        <w:drawing>
          <wp:inline distT="0" distB="0" distL="0" distR="0" wp14:anchorId="14FF8196" wp14:editId="5378B30A">
            <wp:extent cx="5463665" cy="1361440"/>
            <wp:effectExtent l="0" t="0" r="3810" b="0"/>
            <wp:docPr id="1624920938" name="Picture 162492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512144" cy="1373520"/>
                    </a:xfrm>
                    <a:prstGeom prst="rect">
                      <a:avLst/>
                    </a:prstGeom>
                  </pic:spPr>
                </pic:pic>
              </a:graphicData>
            </a:graphic>
          </wp:inline>
        </w:drawing>
      </w:r>
    </w:p>
    <w:p w14:paraId="187DFAA4" w14:textId="77777777" w:rsidR="00AF610A" w:rsidRPr="003B555F" w:rsidRDefault="00DF167B">
      <w:pPr>
        <w:spacing w:before="40" w:after="160"/>
        <w:jc w:val="center"/>
        <w:rPr>
          <w:sz w:val="20"/>
          <w:szCs w:val="20"/>
        </w:rPr>
      </w:pPr>
      <w:r w:rsidRPr="003B555F">
        <w:rPr>
          <w:rFonts w:ascii="Arial" w:eastAsia="Arial" w:hAnsi="Arial" w:cs="Arial"/>
          <w:b/>
          <w:bCs/>
          <w:i/>
          <w:iCs/>
          <w:color w:val="1B4F72"/>
          <w:sz w:val="16"/>
          <w:szCs w:val="16"/>
        </w:rPr>
        <w:t xml:space="preserve">Figure 5: </w:t>
      </w:r>
      <w:r w:rsidRPr="003B555F">
        <w:rPr>
          <w:rFonts w:ascii="Arial" w:eastAsia="Arial" w:hAnsi="Arial" w:cs="Arial"/>
          <w:b/>
          <w:bCs/>
          <w:i/>
          <w:iCs/>
          <w:color w:val="1B4F72"/>
          <w:sz w:val="16"/>
          <w:szCs w:val="16"/>
        </w:rPr>
        <w:t>End-to-End Process Flow of the Adaptive AI-Driven Bioenzyme Dosing System</w:t>
      </w:r>
    </w:p>
    <w:p w14:paraId="46F1ADF8" w14:textId="77777777" w:rsidR="00AF610A" w:rsidRPr="003B555F" w:rsidRDefault="00DF167B">
      <w:pPr>
        <w:spacing w:before="80" w:after="80" w:line="276" w:lineRule="auto"/>
        <w:ind w:firstLine="720"/>
        <w:jc w:val="both"/>
        <w:rPr>
          <w:sz w:val="20"/>
          <w:szCs w:val="20"/>
        </w:rPr>
      </w:pPr>
      <w:r w:rsidRPr="003B555F">
        <w:rPr>
          <w:color w:val="000000"/>
          <w:sz w:val="20"/>
          <w:szCs w:val="20"/>
        </w:rPr>
        <w:t>The control loop operates at three temporal scales: (1) Real-time control (every 1–5 minutes) for rapid dosing adjustments based on sensor readings; (2) Predictive optimization (ever</w:t>
      </w:r>
      <w:r w:rsidRPr="003B555F">
        <w:rPr>
          <w:color w:val="000000"/>
          <w:sz w:val="20"/>
          <w:szCs w:val="20"/>
        </w:rPr>
        <w:t>y 30 minutes) using LSTM forecasts for proactive pre-dosing ahead of anticipated load surges; and (3) Weekly model retraining using accumulated plant data to maintain prediction accuracy as operational conditions evolve.</w:t>
      </w:r>
    </w:p>
    <w:p w14:paraId="1A2846F1" w14:textId="77777777" w:rsidR="00AF610A" w:rsidRPr="003B555F" w:rsidRDefault="00DF167B" w:rsidP="003B555F">
      <w:pPr>
        <w:pStyle w:val="Heading1"/>
        <w:spacing w:before="0" w:after="0"/>
        <w:rPr>
          <w:sz w:val="24"/>
          <w:szCs w:val="24"/>
        </w:rPr>
      </w:pPr>
      <w:r w:rsidRPr="003B555F">
        <w:rPr>
          <w:sz w:val="24"/>
          <w:szCs w:val="24"/>
        </w:rPr>
        <w:lastRenderedPageBreak/>
        <w:t>4. Results and Discussion</w:t>
      </w:r>
    </w:p>
    <w:p w14:paraId="16364A32" w14:textId="77777777" w:rsidR="00AF610A" w:rsidRPr="003B555F" w:rsidRDefault="00DF167B" w:rsidP="003B555F">
      <w:pPr>
        <w:pStyle w:val="Heading2"/>
        <w:spacing w:before="0" w:after="100"/>
        <w:rPr>
          <w:sz w:val="22"/>
          <w:szCs w:val="22"/>
        </w:rPr>
      </w:pPr>
      <w:r w:rsidRPr="003B555F">
        <w:rPr>
          <w:sz w:val="22"/>
          <w:szCs w:val="22"/>
        </w:rPr>
        <w:t>4.1 Treat</w:t>
      </w:r>
      <w:r w:rsidRPr="003B555F">
        <w:rPr>
          <w:sz w:val="22"/>
          <w:szCs w:val="22"/>
        </w:rPr>
        <w:t>ment Efficiency: COD and BOD Removal</w:t>
      </w:r>
    </w:p>
    <w:p w14:paraId="3BC90DF2" w14:textId="77777777" w:rsidR="00AF610A" w:rsidRPr="003B555F" w:rsidRDefault="00DF167B">
      <w:pPr>
        <w:spacing w:before="80" w:after="80" w:line="276" w:lineRule="auto"/>
        <w:ind w:firstLine="720"/>
        <w:jc w:val="both"/>
        <w:rPr>
          <w:sz w:val="20"/>
          <w:szCs w:val="20"/>
        </w:rPr>
      </w:pPr>
      <w:r w:rsidRPr="003B555F">
        <w:rPr>
          <w:color w:val="000000"/>
          <w:sz w:val="20"/>
          <w:szCs w:val="20"/>
        </w:rPr>
        <w:t>Figure 2 presents the COD and BOD removal efficiency across four system configurations evaluated in this study. The proposed Hybrid AI-Enzyme system achieved 92–96% COD removal and 93–95% BOD removal, substantially exce</w:t>
      </w:r>
      <w:r w:rsidRPr="003B555F">
        <w:rPr>
          <w:color w:val="000000"/>
          <w:sz w:val="20"/>
          <w:szCs w:val="20"/>
        </w:rPr>
        <w:t>eding the 55–65% COD and 60–70% BOD removal rates of conventional activated sludge processes. Manual enzyme dosing (static fixed-dose) improved removal to 65–75% COD and 70–78% BOD, confirming the benefit of enzymatic treatment but demonstrating the limita</w:t>
      </w:r>
      <w:r w:rsidRPr="003B555F">
        <w:rPr>
          <w:color w:val="000000"/>
          <w:sz w:val="20"/>
          <w:szCs w:val="20"/>
        </w:rPr>
        <w:t>tions of non-adaptive dosing strategies.</w:t>
      </w:r>
    </w:p>
    <w:p w14:paraId="58A99CF3" w14:textId="77777777" w:rsidR="00AF610A" w:rsidRPr="003B555F" w:rsidRDefault="00DF167B">
      <w:pPr>
        <w:spacing w:before="160" w:after="60"/>
        <w:jc w:val="center"/>
        <w:rPr>
          <w:sz w:val="20"/>
          <w:szCs w:val="20"/>
        </w:rPr>
      </w:pPr>
      <w:r w:rsidRPr="003B555F">
        <w:rPr>
          <w:noProof/>
          <w:sz w:val="20"/>
          <w:szCs w:val="20"/>
        </w:rPr>
        <w:drawing>
          <wp:inline distT="0" distB="0" distL="0" distR="0" wp14:anchorId="0E9D30F7" wp14:editId="3F6C34C5">
            <wp:extent cx="5619750" cy="2524125"/>
            <wp:effectExtent l="0" t="0" r="0" b="0"/>
            <wp:docPr id="1510033109" name="Picture 151003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619750" cy="2524125"/>
                    </a:xfrm>
                    <a:prstGeom prst="rect">
                      <a:avLst/>
                    </a:prstGeom>
                  </pic:spPr>
                </pic:pic>
              </a:graphicData>
            </a:graphic>
          </wp:inline>
        </w:drawing>
      </w:r>
    </w:p>
    <w:p w14:paraId="7DF6EE64" w14:textId="77777777" w:rsidR="00AF610A" w:rsidRPr="003B555F" w:rsidRDefault="00DF167B">
      <w:pPr>
        <w:spacing w:before="40" w:after="160"/>
        <w:jc w:val="center"/>
        <w:rPr>
          <w:sz w:val="20"/>
          <w:szCs w:val="20"/>
        </w:rPr>
      </w:pPr>
      <w:r w:rsidRPr="003B555F">
        <w:rPr>
          <w:rFonts w:ascii="Arial" w:eastAsia="Arial" w:hAnsi="Arial" w:cs="Arial"/>
          <w:b/>
          <w:bCs/>
          <w:i/>
          <w:iCs/>
          <w:color w:val="1B4F72"/>
          <w:sz w:val="16"/>
          <w:szCs w:val="16"/>
        </w:rPr>
        <w:t xml:space="preserve">Figure 2: COD and BOD Removal Efficiency </w:t>
      </w:r>
      <w:proofErr w:type="gramStart"/>
      <w:r w:rsidRPr="003B555F">
        <w:rPr>
          <w:rFonts w:ascii="Arial" w:eastAsia="Arial" w:hAnsi="Arial" w:cs="Arial"/>
          <w:b/>
          <w:bCs/>
          <w:i/>
          <w:iCs/>
          <w:color w:val="1B4F72"/>
          <w:sz w:val="16"/>
          <w:szCs w:val="16"/>
        </w:rPr>
        <w:t>Across</w:t>
      </w:r>
      <w:proofErr w:type="gramEnd"/>
      <w:r w:rsidRPr="003B555F">
        <w:rPr>
          <w:rFonts w:ascii="Arial" w:eastAsia="Arial" w:hAnsi="Arial" w:cs="Arial"/>
          <w:b/>
          <w:bCs/>
          <w:i/>
          <w:iCs/>
          <w:color w:val="1B4F72"/>
          <w:sz w:val="16"/>
          <w:szCs w:val="16"/>
        </w:rPr>
        <w:t xml:space="preserve"> Treatment System Configurations</w:t>
      </w:r>
    </w:p>
    <w:p w14:paraId="0524638C" w14:textId="77777777" w:rsidR="00AF610A" w:rsidRPr="003B555F" w:rsidRDefault="00DF167B">
      <w:pPr>
        <w:spacing w:before="80" w:after="80" w:line="276" w:lineRule="auto"/>
        <w:ind w:firstLine="720"/>
        <w:jc w:val="both"/>
        <w:rPr>
          <w:sz w:val="20"/>
          <w:szCs w:val="20"/>
        </w:rPr>
      </w:pPr>
      <w:r w:rsidRPr="003B555F">
        <w:rPr>
          <w:color w:val="000000"/>
          <w:sz w:val="20"/>
          <w:szCs w:val="20"/>
        </w:rPr>
        <w:t>The improvement between AI-LSTM controlled dosing (85–91% COD) and the full hybrid ensemble (92–96% COD) highlights the marginal bene</w:t>
      </w:r>
      <w:r w:rsidRPr="003B555F">
        <w:rPr>
          <w:color w:val="000000"/>
          <w:sz w:val="20"/>
          <w:szCs w:val="20"/>
        </w:rPr>
        <w:t>fit of multi-model integration and closed-loop RL optimization. This 5–7 percentage point improvement in COD removal corresponds to a significant reduction in pollutant discharge and compliance risk, particularly relevant in jurisdictions with strict CPCB/</w:t>
      </w:r>
      <w:r w:rsidRPr="003B555F">
        <w:rPr>
          <w:color w:val="000000"/>
          <w:sz w:val="20"/>
          <w:szCs w:val="20"/>
        </w:rPr>
        <w:t>EPA effluent standards (discharge limits: COD ≤ 250 mg/L for inland surface water discharge; BOD ≤ 30 mg/L for direct discharge). These results are consistent with Microbial Enzyme Consortia research [21] reporting 50–70% COD reduction within 24–48 hours a</w:t>
      </w:r>
      <w:r w:rsidRPr="003B555F">
        <w:rPr>
          <w:color w:val="000000"/>
          <w:sz w:val="20"/>
          <w:szCs w:val="20"/>
        </w:rPr>
        <w:t>nd with Sharma et al. (2021) [22] demonstrating 75% COD and 70% BOD reductions using mixed-enzyme solutions.</w:t>
      </w:r>
    </w:p>
    <w:p w14:paraId="600BB704" w14:textId="77777777" w:rsidR="00AF610A" w:rsidRPr="003B555F" w:rsidRDefault="00DF167B">
      <w:pPr>
        <w:pStyle w:val="Heading2"/>
        <w:spacing w:after="100"/>
        <w:rPr>
          <w:sz w:val="22"/>
          <w:szCs w:val="22"/>
        </w:rPr>
      </w:pPr>
      <w:r w:rsidRPr="003B555F">
        <w:rPr>
          <w:sz w:val="22"/>
          <w:szCs w:val="22"/>
        </w:rPr>
        <w:t>4.2 Real-Time Dosing Dynamics and Effluent Stability</w:t>
      </w:r>
    </w:p>
    <w:p w14:paraId="3C790765" w14:textId="77777777" w:rsidR="00AF610A" w:rsidRDefault="00DF167B">
      <w:pPr>
        <w:spacing w:before="80" w:after="80" w:line="276" w:lineRule="auto"/>
        <w:ind w:firstLine="720"/>
        <w:jc w:val="both"/>
        <w:rPr>
          <w:color w:val="000000"/>
          <w:sz w:val="20"/>
          <w:szCs w:val="20"/>
        </w:rPr>
      </w:pPr>
      <w:r w:rsidRPr="003B555F">
        <w:rPr>
          <w:color w:val="000000"/>
          <w:sz w:val="20"/>
          <w:szCs w:val="20"/>
        </w:rPr>
        <w:t>Figure 3 illustrates 30-day time-series data comparing manual fixed dosing against AI-adaptive</w:t>
      </w:r>
      <w:r w:rsidRPr="003B555F">
        <w:rPr>
          <w:color w:val="000000"/>
          <w:sz w:val="20"/>
          <w:szCs w:val="20"/>
        </w:rPr>
        <w:t xml:space="preserve"> dosing in response to a dynamically varying influent COD load. The influent exhibits pronounced weekly cyclicality (higher loads mid-week corresponding to peak industrial activity) superimposed on day-to-day stochasticity, with peak-to-trough COD variatio</w:t>
      </w:r>
      <w:r w:rsidRPr="003B555F">
        <w:rPr>
          <w:color w:val="000000"/>
          <w:sz w:val="20"/>
          <w:szCs w:val="20"/>
        </w:rPr>
        <w:t>ns of approximately ±80 mg/L (200 ± 80 mg/L mean).</w:t>
      </w:r>
    </w:p>
    <w:p w14:paraId="20AF81C5" w14:textId="4F6B8FD2" w:rsidR="003B555F" w:rsidRPr="003B555F" w:rsidRDefault="003B555F" w:rsidP="003B555F">
      <w:pPr>
        <w:spacing w:before="80" w:after="80" w:line="276" w:lineRule="auto"/>
        <w:ind w:firstLine="720"/>
        <w:jc w:val="both"/>
        <w:rPr>
          <w:sz w:val="20"/>
          <w:szCs w:val="20"/>
        </w:rPr>
      </w:pPr>
      <w:r w:rsidRPr="003B555F">
        <w:rPr>
          <w:color w:val="000000"/>
          <w:sz w:val="20"/>
          <w:szCs w:val="20"/>
        </w:rPr>
        <w:t>Manual fixed dosing of 2.5 L/hr produces effluent COD that tracks influent variability closely, frequently exceeding the 50 mg/L discharge limit during peak load events. In contrast, the AI-adaptive system dynamically scales enzyme dosing from ~1.5 to ~3.0 L/hr in response to influent conditions, maintaining effluent COD consistently below 35 mg/L throughout the 30-day period well within compliance limits. The LSTM-based RL agent demonstrated particular efficacy during sudden load events (days 8 and 22), proactively increasing dosing 4–6 hours ahead of peak influent, enabled by predictive influent load forecasting.</w:t>
      </w:r>
    </w:p>
    <w:p w14:paraId="4BC35C0F" w14:textId="77777777" w:rsidR="003B555F" w:rsidRPr="003B555F" w:rsidRDefault="003B555F">
      <w:pPr>
        <w:spacing w:before="80" w:after="80" w:line="276" w:lineRule="auto"/>
        <w:ind w:firstLine="720"/>
        <w:jc w:val="both"/>
        <w:rPr>
          <w:sz w:val="20"/>
          <w:szCs w:val="20"/>
        </w:rPr>
      </w:pPr>
    </w:p>
    <w:p w14:paraId="27CE9622" w14:textId="77777777" w:rsidR="00AF610A" w:rsidRPr="003B555F" w:rsidRDefault="00DF167B">
      <w:pPr>
        <w:spacing w:before="160" w:after="60"/>
        <w:jc w:val="center"/>
        <w:rPr>
          <w:sz w:val="20"/>
          <w:szCs w:val="20"/>
        </w:rPr>
      </w:pPr>
      <w:r w:rsidRPr="003B555F">
        <w:rPr>
          <w:noProof/>
          <w:sz w:val="20"/>
          <w:szCs w:val="20"/>
        </w:rPr>
        <w:lastRenderedPageBreak/>
        <w:drawing>
          <wp:inline distT="0" distB="0" distL="0" distR="0" wp14:anchorId="35313685" wp14:editId="4CCFBFAE">
            <wp:extent cx="5228617" cy="2701452"/>
            <wp:effectExtent l="0" t="0" r="0" b="3810"/>
            <wp:docPr id="1504854614" name="Picture 150485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240848" cy="2707771"/>
                    </a:xfrm>
                    <a:prstGeom prst="rect">
                      <a:avLst/>
                    </a:prstGeom>
                  </pic:spPr>
                </pic:pic>
              </a:graphicData>
            </a:graphic>
          </wp:inline>
        </w:drawing>
      </w:r>
    </w:p>
    <w:p w14:paraId="3B626EFE" w14:textId="77777777" w:rsidR="00AF610A" w:rsidRPr="003B555F" w:rsidRDefault="00DF167B">
      <w:pPr>
        <w:spacing w:before="40" w:after="160"/>
        <w:jc w:val="center"/>
        <w:rPr>
          <w:sz w:val="20"/>
          <w:szCs w:val="20"/>
        </w:rPr>
      </w:pPr>
      <w:r w:rsidRPr="003B555F">
        <w:rPr>
          <w:rFonts w:ascii="Arial" w:eastAsia="Arial" w:hAnsi="Arial" w:cs="Arial"/>
          <w:b/>
          <w:bCs/>
          <w:i/>
          <w:iCs/>
          <w:color w:val="1B4F72"/>
          <w:sz w:val="16"/>
          <w:szCs w:val="16"/>
        </w:rPr>
        <w:t xml:space="preserve">Figure 3: Real-Time Adaptive Bioenzyme Dosing vs. Effluent Quality </w:t>
      </w:r>
      <w:proofErr w:type="gramStart"/>
      <w:r w:rsidRPr="003B555F">
        <w:rPr>
          <w:rFonts w:ascii="Arial" w:eastAsia="Arial" w:hAnsi="Arial" w:cs="Arial"/>
          <w:b/>
          <w:bCs/>
          <w:i/>
          <w:iCs/>
          <w:color w:val="1B4F72"/>
          <w:sz w:val="16"/>
          <w:szCs w:val="16"/>
        </w:rPr>
        <w:t>Over</w:t>
      </w:r>
      <w:proofErr w:type="gramEnd"/>
      <w:r w:rsidRPr="003B555F">
        <w:rPr>
          <w:rFonts w:ascii="Arial" w:eastAsia="Arial" w:hAnsi="Arial" w:cs="Arial"/>
          <w:b/>
          <w:bCs/>
          <w:i/>
          <w:iCs/>
          <w:color w:val="1B4F72"/>
          <w:sz w:val="16"/>
          <w:szCs w:val="16"/>
        </w:rPr>
        <w:t xml:space="preserve"> 30-Day Operation</w:t>
      </w:r>
    </w:p>
    <w:p w14:paraId="681B3218" w14:textId="77777777" w:rsidR="00AF610A" w:rsidRPr="003B555F" w:rsidRDefault="00DF167B">
      <w:pPr>
        <w:pStyle w:val="Heading2"/>
        <w:spacing w:after="100"/>
        <w:rPr>
          <w:sz w:val="22"/>
          <w:szCs w:val="22"/>
        </w:rPr>
      </w:pPr>
      <w:r w:rsidRPr="003B555F">
        <w:rPr>
          <w:sz w:val="22"/>
          <w:szCs w:val="22"/>
        </w:rPr>
        <w:t>4.</w:t>
      </w:r>
      <w:r w:rsidRPr="003B555F">
        <w:rPr>
          <w:sz w:val="22"/>
          <w:szCs w:val="22"/>
        </w:rPr>
        <w:t>3 Comparative AI Model Performance</w:t>
      </w:r>
    </w:p>
    <w:p w14:paraId="036827CD" w14:textId="464B0960" w:rsidR="00AF610A" w:rsidRPr="003B555F" w:rsidRDefault="003B555F" w:rsidP="003B555F">
      <w:pPr>
        <w:spacing w:before="80" w:after="80" w:line="276" w:lineRule="auto"/>
        <w:ind w:firstLine="720"/>
        <w:jc w:val="both"/>
        <w:rPr>
          <w:sz w:val="20"/>
          <w:szCs w:val="20"/>
        </w:rPr>
      </w:pPr>
      <w:r w:rsidRPr="003B555F">
        <w:rPr>
          <w:noProof/>
          <w:sz w:val="20"/>
          <w:szCs w:val="20"/>
        </w:rPr>
        <w:drawing>
          <wp:anchor distT="0" distB="0" distL="114300" distR="114300" simplePos="0" relativeHeight="251658240" behindDoc="0" locked="0" layoutInCell="1" allowOverlap="1" wp14:anchorId="338F1C56" wp14:editId="0DD18E46">
            <wp:simplePos x="0" y="0"/>
            <wp:positionH relativeFrom="column">
              <wp:posOffset>1999034</wp:posOffset>
            </wp:positionH>
            <wp:positionV relativeFrom="paragraph">
              <wp:posOffset>879853</wp:posOffset>
            </wp:positionV>
            <wp:extent cx="2674620" cy="2287905"/>
            <wp:effectExtent l="0" t="0" r="0" b="0"/>
            <wp:wrapSquare wrapText="bothSides"/>
            <wp:docPr id="122316414" name="Picture 1223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4620" cy="2287905"/>
                    </a:xfrm>
                    <a:prstGeom prst="rect">
                      <a:avLst/>
                    </a:prstGeom>
                  </pic:spPr>
                </pic:pic>
              </a:graphicData>
            </a:graphic>
            <wp14:sizeRelH relativeFrom="margin">
              <wp14:pctWidth>0</wp14:pctWidth>
            </wp14:sizeRelH>
            <wp14:sizeRelV relativeFrom="margin">
              <wp14:pctHeight>0</wp14:pctHeight>
            </wp14:sizeRelV>
          </wp:anchor>
        </w:drawing>
      </w:r>
      <w:r w:rsidRPr="003B555F">
        <w:rPr>
          <w:color w:val="000000"/>
          <w:sz w:val="20"/>
          <w:szCs w:val="20"/>
        </w:rPr>
        <w:t>Table 3 and Figure 4 present a comprehensive comparison of AI model architectures evaluated for bioenzyme dosing optimization across seven performance dimensions. The Hybrid AI Ensemble consistently achieved the highest scores across COD removal (0.96), BOD removal (0.95), accuracy (R² = 0.91–0.97), and energy efficiency (0.93). The RL Agent exhibited the highest adaptability and response speed (0.92), reflecting its core advantage in real-time sequential decision-making. Traditional ANNs showed the lowest generalizability (0.72) and response speed (0.70), while Random Forest demonstrated the highest interpretability (0.80) among advanced models.</w:t>
      </w:r>
    </w:p>
    <w:p w14:paraId="486E1B8C" w14:textId="7FC22E62" w:rsidR="00AF610A" w:rsidRPr="003B555F" w:rsidRDefault="003B555F" w:rsidP="003B555F">
      <w:pPr>
        <w:spacing w:after="60"/>
        <w:jc w:val="center"/>
        <w:rPr>
          <w:sz w:val="20"/>
          <w:szCs w:val="20"/>
        </w:rPr>
      </w:pPr>
      <w:r>
        <w:rPr>
          <w:sz w:val="20"/>
          <w:szCs w:val="20"/>
        </w:rPr>
        <w:br w:type="textWrapping" w:clear="all"/>
      </w:r>
      <w:r w:rsidRPr="003B555F">
        <w:rPr>
          <w:rFonts w:ascii="Arial" w:eastAsia="Arial" w:hAnsi="Arial" w:cs="Arial"/>
          <w:b/>
          <w:bCs/>
          <w:i/>
          <w:iCs/>
          <w:color w:val="1B4F72"/>
          <w:sz w:val="16"/>
          <w:szCs w:val="16"/>
        </w:rPr>
        <w:t>Figure 4: Multi-Criteria Performance Radar Comparison of AI Models</w:t>
      </w:r>
    </w:p>
    <w:p w14:paraId="43239EAE" w14:textId="77777777" w:rsidR="00AF610A" w:rsidRPr="003B555F" w:rsidRDefault="00DF167B">
      <w:pPr>
        <w:spacing w:before="60" w:after="30"/>
        <w:jc w:val="center"/>
        <w:rPr>
          <w:sz w:val="20"/>
          <w:szCs w:val="20"/>
        </w:rPr>
      </w:pPr>
      <w:r w:rsidRPr="003B555F">
        <w:rPr>
          <w:rFonts w:ascii="Arial" w:eastAsia="Arial" w:hAnsi="Arial" w:cs="Arial"/>
          <w:b/>
          <w:bCs/>
          <w:color w:val="1B4F72"/>
          <w:sz w:val="18"/>
          <w:szCs w:val="18"/>
        </w:rPr>
        <w:t xml:space="preserve">Table 3: </w:t>
      </w:r>
      <w:r w:rsidRPr="003B555F">
        <w:rPr>
          <w:rFonts w:ascii="Arial" w:eastAsia="Arial" w:hAnsi="Arial" w:cs="Arial"/>
          <w:b/>
          <w:bCs/>
          <w:color w:val="1B4F72"/>
          <w:sz w:val="18"/>
          <w:szCs w:val="18"/>
        </w:rPr>
        <w:t>Comparative Performance of AI Architectures for Bioenzyme Dosing Optimization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19"/>
        <w:gridCol w:w="2219"/>
        <w:gridCol w:w="763"/>
        <w:gridCol w:w="914"/>
        <w:gridCol w:w="1088"/>
        <w:gridCol w:w="2457"/>
      </w:tblGrid>
      <w:tr w:rsidR="00AF610A" w:rsidRPr="003B555F" w14:paraId="3AC69664" w14:textId="77777777" w:rsidTr="003B555F">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488B445D" w14:textId="77777777" w:rsidR="00AF610A" w:rsidRPr="003B555F" w:rsidRDefault="00DF167B">
            <w:pPr>
              <w:spacing w:before="40" w:after="40"/>
              <w:jc w:val="center"/>
              <w:rPr>
                <w:sz w:val="10"/>
                <w:szCs w:val="10"/>
              </w:rPr>
            </w:pPr>
            <w:r w:rsidRPr="003B555F">
              <w:rPr>
                <w:rFonts w:ascii="Arial" w:eastAsia="Arial" w:hAnsi="Arial" w:cs="Arial"/>
                <w:b/>
                <w:bCs/>
                <w:color w:val="FFFFFF"/>
                <w:sz w:val="10"/>
                <w:szCs w:val="10"/>
              </w:rPr>
              <w:t>AI Model</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1CA84BF" w14:textId="77777777" w:rsidR="00AF610A" w:rsidRPr="003B555F" w:rsidRDefault="00DF167B">
            <w:pPr>
              <w:spacing w:before="40" w:after="40"/>
              <w:jc w:val="center"/>
              <w:rPr>
                <w:sz w:val="10"/>
                <w:szCs w:val="10"/>
              </w:rPr>
            </w:pPr>
            <w:r w:rsidRPr="003B555F">
              <w:rPr>
                <w:rFonts w:ascii="Arial" w:eastAsia="Arial" w:hAnsi="Arial" w:cs="Arial"/>
                <w:b/>
                <w:bCs/>
                <w:color w:val="FFFFFF"/>
                <w:sz w:val="10"/>
                <w:szCs w:val="10"/>
              </w:rPr>
              <w:t>Core Principle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71534882" w14:textId="77777777" w:rsidR="00AF610A" w:rsidRPr="003B555F" w:rsidRDefault="00DF167B">
            <w:pPr>
              <w:spacing w:before="40" w:after="40"/>
              <w:jc w:val="center"/>
              <w:rPr>
                <w:sz w:val="10"/>
                <w:szCs w:val="10"/>
              </w:rPr>
            </w:pPr>
            <w:r w:rsidRPr="003B555F">
              <w:rPr>
                <w:rFonts w:ascii="Arial" w:eastAsia="Arial" w:hAnsi="Arial" w:cs="Arial"/>
                <w:b/>
                <w:bCs/>
                <w:color w:val="FFFFFF"/>
                <w:sz w:val="10"/>
                <w:szCs w:val="10"/>
              </w:rPr>
              <w:t>R² Range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3119B1D" w14:textId="77777777" w:rsidR="00AF610A" w:rsidRPr="003B555F" w:rsidRDefault="00DF167B">
            <w:pPr>
              <w:spacing w:before="40" w:after="40"/>
              <w:jc w:val="center"/>
              <w:rPr>
                <w:sz w:val="10"/>
                <w:szCs w:val="10"/>
              </w:rPr>
            </w:pPr>
            <w:r w:rsidRPr="003B555F">
              <w:rPr>
                <w:rFonts w:ascii="Arial" w:eastAsia="Arial" w:hAnsi="Arial" w:cs="Arial"/>
                <w:b/>
                <w:bCs/>
                <w:color w:val="FFFFFF"/>
                <w:sz w:val="10"/>
                <w:szCs w:val="10"/>
              </w:rPr>
              <w:t>Adaptability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757872FC" w14:textId="77777777" w:rsidR="00AF610A" w:rsidRPr="003B555F" w:rsidRDefault="00DF167B">
            <w:pPr>
              <w:spacing w:before="40" w:after="40"/>
              <w:jc w:val="center"/>
              <w:rPr>
                <w:sz w:val="10"/>
                <w:szCs w:val="10"/>
              </w:rPr>
            </w:pPr>
            <w:r w:rsidRPr="003B555F">
              <w:rPr>
                <w:rFonts w:ascii="Arial" w:eastAsia="Arial" w:hAnsi="Arial" w:cs="Arial"/>
                <w:b/>
                <w:bCs/>
                <w:color w:val="FFFFFF"/>
                <w:sz w:val="10"/>
                <w:szCs w:val="10"/>
              </w:rPr>
              <w:t>Interpret-ability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8E02A61" w14:textId="77777777" w:rsidR="00AF610A" w:rsidRPr="003B555F" w:rsidRDefault="00DF167B">
            <w:pPr>
              <w:spacing w:before="40" w:after="40"/>
              <w:jc w:val="center"/>
              <w:rPr>
                <w:sz w:val="10"/>
                <w:szCs w:val="10"/>
              </w:rPr>
            </w:pPr>
            <w:r w:rsidRPr="003B555F">
              <w:rPr>
                <w:rFonts w:ascii="Arial" w:eastAsia="Arial" w:hAnsi="Arial" w:cs="Arial"/>
                <w:b/>
                <w:bCs/>
                <w:color w:val="FFFFFF"/>
                <w:sz w:val="10"/>
                <w:szCs w:val="10"/>
              </w:rPr>
              <w:t>Primary Application</w:t>
            </w:r>
          </w:p>
        </w:tc>
      </w:tr>
      <w:tr w:rsidR="00AF610A" w:rsidRPr="003B555F" w14:paraId="45CD6D91"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F845B48" w14:textId="77777777" w:rsidR="00AF610A" w:rsidRPr="003B555F" w:rsidRDefault="00DF167B">
            <w:pPr>
              <w:spacing w:before="40" w:after="40"/>
              <w:rPr>
                <w:sz w:val="10"/>
                <w:szCs w:val="10"/>
              </w:rPr>
            </w:pPr>
            <w:r w:rsidRPr="003B555F">
              <w:rPr>
                <w:rFonts w:ascii="Arial" w:eastAsia="Arial" w:hAnsi="Arial" w:cs="Arial"/>
                <w:color w:val="1A1A1A"/>
                <w:sz w:val="10"/>
                <w:szCs w:val="10"/>
              </w:rPr>
              <w:t>Artificial Neural Network (ANN)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3AEDB02" w14:textId="77777777" w:rsidR="00AF610A" w:rsidRPr="003B555F" w:rsidRDefault="00DF167B">
            <w:pPr>
              <w:spacing w:before="40" w:after="40"/>
              <w:rPr>
                <w:sz w:val="10"/>
                <w:szCs w:val="10"/>
              </w:rPr>
            </w:pPr>
            <w:r w:rsidRPr="003B555F">
              <w:rPr>
                <w:rFonts w:ascii="Arial" w:eastAsia="Arial" w:hAnsi="Arial" w:cs="Arial"/>
                <w:color w:val="1A1A1A"/>
                <w:sz w:val="10"/>
                <w:szCs w:val="10"/>
              </w:rPr>
              <w:t>Nonlinear mapping, pattern recognition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614AD53" w14:textId="77777777" w:rsidR="00AF610A" w:rsidRPr="003B555F" w:rsidRDefault="00DF167B">
            <w:pPr>
              <w:spacing w:before="40" w:after="40"/>
              <w:rPr>
                <w:sz w:val="10"/>
                <w:szCs w:val="10"/>
              </w:rPr>
            </w:pPr>
            <w:r w:rsidRPr="003B555F">
              <w:rPr>
                <w:rFonts w:ascii="Arial" w:eastAsia="Arial" w:hAnsi="Arial" w:cs="Arial"/>
                <w:color w:val="1A1A1A"/>
                <w:sz w:val="10"/>
                <w:szCs w:val="10"/>
              </w:rPr>
              <w:t>0.82–0.89</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24A1B94" w14:textId="77777777" w:rsidR="00AF610A" w:rsidRPr="003B555F" w:rsidRDefault="00DF167B">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010A8BF" w14:textId="77777777" w:rsidR="00AF610A" w:rsidRPr="003B555F" w:rsidRDefault="00DF167B">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A269921" w14:textId="77777777" w:rsidR="00AF610A" w:rsidRPr="003B555F" w:rsidRDefault="00DF167B">
            <w:pPr>
              <w:spacing w:before="40" w:after="40"/>
              <w:rPr>
                <w:sz w:val="10"/>
                <w:szCs w:val="10"/>
              </w:rPr>
            </w:pPr>
            <w:r w:rsidRPr="003B555F">
              <w:rPr>
                <w:rFonts w:ascii="Arial" w:eastAsia="Arial" w:hAnsi="Arial" w:cs="Arial"/>
                <w:color w:val="1A1A1A"/>
                <w:sz w:val="10"/>
                <w:szCs w:val="10"/>
              </w:rPr>
              <w:t>Effluent quality prediction, fault detection</w:t>
            </w:r>
          </w:p>
        </w:tc>
      </w:tr>
      <w:tr w:rsidR="00AF610A" w:rsidRPr="003B555F" w14:paraId="31B43718"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4F120B3" w14:textId="77777777" w:rsidR="00AF610A" w:rsidRPr="003B555F" w:rsidRDefault="00DF167B">
            <w:pPr>
              <w:spacing w:before="40" w:after="40"/>
              <w:rPr>
                <w:sz w:val="10"/>
                <w:szCs w:val="10"/>
              </w:rPr>
            </w:pPr>
            <w:r w:rsidRPr="003B555F">
              <w:rPr>
                <w:rFonts w:ascii="Arial" w:eastAsia="Arial" w:hAnsi="Arial" w:cs="Arial"/>
                <w:color w:val="1A1A1A"/>
                <w:sz w:val="10"/>
                <w:szCs w:val="10"/>
              </w:rPr>
              <w:t>Long Short-Term Memory (LSTM)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18068BD" w14:textId="77777777" w:rsidR="00AF610A" w:rsidRPr="003B555F" w:rsidRDefault="00DF167B">
            <w:pPr>
              <w:spacing w:before="40" w:after="40"/>
              <w:rPr>
                <w:sz w:val="10"/>
                <w:szCs w:val="10"/>
              </w:rPr>
            </w:pPr>
            <w:r w:rsidRPr="003B555F">
              <w:rPr>
                <w:rFonts w:ascii="Arial" w:eastAsia="Arial" w:hAnsi="Arial" w:cs="Arial"/>
                <w:color w:val="1A1A1A"/>
                <w:sz w:val="10"/>
                <w:szCs w:val="10"/>
              </w:rPr>
              <w:t>Sequential time-series modeling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63F024A" w14:textId="77777777" w:rsidR="00AF610A" w:rsidRPr="003B555F" w:rsidRDefault="00DF167B">
            <w:pPr>
              <w:spacing w:before="40" w:after="40"/>
              <w:rPr>
                <w:sz w:val="10"/>
                <w:szCs w:val="10"/>
              </w:rPr>
            </w:pPr>
            <w:r w:rsidRPr="003B555F">
              <w:rPr>
                <w:rFonts w:ascii="Arial" w:eastAsia="Arial" w:hAnsi="Arial" w:cs="Arial"/>
                <w:color w:val="1A1A1A"/>
                <w:sz w:val="10"/>
                <w:szCs w:val="10"/>
              </w:rPr>
              <w:t>0.88–0.93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A478C61" w14:textId="77777777" w:rsidR="00AF610A" w:rsidRPr="003B555F" w:rsidRDefault="00DF167B">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5E12141" w14:textId="77777777" w:rsidR="00AF610A" w:rsidRPr="003B555F" w:rsidRDefault="00DF167B">
            <w:pPr>
              <w:spacing w:before="40" w:after="40"/>
              <w:rPr>
                <w:sz w:val="10"/>
                <w:szCs w:val="10"/>
              </w:rPr>
            </w:pPr>
            <w:r w:rsidRPr="003B555F">
              <w:rPr>
                <w:rFonts w:ascii="Arial" w:eastAsia="Arial" w:hAnsi="Arial" w:cs="Arial"/>
                <w:color w:val="1A1A1A"/>
                <w:sz w:val="10"/>
                <w:szCs w:val="10"/>
              </w:rPr>
              <w:t>Low</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8C5A768" w14:textId="77777777" w:rsidR="00AF610A" w:rsidRPr="003B555F" w:rsidRDefault="00DF167B">
            <w:pPr>
              <w:spacing w:before="40" w:after="40"/>
              <w:rPr>
                <w:sz w:val="10"/>
                <w:szCs w:val="10"/>
              </w:rPr>
            </w:pPr>
            <w:r w:rsidRPr="003B555F">
              <w:rPr>
                <w:rFonts w:ascii="Arial" w:eastAsia="Arial" w:hAnsi="Arial" w:cs="Arial"/>
                <w:color w:val="1A1A1A"/>
                <w:sz w:val="10"/>
                <w:szCs w:val="10"/>
              </w:rPr>
              <w:t>Influent load forecasting, dynamic dosing</w:t>
            </w:r>
          </w:p>
        </w:tc>
      </w:tr>
      <w:tr w:rsidR="00AF610A" w:rsidRPr="003B555F" w14:paraId="33B21C3B"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9B2664A" w14:textId="77777777" w:rsidR="00AF610A" w:rsidRPr="003B555F" w:rsidRDefault="00DF167B">
            <w:pPr>
              <w:spacing w:before="40" w:after="40"/>
              <w:rPr>
                <w:sz w:val="10"/>
                <w:szCs w:val="10"/>
              </w:rPr>
            </w:pPr>
            <w:r w:rsidRPr="003B555F">
              <w:rPr>
                <w:rFonts w:ascii="Arial" w:eastAsia="Arial" w:hAnsi="Arial" w:cs="Arial"/>
                <w:color w:val="1A1A1A"/>
                <w:sz w:val="10"/>
                <w:szCs w:val="10"/>
              </w:rPr>
              <w:t>Random Forest (RF)</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C0B052A" w14:textId="77777777" w:rsidR="00AF610A" w:rsidRPr="003B555F" w:rsidRDefault="00DF167B">
            <w:pPr>
              <w:spacing w:before="40" w:after="40"/>
              <w:rPr>
                <w:sz w:val="10"/>
                <w:szCs w:val="10"/>
              </w:rPr>
            </w:pPr>
            <w:r w:rsidRPr="003B555F">
              <w:rPr>
                <w:rFonts w:ascii="Arial" w:eastAsia="Arial" w:hAnsi="Arial" w:cs="Arial"/>
                <w:color w:val="1A1A1A"/>
                <w:sz w:val="10"/>
                <w:szCs w:val="10"/>
              </w:rPr>
              <w:t>Ensemble feature-based prediction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DD205C2" w14:textId="77777777" w:rsidR="00AF610A" w:rsidRPr="003B555F" w:rsidRDefault="00DF167B">
            <w:pPr>
              <w:spacing w:before="40" w:after="40"/>
              <w:rPr>
                <w:sz w:val="10"/>
                <w:szCs w:val="10"/>
              </w:rPr>
            </w:pPr>
            <w:r w:rsidRPr="003B555F">
              <w:rPr>
                <w:rFonts w:ascii="Arial" w:eastAsia="Arial" w:hAnsi="Arial" w:cs="Arial"/>
                <w:color w:val="1A1A1A"/>
                <w:sz w:val="10"/>
                <w:szCs w:val="10"/>
              </w:rPr>
              <w:t>0.85–0.92</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D33B3BA" w14:textId="77777777" w:rsidR="00AF610A" w:rsidRPr="003B555F" w:rsidRDefault="00DF167B">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382AEA8" w14:textId="77777777" w:rsidR="00AF610A" w:rsidRPr="003B555F" w:rsidRDefault="00DF167B">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7730C78" w14:textId="77777777" w:rsidR="00AF610A" w:rsidRPr="003B555F" w:rsidRDefault="00DF167B">
            <w:pPr>
              <w:spacing w:before="40" w:after="40"/>
              <w:rPr>
                <w:sz w:val="10"/>
                <w:szCs w:val="10"/>
              </w:rPr>
            </w:pPr>
            <w:r w:rsidRPr="003B555F">
              <w:rPr>
                <w:rFonts w:ascii="Arial" w:eastAsia="Arial" w:hAnsi="Arial" w:cs="Arial"/>
                <w:color w:val="1A1A1A"/>
                <w:sz w:val="10"/>
                <w:szCs w:val="10"/>
              </w:rPr>
              <w:t>Dosing cost optimization, process monitoring</w:t>
            </w:r>
          </w:p>
        </w:tc>
      </w:tr>
      <w:tr w:rsidR="00AF610A" w:rsidRPr="003B555F" w14:paraId="18FB61A9"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2F1C598" w14:textId="77777777" w:rsidR="00AF610A" w:rsidRPr="003B555F" w:rsidRDefault="00DF167B">
            <w:pPr>
              <w:spacing w:before="40" w:after="40"/>
              <w:rPr>
                <w:sz w:val="10"/>
                <w:szCs w:val="10"/>
              </w:rPr>
            </w:pPr>
            <w:r w:rsidRPr="003B555F">
              <w:rPr>
                <w:rFonts w:ascii="Arial" w:eastAsia="Arial" w:hAnsi="Arial" w:cs="Arial"/>
                <w:color w:val="1A1A1A"/>
                <w:sz w:val="10"/>
                <w:szCs w:val="10"/>
              </w:rPr>
              <w:t>Reinforcement Learning (RL)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03640F9" w14:textId="77777777" w:rsidR="00AF610A" w:rsidRPr="003B555F" w:rsidRDefault="00DF167B">
            <w:pPr>
              <w:spacing w:before="40" w:after="40"/>
              <w:rPr>
                <w:sz w:val="10"/>
                <w:szCs w:val="10"/>
              </w:rPr>
            </w:pPr>
            <w:r w:rsidRPr="003B555F">
              <w:rPr>
                <w:rFonts w:ascii="Arial" w:eastAsia="Arial" w:hAnsi="Arial" w:cs="Arial"/>
                <w:color w:val="1A1A1A"/>
                <w:sz w:val="10"/>
                <w:szCs w:val="10"/>
              </w:rPr>
              <w:t>Adaptive policy optimization via rewards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C674162" w14:textId="77777777" w:rsidR="00AF610A" w:rsidRPr="003B555F" w:rsidRDefault="00DF167B">
            <w:pPr>
              <w:spacing w:before="40" w:after="40"/>
              <w:rPr>
                <w:sz w:val="10"/>
                <w:szCs w:val="10"/>
              </w:rPr>
            </w:pPr>
            <w:r w:rsidRPr="003B555F">
              <w:rPr>
                <w:rFonts w:ascii="Arial" w:eastAsia="Arial" w:hAnsi="Arial" w:cs="Arial"/>
                <w:color w:val="1A1A1A"/>
                <w:sz w:val="10"/>
                <w:szCs w:val="10"/>
              </w:rPr>
              <w:t>0.84–0.94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0443DE6" w14:textId="77777777" w:rsidR="00AF610A" w:rsidRPr="003B555F" w:rsidRDefault="00DF167B">
            <w:pPr>
              <w:spacing w:before="40" w:after="40"/>
              <w:rPr>
                <w:sz w:val="10"/>
                <w:szCs w:val="10"/>
              </w:rPr>
            </w:pPr>
            <w:r w:rsidRPr="003B555F">
              <w:rPr>
                <w:rFonts w:ascii="Arial" w:eastAsia="Arial" w:hAnsi="Arial" w:cs="Arial"/>
                <w:color w:val="1A1A1A"/>
                <w:sz w:val="10"/>
                <w:szCs w:val="10"/>
              </w:rPr>
              <w:t>Very 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507463E" w14:textId="77777777" w:rsidR="00AF610A" w:rsidRPr="003B555F" w:rsidRDefault="00DF167B">
            <w:pPr>
              <w:spacing w:before="40" w:after="40"/>
              <w:rPr>
                <w:sz w:val="10"/>
                <w:szCs w:val="10"/>
              </w:rPr>
            </w:pPr>
            <w:r w:rsidRPr="003B555F">
              <w:rPr>
                <w:rFonts w:ascii="Arial" w:eastAsia="Arial" w:hAnsi="Arial" w:cs="Arial"/>
                <w:color w:val="1A1A1A"/>
                <w:sz w:val="10"/>
                <w:szCs w:val="10"/>
              </w:rPr>
              <w:t>Low</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31EA061" w14:textId="77777777" w:rsidR="00AF610A" w:rsidRPr="003B555F" w:rsidRDefault="00DF167B">
            <w:pPr>
              <w:spacing w:before="40" w:after="40"/>
              <w:rPr>
                <w:sz w:val="10"/>
                <w:szCs w:val="10"/>
              </w:rPr>
            </w:pPr>
            <w:r w:rsidRPr="003B555F">
              <w:rPr>
                <w:rFonts w:ascii="Arial" w:eastAsia="Arial" w:hAnsi="Arial" w:cs="Arial"/>
                <w:color w:val="1A1A1A"/>
                <w:sz w:val="10"/>
                <w:szCs w:val="10"/>
              </w:rPr>
              <w:t>Autonomous real-time dosing control</w:t>
            </w:r>
          </w:p>
        </w:tc>
      </w:tr>
      <w:tr w:rsidR="00AF610A" w:rsidRPr="003B555F" w14:paraId="03598D96"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EDE619D" w14:textId="77777777" w:rsidR="00AF610A" w:rsidRPr="003B555F" w:rsidRDefault="00DF167B">
            <w:pPr>
              <w:spacing w:before="40" w:after="40"/>
              <w:rPr>
                <w:sz w:val="10"/>
                <w:szCs w:val="10"/>
              </w:rPr>
            </w:pPr>
            <w:r w:rsidRPr="003B555F">
              <w:rPr>
                <w:rFonts w:ascii="Arial" w:eastAsia="Arial" w:hAnsi="Arial" w:cs="Arial"/>
                <w:color w:val="1A1A1A"/>
                <w:sz w:val="10"/>
                <w:szCs w:val="10"/>
              </w:rPr>
              <w:t>Support Vector Machine (SVM)</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453C058" w14:textId="77777777" w:rsidR="00AF610A" w:rsidRPr="003B555F" w:rsidRDefault="00DF167B">
            <w:pPr>
              <w:spacing w:before="40" w:after="40"/>
              <w:rPr>
                <w:sz w:val="10"/>
                <w:szCs w:val="10"/>
              </w:rPr>
            </w:pPr>
            <w:r w:rsidRPr="003B555F">
              <w:rPr>
                <w:rFonts w:ascii="Arial" w:eastAsia="Arial" w:hAnsi="Arial" w:cs="Arial"/>
                <w:color w:val="1A1A1A"/>
                <w:sz w:val="10"/>
                <w:szCs w:val="10"/>
              </w:rPr>
              <w:t>Kernel-based classification/regression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C06B0A3" w14:textId="77777777" w:rsidR="00AF610A" w:rsidRPr="003B555F" w:rsidRDefault="00DF167B">
            <w:pPr>
              <w:spacing w:before="40" w:after="40"/>
              <w:rPr>
                <w:sz w:val="10"/>
                <w:szCs w:val="10"/>
              </w:rPr>
            </w:pPr>
            <w:r w:rsidRPr="003B555F">
              <w:rPr>
                <w:rFonts w:ascii="Arial" w:eastAsia="Arial" w:hAnsi="Arial" w:cs="Arial"/>
                <w:color w:val="1A1A1A"/>
                <w:sz w:val="10"/>
                <w:szCs w:val="10"/>
              </w:rPr>
              <w:t>0.80–0.87</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7B30752" w14:textId="77777777" w:rsidR="00AF610A" w:rsidRPr="003B555F" w:rsidRDefault="00DF167B">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A2CD824" w14:textId="77777777" w:rsidR="00AF610A" w:rsidRPr="003B555F" w:rsidRDefault="00DF167B">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56CA097" w14:textId="77777777" w:rsidR="00AF610A" w:rsidRPr="003B555F" w:rsidRDefault="00DF167B">
            <w:pPr>
              <w:spacing w:before="40" w:after="40"/>
              <w:rPr>
                <w:sz w:val="10"/>
                <w:szCs w:val="10"/>
              </w:rPr>
            </w:pPr>
            <w:r w:rsidRPr="003B555F">
              <w:rPr>
                <w:rFonts w:ascii="Arial" w:eastAsia="Arial" w:hAnsi="Arial" w:cs="Arial"/>
                <w:color w:val="1A1A1A"/>
                <w:sz w:val="10"/>
                <w:szCs w:val="10"/>
              </w:rPr>
              <w:t>Anomaly detection, effluent compliance</w:t>
            </w:r>
          </w:p>
        </w:tc>
      </w:tr>
      <w:tr w:rsidR="00AF610A" w:rsidRPr="003B555F" w14:paraId="524F9677"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D9966F8" w14:textId="77777777" w:rsidR="00AF610A" w:rsidRPr="003B555F" w:rsidRDefault="00DF167B">
            <w:pPr>
              <w:spacing w:before="40" w:after="40"/>
              <w:rPr>
                <w:sz w:val="10"/>
                <w:szCs w:val="10"/>
              </w:rPr>
            </w:pPr>
            <w:r w:rsidRPr="003B555F">
              <w:rPr>
                <w:rFonts w:ascii="Arial" w:eastAsia="Arial" w:hAnsi="Arial" w:cs="Arial"/>
                <w:color w:val="1A1A1A"/>
                <w:sz w:val="10"/>
                <w:szCs w:val="10"/>
              </w:rPr>
              <w:t>Gradient Boosting (XGBoost)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11009C5" w14:textId="77777777" w:rsidR="00AF610A" w:rsidRPr="003B555F" w:rsidRDefault="00DF167B">
            <w:pPr>
              <w:spacing w:before="40" w:after="40"/>
              <w:rPr>
                <w:sz w:val="10"/>
                <w:szCs w:val="10"/>
              </w:rPr>
            </w:pPr>
            <w:r w:rsidRPr="003B555F">
              <w:rPr>
                <w:rFonts w:ascii="Arial" w:eastAsia="Arial" w:hAnsi="Arial" w:cs="Arial"/>
                <w:color w:val="1A1A1A"/>
                <w:sz w:val="10"/>
                <w:szCs w:val="10"/>
              </w:rPr>
              <w:t>Boosted decision trees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F537D97" w14:textId="77777777" w:rsidR="00AF610A" w:rsidRPr="003B555F" w:rsidRDefault="00DF167B">
            <w:pPr>
              <w:spacing w:before="40" w:after="40"/>
              <w:rPr>
                <w:sz w:val="10"/>
                <w:szCs w:val="10"/>
              </w:rPr>
            </w:pPr>
            <w:r w:rsidRPr="003B555F">
              <w:rPr>
                <w:rFonts w:ascii="Arial" w:eastAsia="Arial" w:hAnsi="Arial" w:cs="Arial"/>
                <w:color w:val="1A1A1A"/>
                <w:sz w:val="10"/>
                <w:szCs w:val="10"/>
              </w:rPr>
              <w:t>0.88–0.95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105FE72" w14:textId="77777777" w:rsidR="00AF610A" w:rsidRPr="003B555F" w:rsidRDefault="00DF167B">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DFF272B" w14:textId="77777777" w:rsidR="00AF610A" w:rsidRPr="003B555F" w:rsidRDefault="00DF167B">
            <w:pPr>
              <w:spacing w:before="40" w:after="40"/>
              <w:rPr>
                <w:sz w:val="10"/>
                <w:szCs w:val="10"/>
              </w:rPr>
            </w:pPr>
            <w:r w:rsidRPr="003B555F">
              <w:rPr>
                <w:rFonts w:ascii="Arial" w:eastAsia="Arial" w:hAnsi="Arial" w:cs="Arial"/>
                <w:color w:val="1A1A1A"/>
                <w:sz w:val="10"/>
                <w:szCs w:val="10"/>
              </w:rPr>
              <w:t>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08E6899" w14:textId="77777777" w:rsidR="00AF610A" w:rsidRPr="003B555F" w:rsidRDefault="00DF167B">
            <w:pPr>
              <w:spacing w:before="40" w:after="40"/>
              <w:rPr>
                <w:sz w:val="10"/>
                <w:szCs w:val="10"/>
              </w:rPr>
            </w:pPr>
            <w:r w:rsidRPr="003B555F">
              <w:rPr>
                <w:rFonts w:ascii="Arial" w:eastAsia="Arial" w:hAnsi="Arial" w:cs="Arial"/>
                <w:color w:val="1A1A1A"/>
                <w:sz w:val="10"/>
                <w:szCs w:val="10"/>
              </w:rPr>
              <w:t>Multi-variable dosage prediction</w:t>
            </w:r>
          </w:p>
        </w:tc>
      </w:tr>
      <w:tr w:rsidR="00AF610A" w:rsidRPr="003B555F" w14:paraId="397AC41D"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24C27C0" w14:textId="77777777" w:rsidR="00AF610A" w:rsidRPr="003B555F" w:rsidRDefault="00DF167B">
            <w:pPr>
              <w:spacing w:before="40" w:after="40"/>
              <w:rPr>
                <w:sz w:val="10"/>
                <w:szCs w:val="10"/>
              </w:rPr>
            </w:pPr>
            <w:r w:rsidRPr="003B555F">
              <w:rPr>
                <w:rFonts w:ascii="Arial" w:eastAsia="Arial" w:hAnsi="Arial" w:cs="Arial"/>
                <w:color w:val="1A1A1A"/>
                <w:sz w:val="10"/>
                <w:szCs w:val="10"/>
              </w:rPr>
              <w:t>Hybrid AI Ensemble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E9DC664" w14:textId="77777777" w:rsidR="00AF610A" w:rsidRPr="003B555F" w:rsidRDefault="00DF167B">
            <w:pPr>
              <w:spacing w:before="40" w:after="40"/>
              <w:rPr>
                <w:sz w:val="10"/>
                <w:szCs w:val="10"/>
              </w:rPr>
            </w:pPr>
            <w:r w:rsidRPr="003B555F">
              <w:rPr>
                <w:rFonts w:ascii="Arial" w:eastAsia="Arial" w:hAnsi="Arial" w:cs="Arial"/>
                <w:color w:val="1A1A1A"/>
                <w:sz w:val="10"/>
                <w:szCs w:val="10"/>
              </w:rPr>
              <w:t>Multi-model fusion + physics-informed</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5D0DBC6" w14:textId="77777777" w:rsidR="00AF610A" w:rsidRPr="003B555F" w:rsidRDefault="00DF167B">
            <w:pPr>
              <w:spacing w:before="40" w:after="40"/>
              <w:rPr>
                <w:sz w:val="10"/>
                <w:szCs w:val="10"/>
              </w:rPr>
            </w:pPr>
            <w:r w:rsidRPr="003B555F">
              <w:rPr>
                <w:rFonts w:ascii="Arial" w:eastAsia="Arial" w:hAnsi="Arial" w:cs="Arial"/>
                <w:color w:val="1A1A1A"/>
                <w:sz w:val="10"/>
                <w:szCs w:val="10"/>
              </w:rPr>
              <w:t>0.91–0.97</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88BEE8F" w14:textId="77777777" w:rsidR="00AF610A" w:rsidRPr="003B555F" w:rsidRDefault="00DF167B">
            <w:pPr>
              <w:spacing w:before="40" w:after="40"/>
              <w:rPr>
                <w:sz w:val="10"/>
                <w:szCs w:val="10"/>
              </w:rPr>
            </w:pPr>
            <w:r w:rsidRPr="003B555F">
              <w:rPr>
                <w:rFonts w:ascii="Arial" w:eastAsia="Arial" w:hAnsi="Arial" w:cs="Arial"/>
                <w:color w:val="1A1A1A"/>
                <w:sz w:val="10"/>
                <w:szCs w:val="10"/>
              </w:rPr>
              <w:t>Very High</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B4B9D31" w14:textId="77777777" w:rsidR="00AF610A" w:rsidRPr="003B555F" w:rsidRDefault="00DF167B">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EDA5850" w14:textId="77777777" w:rsidR="00AF610A" w:rsidRPr="003B555F" w:rsidRDefault="00DF167B">
            <w:pPr>
              <w:spacing w:before="40" w:after="40"/>
              <w:rPr>
                <w:sz w:val="10"/>
                <w:szCs w:val="10"/>
              </w:rPr>
            </w:pPr>
            <w:r w:rsidRPr="003B555F">
              <w:rPr>
                <w:rFonts w:ascii="Arial" w:eastAsia="Arial" w:hAnsi="Arial" w:cs="Arial"/>
                <w:color w:val="1A1A1A"/>
                <w:sz w:val="10"/>
                <w:szCs w:val="10"/>
              </w:rPr>
              <w:t>Comprehensive real-time optimization</w:t>
            </w:r>
          </w:p>
        </w:tc>
      </w:tr>
      <w:tr w:rsidR="00AF610A" w:rsidRPr="003B555F" w14:paraId="308B2A6E"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5C25837" w14:textId="77777777" w:rsidR="00AF610A" w:rsidRPr="003B555F" w:rsidRDefault="00DF167B">
            <w:pPr>
              <w:spacing w:before="40" w:after="40"/>
              <w:rPr>
                <w:sz w:val="10"/>
                <w:szCs w:val="10"/>
              </w:rPr>
            </w:pPr>
            <w:r w:rsidRPr="003B555F">
              <w:rPr>
                <w:rFonts w:ascii="Arial" w:eastAsia="Arial" w:hAnsi="Arial" w:cs="Arial"/>
                <w:color w:val="1A1A1A"/>
                <w:sz w:val="10"/>
                <w:szCs w:val="10"/>
              </w:rPr>
              <w:t>Digital Twin + ML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BBEFAFC" w14:textId="77777777" w:rsidR="00AF610A" w:rsidRPr="003B555F" w:rsidRDefault="00DF167B">
            <w:pPr>
              <w:spacing w:before="40" w:after="40"/>
              <w:rPr>
                <w:sz w:val="10"/>
                <w:szCs w:val="10"/>
              </w:rPr>
            </w:pPr>
            <w:r w:rsidRPr="003B555F">
              <w:rPr>
                <w:rFonts w:ascii="Arial" w:eastAsia="Arial" w:hAnsi="Arial" w:cs="Arial"/>
                <w:color w:val="1A1A1A"/>
                <w:sz w:val="10"/>
                <w:szCs w:val="10"/>
              </w:rPr>
              <w:t>Virtual process simulation + ML control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8AFA0E9" w14:textId="77777777" w:rsidR="00AF610A" w:rsidRPr="003B555F" w:rsidRDefault="00DF167B">
            <w:pPr>
              <w:spacing w:before="40" w:after="40"/>
              <w:rPr>
                <w:sz w:val="10"/>
                <w:szCs w:val="10"/>
              </w:rPr>
            </w:pPr>
            <w:r w:rsidRPr="003B555F">
              <w:rPr>
                <w:rFonts w:ascii="Arial" w:eastAsia="Arial" w:hAnsi="Arial" w:cs="Arial"/>
                <w:color w:val="1A1A1A"/>
                <w:sz w:val="10"/>
                <w:szCs w:val="10"/>
              </w:rPr>
              <w:t>0.90–0.96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4BD0527" w14:textId="77777777" w:rsidR="00AF610A" w:rsidRPr="003B555F" w:rsidRDefault="00DF167B">
            <w:pPr>
              <w:spacing w:before="40" w:after="40"/>
              <w:rPr>
                <w:sz w:val="10"/>
                <w:szCs w:val="10"/>
              </w:rPr>
            </w:pPr>
            <w:r w:rsidRPr="003B555F">
              <w:rPr>
                <w:rFonts w:ascii="Arial" w:eastAsia="Arial" w:hAnsi="Arial" w:cs="Arial"/>
                <w:color w:val="1A1A1A"/>
                <w:sz w:val="10"/>
                <w:szCs w:val="10"/>
              </w:rPr>
              <w:t>Very 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27B8255" w14:textId="77777777" w:rsidR="00AF610A" w:rsidRPr="003B555F" w:rsidRDefault="00DF167B">
            <w:pPr>
              <w:spacing w:before="40" w:after="40"/>
              <w:rPr>
                <w:sz w:val="10"/>
                <w:szCs w:val="10"/>
              </w:rPr>
            </w:pPr>
            <w:r w:rsidRPr="003B555F">
              <w:rPr>
                <w:rFonts w:ascii="Arial" w:eastAsia="Arial" w:hAnsi="Arial" w:cs="Arial"/>
                <w:color w:val="1A1A1A"/>
                <w:sz w:val="10"/>
                <w:szCs w:val="10"/>
              </w:rPr>
              <w:t>Moderate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743D68F" w14:textId="77777777" w:rsidR="00AF610A" w:rsidRPr="003B555F" w:rsidRDefault="00DF167B">
            <w:pPr>
              <w:spacing w:before="40" w:after="40"/>
              <w:rPr>
                <w:sz w:val="10"/>
                <w:szCs w:val="10"/>
              </w:rPr>
            </w:pPr>
            <w:r w:rsidRPr="003B555F">
              <w:rPr>
                <w:rFonts w:ascii="Arial" w:eastAsia="Arial" w:hAnsi="Arial" w:cs="Arial"/>
                <w:color w:val="1A1A1A"/>
                <w:sz w:val="10"/>
                <w:szCs w:val="10"/>
              </w:rPr>
              <w:t>Scenario planning, predictive maintenance</w:t>
            </w:r>
          </w:p>
        </w:tc>
      </w:tr>
    </w:tbl>
    <w:p w14:paraId="65E788D0" w14:textId="77777777" w:rsidR="00AF610A" w:rsidRPr="003B555F" w:rsidRDefault="00DF167B">
      <w:pPr>
        <w:spacing w:before="20" w:after="120"/>
        <w:jc w:val="center"/>
        <w:rPr>
          <w:sz w:val="20"/>
          <w:szCs w:val="20"/>
        </w:rPr>
      </w:pPr>
      <w:r w:rsidRPr="003B555F">
        <w:rPr>
          <w:rFonts w:ascii="Arial" w:eastAsia="Arial" w:hAnsi="Arial" w:cs="Arial"/>
          <w:i/>
          <w:iCs/>
          <w:color w:val="555555"/>
          <w:sz w:val="16"/>
          <w:szCs w:val="16"/>
        </w:rPr>
        <w:t>Source: Compiled from [1, 7, 27, 28, 30, 31, 32, 33, 36, 37, 39]</w:t>
      </w:r>
    </w:p>
    <w:p w14:paraId="7E787F02" w14:textId="77777777" w:rsidR="00AF610A" w:rsidRPr="003B555F" w:rsidRDefault="00DF167B">
      <w:pPr>
        <w:pStyle w:val="Heading2"/>
        <w:spacing w:after="100"/>
        <w:rPr>
          <w:sz w:val="22"/>
          <w:szCs w:val="22"/>
        </w:rPr>
      </w:pPr>
      <w:r w:rsidRPr="003B555F">
        <w:rPr>
          <w:sz w:val="22"/>
          <w:szCs w:val="22"/>
        </w:rPr>
        <w:lastRenderedPageBreak/>
        <w:t xml:space="preserve">4.4 Operational and </w:t>
      </w:r>
      <w:r w:rsidRPr="003B555F">
        <w:rPr>
          <w:sz w:val="22"/>
          <w:szCs w:val="22"/>
        </w:rPr>
        <w:t>Economic Performance</w:t>
      </w:r>
    </w:p>
    <w:p w14:paraId="68A3B220" w14:textId="038EE8BD" w:rsidR="00AF610A" w:rsidRPr="003B555F" w:rsidRDefault="00DF167B" w:rsidP="003B555F">
      <w:pPr>
        <w:spacing w:before="80" w:after="80" w:line="276" w:lineRule="auto"/>
        <w:ind w:firstLine="720"/>
        <w:jc w:val="both"/>
        <w:rPr>
          <w:sz w:val="20"/>
          <w:szCs w:val="20"/>
        </w:rPr>
      </w:pPr>
      <w:r w:rsidRPr="003B555F">
        <w:rPr>
          <w:color w:val="000000"/>
          <w:sz w:val="20"/>
          <w:szCs w:val="20"/>
        </w:rPr>
        <w:t>Figure 6 and Table 4 present the operational benchmarking results comparing conventional activated sludge systems against the proposed AI-driven bioenzyme framework. The AABD system achieved a 38.8% reduction in energy consumption (0.5</w:t>
      </w:r>
      <w:r w:rsidRPr="003B555F">
        <w:rPr>
          <w:color w:val="000000"/>
          <w:sz w:val="20"/>
          <w:szCs w:val="20"/>
        </w:rPr>
        <w:t>2 vs. 0.85 kWh/m³), a 40.6% reduction in operational cost (USD 0.19 vs. USD 0.32/m³), a 37.8% reduction in sludge production (0.28 vs. 0.45 kg/m³), and a 41.8% reduction in GHG emissions (0.64 vs. 1.10 kg CO₂/m³). Compliance violations were reduced by 88.9</w:t>
      </w:r>
      <w:r w:rsidRPr="003B555F">
        <w:rPr>
          <w:color w:val="000000"/>
          <w:sz w:val="20"/>
          <w:szCs w:val="20"/>
        </w:rPr>
        <w:t>% (2 vs. 18 events per year).</w:t>
      </w:r>
    </w:p>
    <w:p w14:paraId="6AF55635" w14:textId="77777777" w:rsidR="00AF610A" w:rsidRPr="003B555F" w:rsidRDefault="00DF167B">
      <w:pPr>
        <w:spacing w:before="160" w:after="60"/>
        <w:jc w:val="center"/>
        <w:rPr>
          <w:sz w:val="20"/>
          <w:szCs w:val="20"/>
        </w:rPr>
      </w:pPr>
      <w:r w:rsidRPr="003B555F">
        <w:rPr>
          <w:noProof/>
          <w:sz w:val="20"/>
          <w:szCs w:val="20"/>
        </w:rPr>
        <w:drawing>
          <wp:inline distT="0" distB="0" distL="0" distR="0" wp14:anchorId="4C9A7B23" wp14:editId="2A006361">
            <wp:extent cx="4768579" cy="2505525"/>
            <wp:effectExtent l="0" t="0" r="0" b="9525"/>
            <wp:docPr id="259005337" name="Picture 25900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4782940" cy="2513070"/>
                    </a:xfrm>
                    <a:prstGeom prst="rect">
                      <a:avLst/>
                    </a:prstGeom>
                  </pic:spPr>
                </pic:pic>
              </a:graphicData>
            </a:graphic>
          </wp:inline>
        </w:drawing>
      </w:r>
    </w:p>
    <w:p w14:paraId="60F90E43" w14:textId="217363F9" w:rsidR="00AF610A" w:rsidRPr="003B555F" w:rsidRDefault="00DF167B">
      <w:pPr>
        <w:spacing w:before="40" w:after="160"/>
        <w:jc w:val="center"/>
        <w:rPr>
          <w:sz w:val="20"/>
          <w:szCs w:val="20"/>
        </w:rPr>
      </w:pPr>
      <w:r w:rsidRPr="003B555F">
        <w:rPr>
          <w:rFonts w:ascii="Arial" w:eastAsia="Arial" w:hAnsi="Arial" w:cs="Arial"/>
          <w:b/>
          <w:bCs/>
          <w:i/>
          <w:iCs/>
          <w:color w:val="1B4F72"/>
          <w:sz w:val="16"/>
          <w:szCs w:val="16"/>
        </w:rPr>
        <w:t xml:space="preserve">Figure 6: Operational Performance Metrics </w:t>
      </w:r>
      <w:r w:rsidR="003B555F">
        <w:rPr>
          <w:rFonts w:ascii="Arial" w:eastAsia="Arial" w:hAnsi="Arial" w:cs="Arial"/>
          <w:b/>
          <w:bCs/>
          <w:i/>
          <w:iCs/>
          <w:color w:val="1B4F72"/>
          <w:sz w:val="16"/>
          <w:szCs w:val="16"/>
        </w:rPr>
        <w:t>-</w:t>
      </w:r>
      <w:r w:rsidRPr="003B555F">
        <w:rPr>
          <w:rFonts w:ascii="Arial" w:eastAsia="Arial" w:hAnsi="Arial" w:cs="Arial"/>
          <w:b/>
          <w:bCs/>
          <w:i/>
          <w:iCs/>
          <w:color w:val="1B4F72"/>
          <w:sz w:val="16"/>
          <w:szCs w:val="16"/>
        </w:rPr>
        <w:t xml:space="preserve"> Conventional vs. AI-Driven Bioenzyme System</w:t>
      </w:r>
    </w:p>
    <w:p w14:paraId="4EF5F32C" w14:textId="77777777" w:rsidR="00AF610A" w:rsidRPr="003B555F" w:rsidRDefault="00DF167B">
      <w:pPr>
        <w:spacing w:before="60" w:after="30"/>
        <w:jc w:val="center"/>
        <w:rPr>
          <w:sz w:val="20"/>
          <w:szCs w:val="20"/>
        </w:rPr>
      </w:pPr>
      <w:r w:rsidRPr="003B555F">
        <w:rPr>
          <w:rFonts w:ascii="Arial" w:eastAsia="Arial" w:hAnsi="Arial" w:cs="Arial"/>
          <w:b/>
          <w:bCs/>
          <w:color w:val="1B4F72"/>
          <w:sz w:val="18"/>
          <w:szCs w:val="18"/>
        </w:rPr>
        <w:t>Table 4: Comprehensive Operational Performance Benchmarking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1"/>
        <w:gridCol w:w="1331"/>
        <w:gridCol w:w="1331"/>
        <w:gridCol w:w="1261"/>
        <w:gridCol w:w="915"/>
        <w:gridCol w:w="1050"/>
        <w:gridCol w:w="1071"/>
      </w:tblGrid>
      <w:tr w:rsidR="00AF610A" w:rsidRPr="003B555F" w14:paraId="27389752" w14:textId="77777777" w:rsidTr="003B555F">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4C7EC70F"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System Configuration</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36A76FC1"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COD Removal (%)</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507708C4"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BOD Removal (%)</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1983640"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Energy (kWh/m³)</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4765F012"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 xml:space="preserve">Cost </w:t>
            </w:r>
            <w:r w:rsidRPr="003B555F">
              <w:rPr>
                <w:rFonts w:ascii="Arial" w:eastAsia="Arial" w:hAnsi="Arial" w:cs="Arial"/>
                <w:b/>
                <w:bCs/>
                <w:color w:val="FFFFFF"/>
                <w:sz w:val="12"/>
                <w:szCs w:val="12"/>
              </w:rPr>
              <w:t>($/m³)</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2CB7AC92"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Violations /yr</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1D642DAA"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Overall Score</w:t>
            </w:r>
          </w:p>
        </w:tc>
      </w:tr>
      <w:tr w:rsidR="00AF610A" w:rsidRPr="003B555F" w14:paraId="6B727A10"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111DFFC"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Conventional Activated Sludge (CAS)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5CA8D0D"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55–65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6922901"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60–70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03BD9D0"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0.85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31FE139"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0.32</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9100753"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18</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6F5B6CC"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45</w:t>
            </w:r>
          </w:p>
        </w:tc>
      </w:tr>
      <w:tr w:rsidR="00AF610A" w:rsidRPr="003B555F" w14:paraId="5131A14A"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1C19C5E"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Manual Enzyme Dosing (Static)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B989300"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65–75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74C1A1A"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70–78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D922CA3"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BC75735"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9697EF9"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F38CD87"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62</w:t>
            </w:r>
          </w:p>
        </w:tc>
      </w:tr>
      <w:tr w:rsidR="00AF610A" w:rsidRPr="003B555F" w14:paraId="79AC163A"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8056746"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AI-ANN Controlled Dosing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257EF01"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80–87</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278B589"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82–88</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BD8F6C7"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0.65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D800EFF"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0.24</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4CC35C3"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6</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9374DB0"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74</w:t>
            </w:r>
          </w:p>
        </w:tc>
      </w:tr>
      <w:tr w:rsidR="00AF610A" w:rsidRPr="003B555F" w14:paraId="37305AC2"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9DD9F3D"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AI-LSTM + IoT Monitoring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632BDDB"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85–91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03AA341C"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86–92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39DB678"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0.60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46DD816"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5078A33"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D4DA7EF"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81</w:t>
            </w:r>
          </w:p>
        </w:tc>
      </w:tr>
      <w:tr w:rsidR="00AF610A" w:rsidRPr="003B555F" w14:paraId="427F1E97"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516A3A2"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RL-Based Adaptive Dosing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09071EA"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88–93</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06F05B6"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89–94</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E3AD994"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0.55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2B9E107"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0.20</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7FFA9059"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3</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A80991F" w14:textId="77777777" w:rsidR="00AF610A" w:rsidRPr="003B555F" w:rsidRDefault="00DF167B">
            <w:pPr>
              <w:spacing w:before="40" w:after="40"/>
              <w:jc w:val="center"/>
              <w:rPr>
                <w:sz w:val="12"/>
                <w:szCs w:val="12"/>
              </w:rPr>
            </w:pPr>
            <w:r w:rsidRPr="003B555F">
              <w:rPr>
                <w:rFonts w:ascii="Arial" w:eastAsia="Arial" w:hAnsi="Arial" w:cs="Arial"/>
                <w:color w:val="1A1A1A"/>
                <w:sz w:val="12"/>
                <w:szCs w:val="12"/>
              </w:rPr>
              <w:t>87</w:t>
            </w:r>
          </w:p>
        </w:tc>
      </w:tr>
      <w:tr w:rsidR="00AF610A" w:rsidRPr="003B555F" w14:paraId="0DFC82A8"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21C56904" w14:textId="77777777" w:rsidR="00AF610A" w:rsidRPr="003B555F" w:rsidRDefault="00DF167B">
            <w:pPr>
              <w:spacing w:before="40" w:after="40"/>
              <w:jc w:val="center"/>
              <w:rPr>
                <w:sz w:val="12"/>
                <w:szCs w:val="12"/>
              </w:rPr>
            </w:pPr>
            <w:r w:rsidRPr="003B555F">
              <w:rPr>
                <w:rFonts w:ascii="Arial" w:eastAsia="Arial" w:hAnsi="Arial" w:cs="Arial"/>
                <w:b/>
                <w:bCs/>
                <w:color w:val="1A1A1A"/>
                <w:sz w:val="12"/>
                <w:szCs w:val="12"/>
              </w:rPr>
              <w:t>Proposed Hybrid AI-Enzyme System</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2D5A6FFB" w14:textId="77777777" w:rsidR="00AF610A" w:rsidRPr="003B555F" w:rsidRDefault="00DF167B">
            <w:pPr>
              <w:spacing w:before="40" w:after="40"/>
              <w:jc w:val="center"/>
              <w:rPr>
                <w:sz w:val="12"/>
                <w:szCs w:val="12"/>
              </w:rPr>
            </w:pPr>
            <w:r w:rsidRPr="003B555F">
              <w:rPr>
                <w:rFonts w:ascii="Arial" w:eastAsia="Arial" w:hAnsi="Arial" w:cs="Arial"/>
                <w:b/>
                <w:bCs/>
                <w:color w:val="1A1A1A"/>
                <w:sz w:val="12"/>
                <w:szCs w:val="12"/>
              </w:rPr>
              <w:t>92–96</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0186CC80" w14:textId="77777777" w:rsidR="00AF610A" w:rsidRPr="003B555F" w:rsidRDefault="00DF167B">
            <w:pPr>
              <w:spacing w:before="40" w:after="40"/>
              <w:jc w:val="center"/>
              <w:rPr>
                <w:sz w:val="12"/>
                <w:szCs w:val="12"/>
              </w:rPr>
            </w:pPr>
            <w:r w:rsidRPr="003B555F">
              <w:rPr>
                <w:rFonts w:ascii="Arial" w:eastAsia="Arial" w:hAnsi="Arial" w:cs="Arial"/>
                <w:b/>
                <w:bCs/>
                <w:color w:val="1A1A1A"/>
                <w:sz w:val="12"/>
                <w:szCs w:val="12"/>
              </w:rPr>
              <w:t>93–95</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2B5FF596" w14:textId="77777777" w:rsidR="00AF610A" w:rsidRPr="003B555F" w:rsidRDefault="00DF167B">
            <w:pPr>
              <w:spacing w:before="40" w:after="40"/>
              <w:jc w:val="center"/>
              <w:rPr>
                <w:sz w:val="12"/>
                <w:szCs w:val="12"/>
              </w:rPr>
            </w:pPr>
            <w:r w:rsidRPr="003B555F">
              <w:rPr>
                <w:rFonts w:ascii="Arial" w:eastAsia="Arial" w:hAnsi="Arial" w:cs="Arial"/>
                <w:b/>
                <w:bCs/>
                <w:color w:val="1A1A1A"/>
                <w:sz w:val="12"/>
                <w:szCs w:val="12"/>
              </w:rPr>
              <w:t>0.52</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1B5D3FFB" w14:textId="77777777" w:rsidR="00AF610A" w:rsidRPr="003B555F" w:rsidRDefault="00DF167B">
            <w:pPr>
              <w:spacing w:before="40" w:after="40"/>
              <w:jc w:val="center"/>
              <w:rPr>
                <w:sz w:val="12"/>
                <w:szCs w:val="12"/>
              </w:rPr>
            </w:pPr>
            <w:r w:rsidRPr="003B555F">
              <w:rPr>
                <w:rFonts w:ascii="Arial" w:eastAsia="Arial" w:hAnsi="Arial" w:cs="Arial"/>
                <w:b/>
                <w:bCs/>
                <w:color w:val="1A1A1A"/>
                <w:sz w:val="12"/>
                <w:szCs w:val="12"/>
              </w:rPr>
              <w:t>0.19</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636C3FE9" w14:textId="77777777" w:rsidR="00AF610A" w:rsidRPr="003B555F" w:rsidRDefault="00DF167B">
            <w:pPr>
              <w:spacing w:before="40" w:after="40"/>
              <w:jc w:val="center"/>
              <w:rPr>
                <w:sz w:val="12"/>
                <w:szCs w:val="12"/>
              </w:rPr>
            </w:pPr>
            <w:r w:rsidRPr="003B555F">
              <w:rPr>
                <w:rFonts w:ascii="Arial" w:eastAsia="Arial" w:hAnsi="Arial" w:cs="Arial"/>
                <w:b/>
                <w:bCs/>
                <w:color w:val="1A1A1A"/>
                <w:sz w:val="12"/>
                <w:szCs w:val="12"/>
              </w:rPr>
              <w:t>2</w:t>
            </w:r>
          </w:p>
        </w:tc>
        <w:tc>
          <w:tcPr>
            <w:tcW w:w="0" w:type="auto"/>
            <w:tcBorders>
              <w:top w:val="single" w:sz="6" w:space="0" w:color="CCCCCC"/>
              <w:left w:val="single" w:sz="6" w:space="0" w:color="CCCCCC"/>
              <w:bottom w:val="single" w:sz="6" w:space="0" w:color="CCCCCC"/>
              <w:right w:val="single" w:sz="6" w:space="0" w:color="CCCCCC"/>
            </w:tcBorders>
            <w:shd w:val="clear" w:color="auto" w:fill="D5F5E3"/>
            <w:tcMar>
              <w:top w:w="60" w:type="dxa"/>
              <w:left w:w="100" w:type="dxa"/>
              <w:bottom w:w="60" w:type="dxa"/>
              <w:right w:w="100" w:type="dxa"/>
            </w:tcMar>
            <w:vAlign w:val="center"/>
          </w:tcPr>
          <w:p w14:paraId="4ADCA6EC" w14:textId="77777777" w:rsidR="00AF610A" w:rsidRPr="003B555F" w:rsidRDefault="00DF167B">
            <w:pPr>
              <w:spacing w:before="40" w:after="40"/>
              <w:jc w:val="center"/>
              <w:rPr>
                <w:sz w:val="12"/>
                <w:szCs w:val="12"/>
              </w:rPr>
            </w:pPr>
            <w:r w:rsidRPr="003B555F">
              <w:rPr>
                <w:rFonts w:ascii="Arial" w:eastAsia="Arial" w:hAnsi="Arial" w:cs="Arial"/>
                <w:b/>
                <w:bCs/>
                <w:color w:val="1A1A1A"/>
                <w:sz w:val="12"/>
                <w:szCs w:val="12"/>
              </w:rPr>
              <w:t>94</w:t>
            </w:r>
          </w:p>
        </w:tc>
      </w:tr>
    </w:tbl>
    <w:p w14:paraId="2B2D0F1F" w14:textId="77777777" w:rsidR="00AF610A" w:rsidRPr="003B555F" w:rsidRDefault="00DF167B">
      <w:pPr>
        <w:spacing w:before="20" w:after="120"/>
        <w:jc w:val="center"/>
        <w:rPr>
          <w:sz w:val="20"/>
          <w:szCs w:val="20"/>
        </w:rPr>
      </w:pPr>
      <w:r w:rsidRPr="003B555F">
        <w:rPr>
          <w:rFonts w:ascii="Arial" w:eastAsia="Arial" w:hAnsi="Arial" w:cs="Arial"/>
          <w:i/>
          <w:iCs/>
          <w:color w:val="555555"/>
          <w:sz w:val="16"/>
          <w:szCs w:val="16"/>
        </w:rPr>
        <w:t>Highlighted row denotes proposed AABD system. Sources: [1, 4, 5, 8, 18, 22, 23, 32, 38, 40]</w:t>
      </w:r>
    </w:p>
    <w:p w14:paraId="7AA9D28D" w14:textId="77777777" w:rsidR="00AF610A" w:rsidRPr="003B555F" w:rsidRDefault="00DF167B">
      <w:pPr>
        <w:spacing w:before="80" w:after="80" w:line="276" w:lineRule="auto"/>
        <w:ind w:firstLine="720"/>
        <w:jc w:val="both"/>
        <w:rPr>
          <w:sz w:val="20"/>
          <w:szCs w:val="20"/>
        </w:rPr>
      </w:pPr>
      <w:r w:rsidRPr="003B555F">
        <w:rPr>
          <w:color w:val="000000"/>
          <w:sz w:val="20"/>
          <w:szCs w:val="20"/>
        </w:rPr>
        <w:t xml:space="preserve">These economic gains stem from three </w:t>
      </w:r>
      <w:r w:rsidRPr="003B555F">
        <w:rPr>
          <w:color w:val="000000"/>
          <w:sz w:val="20"/>
          <w:szCs w:val="20"/>
        </w:rPr>
        <w:t>primary mechanisms: (1) precision enzyme dosing eliminates overdose waste, reducing enzyme consumption by ~30%; (2) AI-optimized aeration control reduces blower energy; and (3) reduced sludge production lowers dewatering and disposal costs. These results a</w:t>
      </w:r>
      <w:r w:rsidRPr="003B555F">
        <w:rPr>
          <w:color w:val="000000"/>
          <w:sz w:val="20"/>
          <w:szCs w:val="20"/>
        </w:rPr>
        <w:t xml:space="preserve">lign with Wang et al. (2023) [8] who reported 20% chemical consumption reductions in AI-optimized dosing </w:t>
      </w:r>
      <w:proofErr w:type="gramStart"/>
      <w:r w:rsidRPr="003B555F">
        <w:rPr>
          <w:color w:val="000000"/>
          <w:sz w:val="20"/>
          <w:szCs w:val="20"/>
        </w:rPr>
        <w:t>systems,</w:t>
      </w:r>
      <w:proofErr w:type="gramEnd"/>
      <w:r w:rsidRPr="003B555F">
        <w:rPr>
          <w:color w:val="000000"/>
          <w:sz w:val="20"/>
          <w:szCs w:val="20"/>
        </w:rPr>
        <w:t xml:space="preserve"> and with Li et al. (2025) [38] who demonstrated that optimizing carbon dosage strategies in WWTPs reduces both energy consumption and GHG emis</w:t>
      </w:r>
      <w:r w:rsidRPr="003B555F">
        <w:rPr>
          <w:color w:val="000000"/>
          <w:sz w:val="20"/>
          <w:szCs w:val="20"/>
        </w:rPr>
        <w:t>sions simultaneously.</w:t>
      </w:r>
    </w:p>
    <w:p w14:paraId="5FFF7790" w14:textId="77777777" w:rsidR="00AF610A" w:rsidRPr="003B555F" w:rsidRDefault="00DF167B">
      <w:pPr>
        <w:pStyle w:val="Heading2"/>
        <w:spacing w:after="100"/>
        <w:rPr>
          <w:sz w:val="22"/>
          <w:szCs w:val="22"/>
        </w:rPr>
      </w:pPr>
      <w:r w:rsidRPr="003B555F">
        <w:rPr>
          <w:sz w:val="22"/>
          <w:szCs w:val="22"/>
        </w:rPr>
        <w:t>4.5 Validation through Case Studies</w:t>
      </w:r>
    </w:p>
    <w:p w14:paraId="669AB164" w14:textId="77777777" w:rsidR="00AF610A" w:rsidRPr="003B555F" w:rsidRDefault="00DF167B">
      <w:pPr>
        <w:spacing w:before="80" w:after="80" w:line="276" w:lineRule="auto"/>
        <w:ind w:firstLine="720"/>
        <w:jc w:val="both"/>
        <w:rPr>
          <w:sz w:val="20"/>
          <w:szCs w:val="20"/>
        </w:rPr>
      </w:pPr>
      <w:r w:rsidRPr="003B555F">
        <w:rPr>
          <w:color w:val="000000"/>
          <w:sz w:val="20"/>
          <w:szCs w:val="20"/>
        </w:rPr>
        <w:t xml:space="preserve">Table 5 synthesizes findings from six published case studies in which AI-driven biological treatment systems were implemented in decentralized contexts. </w:t>
      </w:r>
      <w:proofErr w:type="gramStart"/>
      <w:r w:rsidRPr="003B555F">
        <w:rPr>
          <w:color w:val="000000"/>
          <w:sz w:val="20"/>
          <w:szCs w:val="20"/>
        </w:rPr>
        <w:t>These case studies span diverse geographies (</w:t>
      </w:r>
      <w:r w:rsidRPr="003B555F">
        <w:rPr>
          <w:color w:val="000000"/>
          <w:sz w:val="20"/>
          <w:szCs w:val="20"/>
        </w:rPr>
        <w:t>South Asia, Europe, China, India, Africa, Latin America), wastewater types (domestic, industrial, textile, pharmaceutical), and treatment technologies, collectively providing robust evidence for the generalizability of the AABD framework.</w:t>
      </w:r>
      <w:proofErr w:type="gramEnd"/>
    </w:p>
    <w:p w14:paraId="5794409D" w14:textId="77777777" w:rsidR="00AF610A" w:rsidRPr="003B555F" w:rsidRDefault="00AF610A">
      <w:pPr>
        <w:spacing w:before="80"/>
        <w:rPr>
          <w:sz w:val="20"/>
          <w:szCs w:val="20"/>
        </w:rPr>
      </w:pPr>
    </w:p>
    <w:p w14:paraId="3D4EC887" w14:textId="77777777" w:rsidR="003B555F" w:rsidRDefault="003B555F">
      <w:pPr>
        <w:spacing w:before="60" w:after="30"/>
        <w:jc w:val="center"/>
        <w:rPr>
          <w:rFonts w:ascii="Arial" w:eastAsia="Arial" w:hAnsi="Arial" w:cs="Arial"/>
          <w:b/>
          <w:bCs/>
          <w:color w:val="1B4F72"/>
          <w:sz w:val="18"/>
          <w:szCs w:val="18"/>
        </w:rPr>
      </w:pPr>
    </w:p>
    <w:p w14:paraId="609A5F35" w14:textId="77777777" w:rsidR="003B555F" w:rsidRDefault="003B555F">
      <w:pPr>
        <w:spacing w:before="60" w:after="30"/>
        <w:jc w:val="center"/>
        <w:rPr>
          <w:rFonts w:ascii="Arial" w:eastAsia="Arial" w:hAnsi="Arial" w:cs="Arial"/>
          <w:b/>
          <w:bCs/>
          <w:color w:val="1B4F72"/>
          <w:sz w:val="18"/>
          <w:szCs w:val="18"/>
        </w:rPr>
      </w:pPr>
    </w:p>
    <w:p w14:paraId="3C84A475" w14:textId="77777777" w:rsidR="003B555F" w:rsidRDefault="003B555F">
      <w:pPr>
        <w:spacing w:before="60" w:after="30"/>
        <w:jc w:val="center"/>
        <w:rPr>
          <w:rFonts w:ascii="Arial" w:eastAsia="Arial" w:hAnsi="Arial" w:cs="Arial"/>
          <w:b/>
          <w:bCs/>
          <w:color w:val="1B4F72"/>
          <w:sz w:val="18"/>
          <w:szCs w:val="18"/>
        </w:rPr>
      </w:pPr>
    </w:p>
    <w:p w14:paraId="43AC2DDE" w14:textId="77777777" w:rsidR="003B555F" w:rsidRDefault="003B555F">
      <w:pPr>
        <w:spacing w:before="60" w:after="30"/>
        <w:jc w:val="center"/>
        <w:rPr>
          <w:rFonts w:ascii="Arial" w:eastAsia="Arial" w:hAnsi="Arial" w:cs="Arial"/>
          <w:b/>
          <w:bCs/>
          <w:color w:val="1B4F72"/>
          <w:sz w:val="18"/>
          <w:szCs w:val="18"/>
        </w:rPr>
      </w:pPr>
    </w:p>
    <w:p w14:paraId="249D5504" w14:textId="77777777" w:rsidR="003B555F" w:rsidRDefault="003B555F">
      <w:pPr>
        <w:spacing w:before="60" w:after="30"/>
        <w:jc w:val="center"/>
        <w:rPr>
          <w:rFonts w:ascii="Arial" w:eastAsia="Arial" w:hAnsi="Arial" w:cs="Arial"/>
          <w:b/>
          <w:bCs/>
          <w:color w:val="1B4F72"/>
          <w:sz w:val="18"/>
          <w:szCs w:val="18"/>
        </w:rPr>
      </w:pPr>
    </w:p>
    <w:p w14:paraId="6D7FA777" w14:textId="3F686FFF" w:rsidR="00AF610A" w:rsidRPr="003B555F" w:rsidRDefault="00DF167B">
      <w:pPr>
        <w:spacing w:before="60" w:after="30"/>
        <w:jc w:val="center"/>
        <w:rPr>
          <w:sz w:val="20"/>
          <w:szCs w:val="20"/>
        </w:rPr>
      </w:pPr>
      <w:r w:rsidRPr="003B555F">
        <w:rPr>
          <w:rFonts w:ascii="Arial" w:eastAsia="Arial" w:hAnsi="Arial" w:cs="Arial"/>
          <w:b/>
          <w:bCs/>
          <w:color w:val="1B4F72"/>
          <w:sz w:val="18"/>
          <w:szCs w:val="18"/>
        </w:rPr>
        <w:lastRenderedPageBreak/>
        <w:t xml:space="preserve">Table 5: </w:t>
      </w:r>
      <w:r w:rsidRPr="003B555F">
        <w:rPr>
          <w:rFonts w:ascii="Arial" w:eastAsia="Arial" w:hAnsi="Arial" w:cs="Arial"/>
          <w:b/>
          <w:bCs/>
          <w:color w:val="1B4F72"/>
          <w:sz w:val="18"/>
          <w:szCs w:val="18"/>
        </w:rPr>
        <w:t>Case Studies of AI-Driven Bioenzyme Treatment in Decentralized Systems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53"/>
        <w:gridCol w:w="2117"/>
        <w:gridCol w:w="1600"/>
        <w:gridCol w:w="1729"/>
        <w:gridCol w:w="1227"/>
        <w:gridCol w:w="734"/>
      </w:tblGrid>
      <w:tr w:rsidR="00AF610A" w:rsidRPr="003B555F" w14:paraId="663D76D3" w14:textId="77777777" w:rsidTr="003B555F">
        <w:trPr>
          <w:tblHeader/>
          <w:jc w:val="center"/>
        </w:trPr>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554877AA"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Case Study</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5823A347"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System Description</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6A3BB18F"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AI Technology Used</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F17A1D4"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Treatment Outcome</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18A8048E"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Economic Benefit</w:t>
            </w:r>
          </w:p>
        </w:tc>
        <w:tc>
          <w:tcPr>
            <w:tcW w:w="0" w:type="auto"/>
            <w:tcBorders>
              <w:top w:val="single" w:sz="6" w:space="0" w:color="FFFFFF"/>
              <w:left w:val="single" w:sz="6" w:space="0" w:color="FFFFFF"/>
              <w:bottom w:val="single" w:sz="6" w:space="0" w:color="FFFFFF"/>
              <w:right w:val="single" w:sz="6" w:space="0" w:color="FFFFFF"/>
            </w:tcBorders>
            <w:shd w:val="clear" w:color="auto" w:fill="1B4F72"/>
            <w:tcMar>
              <w:top w:w="80" w:type="dxa"/>
              <w:left w:w="120" w:type="dxa"/>
              <w:bottom w:w="80" w:type="dxa"/>
              <w:right w:w="120" w:type="dxa"/>
            </w:tcMar>
            <w:vAlign w:val="center"/>
          </w:tcPr>
          <w:p w14:paraId="00C37A74" w14:textId="77777777" w:rsidR="00AF610A" w:rsidRPr="003B555F" w:rsidRDefault="00DF167B">
            <w:pPr>
              <w:spacing w:before="40" w:after="40"/>
              <w:jc w:val="center"/>
              <w:rPr>
                <w:sz w:val="12"/>
                <w:szCs w:val="12"/>
              </w:rPr>
            </w:pPr>
            <w:r w:rsidRPr="003B555F">
              <w:rPr>
                <w:rFonts w:ascii="Arial" w:eastAsia="Arial" w:hAnsi="Arial" w:cs="Arial"/>
                <w:b/>
                <w:bCs/>
                <w:color w:val="FFFFFF"/>
                <w:sz w:val="12"/>
                <w:szCs w:val="12"/>
              </w:rPr>
              <w:t>Ref.</w:t>
            </w:r>
          </w:p>
        </w:tc>
      </w:tr>
      <w:tr w:rsidR="00AF610A" w:rsidRPr="003B555F" w14:paraId="177F8B72"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F046FD1" w14:textId="77777777" w:rsidR="00AF610A" w:rsidRPr="003B555F" w:rsidRDefault="00DF167B">
            <w:pPr>
              <w:spacing w:before="40" w:after="40"/>
              <w:rPr>
                <w:sz w:val="12"/>
                <w:szCs w:val="12"/>
              </w:rPr>
            </w:pPr>
            <w:r w:rsidRPr="003B555F">
              <w:rPr>
                <w:rFonts w:ascii="Arial" w:eastAsia="Arial" w:hAnsi="Arial" w:cs="Arial"/>
                <w:color w:val="1A1A1A"/>
                <w:sz w:val="12"/>
                <w:szCs w:val="12"/>
              </w:rPr>
              <w:t>Rural Community WWTP (South Asia)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8429132" w14:textId="77777777" w:rsidR="00AF610A" w:rsidRPr="003B555F" w:rsidRDefault="00DF167B">
            <w:pPr>
              <w:spacing w:before="40" w:after="40"/>
              <w:rPr>
                <w:sz w:val="12"/>
                <w:szCs w:val="12"/>
              </w:rPr>
            </w:pPr>
            <w:r w:rsidRPr="003B555F">
              <w:rPr>
                <w:rFonts w:ascii="Arial" w:eastAsia="Arial" w:hAnsi="Arial" w:cs="Arial"/>
                <w:color w:val="1A1A1A"/>
                <w:sz w:val="12"/>
                <w:szCs w:val="12"/>
              </w:rPr>
              <w:t>Community-scale decentralized STP</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3CC91710" w14:textId="77777777" w:rsidR="00AF610A" w:rsidRPr="003B555F" w:rsidRDefault="00DF167B">
            <w:pPr>
              <w:spacing w:before="40" w:after="40"/>
              <w:rPr>
                <w:sz w:val="12"/>
                <w:szCs w:val="12"/>
              </w:rPr>
            </w:pPr>
            <w:r w:rsidRPr="003B555F">
              <w:rPr>
                <w:rFonts w:ascii="Arial" w:eastAsia="Arial" w:hAnsi="Arial" w:cs="Arial"/>
                <w:color w:val="1A1A1A"/>
                <w:sz w:val="12"/>
                <w:szCs w:val="12"/>
              </w:rPr>
              <w:t>LSTM + IoT sensors</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98689DF" w14:textId="77777777" w:rsidR="00AF610A" w:rsidRPr="003B555F" w:rsidRDefault="00DF167B">
            <w:pPr>
              <w:spacing w:before="40" w:after="40"/>
              <w:rPr>
                <w:sz w:val="12"/>
                <w:szCs w:val="12"/>
              </w:rPr>
            </w:pPr>
            <w:r w:rsidRPr="003B555F">
              <w:rPr>
                <w:rFonts w:ascii="Arial" w:eastAsia="Arial" w:hAnsi="Arial" w:cs="Arial"/>
                <w:color w:val="1A1A1A"/>
                <w:sz w:val="12"/>
                <w:szCs w:val="12"/>
              </w:rPr>
              <w:t xml:space="preserve">COD ↓ </w:t>
            </w:r>
            <w:r w:rsidRPr="003B555F">
              <w:rPr>
                <w:rFonts w:ascii="Arial" w:eastAsia="Arial" w:hAnsi="Arial" w:cs="Arial"/>
                <w:color w:val="1A1A1A"/>
                <w:sz w:val="12"/>
                <w:szCs w:val="12"/>
              </w:rPr>
              <w:t>89%, BOD ↓ 91%</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963E750" w14:textId="77777777" w:rsidR="00AF610A" w:rsidRPr="003B555F" w:rsidRDefault="00DF167B">
            <w:pPr>
              <w:spacing w:before="40" w:after="40"/>
              <w:rPr>
                <w:sz w:val="12"/>
                <w:szCs w:val="12"/>
              </w:rPr>
            </w:pPr>
            <w:r w:rsidRPr="003B555F">
              <w:rPr>
                <w:rFonts w:ascii="Arial" w:eastAsia="Arial" w:hAnsi="Arial" w:cs="Arial"/>
                <w:color w:val="1A1A1A"/>
                <w:sz w:val="12"/>
                <w:szCs w:val="12"/>
              </w:rPr>
              <w:t>Energy savings 38%</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8AD9D7C" w14:textId="77777777" w:rsidR="00AF610A" w:rsidRPr="003B555F" w:rsidRDefault="00DF167B">
            <w:pPr>
              <w:spacing w:before="40" w:after="40"/>
              <w:rPr>
                <w:sz w:val="12"/>
                <w:szCs w:val="12"/>
              </w:rPr>
            </w:pPr>
            <w:r w:rsidRPr="003B555F">
              <w:rPr>
                <w:rFonts w:ascii="Arial" w:eastAsia="Arial" w:hAnsi="Arial" w:cs="Arial"/>
                <w:color w:val="1A1A1A"/>
                <w:sz w:val="12"/>
                <w:szCs w:val="12"/>
              </w:rPr>
              <w:t>[18,22,23]</w:t>
            </w:r>
          </w:p>
        </w:tc>
      </w:tr>
      <w:tr w:rsidR="00AF610A" w:rsidRPr="003B555F" w14:paraId="70DF5CF4"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3154F63" w14:textId="77777777" w:rsidR="00AF610A" w:rsidRPr="003B555F" w:rsidRDefault="00DF167B">
            <w:pPr>
              <w:spacing w:before="40" w:after="40"/>
              <w:rPr>
                <w:sz w:val="12"/>
                <w:szCs w:val="12"/>
              </w:rPr>
            </w:pPr>
            <w:r w:rsidRPr="003B555F">
              <w:rPr>
                <w:rFonts w:ascii="Arial" w:eastAsia="Arial" w:hAnsi="Arial" w:cs="Arial"/>
                <w:color w:val="1A1A1A"/>
                <w:sz w:val="12"/>
                <w:szCs w:val="12"/>
              </w:rPr>
              <w:t>Industrial Food Processing (Europe)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3933A92" w14:textId="77777777" w:rsidR="00AF610A" w:rsidRPr="003B555F" w:rsidRDefault="00DF167B">
            <w:pPr>
              <w:spacing w:before="40" w:after="40"/>
              <w:rPr>
                <w:sz w:val="12"/>
                <w:szCs w:val="12"/>
              </w:rPr>
            </w:pPr>
            <w:r w:rsidRPr="003B555F">
              <w:rPr>
                <w:rFonts w:ascii="Arial" w:eastAsia="Arial" w:hAnsi="Arial" w:cs="Arial"/>
                <w:color w:val="1A1A1A"/>
                <w:sz w:val="12"/>
                <w:szCs w:val="12"/>
              </w:rPr>
              <w:t>High-strength organic effluent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23AAFF5" w14:textId="77777777" w:rsidR="00AF610A" w:rsidRPr="003B555F" w:rsidRDefault="00DF167B">
            <w:pPr>
              <w:spacing w:before="40" w:after="40"/>
              <w:rPr>
                <w:sz w:val="12"/>
                <w:szCs w:val="12"/>
              </w:rPr>
            </w:pPr>
            <w:r w:rsidRPr="003B555F">
              <w:rPr>
                <w:rFonts w:ascii="Arial" w:eastAsia="Arial" w:hAnsi="Arial" w:cs="Arial"/>
                <w:color w:val="1A1A1A"/>
                <w:sz w:val="12"/>
                <w:szCs w:val="12"/>
              </w:rPr>
              <w:t>RL dosing agent + RF model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07D1755" w14:textId="77777777" w:rsidR="00AF610A" w:rsidRPr="003B555F" w:rsidRDefault="00DF167B">
            <w:pPr>
              <w:spacing w:before="40" w:after="40"/>
              <w:rPr>
                <w:sz w:val="12"/>
                <w:szCs w:val="12"/>
              </w:rPr>
            </w:pPr>
            <w:r w:rsidRPr="003B555F">
              <w:rPr>
                <w:rFonts w:ascii="Arial" w:eastAsia="Arial" w:hAnsi="Arial" w:cs="Arial"/>
                <w:color w:val="1A1A1A"/>
                <w:sz w:val="12"/>
                <w:szCs w:val="12"/>
              </w:rPr>
              <w:t>COD ↓ 94%, Lipase dosing ↓ 30%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9F4DCBD" w14:textId="77777777" w:rsidR="00AF610A" w:rsidRPr="003B555F" w:rsidRDefault="00DF167B">
            <w:pPr>
              <w:spacing w:before="40" w:after="40"/>
              <w:rPr>
                <w:sz w:val="12"/>
                <w:szCs w:val="12"/>
              </w:rPr>
            </w:pPr>
            <w:r w:rsidRPr="003B555F">
              <w:rPr>
                <w:rFonts w:ascii="Arial" w:eastAsia="Arial" w:hAnsi="Arial" w:cs="Arial"/>
                <w:color w:val="1A1A1A"/>
                <w:sz w:val="12"/>
                <w:szCs w:val="12"/>
              </w:rPr>
              <w:t>Cost savings 42%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1C515BA" w14:textId="77777777" w:rsidR="00AF610A" w:rsidRPr="003B555F" w:rsidRDefault="00DF167B">
            <w:pPr>
              <w:spacing w:before="40" w:after="40"/>
              <w:rPr>
                <w:sz w:val="12"/>
                <w:szCs w:val="12"/>
              </w:rPr>
            </w:pPr>
            <w:r w:rsidRPr="003B555F">
              <w:rPr>
                <w:rFonts w:ascii="Arial" w:eastAsia="Arial" w:hAnsi="Arial" w:cs="Arial"/>
                <w:color w:val="1A1A1A"/>
                <w:sz w:val="12"/>
                <w:szCs w:val="12"/>
              </w:rPr>
              <w:t>[21,24,25]</w:t>
            </w:r>
          </w:p>
        </w:tc>
      </w:tr>
      <w:tr w:rsidR="00AF610A" w:rsidRPr="003B555F" w14:paraId="6ED33FAC"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3FDFB6B" w14:textId="77777777" w:rsidR="00AF610A" w:rsidRPr="003B555F" w:rsidRDefault="00DF167B">
            <w:pPr>
              <w:spacing w:before="40" w:after="40"/>
              <w:rPr>
                <w:sz w:val="12"/>
                <w:szCs w:val="12"/>
              </w:rPr>
            </w:pPr>
            <w:r w:rsidRPr="003B555F">
              <w:rPr>
                <w:rFonts w:ascii="Arial" w:eastAsia="Arial" w:hAnsi="Arial" w:cs="Arial"/>
                <w:color w:val="1A1A1A"/>
                <w:sz w:val="12"/>
                <w:szCs w:val="12"/>
              </w:rPr>
              <w:t>Urban MBR + Enzyme System (China)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01A31E9A" w14:textId="77777777" w:rsidR="00AF610A" w:rsidRPr="003B555F" w:rsidRDefault="00DF167B">
            <w:pPr>
              <w:spacing w:before="40" w:after="40"/>
              <w:rPr>
                <w:sz w:val="12"/>
                <w:szCs w:val="12"/>
              </w:rPr>
            </w:pPr>
            <w:r w:rsidRPr="003B555F">
              <w:rPr>
                <w:rFonts w:ascii="Arial" w:eastAsia="Arial" w:hAnsi="Arial" w:cs="Arial"/>
                <w:color w:val="1A1A1A"/>
                <w:sz w:val="12"/>
                <w:szCs w:val="12"/>
              </w:rPr>
              <w:t xml:space="preserve">Municipal WWTP with </w:t>
            </w:r>
            <w:r w:rsidRPr="003B555F">
              <w:rPr>
                <w:rFonts w:ascii="Arial" w:eastAsia="Arial" w:hAnsi="Arial" w:cs="Arial"/>
                <w:color w:val="1A1A1A"/>
                <w:sz w:val="12"/>
                <w:szCs w:val="12"/>
              </w:rPr>
              <w:t>MBR integration</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9D9AE8B" w14:textId="77777777" w:rsidR="00AF610A" w:rsidRPr="003B555F" w:rsidRDefault="00DF167B">
            <w:pPr>
              <w:spacing w:before="40" w:after="40"/>
              <w:rPr>
                <w:sz w:val="12"/>
                <w:szCs w:val="12"/>
              </w:rPr>
            </w:pPr>
            <w:r w:rsidRPr="003B555F">
              <w:rPr>
                <w:rFonts w:ascii="Arial" w:eastAsia="Arial" w:hAnsi="Arial" w:cs="Arial"/>
                <w:color w:val="1A1A1A"/>
                <w:sz w:val="12"/>
                <w:szCs w:val="12"/>
              </w:rPr>
              <w:t>ANN + Gradient Boosting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F09F7F7" w14:textId="77777777" w:rsidR="00AF610A" w:rsidRPr="003B555F" w:rsidRDefault="00DF167B">
            <w:pPr>
              <w:spacing w:before="40" w:after="40"/>
              <w:rPr>
                <w:sz w:val="12"/>
                <w:szCs w:val="12"/>
              </w:rPr>
            </w:pPr>
            <w:r w:rsidRPr="003B555F">
              <w:rPr>
                <w:rFonts w:ascii="Arial" w:eastAsia="Arial" w:hAnsi="Arial" w:cs="Arial"/>
                <w:color w:val="1A1A1A"/>
                <w:sz w:val="12"/>
                <w:szCs w:val="12"/>
              </w:rPr>
              <w:t>Membrane fouling ↓ 55%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C7AB27F" w14:textId="77777777" w:rsidR="00AF610A" w:rsidRPr="003B555F" w:rsidRDefault="00DF167B">
            <w:pPr>
              <w:spacing w:before="40" w:after="40"/>
              <w:rPr>
                <w:sz w:val="12"/>
                <w:szCs w:val="12"/>
              </w:rPr>
            </w:pPr>
            <w:r w:rsidRPr="003B555F">
              <w:rPr>
                <w:rFonts w:ascii="Arial" w:eastAsia="Arial" w:hAnsi="Arial" w:cs="Arial"/>
                <w:color w:val="1A1A1A"/>
                <w:sz w:val="12"/>
                <w:szCs w:val="12"/>
              </w:rPr>
              <w:t>Sludge ↓ 37%</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A1E7DF7" w14:textId="77777777" w:rsidR="00AF610A" w:rsidRPr="003B555F" w:rsidRDefault="00DF167B">
            <w:pPr>
              <w:spacing w:before="40" w:after="40"/>
              <w:rPr>
                <w:sz w:val="12"/>
                <w:szCs w:val="12"/>
              </w:rPr>
            </w:pPr>
            <w:r w:rsidRPr="003B555F">
              <w:rPr>
                <w:rFonts w:ascii="Arial" w:eastAsia="Arial" w:hAnsi="Arial" w:cs="Arial"/>
                <w:color w:val="1A1A1A"/>
                <w:sz w:val="12"/>
                <w:szCs w:val="12"/>
              </w:rPr>
              <w:t>[1,32,40]</w:t>
            </w:r>
          </w:p>
        </w:tc>
      </w:tr>
      <w:tr w:rsidR="00AF610A" w:rsidRPr="003B555F" w14:paraId="66366645"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93EAC9C" w14:textId="77777777" w:rsidR="00AF610A" w:rsidRPr="003B555F" w:rsidRDefault="00DF167B">
            <w:pPr>
              <w:spacing w:before="40" w:after="40"/>
              <w:rPr>
                <w:sz w:val="12"/>
                <w:szCs w:val="12"/>
              </w:rPr>
            </w:pPr>
            <w:r w:rsidRPr="003B555F">
              <w:rPr>
                <w:rFonts w:ascii="Arial" w:eastAsia="Arial" w:hAnsi="Arial" w:cs="Arial"/>
                <w:color w:val="1A1A1A"/>
                <w:sz w:val="12"/>
                <w:szCs w:val="12"/>
              </w:rPr>
              <w:t>Textile Effluent Treatment (India)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470B1B7" w14:textId="77777777" w:rsidR="00AF610A" w:rsidRPr="003B555F" w:rsidRDefault="00DF167B">
            <w:pPr>
              <w:spacing w:before="40" w:after="40"/>
              <w:rPr>
                <w:sz w:val="12"/>
                <w:szCs w:val="12"/>
              </w:rPr>
            </w:pPr>
            <w:r w:rsidRPr="003B555F">
              <w:rPr>
                <w:rFonts w:ascii="Arial" w:eastAsia="Arial" w:hAnsi="Arial" w:cs="Arial"/>
                <w:color w:val="1A1A1A"/>
                <w:sz w:val="12"/>
                <w:szCs w:val="12"/>
              </w:rPr>
              <w:t>Azo dye + heavy metal removal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25E9989" w14:textId="77777777" w:rsidR="00AF610A" w:rsidRPr="003B555F" w:rsidRDefault="00DF167B">
            <w:pPr>
              <w:spacing w:before="40" w:after="40"/>
              <w:rPr>
                <w:sz w:val="12"/>
                <w:szCs w:val="12"/>
              </w:rPr>
            </w:pPr>
            <w:r w:rsidRPr="003B555F">
              <w:rPr>
                <w:rFonts w:ascii="Arial" w:eastAsia="Arial" w:hAnsi="Arial" w:cs="Arial"/>
                <w:color w:val="1A1A1A"/>
                <w:sz w:val="12"/>
                <w:szCs w:val="12"/>
              </w:rPr>
              <w:t>Laccase + hybrid AI ensemble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623517BA" w14:textId="77777777" w:rsidR="00AF610A" w:rsidRPr="003B555F" w:rsidRDefault="00DF167B">
            <w:pPr>
              <w:spacing w:before="40" w:after="40"/>
              <w:rPr>
                <w:sz w:val="12"/>
                <w:szCs w:val="12"/>
              </w:rPr>
            </w:pPr>
            <w:r w:rsidRPr="003B555F">
              <w:rPr>
                <w:rFonts w:ascii="Arial" w:eastAsia="Arial" w:hAnsi="Arial" w:cs="Arial"/>
                <w:color w:val="1A1A1A"/>
                <w:sz w:val="12"/>
                <w:szCs w:val="12"/>
              </w:rPr>
              <w:t>Color removal &gt;92%, As ↓ 98%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9DC172F" w14:textId="77777777" w:rsidR="00AF610A" w:rsidRPr="003B555F" w:rsidRDefault="00DF167B">
            <w:pPr>
              <w:spacing w:before="40" w:after="40"/>
              <w:rPr>
                <w:sz w:val="12"/>
                <w:szCs w:val="12"/>
              </w:rPr>
            </w:pPr>
            <w:r w:rsidRPr="003B555F">
              <w:rPr>
                <w:rFonts w:ascii="Arial" w:eastAsia="Arial" w:hAnsi="Arial" w:cs="Arial"/>
                <w:color w:val="1A1A1A"/>
                <w:sz w:val="12"/>
                <w:szCs w:val="12"/>
              </w:rPr>
              <w:t>Compliance rate 98%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7B722D07" w14:textId="77777777" w:rsidR="00AF610A" w:rsidRPr="003B555F" w:rsidRDefault="00DF167B">
            <w:pPr>
              <w:spacing w:before="40" w:after="40"/>
              <w:rPr>
                <w:sz w:val="12"/>
                <w:szCs w:val="12"/>
              </w:rPr>
            </w:pPr>
            <w:r w:rsidRPr="003B555F">
              <w:rPr>
                <w:rFonts w:ascii="Arial" w:eastAsia="Arial" w:hAnsi="Arial" w:cs="Arial"/>
                <w:color w:val="1A1A1A"/>
                <w:sz w:val="12"/>
                <w:szCs w:val="12"/>
              </w:rPr>
              <w:t>[25,26,29]</w:t>
            </w:r>
          </w:p>
        </w:tc>
      </w:tr>
      <w:tr w:rsidR="00AF610A" w:rsidRPr="003B555F" w14:paraId="7FE3B1D7"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4FFE414D" w14:textId="77777777" w:rsidR="00AF610A" w:rsidRPr="003B555F" w:rsidRDefault="00DF167B">
            <w:pPr>
              <w:spacing w:before="40" w:after="40"/>
              <w:rPr>
                <w:sz w:val="12"/>
                <w:szCs w:val="12"/>
              </w:rPr>
            </w:pPr>
            <w:r w:rsidRPr="003B555F">
              <w:rPr>
                <w:rFonts w:ascii="Arial" w:eastAsia="Arial" w:hAnsi="Arial" w:cs="Arial"/>
                <w:color w:val="1A1A1A"/>
                <w:sz w:val="12"/>
                <w:szCs w:val="12"/>
              </w:rPr>
              <w:t xml:space="preserve">Constructed </w:t>
            </w:r>
            <w:r w:rsidRPr="003B555F">
              <w:rPr>
                <w:rFonts w:ascii="Arial" w:eastAsia="Arial" w:hAnsi="Arial" w:cs="Arial"/>
                <w:color w:val="1A1A1A"/>
                <w:sz w:val="12"/>
                <w:szCs w:val="12"/>
              </w:rPr>
              <w:t>Wetland + AI (Africa)</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681C17D0" w14:textId="77777777" w:rsidR="00AF610A" w:rsidRPr="003B555F" w:rsidRDefault="00DF167B">
            <w:pPr>
              <w:spacing w:before="40" w:after="40"/>
              <w:rPr>
                <w:sz w:val="12"/>
                <w:szCs w:val="12"/>
              </w:rPr>
            </w:pPr>
            <w:r w:rsidRPr="003B555F">
              <w:rPr>
                <w:rFonts w:ascii="Arial" w:eastAsia="Arial" w:hAnsi="Arial" w:cs="Arial"/>
                <w:color w:val="1A1A1A"/>
                <w:sz w:val="12"/>
                <w:szCs w:val="12"/>
              </w:rPr>
              <w:t>Low-cost nature-based system</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8CA7589" w14:textId="77777777" w:rsidR="00AF610A" w:rsidRPr="003B555F" w:rsidRDefault="00DF167B">
            <w:pPr>
              <w:spacing w:before="40" w:after="40"/>
              <w:rPr>
                <w:sz w:val="12"/>
                <w:szCs w:val="12"/>
              </w:rPr>
            </w:pPr>
            <w:r w:rsidRPr="003B555F">
              <w:rPr>
                <w:rFonts w:ascii="Arial" w:eastAsia="Arial" w:hAnsi="Arial" w:cs="Arial"/>
                <w:color w:val="1A1A1A"/>
                <w:sz w:val="12"/>
                <w:szCs w:val="12"/>
              </w:rPr>
              <w:t>Fuzzy logic + IoT monitoring</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2A0BBC9F" w14:textId="77777777" w:rsidR="00AF610A" w:rsidRPr="003B555F" w:rsidRDefault="00DF167B">
            <w:pPr>
              <w:spacing w:before="40" w:after="40"/>
              <w:rPr>
                <w:sz w:val="12"/>
                <w:szCs w:val="12"/>
              </w:rPr>
            </w:pPr>
            <w:r w:rsidRPr="003B555F">
              <w:rPr>
                <w:rFonts w:ascii="Arial" w:eastAsia="Arial" w:hAnsi="Arial" w:cs="Arial"/>
                <w:color w:val="1A1A1A"/>
                <w:sz w:val="12"/>
                <w:szCs w:val="12"/>
              </w:rPr>
              <w:t>BOD ↓ 88%, Nutrients ↓ 75%</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1F4FEDEA" w14:textId="77777777" w:rsidR="00AF610A" w:rsidRPr="003B555F" w:rsidRDefault="00DF167B">
            <w:pPr>
              <w:spacing w:before="40" w:after="40"/>
              <w:rPr>
                <w:sz w:val="12"/>
                <w:szCs w:val="12"/>
              </w:rPr>
            </w:pPr>
            <w:r w:rsidRPr="003B555F">
              <w:rPr>
                <w:rFonts w:ascii="Arial" w:eastAsia="Arial" w:hAnsi="Arial" w:cs="Arial"/>
                <w:color w:val="1A1A1A"/>
                <w:sz w:val="12"/>
                <w:szCs w:val="12"/>
              </w:rPr>
              <w:t>Zero-energy model</w:t>
            </w:r>
          </w:p>
        </w:tc>
        <w:tc>
          <w:tcPr>
            <w:tcW w:w="0" w:type="auto"/>
            <w:tcBorders>
              <w:top w:val="single" w:sz="6" w:space="0" w:color="CCCCCC"/>
              <w:left w:val="single" w:sz="6" w:space="0" w:color="CCCCCC"/>
              <w:bottom w:val="single" w:sz="6" w:space="0" w:color="CCCCCC"/>
              <w:right w:val="single" w:sz="6" w:space="0" w:color="CCCCCC"/>
            </w:tcBorders>
            <w:shd w:val="clear" w:color="auto" w:fill="EAF2F8"/>
            <w:tcMar>
              <w:top w:w="60" w:type="dxa"/>
              <w:left w:w="100" w:type="dxa"/>
              <w:bottom w:w="60" w:type="dxa"/>
              <w:right w:w="100" w:type="dxa"/>
            </w:tcMar>
            <w:vAlign w:val="center"/>
          </w:tcPr>
          <w:p w14:paraId="5866EECA" w14:textId="77777777" w:rsidR="00AF610A" w:rsidRPr="003B555F" w:rsidRDefault="00DF167B">
            <w:pPr>
              <w:spacing w:before="40" w:after="40"/>
              <w:rPr>
                <w:sz w:val="12"/>
                <w:szCs w:val="12"/>
              </w:rPr>
            </w:pPr>
            <w:r w:rsidRPr="003B555F">
              <w:rPr>
                <w:rFonts w:ascii="Arial" w:eastAsia="Arial" w:hAnsi="Arial" w:cs="Arial"/>
                <w:color w:val="1A1A1A"/>
                <w:sz w:val="12"/>
                <w:szCs w:val="12"/>
              </w:rPr>
              <w:t>[2,3,15]</w:t>
            </w:r>
          </w:p>
        </w:tc>
      </w:tr>
      <w:tr w:rsidR="00AF610A" w:rsidRPr="003B555F" w14:paraId="518C0AB5" w14:textId="77777777" w:rsidTr="003B555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D2A8BFA" w14:textId="77777777" w:rsidR="00AF610A" w:rsidRPr="003B555F" w:rsidRDefault="00DF167B">
            <w:pPr>
              <w:spacing w:before="40" w:after="40"/>
              <w:rPr>
                <w:sz w:val="12"/>
                <w:szCs w:val="12"/>
              </w:rPr>
            </w:pPr>
            <w:r w:rsidRPr="003B555F">
              <w:rPr>
                <w:rFonts w:ascii="Arial" w:eastAsia="Arial" w:hAnsi="Arial" w:cs="Arial"/>
                <w:color w:val="1A1A1A"/>
                <w:sz w:val="12"/>
                <w:szCs w:val="12"/>
              </w:rPr>
              <w:t>Pilot AI-Enzyme DWSS (Latin America)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4448CDDC" w14:textId="77777777" w:rsidR="00AF610A" w:rsidRPr="003B555F" w:rsidRDefault="00DF167B">
            <w:pPr>
              <w:spacing w:before="40" w:after="40"/>
              <w:rPr>
                <w:sz w:val="12"/>
                <w:szCs w:val="12"/>
              </w:rPr>
            </w:pPr>
            <w:r w:rsidRPr="003B555F">
              <w:rPr>
                <w:rFonts w:ascii="Arial" w:eastAsia="Arial" w:hAnsi="Arial" w:cs="Arial"/>
                <w:color w:val="1A1A1A"/>
                <w:sz w:val="12"/>
                <w:szCs w:val="12"/>
              </w:rPr>
              <w:t>Decentralized drinking water safety system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380E5B2C" w14:textId="77777777" w:rsidR="00AF610A" w:rsidRPr="003B555F" w:rsidRDefault="00DF167B">
            <w:pPr>
              <w:spacing w:before="40" w:after="40"/>
              <w:rPr>
                <w:sz w:val="12"/>
                <w:szCs w:val="12"/>
              </w:rPr>
            </w:pPr>
            <w:r w:rsidRPr="003B555F">
              <w:rPr>
                <w:rFonts w:ascii="Arial" w:eastAsia="Arial" w:hAnsi="Arial" w:cs="Arial"/>
                <w:color w:val="1A1A1A"/>
                <w:sz w:val="12"/>
                <w:szCs w:val="12"/>
              </w:rPr>
              <w:t>Digital twin + LSTM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19CC7031" w14:textId="77777777" w:rsidR="00AF610A" w:rsidRPr="003B555F" w:rsidRDefault="00DF167B">
            <w:pPr>
              <w:spacing w:before="40" w:after="40"/>
              <w:rPr>
                <w:sz w:val="12"/>
                <w:szCs w:val="12"/>
              </w:rPr>
            </w:pPr>
            <w:r w:rsidRPr="003B555F">
              <w:rPr>
                <w:rFonts w:ascii="Arial" w:eastAsia="Arial" w:hAnsi="Arial" w:cs="Arial"/>
                <w:color w:val="1A1A1A"/>
                <w:sz w:val="12"/>
                <w:szCs w:val="12"/>
              </w:rPr>
              <w:t xml:space="preserve">Pathogen removal </w:t>
            </w:r>
            <w:r w:rsidRPr="003B555F">
              <w:rPr>
                <w:rFonts w:ascii="Arial" w:eastAsia="Arial" w:hAnsi="Arial" w:cs="Arial"/>
                <w:color w:val="1A1A1A"/>
                <w:sz w:val="12"/>
                <w:szCs w:val="12"/>
              </w:rPr>
              <w:t>99.9%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52F8CD09" w14:textId="77777777" w:rsidR="00AF610A" w:rsidRPr="003B555F" w:rsidRDefault="00DF167B">
            <w:pPr>
              <w:spacing w:before="40" w:after="40"/>
              <w:rPr>
                <w:sz w:val="12"/>
                <w:szCs w:val="12"/>
              </w:rPr>
            </w:pPr>
            <w:r w:rsidRPr="003B555F">
              <w:rPr>
                <w:rFonts w:ascii="Arial" w:eastAsia="Arial" w:hAnsi="Arial" w:cs="Arial"/>
                <w:color w:val="1A1A1A"/>
                <w:sz w:val="12"/>
                <w:szCs w:val="12"/>
              </w:rPr>
              <w:t>OPEX ↓ 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60" w:type="dxa"/>
              <w:left w:w="100" w:type="dxa"/>
              <w:bottom w:w="60" w:type="dxa"/>
              <w:right w:w="100" w:type="dxa"/>
            </w:tcMar>
            <w:vAlign w:val="center"/>
          </w:tcPr>
          <w:p w14:paraId="2DDEA5D1" w14:textId="77777777" w:rsidR="00AF610A" w:rsidRPr="003B555F" w:rsidRDefault="00DF167B">
            <w:pPr>
              <w:spacing w:before="40" w:after="40"/>
              <w:rPr>
                <w:sz w:val="12"/>
                <w:szCs w:val="12"/>
              </w:rPr>
            </w:pPr>
            <w:r w:rsidRPr="003B555F">
              <w:rPr>
                <w:rFonts w:ascii="Arial" w:eastAsia="Arial" w:hAnsi="Arial" w:cs="Arial"/>
                <w:color w:val="1A1A1A"/>
                <w:sz w:val="12"/>
                <w:szCs w:val="12"/>
              </w:rPr>
              <w:t>[7,17,31]</w:t>
            </w:r>
          </w:p>
        </w:tc>
      </w:tr>
    </w:tbl>
    <w:p w14:paraId="4806271D" w14:textId="42D349F4" w:rsidR="00AF610A" w:rsidRPr="003B555F" w:rsidRDefault="00DF167B" w:rsidP="003B555F">
      <w:pPr>
        <w:spacing w:before="20" w:after="120"/>
        <w:jc w:val="center"/>
        <w:rPr>
          <w:sz w:val="20"/>
          <w:szCs w:val="20"/>
        </w:rPr>
      </w:pPr>
      <w:r w:rsidRPr="003B555F">
        <w:rPr>
          <w:rFonts w:ascii="Arial" w:eastAsia="Arial" w:hAnsi="Arial" w:cs="Arial"/>
          <w:i/>
          <w:iCs/>
          <w:color w:val="555555"/>
          <w:sz w:val="16"/>
          <w:szCs w:val="16"/>
        </w:rPr>
        <w:t>Sources: As cited in the Ref. column; [2, 3, 15, 17, 18, 21, 22, 24, 25, 26]</w:t>
      </w:r>
    </w:p>
    <w:p w14:paraId="2F176A90" w14:textId="77777777" w:rsidR="00AF610A" w:rsidRPr="003B555F" w:rsidRDefault="00DF167B" w:rsidP="003B555F">
      <w:pPr>
        <w:pStyle w:val="Heading1"/>
        <w:spacing w:before="0" w:after="0"/>
        <w:rPr>
          <w:sz w:val="24"/>
          <w:szCs w:val="24"/>
        </w:rPr>
      </w:pPr>
      <w:r w:rsidRPr="003B555F">
        <w:rPr>
          <w:sz w:val="24"/>
          <w:szCs w:val="24"/>
        </w:rPr>
        <w:t>5. Challenges, Limitations, and Future Directions</w:t>
      </w:r>
    </w:p>
    <w:p w14:paraId="305FE6C9" w14:textId="77777777" w:rsidR="00AF610A" w:rsidRPr="003B555F" w:rsidRDefault="00DF167B" w:rsidP="003B555F">
      <w:pPr>
        <w:pStyle w:val="Heading2"/>
        <w:spacing w:before="0" w:after="100"/>
        <w:rPr>
          <w:sz w:val="22"/>
          <w:szCs w:val="22"/>
        </w:rPr>
      </w:pPr>
      <w:r w:rsidRPr="003B555F">
        <w:rPr>
          <w:sz w:val="22"/>
          <w:szCs w:val="22"/>
        </w:rPr>
        <w:t>5.1 Technical Challenges</w:t>
      </w:r>
    </w:p>
    <w:p w14:paraId="6A258A01" w14:textId="7E646DD3" w:rsidR="00AF610A" w:rsidRPr="003B555F" w:rsidRDefault="00DF167B" w:rsidP="003B555F">
      <w:pPr>
        <w:spacing w:before="80" w:line="276" w:lineRule="auto"/>
        <w:ind w:firstLine="720"/>
        <w:jc w:val="both"/>
        <w:rPr>
          <w:sz w:val="20"/>
          <w:szCs w:val="20"/>
        </w:rPr>
      </w:pPr>
      <w:r w:rsidRPr="003B555F">
        <w:rPr>
          <w:color w:val="000000"/>
          <w:sz w:val="20"/>
          <w:szCs w:val="20"/>
        </w:rPr>
        <w:t xml:space="preserve">Several technical barriers limit the current deployment of AABD systems. </w:t>
      </w:r>
      <w:r w:rsidRPr="003B555F">
        <w:rPr>
          <w:color w:val="000000"/>
          <w:sz w:val="20"/>
          <w:szCs w:val="20"/>
        </w:rPr>
        <w:t>First, online COD and BOD sensors while commercially available carry higher per-unit costs (~USD 8,000–25,000) compared to simple pH and turbidity probes, creating significant upfront infrastructure investment for resource-limited DWTS operators [7,17]. Mo</w:t>
      </w:r>
      <w:r w:rsidRPr="003B555F">
        <w:rPr>
          <w:color w:val="000000"/>
          <w:sz w:val="20"/>
          <w:szCs w:val="20"/>
        </w:rPr>
        <w:t>del accuracy is also constrained by sensor accuracy limitations and data quality issues; Ucar et al. (2024) [36] identified sensor noise as a major contributor to prediction error in data-driven WWTP control. Second, the generalizability of trained AI mode</w:t>
      </w:r>
      <w:r w:rsidRPr="003B555F">
        <w:rPr>
          <w:color w:val="000000"/>
          <w:sz w:val="20"/>
          <w:szCs w:val="20"/>
        </w:rPr>
        <w:t>ls across facilities with different wastewater matrices remains limited [7], requiring facility-specific calibration or transfer learning approaches. Third, RL agents operating in real treatment plants may exhibit unstable transient behavior during initial</w:t>
      </w:r>
      <w:r w:rsidRPr="003B555F">
        <w:rPr>
          <w:color w:val="000000"/>
          <w:sz w:val="20"/>
          <w:szCs w:val="20"/>
        </w:rPr>
        <w:t xml:space="preserve"> policy learning phases, necessitating safe exploration constraints and simulation pre-training in Digital Twin environments [27</w:t>
      </w:r>
      <w:proofErr w:type="gramStart"/>
      <w:r w:rsidRPr="003B555F">
        <w:rPr>
          <w:color w:val="000000"/>
          <w:sz w:val="20"/>
          <w:szCs w:val="20"/>
        </w:rPr>
        <w:t>,30</w:t>
      </w:r>
      <w:proofErr w:type="gramEnd"/>
      <w:r w:rsidRPr="003B555F">
        <w:rPr>
          <w:color w:val="000000"/>
          <w:sz w:val="20"/>
          <w:szCs w:val="20"/>
        </w:rPr>
        <w:t>].</w:t>
      </w:r>
    </w:p>
    <w:p w14:paraId="3D2C322A" w14:textId="78B8BE5D" w:rsidR="00AF610A" w:rsidRPr="003B555F" w:rsidRDefault="00DF167B">
      <w:pPr>
        <w:spacing w:before="80" w:after="80" w:line="276" w:lineRule="auto"/>
        <w:ind w:firstLine="720"/>
        <w:jc w:val="both"/>
        <w:rPr>
          <w:sz w:val="20"/>
          <w:szCs w:val="20"/>
        </w:rPr>
      </w:pPr>
      <w:r w:rsidRPr="003B555F">
        <w:rPr>
          <w:color w:val="000000"/>
          <w:sz w:val="20"/>
          <w:szCs w:val="20"/>
        </w:rPr>
        <w:t xml:space="preserve">Bioenzyme-specific challenges include substrate specificity limitations individual enzymes may not degrade all classes of </w:t>
      </w:r>
      <w:r w:rsidRPr="003B555F">
        <w:rPr>
          <w:color w:val="000000"/>
          <w:sz w:val="20"/>
          <w:szCs w:val="20"/>
        </w:rPr>
        <w:t>organic pollutants present in complex wastewater matrices [23</w:t>
      </w:r>
      <w:proofErr w:type="gramStart"/>
      <w:r w:rsidRPr="003B555F">
        <w:rPr>
          <w:color w:val="000000"/>
          <w:sz w:val="20"/>
          <w:szCs w:val="20"/>
        </w:rPr>
        <w:t>,26</w:t>
      </w:r>
      <w:proofErr w:type="gramEnd"/>
      <w:r w:rsidRPr="003B555F">
        <w:rPr>
          <w:color w:val="000000"/>
          <w:sz w:val="20"/>
          <w:szCs w:val="20"/>
        </w:rPr>
        <w:t>]. Temperature and pH sensitivity requires active stabilization; extreme influent conditions (pH &lt; 4 or &gt; 10, temperatures &gt; 70°C) can irreversibly denature enzyme formulations. The bioaugment</w:t>
      </w:r>
      <w:r w:rsidRPr="003B555F">
        <w:rPr>
          <w:color w:val="000000"/>
          <w:sz w:val="20"/>
          <w:szCs w:val="20"/>
        </w:rPr>
        <w:t>ation stability of enzyme-producing microbial consortia is also a concern, as introduced strains may fail to compete with native microorganisms when transferred from laboratory to field scale [22</w:t>
      </w:r>
      <w:proofErr w:type="gramStart"/>
      <w:r w:rsidRPr="003B555F">
        <w:rPr>
          <w:color w:val="000000"/>
          <w:sz w:val="20"/>
          <w:szCs w:val="20"/>
        </w:rPr>
        <w:t>,23</w:t>
      </w:r>
      <w:proofErr w:type="gramEnd"/>
      <w:r w:rsidRPr="003B555F">
        <w:rPr>
          <w:color w:val="000000"/>
          <w:sz w:val="20"/>
          <w:szCs w:val="20"/>
        </w:rPr>
        <w:t>].</w:t>
      </w:r>
    </w:p>
    <w:p w14:paraId="638D3B04" w14:textId="77777777" w:rsidR="00AF610A" w:rsidRPr="003B555F" w:rsidRDefault="00DF167B">
      <w:pPr>
        <w:pStyle w:val="Heading2"/>
        <w:spacing w:after="100"/>
        <w:rPr>
          <w:sz w:val="22"/>
          <w:szCs w:val="22"/>
        </w:rPr>
      </w:pPr>
      <w:r w:rsidRPr="003B555F">
        <w:rPr>
          <w:sz w:val="22"/>
          <w:szCs w:val="22"/>
        </w:rPr>
        <w:t>5.2 Future Research Directions</w:t>
      </w:r>
    </w:p>
    <w:p w14:paraId="621D41CE" w14:textId="62054573" w:rsidR="00AF610A" w:rsidRPr="003B555F" w:rsidRDefault="00DF167B" w:rsidP="003B555F">
      <w:pPr>
        <w:spacing w:before="80" w:line="276" w:lineRule="auto"/>
        <w:ind w:firstLine="720"/>
        <w:jc w:val="both"/>
        <w:rPr>
          <w:sz w:val="20"/>
          <w:szCs w:val="20"/>
        </w:rPr>
      </w:pPr>
      <w:r w:rsidRPr="003B555F">
        <w:rPr>
          <w:color w:val="000000"/>
          <w:sz w:val="20"/>
          <w:szCs w:val="20"/>
        </w:rPr>
        <w:t xml:space="preserve">Several promising </w:t>
      </w:r>
      <w:r w:rsidRPr="003B555F">
        <w:rPr>
          <w:color w:val="000000"/>
          <w:sz w:val="20"/>
          <w:szCs w:val="20"/>
        </w:rPr>
        <w:t>avenues for future research include: (1) Development of robust, low-cost biosensors using electrochemical detection principles for field-deployable COD/BOD monitoring at &lt; USD 500 per sensor; (2) Federated learning approaches enabling cross-facility AI mod</w:t>
      </w:r>
      <w:r w:rsidRPr="003B555F">
        <w:rPr>
          <w:color w:val="000000"/>
          <w:sz w:val="20"/>
          <w:szCs w:val="20"/>
        </w:rPr>
        <w:t>el generalization while preserving data privacy a critical consideration for water utility data security [42]; (3) Integration of Large Language Model (LLM) interfaces for natural language-based operator interaction with AI dosing systems, democratizing ac</w:t>
      </w:r>
      <w:r w:rsidRPr="003B555F">
        <w:rPr>
          <w:color w:val="000000"/>
          <w:sz w:val="20"/>
          <w:szCs w:val="20"/>
        </w:rPr>
        <w:t>cess in settings with limited technical expertise; (4) Immobilized enzyme systems integrated with biofilm carriers that provide sustained enzymatic activity without repeated dosing, reducing operational complexity; (5) Life cycle assessment (LCA) and techn</w:t>
      </w:r>
      <w:r w:rsidRPr="003B555F">
        <w:rPr>
          <w:color w:val="000000"/>
          <w:sz w:val="20"/>
          <w:szCs w:val="20"/>
        </w:rPr>
        <w:t>o-economic analysis (TEA) of AABD systems at various scales to quantify environmental trade-offs and identify optimal deployment scenarios.</w:t>
      </w:r>
    </w:p>
    <w:p w14:paraId="177258C0" w14:textId="77777777" w:rsidR="00AF610A" w:rsidRPr="003B555F" w:rsidRDefault="00DF167B" w:rsidP="003B555F">
      <w:pPr>
        <w:pStyle w:val="Heading1"/>
        <w:spacing w:before="0" w:after="0"/>
        <w:rPr>
          <w:sz w:val="24"/>
          <w:szCs w:val="24"/>
        </w:rPr>
      </w:pPr>
      <w:r w:rsidRPr="003B555F">
        <w:rPr>
          <w:sz w:val="24"/>
          <w:szCs w:val="24"/>
        </w:rPr>
        <w:t>6. Conclusion</w:t>
      </w:r>
    </w:p>
    <w:p w14:paraId="18C37A38" w14:textId="77777777" w:rsidR="00AF610A" w:rsidRPr="003B555F" w:rsidRDefault="00DF167B">
      <w:pPr>
        <w:spacing w:before="80" w:after="80" w:line="276" w:lineRule="auto"/>
        <w:ind w:firstLine="720"/>
        <w:jc w:val="both"/>
        <w:rPr>
          <w:sz w:val="20"/>
          <w:szCs w:val="20"/>
        </w:rPr>
      </w:pPr>
      <w:r w:rsidRPr="003B555F">
        <w:rPr>
          <w:color w:val="000000"/>
          <w:sz w:val="20"/>
          <w:szCs w:val="20"/>
        </w:rPr>
        <w:t>This paper has presented a comprehensive framework for Adaptive AI-Driven Bioenzyme Dosing (AABD) in d</w:t>
      </w:r>
      <w:r w:rsidRPr="003B555F">
        <w:rPr>
          <w:color w:val="000000"/>
          <w:sz w:val="20"/>
          <w:szCs w:val="20"/>
        </w:rPr>
        <w:t>ecentralized wastewater treatment systems, integrating IoT-based multi-parameter sensing, LSTM predictive modeling, reinforcement learning control, and a closed-loop Digital Twin environment. The framework addresses a critical gap at the intersection of bi</w:t>
      </w:r>
      <w:r w:rsidRPr="003B555F">
        <w:rPr>
          <w:color w:val="000000"/>
          <w:sz w:val="20"/>
          <w:szCs w:val="20"/>
        </w:rPr>
        <w:t>ological wastewater treatment and intelligent automation, offering a data-driven, responsive alternative to empirical, static bioenzyme dosing.</w:t>
      </w:r>
    </w:p>
    <w:p w14:paraId="5F27E84A" w14:textId="3088DEA1" w:rsidR="00AF610A" w:rsidRPr="003B555F" w:rsidRDefault="00DF167B">
      <w:pPr>
        <w:spacing w:before="80" w:after="80" w:line="276" w:lineRule="auto"/>
        <w:ind w:firstLine="720"/>
        <w:jc w:val="both"/>
        <w:rPr>
          <w:sz w:val="20"/>
          <w:szCs w:val="20"/>
        </w:rPr>
      </w:pPr>
      <w:r w:rsidRPr="003B555F">
        <w:rPr>
          <w:color w:val="000000"/>
          <w:sz w:val="20"/>
          <w:szCs w:val="20"/>
        </w:rPr>
        <w:t>The key findings of this study are as follows: (1) The AABD system achieved 92–96% COD removal and 93–95% BOD re</w:t>
      </w:r>
      <w:r w:rsidRPr="003B555F">
        <w:rPr>
          <w:color w:val="000000"/>
          <w:sz w:val="20"/>
          <w:szCs w:val="20"/>
        </w:rPr>
        <w:t>moval efficiency, representing 37–41% improvement over conventional activated sludge. (2) AI-adaptive dosing maintained effluent COD consistently below discharge limits during dynamic loading events, reducing compliance violations from 18 to 2 events per y</w:t>
      </w:r>
      <w:r w:rsidRPr="003B555F">
        <w:rPr>
          <w:color w:val="000000"/>
          <w:sz w:val="20"/>
          <w:szCs w:val="20"/>
        </w:rPr>
        <w:t>ear. (3) Operational benefits include 38.8% energy savings, 40.6% cost reduction, 37.8% sludge reduction, and 41.8% GHG emission reduction. (4) A Hybrid AI Ensemble (LSTM + RF + RL) demonstrated the highest overall performance, with R² of 0.91–0.97 and sup</w:t>
      </w:r>
      <w:r w:rsidRPr="003B555F">
        <w:rPr>
          <w:color w:val="000000"/>
          <w:sz w:val="20"/>
          <w:szCs w:val="20"/>
        </w:rPr>
        <w:t xml:space="preserve">erior multi-criteria scores relative to single-model approaches. (5) Validation across six diverse case studies confirms </w:t>
      </w:r>
      <w:r w:rsidRPr="003B555F">
        <w:rPr>
          <w:color w:val="000000"/>
          <w:sz w:val="20"/>
          <w:szCs w:val="20"/>
        </w:rPr>
        <w:lastRenderedPageBreak/>
        <w:t>generalizability across wastewater types, geographies, and treatment technologies.</w:t>
      </w:r>
      <w:r w:rsidR="003B555F">
        <w:rPr>
          <w:color w:val="000000"/>
          <w:sz w:val="20"/>
          <w:szCs w:val="20"/>
        </w:rPr>
        <w:t xml:space="preserve"> </w:t>
      </w:r>
      <w:r w:rsidRPr="003B555F">
        <w:rPr>
          <w:color w:val="000000"/>
          <w:sz w:val="20"/>
          <w:szCs w:val="20"/>
        </w:rPr>
        <w:t>The AABD framework directly supports the realization</w:t>
      </w:r>
      <w:r w:rsidRPr="003B555F">
        <w:rPr>
          <w:color w:val="000000"/>
          <w:sz w:val="20"/>
          <w:szCs w:val="20"/>
        </w:rPr>
        <w:t xml:space="preserve"> of UN SDG 6 targets by providing an intelligent, scalable, and cost-effective pathway to safe wastewater management in underserved communities and industrial settings. Future development should prioritize low-cost sensor innovations, federated learning fo</w:t>
      </w:r>
      <w:r w:rsidRPr="003B555F">
        <w:rPr>
          <w:color w:val="000000"/>
          <w:sz w:val="20"/>
          <w:szCs w:val="20"/>
        </w:rPr>
        <w:t>r cross-facility generalization, and expanded field validation studies to accelerate deployment at scale.</w:t>
      </w:r>
    </w:p>
    <w:p w14:paraId="42DED42D" w14:textId="77777777" w:rsidR="00AF610A" w:rsidRPr="003B555F" w:rsidRDefault="00DF167B" w:rsidP="003B555F">
      <w:pPr>
        <w:pStyle w:val="Heading1"/>
        <w:spacing w:before="0" w:after="0"/>
        <w:rPr>
          <w:sz w:val="24"/>
          <w:szCs w:val="24"/>
        </w:rPr>
      </w:pPr>
      <w:r w:rsidRPr="003B555F">
        <w:rPr>
          <w:sz w:val="24"/>
          <w:szCs w:val="24"/>
        </w:rPr>
        <w:t>References</w:t>
      </w:r>
    </w:p>
    <w:p w14:paraId="797E9178"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[1] Nagpal, M., Siddique, M.A., Sharma, K., Sharma, N., &amp; Mittal, A. (2024). </w:t>
      </w:r>
      <w:proofErr w:type="gramStart"/>
      <w:r w:rsidRPr="003B555F">
        <w:rPr>
          <w:color w:val="1A1A1A"/>
          <w:sz w:val="18"/>
          <w:szCs w:val="18"/>
        </w:rPr>
        <w:t>Optimizing wastewater treatment through artificial intelligenc</w:t>
      </w:r>
      <w:r w:rsidRPr="003B555F">
        <w:rPr>
          <w:color w:val="1A1A1A"/>
          <w:sz w:val="18"/>
          <w:szCs w:val="18"/>
        </w:rPr>
        <w:t>e: recent advances and future prospects.</w:t>
      </w:r>
      <w:proofErr w:type="gramEnd"/>
      <w:r w:rsidRPr="003B555F">
        <w:rPr>
          <w:color w:val="1A1A1A"/>
          <w:sz w:val="18"/>
          <w:szCs w:val="18"/>
        </w:rPr>
        <w:t xml:space="preserve"> Water Science &amp; Technology, 90(3), 731–757. https://doi.org/10.2166/wst.2024.259</w:t>
      </w:r>
    </w:p>
    <w:p w14:paraId="079FA19B" w14:textId="77777777" w:rsidR="00AF610A" w:rsidRPr="003B555F" w:rsidRDefault="00DF167B">
      <w:pPr>
        <w:spacing w:before="60" w:after="60" w:line="252" w:lineRule="auto"/>
        <w:ind w:left="360" w:hanging="360"/>
        <w:rPr>
          <w:sz w:val="20"/>
          <w:szCs w:val="20"/>
        </w:rPr>
      </w:pPr>
      <w:r w:rsidRPr="003B555F">
        <w:rPr>
          <w:color w:val="1A1A1A"/>
          <w:sz w:val="18"/>
          <w:szCs w:val="18"/>
        </w:rPr>
        <w:t>[2] Blessing, C., &amp; Olateru, O. (2025). AI-driven optimization of bioremediation strategies for river pollution: a comprehensive revie</w:t>
      </w:r>
      <w:r w:rsidRPr="003B555F">
        <w:rPr>
          <w:color w:val="1A1A1A"/>
          <w:sz w:val="18"/>
          <w:szCs w:val="18"/>
        </w:rPr>
        <w:t xml:space="preserve">w and future directions. </w:t>
      </w:r>
      <w:proofErr w:type="gramStart"/>
      <w:r w:rsidRPr="003B555F">
        <w:rPr>
          <w:color w:val="1A1A1A"/>
          <w:sz w:val="18"/>
          <w:szCs w:val="18"/>
        </w:rPr>
        <w:t>Frontiers in Microbiology, 16, 1504254.</w:t>
      </w:r>
      <w:proofErr w:type="gramEnd"/>
      <w:r w:rsidRPr="003B555F">
        <w:rPr>
          <w:color w:val="1A1A1A"/>
          <w:sz w:val="18"/>
          <w:szCs w:val="18"/>
        </w:rPr>
        <w:t xml:space="preserve"> https://doi.org/10.3389/fmicb.2025.1504254</w:t>
      </w:r>
    </w:p>
    <w:p w14:paraId="12077846"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 Bansal, H., &amp; Jha, S. (2023). </w:t>
      </w:r>
      <w:proofErr w:type="gramStart"/>
      <w:r w:rsidRPr="003B555F">
        <w:rPr>
          <w:color w:val="1A1A1A"/>
          <w:sz w:val="18"/>
          <w:szCs w:val="18"/>
        </w:rPr>
        <w:t>Implementation of AI techniques for bioremediation and wastewater treatment.</w:t>
      </w:r>
      <w:proofErr w:type="gramEnd"/>
      <w:r w:rsidRPr="003B555F">
        <w:rPr>
          <w:color w:val="1A1A1A"/>
          <w:sz w:val="18"/>
          <w:szCs w:val="18"/>
        </w:rPr>
        <w:t xml:space="preserve"> </w:t>
      </w:r>
      <w:proofErr w:type="gramStart"/>
      <w:r w:rsidRPr="003B555F">
        <w:rPr>
          <w:color w:val="1A1A1A"/>
          <w:sz w:val="18"/>
          <w:szCs w:val="18"/>
        </w:rPr>
        <w:t>In The Internet of Medical Things (Io</w:t>
      </w:r>
      <w:r w:rsidRPr="003B555F">
        <w:rPr>
          <w:color w:val="1A1A1A"/>
          <w:sz w:val="18"/>
          <w:szCs w:val="18"/>
        </w:rPr>
        <w:t>MT) and Telemedicine Frameworks and Applications.</w:t>
      </w:r>
      <w:proofErr w:type="gramEnd"/>
      <w:r w:rsidRPr="003B555F">
        <w:rPr>
          <w:color w:val="1A1A1A"/>
          <w:sz w:val="18"/>
          <w:szCs w:val="18"/>
        </w:rPr>
        <w:t xml:space="preserve"> IGI Global, 124–134.</w:t>
      </w:r>
    </w:p>
    <w:p w14:paraId="439DDB6A"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[4] Du, Y., et al. (2025). Artificial intelligence in chemical dosing for wastewater purification and treatment: Current trends and future perspectives. </w:t>
      </w:r>
      <w:proofErr w:type="gramStart"/>
      <w:r w:rsidRPr="003B555F">
        <w:rPr>
          <w:color w:val="1A1A1A"/>
          <w:sz w:val="18"/>
          <w:szCs w:val="18"/>
        </w:rPr>
        <w:t>Separations, 12(9), 237.</w:t>
      </w:r>
      <w:proofErr w:type="gramEnd"/>
      <w:r w:rsidRPr="003B555F">
        <w:rPr>
          <w:color w:val="1A1A1A"/>
          <w:sz w:val="18"/>
          <w:szCs w:val="18"/>
        </w:rPr>
        <w:t xml:space="preserve"> </w:t>
      </w:r>
      <w:r w:rsidRPr="003B555F">
        <w:rPr>
          <w:color w:val="1A1A1A"/>
          <w:sz w:val="18"/>
          <w:szCs w:val="18"/>
        </w:rPr>
        <w:t>https://doi.org/10.3390/separations12090237</w:t>
      </w:r>
    </w:p>
    <w:p w14:paraId="19F73E03"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[5] Abdeldayem, O.M., et al. (2025). Navigating future wastewater treatment plants with artificial intelligence: Applications, challenges, and innovations. </w:t>
      </w:r>
      <w:proofErr w:type="gramStart"/>
      <w:r w:rsidRPr="003B555F">
        <w:rPr>
          <w:color w:val="1A1A1A"/>
          <w:sz w:val="18"/>
          <w:szCs w:val="18"/>
        </w:rPr>
        <w:t>Journal of Cleaner Production, 498, 144861.</w:t>
      </w:r>
      <w:proofErr w:type="gramEnd"/>
      <w:r w:rsidRPr="003B555F">
        <w:rPr>
          <w:color w:val="1A1A1A"/>
          <w:sz w:val="18"/>
          <w:szCs w:val="18"/>
        </w:rPr>
        <w:t xml:space="preserve"> https://doi.</w:t>
      </w:r>
      <w:r w:rsidRPr="003B555F">
        <w:rPr>
          <w:color w:val="1A1A1A"/>
          <w:sz w:val="18"/>
          <w:szCs w:val="18"/>
        </w:rPr>
        <w:t>org/10.1016/j.jclepro.2025.144861</w:t>
      </w:r>
    </w:p>
    <w:p w14:paraId="3D12BE06"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[6] Sanjeevi, R., et al. (2024). The AI Cleanse: Revolutionizing the Future of Wastewater Treatment with AI and Machine Learning. </w:t>
      </w:r>
      <w:proofErr w:type="gramStart"/>
      <w:r w:rsidRPr="003B555F">
        <w:rPr>
          <w:color w:val="1A1A1A"/>
          <w:sz w:val="18"/>
          <w:szCs w:val="18"/>
        </w:rPr>
        <w:t>In Springer Water.</w:t>
      </w:r>
      <w:proofErr w:type="gramEnd"/>
      <w:r w:rsidRPr="003B555F">
        <w:rPr>
          <w:color w:val="1A1A1A"/>
          <w:sz w:val="18"/>
          <w:szCs w:val="18"/>
        </w:rPr>
        <w:t xml:space="preserve"> </w:t>
      </w:r>
      <w:proofErr w:type="gramStart"/>
      <w:r w:rsidRPr="003B555F">
        <w:rPr>
          <w:color w:val="1A1A1A"/>
          <w:sz w:val="18"/>
          <w:szCs w:val="18"/>
        </w:rPr>
        <w:t>Springer, Cham.</w:t>
      </w:r>
      <w:proofErr w:type="gramEnd"/>
    </w:p>
    <w:p w14:paraId="1310CA38" w14:textId="77777777" w:rsidR="00AF610A" w:rsidRPr="003B555F" w:rsidRDefault="00DF167B">
      <w:pPr>
        <w:spacing w:before="60" w:after="60" w:line="252" w:lineRule="auto"/>
        <w:ind w:left="360" w:hanging="360"/>
        <w:rPr>
          <w:sz w:val="20"/>
          <w:szCs w:val="20"/>
        </w:rPr>
      </w:pPr>
      <w:r w:rsidRPr="003B555F">
        <w:rPr>
          <w:color w:val="1A1A1A"/>
          <w:sz w:val="18"/>
          <w:szCs w:val="18"/>
        </w:rPr>
        <w:t>[7] Wang, P., et al. (2025). Artificial intelligence in c</w:t>
      </w:r>
      <w:r w:rsidRPr="003B555F">
        <w:rPr>
          <w:color w:val="1A1A1A"/>
          <w:sz w:val="18"/>
          <w:szCs w:val="18"/>
        </w:rPr>
        <w:t xml:space="preserve">hemical dosing for drinking water treatment: A systematic review of algorithmic applications, implementation frameworks, and future challenges. </w:t>
      </w:r>
      <w:proofErr w:type="gramStart"/>
      <w:r w:rsidRPr="003B555F">
        <w:rPr>
          <w:color w:val="1A1A1A"/>
          <w:sz w:val="18"/>
          <w:szCs w:val="18"/>
        </w:rPr>
        <w:t>Journal of Environmental Chemical Engineering, 13(3), 116322.</w:t>
      </w:r>
      <w:proofErr w:type="gramEnd"/>
      <w:r w:rsidRPr="003B555F">
        <w:rPr>
          <w:color w:val="1A1A1A"/>
          <w:sz w:val="18"/>
          <w:szCs w:val="18"/>
        </w:rPr>
        <w:t xml:space="preserve"> https://doi.org/10.1016/j.jece.2025.116322</w:t>
      </w:r>
    </w:p>
    <w:p w14:paraId="062A7840" w14:textId="77777777" w:rsidR="00AF610A" w:rsidRPr="003B555F" w:rsidRDefault="00DF167B">
      <w:pPr>
        <w:spacing w:before="60" w:after="60" w:line="252" w:lineRule="auto"/>
        <w:ind w:left="360" w:hanging="360"/>
        <w:rPr>
          <w:sz w:val="20"/>
          <w:szCs w:val="20"/>
        </w:rPr>
      </w:pPr>
      <w:r w:rsidRPr="003B555F">
        <w:rPr>
          <w:color w:val="1A1A1A"/>
          <w:sz w:val="18"/>
          <w:szCs w:val="18"/>
        </w:rPr>
        <w:t>[8] Wan</w:t>
      </w:r>
      <w:r w:rsidRPr="003B555F">
        <w:rPr>
          <w:color w:val="1A1A1A"/>
          <w:sz w:val="18"/>
          <w:szCs w:val="18"/>
        </w:rPr>
        <w:t xml:space="preserve">g, Y., Cheng, Y., Liu, H., Guo, Q., Dai, C., Zhao, M., &amp; Liu, D. (2023). </w:t>
      </w:r>
      <w:proofErr w:type="gramStart"/>
      <w:r w:rsidRPr="003B555F">
        <w:rPr>
          <w:color w:val="1A1A1A"/>
          <w:sz w:val="18"/>
          <w:szCs w:val="18"/>
        </w:rPr>
        <w:t>A review on applications of artificial intelligence in wastewater treatment.</w:t>
      </w:r>
      <w:proofErr w:type="gramEnd"/>
      <w:r w:rsidRPr="003B555F">
        <w:rPr>
          <w:color w:val="1A1A1A"/>
          <w:sz w:val="18"/>
          <w:szCs w:val="18"/>
        </w:rPr>
        <w:t xml:space="preserve"> </w:t>
      </w:r>
      <w:proofErr w:type="gramStart"/>
      <w:r w:rsidRPr="003B555F">
        <w:rPr>
          <w:color w:val="1A1A1A"/>
          <w:sz w:val="18"/>
          <w:szCs w:val="18"/>
        </w:rPr>
        <w:t>Sustainability, 15(18), 13557.</w:t>
      </w:r>
      <w:proofErr w:type="gramEnd"/>
      <w:r w:rsidRPr="003B555F">
        <w:rPr>
          <w:color w:val="1A1A1A"/>
          <w:sz w:val="18"/>
          <w:szCs w:val="18"/>
        </w:rPr>
        <w:t xml:space="preserve"> https://doi.org/10.3390/su151813557</w:t>
      </w:r>
    </w:p>
    <w:p w14:paraId="2653E1AE" w14:textId="77777777" w:rsidR="00AF610A" w:rsidRPr="003B555F" w:rsidRDefault="00DF167B">
      <w:pPr>
        <w:spacing w:before="60" w:after="60" w:line="252" w:lineRule="auto"/>
        <w:ind w:left="360" w:hanging="360"/>
        <w:rPr>
          <w:sz w:val="20"/>
          <w:szCs w:val="20"/>
        </w:rPr>
      </w:pPr>
      <w:r w:rsidRPr="003B555F">
        <w:rPr>
          <w:color w:val="1A1A1A"/>
          <w:sz w:val="18"/>
          <w:szCs w:val="18"/>
        </w:rPr>
        <w:t>[9] Alprol, A.E., Mansour, A.T., Ibrahi</w:t>
      </w:r>
      <w:r w:rsidRPr="003B555F">
        <w:rPr>
          <w:color w:val="1A1A1A"/>
          <w:sz w:val="18"/>
          <w:szCs w:val="18"/>
        </w:rPr>
        <w:t xml:space="preserve">m, M.E.E.-D., &amp; Ashour, M. (2024). Artificial intelligence technologies revolutionizing wastewater treatment: Current trends and future prospective. </w:t>
      </w:r>
      <w:proofErr w:type="gramStart"/>
      <w:r w:rsidRPr="003B555F">
        <w:rPr>
          <w:color w:val="1A1A1A"/>
          <w:sz w:val="18"/>
          <w:szCs w:val="18"/>
        </w:rPr>
        <w:t>Water, 16(2), 314.</w:t>
      </w:r>
      <w:proofErr w:type="gramEnd"/>
      <w:r w:rsidRPr="003B555F">
        <w:rPr>
          <w:color w:val="1A1A1A"/>
          <w:sz w:val="18"/>
          <w:szCs w:val="18"/>
        </w:rPr>
        <w:t xml:space="preserve"> https://doi.org/10.3390/w16020314</w:t>
      </w:r>
    </w:p>
    <w:p w14:paraId="7B058D0D" w14:textId="77777777" w:rsidR="00AF610A" w:rsidRPr="003B555F" w:rsidRDefault="00DF167B">
      <w:pPr>
        <w:spacing w:before="60" w:after="60" w:line="252" w:lineRule="auto"/>
        <w:ind w:left="360" w:hanging="360"/>
        <w:rPr>
          <w:sz w:val="20"/>
          <w:szCs w:val="20"/>
        </w:rPr>
      </w:pPr>
      <w:r w:rsidRPr="003B555F">
        <w:rPr>
          <w:color w:val="1A1A1A"/>
          <w:sz w:val="18"/>
          <w:szCs w:val="18"/>
        </w:rPr>
        <w:t>[10] Dada, M.A., Majemite, M.T., Obaigbena, A., Daraoj</w:t>
      </w:r>
      <w:r w:rsidRPr="003B555F">
        <w:rPr>
          <w:color w:val="1A1A1A"/>
          <w:sz w:val="18"/>
          <w:szCs w:val="18"/>
        </w:rPr>
        <w:t>imba, O.H., Oliha, J.S., &amp; Nwokediegwu, Z.Q.S. (2024). Review of smart water management: IoT and AI in water and wastewater treatment. World Journal of Advanced Research and Reviews, 21(1), 1373–1382.</w:t>
      </w:r>
    </w:p>
    <w:p w14:paraId="1F011872" w14:textId="77777777" w:rsidR="00AF610A" w:rsidRPr="003B555F" w:rsidRDefault="00DF167B">
      <w:pPr>
        <w:spacing w:before="60" w:after="60" w:line="252" w:lineRule="auto"/>
        <w:ind w:left="360" w:hanging="360"/>
        <w:rPr>
          <w:sz w:val="20"/>
          <w:szCs w:val="20"/>
        </w:rPr>
      </w:pPr>
      <w:r w:rsidRPr="003B555F">
        <w:rPr>
          <w:color w:val="1A1A1A"/>
          <w:sz w:val="18"/>
          <w:szCs w:val="18"/>
        </w:rPr>
        <w:t>[11] Essamlali, I., Nhaila, H., &amp; El Khaili, M. (2024).</w:t>
      </w:r>
      <w:r w:rsidRPr="003B555F">
        <w:rPr>
          <w:color w:val="1A1A1A"/>
          <w:sz w:val="18"/>
          <w:szCs w:val="18"/>
        </w:rPr>
        <w:t xml:space="preserve"> Advances in machine learning and IoT for water quality monitoring: A comprehensive review. </w:t>
      </w:r>
      <w:proofErr w:type="gramStart"/>
      <w:r w:rsidRPr="003B555F">
        <w:rPr>
          <w:color w:val="1A1A1A"/>
          <w:sz w:val="18"/>
          <w:szCs w:val="18"/>
        </w:rPr>
        <w:t>Heliyon, 10(6), e27920.</w:t>
      </w:r>
      <w:proofErr w:type="gramEnd"/>
      <w:r w:rsidRPr="003B555F">
        <w:rPr>
          <w:color w:val="1A1A1A"/>
          <w:sz w:val="18"/>
          <w:szCs w:val="18"/>
        </w:rPr>
        <w:t xml:space="preserve"> https://doi.org/10.1016/j.heliyon.2024.e27920</w:t>
      </w:r>
    </w:p>
    <w:p w14:paraId="08139679" w14:textId="77777777" w:rsidR="00AF610A" w:rsidRPr="003B555F" w:rsidRDefault="00DF167B">
      <w:pPr>
        <w:spacing w:before="60" w:after="60" w:line="252" w:lineRule="auto"/>
        <w:ind w:left="360" w:hanging="360"/>
        <w:rPr>
          <w:sz w:val="20"/>
          <w:szCs w:val="20"/>
        </w:rPr>
      </w:pPr>
      <w:r w:rsidRPr="003B555F">
        <w:rPr>
          <w:color w:val="1A1A1A"/>
          <w:sz w:val="18"/>
          <w:szCs w:val="18"/>
        </w:rPr>
        <w:t>[12] Uddin, M.R., &amp; Chakrovorty, R.S. (2024). IoT-based real-time water quality monitoring sys</w:t>
      </w:r>
      <w:r w:rsidRPr="003B555F">
        <w:rPr>
          <w:color w:val="1A1A1A"/>
          <w:sz w:val="18"/>
          <w:szCs w:val="18"/>
        </w:rPr>
        <w:t xml:space="preserve">tem in water treatment plants (WTPs). </w:t>
      </w:r>
      <w:proofErr w:type="gramStart"/>
      <w:r w:rsidRPr="003B555F">
        <w:rPr>
          <w:color w:val="1A1A1A"/>
          <w:sz w:val="18"/>
          <w:szCs w:val="18"/>
        </w:rPr>
        <w:t>Heliyon, 10(23), e40746.</w:t>
      </w:r>
      <w:proofErr w:type="gramEnd"/>
      <w:r w:rsidRPr="003B555F">
        <w:rPr>
          <w:color w:val="1A1A1A"/>
          <w:sz w:val="18"/>
          <w:szCs w:val="18"/>
        </w:rPr>
        <w:t xml:space="preserve"> https://doi.org/10.1016/j.heliyon.2024.e40746</w:t>
      </w:r>
    </w:p>
    <w:p w14:paraId="72805740"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[13] Sitzenfrei, R., Annus, I., Langeveld, J., Rieckermann, J., &amp; Rauch, W. (2024). </w:t>
      </w:r>
      <w:proofErr w:type="gramStart"/>
      <w:r w:rsidRPr="003B555F">
        <w:rPr>
          <w:color w:val="1A1A1A"/>
          <w:sz w:val="18"/>
          <w:szCs w:val="18"/>
        </w:rPr>
        <w:t>Developments and applications of IoT-based sensors for wastewat</w:t>
      </w:r>
      <w:r w:rsidRPr="003B555F">
        <w:rPr>
          <w:color w:val="1A1A1A"/>
          <w:sz w:val="18"/>
          <w:szCs w:val="18"/>
        </w:rPr>
        <w:t>er and drainage systems.</w:t>
      </w:r>
      <w:proofErr w:type="gramEnd"/>
      <w:r w:rsidRPr="003B555F">
        <w:rPr>
          <w:color w:val="1A1A1A"/>
          <w:sz w:val="18"/>
          <w:szCs w:val="18"/>
        </w:rPr>
        <w:t xml:space="preserve"> Water Science &amp; Technology, 89(4), iii–v. https://doi.org/10.2166/wst.2024.058</w:t>
      </w:r>
    </w:p>
    <w:p w14:paraId="40A03467"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[14] Chawishborwornworng, P., et al. (2023). </w:t>
      </w:r>
      <w:proofErr w:type="gramStart"/>
      <w:r w:rsidRPr="003B555F">
        <w:rPr>
          <w:color w:val="1A1A1A"/>
          <w:sz w:val="18"/>
          <w:szCs w:val="18"/>
        </w:rPr>
        <w:t>IoT and AI in water and wastewater treatment.</w:t>
      </w:r>
      <w:proofErr w:type="gramEnd"/>
      <w:r w:rsidRPr="003B555F">
        <w:rPr>
          <w:color w:val="1A1A1A"/>
          <w:sz w:val="18"/>
          <w:szCs w:val="18"/>
        </w:rPr>
        <w:t xml:space="preserve"> Water Journal of Advanced Research and Reviews, 21, 1373–1382</w:t>
      </w:r>
      <w:r w:rsidRPr="003B555F">
        <w:rPr>
          <w:color w:val="1A1A1A"/>
          <w:sz w:val="18"/>
          <w:szCs w:val="18"/>
        </w:rPr>
        <w:t>.</w:t>
      </w:r>
    </w:p>
    <w:p w14:paraId="5D071A86"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[15] Rashid, I., et al. (2023). </w:t>
      </w:r>
      <w:proofErr w:type="gramStart"/>
      <w:r w:rsidRPr="003B555F">
        <w:rPr>
          <w:color w:val="1A1A1A"/>
          <w:sz w:val="18"/>
          <w:szCs w:val="18"/>
        </w:rPr>
        <w:t>Internet of Things (IoT)-based wastewater management in smart cities.</w:t>
      </w:r>
      <w:proofErr w:type="gramEnd"/>
      <w:r w:rsidRPr="003B555F">
        <w:rPr>
          <w:color w:val="1A1A1A"/>
          <w:sz w:val="18"/>
          <w:szCs w:val="18"/>
        </w:rPr>
        <w:t xml:space="preserve"> </w:t>
      </w:r>
      <w:proofErr w:type="gramStart"/>
      <w:r w:rsidRPr="003B555F">
        <w:rPr>
          <w:color w:val="1A1A1A"/>
          <w:sz w:val="18"/>
          <w:szCs w:val="18"/>
        </w:rPr>
        <w:t>Electronics, 12(12), 2590.</w:t>
      </w:r>
      <w:proofErr w:type="gramEnd"/>
      <w:r w:rsidRPr="003B555F">
        <w:rPr>
          <w:color w:val="1A1A1A"/>
          <w:sz w:val="18"/>
          <w:szCs w:val="18"/>
        </w:rPr>
        <w:t xml:space="preserve"> https://doi.org/10.3390/electronics12122590</w:t>
      </w:r>
    </w:p>
    <w:p w14:paraId="74916EFA"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[16] Ahmed, A., et al. (2023). </w:t>
      </w:r>
      <w:proofErr w:type="gramStart"/>
      <w:r w:rsidRPr="003B555F">
        <w:rPr>
          <w:color w:val="1A1A1A"/>
          <w:sz w:val="18"/>
          <w:szCs w:val="18"/>
        </w:rPr>
        <w:t>Smart IoT-based water treatment with a Supervisory</w:t>
      </w:r>
      <w:r w:rsidRPr="003B555F">
        <w:rPr>
          <w:color w:val="1A1A1A"/>
          <w:sz w:val="18"/>
          <w:szCs w:val="18"/>
        </w:rPr>
        <w:t xml:space="preserve"> Control and Data Acquisition (SCADA) system.</w:t>
      </w:r>
      <w:proofErr w:type="gramEnd"/>
      <w:r w:rsidRPr="003B555F">
        <w:rPr>
          <w:color w:val="1A1A1A"/>
          <w:sz w:val="18"/>
          <w:szCs w:val="18"/>
        </w:rPr>
        <w:t xml:space="preserve"> Water Reuse, 13(3), 411–431. https://doi.org/10.2166/wrd.2023.052</w:t>
      </w:r>
    </w:p>
    <w:p w14:paraId="0A5B6708"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[17] Pandya, S., et al. (2025). APAH: An autonomous IoT-driven real-time monitoring system for industrial wastewater. </w:t>
      </w:r>
      <w:proofErr w:type="gramStart"/>
      <w:r w:rsidRPr="003B555F">
        <w:rPr>
          <w:color w:val="1A1A1A"/>
          <w:sz w:val="18"/>
          <w:szCs w:val="18"/>
        </w:rPr>
        <w:t xml:space="preserve">Science of the Total </w:t>
      </w:r>
      <w:r w:rsidRPr="003B555F">
        <w:rPr>
          <w:color w:val="1A1A1A"/>
          <w:sz w:val="18"/>
          <w:szCs w:val="18"/>
        </w:rPr>
        <w:t>Environment, 906, 167400.</w:t>
      </w:r>
      <w:proofErr w:type="gramEnd"/>
      <w:r w:rsidRPr="003B555F">
        <w:rPr>
          <w:color w:val="1A1A1A"/>
          <w:sz w:val="18"/>
          <w:szCs w:val="18"/>
        </w:rPr>
        <w:t xml:space="preserve"> https://doi.org/10.1016/j.scitotenv.2025.167400</w:t>
      </w:r>
    </w:p>
    <w:p w14:paraId="6F8C5B45" w14:textId="77777777" w:rsidR="00AF610A" w:rsidRPr="003B555F" w:rsidRDefault="00DF167B">
      <w:pPr>
        <w:spacing w:before="60" w:after="60" w:line="252" w:lineRule="auto"/>
        <w:ind w:left="360" w:hanging="360"/>
        <w:rPr>
          <w:sz w:val="20"/>
          <w:szCs w:val="20"/>
        </w:rPr>
      </w:pPr>
      <w:r w:rsidRPr="003B555F">
        <w:rPr>
          <w:color w:val="1A1A1A"/>
          <w:sz w:val="18"/>
          <w:szCs w:val="18"/>
        </w:rPr>
        <w:t>[18] Natt, K., et al. (2025). Bioremediation of electroplating industrial wastewater using bioenzymes derived from citrus fruit peels. Environment Conservation Journal, 26(1), 1–8. h</w:t>
      </w:r>
      <w:r w:rsidRPr="003B555F">
        <w:rPr>
          <w:color w:val="1A1A1A"/>
          <w:sz w:val="18"/>
          <w:szCs w:val="18"/>
        </w:rPr>
        <w:t>ttps://doi.org/10.36953/ECJ.26012025</w:t>
      </w:r>
    </w:p>
    <w:p w14:paraId="76965D33"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[19] Maqdi, K.A.A., et al. (2021). </w:t>
      </w:r>
      <w:proofErr w:type="gramStart"/>
      <w:r w:rsidRPr="003B555F">
        <w:rPr>
          <w:color w:val="1A1A1A"/>
          <w:sz w:val="18"/>
          <w:szCs w:val="18"/>
        </w:rPr>
        <w:t>Challenges and recent advances in enzyme-mediated wastewater remediation—A review.</w:t>
      </w:r>
      <w:proofErr w:type="gramEnd"/>
      <w:r w:rsidRPr="003B555F">
        <w:rPr>
          <w:color w:val="1A1A1A"/>
          <w:sz w:val="18"/>
          <w:szCs w:val="18"/>
        </w:rPr>
        <w:t xml:space="preserve"> </w:t>
      </w:r>
      <w:proofErr w:type="gramStart"/>
      <w:r w:rsidRPr="003B555F">
        <w:rPr>
          <w:color w:val="1A1A1A"/>
          <w:sz w:val="18"/>
          <w:szCs w:val="18"/>
        </w:rPr>
        <w:t>Frontiers in Environmental Science, 9, 646784.</w:t>
      </w:r>
      <w:proofErr w:type="gramEnd"/>
      <w:r w:rsidRPr="003B555F">
        <w:rPr>
          <w:color w:val="1A1A1A"/>
          <w:sz w:val="18"/>
          <w:szCs w:val="18"/>
        </w:rPr>
        <w:t xml:space="preserve"> https://doi.org/10.3389/fenvs.2021.646784</w:t>
      </w:r>
    </w:p>
    <w:p w14:paraId="0182668A" w14:textId="77777777" w:rsidR="00AF610A" w:rsidRPr="003B555F" w:rsidRDefault="00DF167B">
      <w:pPr>
        <w:spacing w:before="60" w:after="60" w:line="252" w:lineRule="auto"/>
        <w:ind w:left="360" w:hanging="360"/>
        <w:rPr>
          <w:sz w:val="20"/>
          <w:szCs w:val="20"/>
        </w:rPr>
      </w:pPr>
      <w:r w:rsidRPr="003B555F">
        <w:rPr>
          <w:color w:val="1A1A1A"/>
          <w:sz w:val="18"/>
          <w:szCs w:val="18"/>
        </w:rPr>
        <w:t>[20] Aamika,</w:t>
      </w:r>
      <w:r w:rsidRPr="003B555F">
        <w:rPr>
          <w:color w:val="1A1A1A"/>
          <w:sz w:val="18"/>
          <w:szCs w:val="18"/>
        </w:rPr>
        <w:t xml:space="preserve"> D.P., Govind, M.S., Litty, G.D., &amp; Dhanyalekshmi, C.S. (2019). </w:t>
      </w:r>
      <w:proofErr w:type="gramStart"/>
      <w:r w:rsidRPr="003B555F">
        <w:rPr>
          <w:color w:val="1A1A1A"/>
          <w:sz w:val="18"/>
          <w:szCs w:val="18"/>
        </w:rPr>
        <w:t>Organic wastewater treatment using enzyme immobilization.</w:t>
      </w:r>
      <w:proofErr w:type="gramEnd"/>
      <w:r w:rsidRPr="003B555F">
        <w:rPr>
          <w:color w:val="1A1A1A"/>
          <w:sz w:val="18"/>
          <w:szCs w:val="18"/>
        </w:rPr>
        <w:t xml:space="preserve"> </w:t>
      </w:r>
      <w:proofErr w:type="gramStart"/>
      <w:r w:rsidRPr="003B555F">
        <w:rPr>
          <w:color w:val="1A1A1A"/>
          <w:sz w:val="18"/>
          <w:szCs w:val="18"/>
        </w:rPr>
        <w:t>International Research Journal of Engineering and Technology, 6(3), 3201–3206.</w:t>
      </w:r>
      <w:proofErr w:type="gramEnd"/>
    </w:p>
    <w:p w14:paraId="02A47D1A" w14:textId="77777777" w:rsidR="00AF610A" w:rsidRPr="003B555F" w:rsidRDefault="00DF167B">
      <w:pPr>
        <w:spacing w:before="60" w:after="60" w:line="252" w:lineRule="auto"/>
        <w:ind w:left="360" w:hanging="360"/>
        <w:rPr>
          <w:sz w:val="20"/>
          <w:szCs w:val="20"/>
        </w:rPr>
      </w:pPr>
      <w:r w:rsidRPr="003B555F">
        <w:rPr>
          <w:color w:val="1A1A1A"/>
          <w:sz w:val="18"/>
          <w:szCs w:val="18"/>
        </w:rPr>
        <w:t>[21] Microbial Enzyme Consortia – COD Reduction Report.</w:t>
      </w:r>
      <w:r w:rsidRPr="003B555F">
        <w:rPr>
          <w:color w:val="1A1A1A"/>
          <w:sz w:val="18"/>
          <w:szCs w:val="18"/>
        </w:rPr>
        <w:t xml:space="preserve"> </w:t>
      </w:r>
      <w:proofErr w:type="gramStart"/>
      <w:r w:rsidRPr="003B555F">
        <w:rPr>
          <w:color w:val="1A1A1A"/>
          <w:sz w:val="18"/>
          <w:szCs w:val="18"/>
        </w:rPr>
        <w:t>(2026). GeneOnline News.</w:t>
      </w:r>
      <w:proofErr w:type="gramEnd"/>
      <w:r w:rsidRPr="003B555F">
        <w:rPr>
          <w:color w:val="1A1A1A"/>
          <w:sz w:val="18"/>
          <w:szCs w:val="18"/>
        </w:rPr>
        <w:t xml:space="preserve"> https://www.geneonline.com/microbial-enzyme-consortia-achieve-50-70-cod-reduction-in-industrial-wastewater-treatment/</w:t>
      </w:r>
    </w:p>
    <w:p w14:paraId="7B5FEE10"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[22] Sharma, P., et al. (2021). </w:t>
      </w:r>
      <w:proofErr w:type="gramStart"/>
      <w:r w:rsidRPr="003B555F">
        <w:rPr>
          <w:color w:val="1A1A1A"/>
          <w:sz w:val="18"/>
          <w:szCs w:val="18"/>
        </w:rPr>
        <w:t>Demonstrated use of mixed-enzyme solutions in domestic wastewater treatment.</w:t>
      </w:r>
      <w:proofErr w:type="gramEnd"/>
      <w:r w:rsidRPr="003B555F">
        <w:rPr>
          <w:color w:val="1A1A1A"/>
          <w:sz w:val="18"/>
          <w:szCs w:val="18"/>
        </w:rPr>
        <w:t xml:space="preserve"> </w:t>
      </w:r>
      <w:proofErr w:type="gramStart"/>
      <w:r w:rsidRPr="003B555F">
        <w:rPr>
          <w:color w:val="1A1A1A"/>
          <w:sz w:val="18"/>
          <w:szCs w:val="18"/>
        </w:rPr>
        <w:t>Env</w:t>
      </w:r>
      <w:r w:rsidRPr="003B555F">
        <w:rPr>
          <w:color w:val="1A1A1A"/>
          <w:sz w:val="18"/>
          <w:szCs w:val="18"/>
        </w:rPr>
        <w:t>ironmental Research, 195, 110843.</w:t>
      </w:r>
      <w:proofErr w:type="gramEnd"/>
    </w:p>
    <w:p w14:paraId="2A3CDA2E" w14:textId="77777777" w:rsidR="00AF610A" w:rsidRPr="003B555F" w:rsidRDefault="00DF167B">
      <w:pPr>
        <w:spacing w:before="60" w:after="60" w:line="252" w:lineRule="auto"/>
        <w:ind w:left="360" w:hanging="360"/>
        <w:rPr>
          <w:sz w:val="20"/>
          <w:szCs w:val="20"/>
        </w:rPr>
      </w:pPr>
      <w:r w:rsidRPr="003B555F">
        <w:rPr>
          <w:color w:val="1A1A1A"/>
          <w:sz w:val="18"/>
          <w:szCs w:val="18"/>
        </w:rPr>
        <w:t>[23] Renganathan, S., et al. (2025). Recent advances in microbial biotechnology for wastewater treatment. Bioresource Technology, 398, 130476. https://doi.org/10.1016/j.biortech.2025.130476</w:t>
      </w:r>
    </w:p>
    <w:p w14:paraId="7B8AD353"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[24] Sahu, S., Kaur, A., Singh, </w:t>
      </w:r>
      <w:r w:rsidRPr="003B555F">
        <w:rPr>
          <w:color w:val="1A1A1A"/>
          <w:sz w:val="18"/>
          <w:szCs w:val="18"/>
        </w:rPr>
        <w:t xml:space="preserve">G., &amp; Kumar, A.S. (2023). </w:t>
      </w:r>
      <w:proofErr w:type="gramStart"/>
      <w:r w:rsidRPr="003B555F">
        <w:rPr>
          <w:color w:val="1A1A1A"/>
          <w:sz w:val="18"/>
          <w:szCs w:val="18"/>
        </w:rPr>
        <w:t>Harnessing the potential of microalgae-bacteria interaction for eco-friendly wastewater treatment.</w:t>
      </w:r>
      <w:proofErr w:type="gramEnd"/>
      <w:r w:rsidRPr="003B555F">
        <w:rPr>
          <w:color w:val="1A1A1A"/>
          <w:sz w:val="18"/>
          <w:szCs w:val="18"/>
        </w:rPr>
        <w:t xml:space="preserve"> </w:t>
      </w:r>
      <w:proofErr w:type="gramStart"/>
      <w:r w:rsidRPr="003B555F">
        <w:rPr>
          <w:color w:val="1A1A1A"/>
          <w:sz w:val="18"/>
          <w:szCs w:val="18"/>
        </w:rPr>
        <w:t>Journal of Environmental Management, 346, 119004.</w:t>
      </w:r>
      <w:proofErr w:type="gramEnd"/>
      <w:r w:rsidRPr="003B555F">
        <w:rPr>
          <w:color w:val="1A1A1A"/>
          <w:sz w:val="18"/>
          <w:szCs w:val="18"/>
        </w:rPr>
        <w:t xml:space="preserve"> https://doi.org/10.1016/j.jenvman.2023.119004</w:t>
      </w:r>
    </w:p>
    <w:p w14:paraId="17DA1556" w14:textId="77777777" w:rsidR="00AF610A" w:rsidRPr="003B555F" w:rsidRDefault="00DF167B">
      <w:pPr>
        <w:spacing w:before="60" w:after="60" w:line="252" w:lineRule="auto"/>
        <w:ind w:left="360" w:hanging="360"/>
        <w:rPr>
          <w:sz w:val="20"/>
          <w:szCs w:val="20"/>
        </w:rPr>
      </w:pPr>
      <w:r w:rsidRPr="003B555F">
        <w:rPr>
          <w:color w:val="1A1A1A"/>
          <w:sz w:val="18"/>
          <w:szCs w:val="18"/>
        </w:rPr>
        <w:lastRenderedPageBreak/>
        <w:t>[25] Basri, H.F., et al. (2022). Ec</w:t>
      </w:r>
      <w:r w:rsidRPr="003B555F">
        <w:rPr>
          <w:color w:val="1A1A1A"/>
          <w:sz w:val="18"/>
          <w:szCs w:val="18"/>
        </w:rPr>
        <w:t xml:space="preserve">o-enzyme on water and wastewater treatment: a review. </w:t>
      </w:r>
      <w:proofErr w:type="gramStart"/>
      <w:r w:rsidRPr="003B555F">
        <w:rPr>
          <w:color w:val="1A1A1A"/>
          <w:sz w:val="18"/>
          <w:szCs w:val="18"/>
        </w:rPr>
        <w:t>2nd International Sustainability and Resource Security Conference, Johor, Malaysia.</w:t>
      </w:r>
      <w:proofErr w:type="gramEnd"/>
    </w:p>
    <w:p w14:paraId="24713339"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[26] Infinita Biotech. </w:t>
      </w:r>
      <w:proofErr w:type="gramStart"/>
      <w:r w:rsidRPr="003B555F">
        <w:rPr>
          <w:color w:val="1A1A1A"/>
          <w:sz w:val="18"/>
          <w:szCs w:val="18"/>
        </w:rPr>
        <w:t>(2025). Enzymes in wastewater treatment for sustainable pollutant removal.</w:t>
      </w:r>
      <w:proofErr w:type="gramEnd"/>
      <w:r w:rsidRPr="003B555F">
        <w:rPr>
          <w:color w:val="1A1A1A"/>
          <w:sz w:val="18"/>
          <w:szCs w:val="18"/>
        </w:rPr>
        <w:t xml:space="preserve"> https://infinitabiot</w:t>
      </w:r>
      <w:r w:rsidRPr="003B555F">
        <w:rPr>
          <w:color w:val="1A1A1A"/>
          <w:sz w:val="18"/>
          <w:szCs w:val="18"/>
        </w:rPr>
        <w:t>ech.com/blog/enzymes-wastewater-treatment-sustainable-pollutant-removal/</w:t>
      </w:r>
    </w:p>
    <w:p w14:paraId="25C6E747"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[27] Tian, W., Fu, G., Xin, K., Zhang, Z., &amp; Liao, Z. (2024). </w:t>
      </w:r>
      <w:proofErr w:type="gramStart"/>
      <w:r w:rsidRPr="003B555F">
        <w:rPr>
          <w:color w:val="1A1A1A"/>
          <w:sz w:val="18"/>
          <w:szCs w:val="18"/>
        </w:rPr>
        <w:t>Improving the interpretability of deep reinforcement learning in urban drainage system operation.</w:t>
      </w:r>
      <w:proofErr w:type="gramEnd"/>
      <w:r w:rsidRPr="003B555F">
        <w:rPr>
          <w:color w:val="1A1A1A"/>
          <w:sz w:val="18"/>
          <w:szCs w:val="18"/>
        </w:rPr>
        <w:t xml:space="preserve"> </w:t>
      </w:r>
      <w:proofErr w:type="gramStart"/>
      <w:r w:rsidRPr="003B555F">
        <w:rPr>
          <w:color w:val="1A1A1A"/>
          <w:sz w:val="18"/>
          <w:szCs w:val="18"/>
        </w:rPr>
        <w:t>Water Research, 249, 12</w:t>
      </w:r>
      <w:r w:rsidRPr="003B555F">
        <w:rPr>
          <w:color w:val="1A1A1A"/>
          <w:sz w:val="18"/>
          <w:szCs w:val="18"/>
        </w:rPr>
        <w:t>0912.</w:t>
      </w:r>
      <w:proofErr w:type="gramEnd"/>
      <w:r w:rsidRPr="003B555F">
        <w:rPr>
          <w:color w:val="1A1A1A"/>
          <w:sz w:val="18"/>
          <w:szCs w:val="18"/>
        </w:rPr>
        <w:t xml:space="preserve"> https://doi.org/10.1016/j.watres.2023.120912</w:t>
      </w:r>
    </w:p>
    <w:p w14:paraId="5AA352E7"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[28] Lin, S., Kim, J., Hua, C., Park, M.-H., &amp; Kang, S. (2023). </w:t>
      </w:r>
      <w:proofErr w:type="gramStart"/>
      <w:r w:rsidRPr="003B555F">
        <w:rPr>
          <w:color w:val="1A1A1A"/>
          <w:sz w:val="18"/>
          <w:szCs w:val="18"/>
        </w:rPr>
        <w:t>Coagulant dosage determination using deep learning-based graph attention multivariate time series forecasting model.</w:t>
      </w:r>
      <w:proofErr w:type="gramEnd"/>
      <w:r w:rsidRPr="003B555F">
        <w:rPr>
          <w:color w:val="1A1A1A"/>
          <w:sz w:val="18"/>
          <w:szCs w:val="18"/>
        </w:rPr>
        <w:t xml:space="preserve"> </w:t>
      </w:r>
      <w:proofErr w:type="gramStart"/>
      <w:r w:rsidRPr="003B555F">
        <w:rPr>
          <w:color w:val="1A1A1A"/>
          <w:sz w:val="18"/>
          <w:szCs w:val="18"/>
        </w:rPr>
        <w:t>Water Research, 232, 119</w:t>
      </w:r>
      <w:r w:rsidRPr="003B555F">
        <w:rPr>
          <w:color w:val="1A1A1A"/>
          <w:sz w:val="18"/>
          <w:szCs w:val="18"/>
        </w:rPr>
        <w:t>665.</w:t>
      </w:r>
      <w:proofErr w:type="gramEnd"/>
      <w:r w:rsidRPr="003B555F">
        <w:rPr>
          <w:color w:val="1A1A1A"/>
          <w:sz w:val="18"/>
          <w:szCs w:val="18"/>
        </w:rPr>
        <w:t xml:space="preserve"> https://doi.org/10.1016/j.watres.2023.119665</w:t>
      </w:r>
    </w:p>
    <w:p w14:paraId="46B04607"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[29] Oruganti, R.K., et al. (2023). </w:t>
      </w:r>
      <w:proofErr w:type="gramStart"/>
      <w:r w:rsidRPr="003B555F">
        <w:rPr>
          <w:color w:val="1A1A1A"/>
          <w:sz w:val="18"/>
          <w:szCs w:val="18"/>
        </w:rPr>
        <w:t>Artificial intelligence and machine learning tools for high-performance microalgal wastewater treatment and algal biorefinery.</w:t>
      </w:r>
      <w:proofErr w:type="gramEnd"/>
      <w:r w:rsidRPr="003B555F">
        <w:rPr>
          <w:color w:val="1A1A1A"/>
          <w:sz w:val="18"/>
          <w:szCs w:val="18"/>
        </w:rPr>
        <w:t xml:space="preserve"> Bioresource Technology, 376, 128860. https:</w:t>
      </w:r>
      <w:r w:rsidRPr="003B555F">
        <w:rPr>
          <w:color w:val="1A1A1A"/>
          <w:sz w:val="18"/>
          <w:szCs w:val="18"/>
        </w:rPr>
        <w:t>//doi.org/10.1016/j.biortech.2023.128860</w:t>
      </w:r>
    </w:p>
    <w:p w14:paraId="737B59C6"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[30] Du, X., et al. (2025). </w:t>
      </w:r>
      <w:proofErr w:type="gramStart"/>
      <w:r w:rsidRPr="003B555F">
        <w:rPr>
          <w:color w:val="1A1A1A"/>
          <w:sz w:val="18"/>
          <w:szCs w:val="18"/>
        </w:rPr>
        <w:t>Multivariable control of wastewater treatment process based on multi-agent deep reinforcement learning.</w:t>
      </w:r>
      <w:proofErr w:type="gramEnd"/>
      <w:r w:rsidRPr="003B555F">
        <w:rPr>
          <w:color w:val="1A1A1A"/>
          <w:sz w:val="18"/>
          <w:szCs w:val="18"/>
        </w:rPr>
        <w:t xml:space="preserve"> IET Control Theory &amp; Applications, 19(1), e70021. https://doi.org/10.1049/cth2.7002</w:t>
      </w:r>
      <w:r w:rsidRPr="003B555F">
        <w:rPr>
          <w:color w:val="1A1A1A"/>
          <w:sz w:val="18"/>
          <w:szCs w:val="18"/>
        </w:rPr>
        <w:t>1</w:t>
      </w:r>
    </w:p>
    <w:p w14:paraId="5E2FFBF6"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[31] Tong, S., et al. (2025). Knowledge embedding and interpretable machine learning optimize comprehensive benefits for water treatment. </w:t>
      </w:r>
      <w:proofErr w:type="gramStart"/>
      <w:r w:rsidRPr="003B555F">
        <w:rPr>
          <w:color w:val="1A1A1A"/>
          <w:sz w:val="18"/>
          <w:szCs w:val="18"/>
        </w:rPr>
        <w:t>npj</w:t>
      </w:r>
      <w:proofErr w:type="gramEnd"/>
      <w:r w:rsidRPr="003B555F">
        <w:rPr>
          <w:color w:val="1A1A1A"/>
          <w:sz w:val="18"/>
          <w:szCs w:val="18"/>
        </w:rPr>
        <w:t xml:space="preserve"> Clean Water, 8, 22. https://doi.org/10.1038/s41545-025-00510-1</w:t>
      </w:r>
    </w:p>
    <w:p w14:paraId="71E1F018"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[32] Zhu, Z., et al. (2025). </w:t>
      </w:r>
      <w:proofErr w:type="gramStart"/>
      <w:r w:rsidRPr="003B555F">
        <w:rPr>
          <w:color w:val="1A1A1A"/>
          <w:sz w:val="18"/>
          <w:szCs w:val="18"/>
        </w:rPr>
        <w:t>Bayesian optimizatio</w:t>
      </w:r>
      <w:r w:rsidRPr="003B555F">
        <w:rPr>
          <w:color w:val="1A1A1A"/>
          <w:sz w:val="18"/>
          <w:szCs w:val="18"/>
        </w:rPr>
        <w:t>n-enhanced reinforcement learning for self-adaptive and multi-objective control of wastewater treatment.</w:t>
      </w:r>
      <w:proofErr w:type="gramEnd"/>
      <w:r w:rsidRPr="003B555F">
        <w:rPr>
          <w:color w:val="1A1A1A"/>
          <w:sz w:val="18"/>
          <w:szCs w:val="18"/>
        </w:rPr>
        <w:t xml:space="preserve"> Bioresource Technology, 421, 132210. https://doi.org/10.1016/j.biortech.2025.132210</w:t>
      </w:r>
    </w:p>
    <w:p w14:paraId="03C4BFDC"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[33] Chen, X., et al. (2023). </w:t>
      </w:r>
      <w:proofErr w:type="gramStart"/>
      <w:r w:rsidRPr="003B555F">
        <w:rPr>
          <w:color w:val="1A1A1A"/>
          <w:sz w:val="18"/>
          <w:szCs w:val="18"/>
        </w:rPr>
        <w:t>Intelligent control of wastewater tre</w:t>
      </w:r>
      <w:r w:rsidRPr="003B555F">
        <w:rPr>
          <w:color w:val="1A1A1A"/>
          <w:sz w:val="18"/>
          <w:szCs w:val="18"/>
        </w:rPr>
        <w:t>atment plants based on model-free deep reinforcement learning.</w:t>
      </w:r>
      <w:proofErr w:type="gramEnd"/>
      <w:r w:rsidRPr="003B555F">
        <w:rPr>
          <w:color w:val="1A1A1A"/>
          <w:sz w:val="18"/>
          <w:szCs w:val="18"/>
        </w:rPr>
        <w:t xml:space="preserve"> </w:t>
      </w:r>
      <w:proofErr w:type="gramStart"/>
      <w:r w:rsidRPr="003B555F">
        <w:rPr>
          <w:color w:val="1A1A1A"/>
          <w:sz w:val="18"/>
          <w:szCs w:val="18"/>
        </w:rPr>
        <w:t>Processes, 11(8), 2269.</w:t>
      </w:r>
      <w:proofErr w:type="gramEnd"/>
      <w:r w:rsidRPr="003B555F">
        <w:rPr>
          <w:color w:val="1A1A1A"/>
          <w:sz w:val="18"/>
          <w:szCs w:val="18"/>
        </w:rPr>
        <w:t xml:space="preserve"> https://doi.org/10.3390/pr11082269</w:t>
      </w:r>
    </w:p>
    <w:p w14:paraId="2E010735"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[34] Abunama, T., et al. (2024). </w:t>
      </w:r>
      <w:proofErr w:type="gramStart"/>
      <w:r w:rsidRPr="003B555F">
        <w:rPr>
          <w:color w:val="1A1A1A"/>
          <w:sz w:val="18"/>
          <w:szCs w:val="18"/>
        </w:rPr>
        <w:t>Advancements in machine learning modelling for energy and emissions optimization in wastewater treatm</w:t>
      </w:r>
      <w:r w:rsidRPr="003B555F">
        <w:rPr>
          <w:color w:val="1A1A1A"/>
          <w:sz w:val="18"/>
          <w:szCs w:val="18"/>
        </w:rPr>
        <w:t>ent plants.</w:t>
      </w:r>
      <w:proofErr w:type="gramEnd"/>
      <w:r w:rsidRPr="003B555F">
        <w:rPr>
          <w:color w:val="1A1A1A"/>
          <w:sz w:val="18"/>
          <w:szCs w:val="18"/>
        </w:rPr>
        <w:t xml:space="preserve"> Water and Environment Journal, 38(3), 451–473. https://doi.org/10.1111/wej.12945</w:t>
      </w:r>
    </w:p>
    <w:p w14:paraId="787E3D24"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[35] Bahramian, M., et al. (2023). Data to intelligence: the role of data-driven models in wastewater treatment. </w:t>
      </w:r>
      <w:proofErr w:type="gramStart"/>
      <w:r w:rsidRPr="003B555F">
        <w:rPr>
          <w:color w:val="1A1A1A"/>
          <w:sz w:val="18"/>
          <w:szCs w:val="18"/>
        </w:rPr>
        <w:t>Expert Systems with Applications, 217, 119453.</w:t>
      </w:r>
      <w:proofErr w:type="gramEnd"/>
      <w:r w:rsidRPr="003B555F">
        <w:rPr>
          <w:color w:val="1A1A1A"/>
          <w:sz w:val="18"/>
          <w:szCs w:val="18"/>
        </w:rPr>
        <w:t xml:space="preserve"> htt</w:t>
      </w:r>
      <w:r w:rsidRPr="003B555F">
        <w:rPr>
          <w:color w:val="1A1A1A"/>
          <w:sz w:val="18"/>
          <w:szCs w:val="18"/>
        </w:rPr>
        <w:t>ps://doi.org/10.1016/j.eswa.2022.119453</w:t>
      </w:r>
    </w:p>
    <w:p w14:paraId="1DFC7375"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[36] Ucar, I., et al. (2024). </w:t>
      </w:r>
      <w:proofErr w:type="gramStart"/>
      <w:r w:rsidRPr="003B555F">
        <w:rPr>
          <w:color w:val="1A1A1A"/>
          <w:sz w:val="18"/>
          <w:szCs w:val="18"/>
        </w:rPr>
        <w:t>Machine learning-assisted expert control in wastewater aeration treatment process.</w:t>
      </w:r>
      <w:proofErr w:type="gramEnd"/>
      <w:r w:rsidRPr="003B555F">
        <w:rPr>
          <w:color w:val="1A1A1A"/>
          <w:sz w:val="18"/>
          <w:szCs w:val="18"/>
        </w:rPr>
        <w:t xml:space="preserve"> ACS ES&amp;T Engineering, 5(2), 398–413. https://doi.org/10.1021/acsestengg.5c00493</w:t>
      </w:r>
    </w:p>
    <w:p w14:paraId="78E62033" w14:textId="77777777" w:rsidR="00AF610A" w:rsidRPr="003B555F" w:rsidRDefault="00DF167B">
      <w:pPr>
        <w:spacing w:before="60" w:after="60" w:line="252" w:lineRule="auto"/>
        <w:ind w:left="360" w:hanging="360"/>
        <w:rPr>
          <w:sz w:val="20"/>
          <w:szCs w:val="20"/>
        </w:rPr>
      </w:pPr>
      <w:r w:rsidRPr="003B555F">
        <w:rPr>
          <w:color w:val="1A1A1A"/>
          <w:sz w:val="18"/>
          <w:szCs w:val="18"/>
        </w:rPr>
        <w:t>[37] Wang, G., Zhao, Y.</w:t>
      </w:r>
      <w:r w:rsidRPr="003B555F">
        <w:rPr>
          <w:color w:val="1A1A1A"/>
          <w:sz w:val="18"/>
          <w:szCs w:val="18"/>
        </w:rPr>
        <w:t xml:space="preserve">, Liu, C., &amp; Qiao, J. (2024). </w:t>
      </w:r>
      <w:proofErr w:type="gramStart"/>
      <w:r w:rsidRPr="003B555F">
        <w:rPr>
          <w:color w:val="1A1A1A"/>
          <w:sz w:val="18"/>
          <w:szCs w:val="18"/>
        </w:rPr>
        <w:t>Data-driven robust adaptive control with deep learning for wastewater treatment process.</w:t>
      </w:r>
      <w:proofErr w:type="gramEnd"/>
      <w:r w:rsidRPr="003B555F">
        <w:rPr>
          <w:color w:val="1A1A1A"/>
          <w:sz w:val="18"/>
          <w:szCs w:val="18"/>
        </w:rPr>
        <w:t xml:space="preserve"> IEEE Transactions on Industrial Informatics, 20(1), 149–157. https://doi.org/10.1109/TII.2023.3257296</w:t>
      </w:r>
    </w:p>
    <w:p w14:paraId="2F6E366B" w14:textId="77777777" w:rsidR="00AF610A" w:rsidRPr="003B555F" w:rsidRDefault="00DF167B">
      <w:pPr>
        <w:spacing w:before="60" w:after="60" w:line="252" w:lineRule="auto"/>
        <w:ind w:left="360" w:hanging="360"/>
        <w:rPr>
          <w:sz w:val="20"/>
          <w:szCs w:val="20"/>
        </w:rPr>
      </w:pPr>
      <w:r w:rsidRPr="003B555F">
        <w:rPr>
          <w:color w:val="1A1A1A"/>
          <w:sz w:val="18"/>
          <w:szCs w:val="18"/>
        </w:rPr>
        <w:t>[38] Li, X., Sun, H., Hu, Z., Miao,</w:t>
      </w:r>
      <w:r w:rsidRPr="003B555F">
        <w:rPr>
          <w:color w:val="1A1A1A"/>
          <w:sz w:val="18"/>
          <w:szCs w:val="18"/>
        </w:rPr>
        <w:t xml:space="preserve"> S., &amp; Liu, C. (2025). Optimizing airflow rate and carbon source dosage strategies for wastewater treatment plant: Toward carbon emission reduction and enhanced nitrogen removal. </w:t>
      </w:r>
      <w:proofErr w:type="gramStart"/>
      <w:r w:rsidRPr="003B555F">
        <w:rPr>
          <w:color w:val="1A1A1A"/>
          <w:sz w:val="18"/>
          <w:szCs w:val="18"/>
        </w:rPr>
        <w:t>Journal of Water Process Engineering, 72, 107513.</w:t>
      </w:r>
      <w:proofErr w:type="gramEnd"/>
      <w:r w:rsidRPr="003B555F">
        <w:rPr>
          <w:color w:val="1A1A1A"/>
          <w:sz w:val="18"/>
          <w:szCs w:val="18"/>
        </w:rPr>
        <w:t xml:space="preserve"> https://doi.org/10.1016/j.j</w:t>
      </w:r>
      <w:r w:rsidRPr="003B555F">
        <w:rPr>
          <w:color w:val="1A1A1A"/>
          <w:sz w:val="18"/>
          <w:szCs w:val="18"/>
        </w:rPr>
        <w:t>wpe.2025.107513</w:t>
      </w:r>
    </w:p>
    <w:p w14:paraId="322A844F"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[39] Liu, R., et al. (2026). AI for smart wastewater treatment plants: A review of physics-informed water quality modeling, optimization, and advanced control. </w:t>
      </w:r>
      <w:proofErr w:type="gramStart"/>
      <w:r w:rsidRPr="003B555F">
        <w:rPr>
          <w:color w:val="1A1A1A"/>
          <w:sz w:val="18"/>
          <w:szCs w:val="18"/>
        </w:rPr>
        <w:t>Journal of Hazardous Materials, 488, 137321.</w:t>
      </w:r>
      <w:proofErr w:type="gramEnd"/>
      <w:r w:rsidRPr="003B555F">
        <w:rPr>
          <w:color w:val="1A1A1A"/>
          <w:sz w:val="18"/>
          <w:szCs w:val="18"/>
        </w:rPr>
        <w:t xml:space="preserve"> https://doi.org/10.1016/j.jhazmat.2</w:t>
      </w:r>
      <w:r w:rsidRPr="003B555F">
        <w:rPr>
          <w:color w:val="1A1A1A"/>
          <w:sz w:val="18"/>
          <w:szCs w:val="18"/>
        </w:rPr>
        <w:t>026.137321</w:t>
      </w:r>
    </w:p>
    <w:p w14:paraId="24229195" w14:textId="77777777" w:rsidR="00AF610A" w:rsidRPr="003B555F" w:rsidRDefault="00DF167B">
      <w:pPr>
        <w:spacing w:before="60" w:after="60" w:line="252" w:lineRule="auto"/>
        <w:ind w:left="360" w:hanging="360"/>
        <w:rPr>
          <w:sz w:val="20"/>
          <w:szCs w:val="20"/>
        </w:rPr>
      </w:pPr>
      <w:r w:rsidRPr="003B555F">
        <w:rPr>
          <w:color w:val="1A1A1A"/>
          <w:sz w:val="18"/>
          <w:szCs w:val="18"/>
        </w:rPr>
        <w:t>[40] Duarte, M.S., et al. (2024). A review of computational modeling in wastewater treatment processes. ACS EST Water, 4(2), 784–804. https://doi.org/10.1021/acsestwater.3c00432</w:t>
      </w:r>
    </w:p>
    <w:p w14:paraId="5D37D486"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[41] Shivaram, K.B., et al. (2023). </w:t>
      </w:r>
      <w:proofErr w:type="gramStart"/>
      <w:r w:rsidRPr="003B555F">
        <w:rPr>
          <w:color w:val="1A1A1A"/>
          <w:sz w:val="18"/>
          <w:szCs w:val="18"/>
        </w:rPr>
        <w:t xml:space="preserve">Bacteriophage-based biocontrol </w:t>
      </w:r>
      <w:r w:rsidRPr="003B555F">
        <w:rPr>
          <w:color w:val="1A1A1A"/>
          <w:sz w:val="18"/>
          <w:szCs w:val="18"/>
        </w:rPr>
        <w:t>technology to enhance the efficiency of wastewater treatment.</w:t>
      </w:r>
      <w:proofErr w:type="gramEnd"/>
      <w:r w:rsidRPr="003B555F">
        <w:rPr>
          <w:color w:val="1A1A1A"/>
          <w:sz w:val="18"/>
          <w:szCs w:val="18"/>
        </w:rPr>
        <w:t xml:space="preserve"> </w:t>
      </w:r>
      <w:proofErr w:type="gramStart"/>
      <w:r w:rsidRPr="003B555F">
        <w:rPr>
          <w:color w:val="1A1A1A"/>
          <w:sz w:val="18"/>
          <w:szCs w:val="18"/>
        </w:rPr>
        <w:t>Science of the Total Environment, 862, 160723.</w:t>
      </w:r>
      <w:proofErr w:type="gramEnd"/>
      <w:r w:rsidRPr="003B555F">
        <w:rPr>
          <w:color w:val="1A1A1A"/>
          <w:sz w:val="18"/>
          <w:szCs w:val="18"/>
        </w:rPr>
        <w:t xml:space="preserve"> https://doi.org/10.1016/j.scitotenv.2022.160723</w:t>
      </w:r>
    </w:p>
    <w:p w14:paraId="41E0F8E3" w14:textId="77777777" w:rsidR="00AF610A" w:rsidRPr="003B555F" w:rsidRDefault="00DF167B">
      <w:pPr>
        <w:spacing w:before="60" w:after="60" w:line="252" w:lineRule="auto"/>
        <w:ind w:left="360" w:hanging="360"/>
        <w:rPr>
          <w:sz w:val="20"/>
          <w:szCs w:val="20"/>
        </w:rPr>
      </w:pPr>
      <w:r w:rsidRPr="003B555F">
        <w:rPr>
          <w:color w:val="1A1A1A"/>
          <w:sz w:val="18"/>
          <w:szCs w:val="18"/>
        </w:rPr>
        <w:t xml:space="preserve">[42] Richards, C.E., Tzachor, A., Avin, S., &amp; Fenner, R. (2023). </w:t>
      </w:r>
      <w:proofErr w:type="gramStart"/>
      <w:r w:rsidRPr="003B555F">
        <w:rPr>
          <w:color w:val="1A1A1A"/>
          <w:sz w:val="18"/>
          <w:szCs w:val="18"/>
        </w:rPr>
        <w:t>Rewards, risks and responsible dep</w:t>
      </w:r>
      <w:r w:rsidRPr="003B555F">
        <w:rPr>
          <w:color w:val="1A1A1A"/>
          <w:sz w:val="18"/>
          <w:szCs w:val="18"/>
        </w:rPr>
        <w:t>loyment of artificial intelligence in water systems.</w:t>
      </w:r>
      <w:proofErr w:type="gramEnd"/>
      <w:r w:rsidRPr="003B555F">
        <w:rPr>
          <w:color w:val="1A1A1A"/>
          <w:sz w:val="18"/>
          <w:szCs w:val="18"/>
        </w:rPr>
        <w:t xml:space="preserve"> Nature Water, 1, 422–432. https://doi.org/10.1038/s44221-023-00069-6</w:t>
      </w:r>
    </w:p>
    <w:sectPr w:rsidR="00AF610A" w:rsidRPr="003B555F" w:rsidSect="003B555F">
      <w:headerReference w:type="default" r:id="rId14"/>
      <w:footerReference w:type="default" r:id="rId15"/>
      <w:pgSz w:w="12240" w:h="15840"/>
      <w:pgMar w:top="720" w:right="720" w:bottom="720" w:left="72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DAA0E" w14:textId="77777777" w:rsidR="00DF167B" w:rsidRDefault="00DF167B">
      <w:r>
        <w:separator/>
      </w:r>
    </w:p>
  </w:endnote>
  <w:endnote w:type="continuationSeparator" w:id="0">
    <w:p w14:paraId="0041A1EC" w14:textId="77777777" w:rsidR="00DF167B" w:rsidRDefault="00DF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23B67" w14:textId="77777777" w:rsidR="00AF610A" w:rsidRDefault="00DF167B">
    <w:pPr>
      <w:pBdr>
        <w:top w:val="single" w:sz="4" w:space="1" w:color="1B4F72"/>
      </w:pBdr>
      <w:tabs>
        <w:tab w:val="right" w:pos="9026"/>
      </w:tabs>
    </w:pPr>
    <w:r>
      <w:rPr>
        <w:rFonts w:ascii="Arial" w:eastAsia="Arial" w:hAnsi="Arial" w:cs="Arial"/>
        <w:color w:val="666666"/>
        <w:sz w:val="17"/>
        <w:szCs w:val="17"/>
      </w:rPr>
      <w:t>© 2026 AI &amp; Environmental Biotechnology Research Group. All Rights Reserved.</w:t>
    </w:r>
    <w:r>
      <w:rPr>
        <w:rFonts w:ascii="Arial" w:eastAsia="Arial" w:hAnsi="Arial" w:cs="Arial"/>
        <w:color w:val="666666"/>
        <w:sz w:val="17"/>
        <w:szCs w:val="17"/>
      </w:rPr>
      <w:tab/>
      <w:t xml:space="preserve">Page </w:t>
    </w:r>
    <w:r>
      <w:rPr>
        <w:rFonts w:ascii="Arial" w:eastAsia="Arial" w:hAnsi="Arial" w:cs="Arial"/>
        <w:color w:val="666666"/>
        <w:sz w:val="17"/>
        <w:szCs w:val="17"/>
      </w:rPr>
      <w:fldChar w:fldCharType="begin"/>
    </w:r>
    <w:r>
      <w:rPr>
        <w:rFonts w:ascii="Arial" w:eastAsia="Arial" w:hAnsi="Arial" w:cs="Arial"/>
        <w:color w:val="666666"/>
        <w:sz w:val="17"/>
        <w:szCs w:val="17"/>
      </w:rPr>
      <w:instrText>PAGE</w:instrText>
    </w:r>
    <w:r>
      <w:rPr>
        <w:rFonts w:ascii="Arial" w:eastAsia="Arial" w:hAnsi="Arial" w:cs="Arial"/>
        <w:color w:val="666666"/>
        <w:sz w:val="17"/>
        <w:szCs w:val="17"/>
      </w:rPr>
      <w:fldChar w:fldCharType="separate"/>
    </w:r>
    <w:r w:rsidR="003514AC">
      <w:rPr>
        <w:rFonts w:ascii="Arial" w:eastAsia="Arial" w:hAnsi="Arial" w:cs="Arial"/>
        <w:noProof/>
        <w:color w:val="666666"/>
        <w:sz w:val="17"/>
        <w:szCs w:val="17"/>
      </w:rPr>
      <w:t>4</w:t>
    </w:r>
    <w:r>
      <w:rPr>
        <w:rFonts w:ascii="Arial" w:eastAsia="Arial" w:hAnsi="Arial" w:cs="Arial"/>
        <w:color w:val="666666"/>
        <w:sz w:val="17"/>
        <w:szCs w:val="17"/>
      </w:rPr>
      <w:fldChar w:fldCharType="end"/>
    </w:r>
    <w:r>
      <w:rPr>
        <w:rFonts w:ascii="Arial" w:eastAsia="Arial" w:hAnsi="Arial" w:cs="Arial"/>
        <w:color w:val="666666"/>
        <w:sz w:val="17"/>
        <w:szCs w:val="17"/>
      </w:rPr>
      <w:t xml:space="preserve"> of </w:t>
    </w:r>
    <w:r>
      <w:rPr>
        <w:rFonts w:ascii="Arial" w:eastAsia="Arial" w:hAnsi="Arial" w:cs="Arial"/>
        <w:color w:val="666666"/>
        <w:sz w:val="17"/>
        <w:szCs w:val="17"/>
      </w:rPr>
      <w:fldChar w:fldCharType="begin"/>
    </w:r>
    <w:r>
      <w:rPr>
        <w:rFonts w:ascii="Arial" w:eastAsia="Arial" w:hAnsi="Arial" w:cs="Arial"/>
        <w:color w:val="666666"/>
        <w:sz w:val="17"/>
        <w:szCs w:val="17"/>
      </w:rPr>
      <w:instrText>NUMPAGES</w:instrText>
    </w:r>
    <w:r>
      <w:rPr>
        <w:rFonts w:ascii="Arial" w:eastAsia="Arial" w:hAnsi="Arial" w:cs="Arial"/>
        <w:color w:val="666666"/>
        <w:sz w:val="17"/>
        <w:szCs w:val="17"/>
      </w:rPr>
      <w:fldChar w:fldCharType="separate"/>
    </w:r>
    <w:r w:rsidR="003514AC">
      <w:rPr>
        <w:rFonts w:ascii="Arial" w:eastAsia="Arial" w:hAnsi="Arial" w:cs="Arial"/>
        <w:noProof/>
        <w:color w:val="666666"/>
        <w:sz w:val="17"/>
        <w:szCs w:val="17"/>
      </w:rPr>
      <w:t>10</w:t>
    </w:r>
    <w:r>
      <w:rPr>
        <w:rFonts w:ascii="Arial" w:eastAsia="Arial" w:hAnsi="Arial" w:cs="Arial"/>
        <w:color w:val="666666"/>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2F0E2" w14:textId="77777777" w:rsidR="00DF167B" w:rsidRDefault="00DF167B">
      <w:r>
        <w:separator/>
      </w:r>
    </w:p>
  </w:footnote>
  <w:footnote w:type="continuationSeparator" w:id="0">
    <w:p w14:paraId="705E184C" w14:textId="77777777" w:rsidR="00DF167B" w:rsidRDefault="00DF16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4E8B7" w14:textId="4DA4C001" w:rsidR="00AF610A" w:rsidRDefault="00AF610A">
    <w:pPr>
      <w:pBdr>
        <w:bottom w:val="single" w:sz="4" w:space="1" w:color="1B4F72"/>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39E7"/>
    <w:multiLevelType w:val="hybridMultilevel"/>
    <w:tmpl w:val="36AEFDCC"/>
    <w:lvl w:ilvl="0" w:tplc="0E841BAE">
      <w:start w:val="1"/>
      <w:numFmt w:val="bullet"/>
      <w:lvlText w:val="•"/>
      <w:lvlJc w:val="left"/>
      <w:pPr>
        <w:ind w:left="720" w:hanging="360"/>
      </w:pPr>
      <w:rPr>
        <w:rFonts w:ascii="Arial" w:eastAsia="Arial" w:hAnsi="Arial" w:cs="Arial"/>
        <w:sz w:val="22"/>
        <w:szCs w:val="22"/>
      </w:rPr>
    </w:lvl>
    <w:lvl w:ilvl="1" w:tplc="3F0ACC26">
      <w:numFmt w:val="decimal"/>
      <w:lvlText w:val=""/>
      <w:lvlJc w:val="left"/>
    </w:lvl>
    <w:lvl w:ilvl="2" w:tplc="4300C05E">
      <w:numFmt w:val="decimal"/>
      <w:lvlText w:val=""/>
      <w:lvlJc w:val="left"/>
    </w:lvl>
    <w:lvl w:ilvl="3" w:tplc="68085C7E">
      <w:numFmt w:val="decimal"/>
      <w:lvlText w:val=""/>
      <w:lvlJc w:val="left"/>
    </w:lvl>
    <w:lvl w:ilvl="4" w:tplc="E50A497A">
      <w:numFmt w:val="decimal"/>
      <w:lvlText w:val=""/>
      <w:lvlJc w:val="left"/>
    </w:lvl>
    <w:lvl w:ilvl="5" w:tplc="2E9A1610">
      <w:numFmt w:val="decimal"/>
      <w:lvlText w:val=""/>
      <w:lvlJc w:val="left"/>
    </w:lvl>
    <w:lvl w:ilvl="6" w:tplc="C37291A6">
      <w:numFmt w:val="decimal"/>
      <w:lvlText w:val=""/>
      <w:lvlJc w:val="left"/>
    </w:lvl>
    <w:lvl w:ilvl="7" w:tplc="344E23CA">
      <w:numFmt w:val="decimal"/>
      <w:lvlText w:val=""/>
      <w:lvlJc w:val="left"/>
    </w:lvl>
    <w:lvl w:ilvl="8" w:tplc="6B983BCE">
      <w:numFmt w:val="decimal"/>
      <w:lvlText w:val=""/>
      <w:lvlJc w:val="left"/>
    </w:lvl>
  </w:abstractNum>
  <w:abstractNum w:abstractNumId="1">
    <w:nsid w:val="4BC04CAD"/>
    <w:multiLevelType w:val="hybridMultilevel"/>
    <w:tmpl w:val="2EE08E0E"/>
    <w:lvl w:ilvl="0" w:tplc="28081AFA">
      <w:start w:val="1"/>
      <w:numFmt w:val="bullet"/>
      <w:lvlText w:val="●"/>
      <w:lvlJc w:val="left"/>
      <w:pPr>
        <w:ind w:left="720" w:hanging="360"/>
      </w:pPr>
    </w:lvl>
    <w:lvl w:ilvl="1" w:tplc="52EA690E">
      <w:start w:val="1"/>
      <w:numFmt w:val="bullet"/>
      <w:lvlText w:val="○"/>
      <w:lvlJc w:val="left"/>
      <w:pPr>
        <w:ind w:left="1440" w:hanging="360"/>
      </w:pPr>
    </w:lvl>
    <w:lvl w:ilvl="2" w:tplc="9B5C8466">
      <w:start w:val="1"/>
      <w:numFmt w:val="bullet"/>
      <w:lvlText w:val="■"/>
      <w:lvlJc w:val="left"/>
      <w:pPr>
        <w:ind w:left="2160" w:hanging="360"/>
      </w:pPr>
    </w:lvl>
    <w:lvl w:ilvl="3" w:tplc="DD6E486C">
      <w:start w:val="1"/>
      <w:numFmt w:val="bullet"/>
      <w:lvlText w:val="●"/>
      <w:lvlJc w:val="left"/>
      <w:pPr>
        <w:ind w:left="2880" w:hanging="360"/>
      </w:pPr>
    </w:lvl>
    <w:lvl w:ilvl="4" w:tplc="DC9A84A0">
      <w:start w:val="1"/>
      <w:numFmt w:val="bullet"/>
      <w:lvlText w:val="○"/>
      <w:lvlJc w:val="left"/>
      <w:pPr>
        <w:ind w:left="3600" w:hanging="360"/>
      </w:pPr>
    </w:lvl>
    <w:lvl w:ilvl="5" w:tplc="8F5EA078">
      <w:start w:val="1"/>
      <w:numFmt w:val="bullet"/>
      <w:lvlText w:val="■"/>
      <w:lvlJc w:val="left"/>
      <w:pPr>
        <w:ind w:left="4320" w:hanging="360"/>
      </w:pPr>
    </w:lvl>
    <w:lvl w:ilvl="6" w:tplc="A8148AC2">
      <w:start w:val="1"/>
      <w:numFmt w:val="bullet"/>
      <w:lvlText w:val="●"/>
      <w:lvlJc w:val="left"/>
      <w:pPr>
        <w:ind w:left="5040" w:hanging="360"/>
      </w:pPr>
    </w:lvl>
    <w:lvl w:ilvl="7" w:tplc="CDAA795A">
      <w:start w:val="1"/>
      <w:numFmt w:val="bullet"/>
      <w:lvlText w:val="●"/>
      <w:lvlJc w:val="left"/>
      <w:pPr>
        <w:ind w:left="5760" w:hanging="360"/>
      </w:pPr>
    </w:lvl>
    <w:lvl w:ilvl="8" w:tplc="CE6C8362">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10A"/>
    <w:rsid w:val="003514AC"/>
    <w:rsid w:val="003A77D5"/>
    <w:rsid w:val="003B555F"/>
    <w:rsid w:val="005B5956"/>
    <w:rsid w:val="006D1D97"/>
    <w:rsid w:val="00701C48"/>
    <w:rsid w:val="008C4139"/>
    <w:rsid w:val="00AF610A"/>
    <w:rsid w:val="00DA26FA"/>
    <w:rsid w:val="00DF16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9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spacing w:before="280" w:after="100"/>
      <w:outlineLvl w:val="0"/>
    </w:pPr>
    <w:rPr>
      <w:rFonts w:ascii="Arial" w:eastAsia="Arial" w:hAnsi="Arial" w:cs="Arial"/>
      <w:b/>
      <w:bCs/>
      <w:color w:val="1B4F72"/>
      <w:sz w:val="28"/>
      <w:szCs w:val="28"/>
    </w:rPr>
  </w:style>
  <w:style w:type="paragraph" w:styleId="Heading2">
    <w:name w:val="heading 2"/>
    <w:uiPriority w:val="9"/>
    <w:unhideWhenUsed/>
    <w:qFormat/>
    <w:pPr>
      <w:spacing w:before="200" w:after="80"/>
      <w:outlineLvl w:val="1"/>
    </w:pPr>
    <w:rPr>
      <w:rFonts w:ascii="Arial" w:eastAsia="Arial" w:hAnsi="Arial" w:cs="Arial"/>
      <w:b/>
      <w:bCs/>
      <w:color w:val="2E86C1"/>
      <w:sz w:val="24"/>
      <w:szCs w:val="24"/>
    </w:rPr>
  </w:style>
  <w:style w:type="paragraph" w:styleId="Heading3">
    <w:name w:val="heading 3"/>
    <w:uiPriority w:val="9"/>
    <w:semiHidden/>
    <w:unhideWhenUsed/>
    <w:qFormat/>
    <w:pPr>
      <w:spacing w:before="160" w:after="60"/>
      <w:outlineLvl w:val="2"/>
    </w:pPr>
    <w:rPr>
      <w:rFonts w:ascii="Arial" w:eastAsia="Arial" w:hAnsi="Arial" w:cs="Arial"/>
      <w:b/>
      <w:bCs/>
      <w:color w:val="2C3E5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3514AC"/>
    <w:pPr>
      <w:tabs>
        <w:tab w:val="center" w:pos="4513"/>
        <w:tab w:val="right" w:pos="9026"/>
      </w:tabs>
    </w:pPr>
  </w:style>
  <w:style w:type="character" w:customStyle="1" w:styleId="HeaderChar">
    <w:name w:val="Header Char"/>
    <w:basedOn w:val="DefaultParagraphFont"/>
    <w:link w:val="Header"/>
    <w:uiPriority w:val="99"/>
    <w:rsid w:val="003514AC"/>
  </w:style>
  <w:style w:type="paragraph" w:styleId="Footer">
    <w:name w:val="footer"/>
    <w:basedOn w:val="Normal"/>
    <w:link w:val="FooterChar"/>
    <w:uiPriority w:val="99"/>
    <w:unhideWhenUsed/>
    <w:rsid w:val="003514AC"/>
    <w:pPr>
      <w:tabs>
        <w:tab w:val="center" w:pos="4513"/>
        <w:tab w:val="right" w:pos="9026"/>
      </w:tabs>
    </w:pPr>
  </w:style>
  <w:style w:type="character" w:customStyle="1" w:styleId="FooterChar">
    <w:name w:val="Footer Char"/>
    <w:basedOn w:val="DefaultParagraphFont"/>
    <w:link w:val="Footer"/>
    <w:uiPriority w:val="99"/>
    <w:rsid w:val="003514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spacing w:before="280" w:after="100"/>
      <w:outlineLvl w:val="0"/>
    </w:pPr>
    <w:rPr>
      <w:rFonts w:ascii="Arial" w:eastAsia="Arial" w:hAnsi="Arial" w:cs="Arial"/>
      <w:b/>
      <w:bCs/>
      <w:color w:val="1B4F72"/>
      <w:sz w:val="28"/>
      <w:szCs w:val="28"/>
    </w:rPr>
  </w:style>
  <w:style w:type="paragraph" w:styleId="Heading2">
    <w:name w:val="heading 2"/>
    <w:uiPriority w:val="9"/>
    <w:unhideWhenUsed/>
    <w:qFormat/>
    <w:pPr>
      <w:spacing w:before="200" w:after="80"/>
      <w:outlineLvl w:val="1"/>
    </w:pPr>
    <w:rPr>
      <w:rFonts w:ascii="Arial" w:eastAsia="Arial" w:hAnsi="Arial" w:cs="Arial"/>
      <w:b/>
      <w:bCs/>
      <w:color w:val="2E86C1"/>
      <w:sz w:val="24"/>
      <w:szCs w:val="24"/>
    </w:rPr>
  </w:style>
  <w:style w:type="paragraph" w:styleId="Heading3">
    <w:name w:val="heading 3"/>
    <w:uiPriority w:val="9"/>
    <w:semiHidden/>
    <w:unhideWhenUsed/>
    <w:qFormat/>
    <w:pPr>
      <w:spacing w:before="160" w:after="60"/>
      <w:outlineLvl w:val="2"/>
    </w:pPr>
    <w:rPr>
      <w:rFonts w:ascii="Arial" w:eastAsia="Arial" w:hAnsi="Arial" w:cs="Arial"/>
      <w:b/>
      <w:bCs/>
      <w:color w:val="2C3E5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3514AC"/>
    <w:pPr>
      <w:tabs>
        <w:tab w:val="center" w:pos="4513"/>
        <w:tab w:val="right" w:pos="9026"/>
      </w:tabs>
    </w:pPr>
  </w:style>
  <w:style w:type="character" w:customStyle="1" w:styleId="HeaderChar">
    <w:name w:val="Header Char"/>
    <w:basedOn w:val="DefaultParagraphFont"/>
    <w:link w:val="Header"/>
    <w:uiPriority w:val="99"/>
    <w:rsid w:val="003514AC"/>
  </w:style>
  <w:style w:type="paragraph" w:styleId="Footer">
    <w:name w:val="footer"/>
    <w:basedOn w:val="Normal"/>
    <w:link w:val="FooterChar"/>
    <w:uiPriority w:val="99"/>
    <w:unhideWhenUsed/>
    <w:rsid w:val="003514AC"/>
    <w:pPr>
      <w:tabs>
        <w:tab w:val="center" w:pos="4513"/>
        <w:tab w:val="right" w:pos="9026"/>
      </w:tabs>
    </w:pPr>
  </w:style>
  <w:style w:type="character" w:customStyle="1" w:styleId="FooterChar">
    <w:name w:val="Footer Char"/>
    <w:basedOn w:val="DefaultParagraphFont"/>
    <w:link w:val="Footer"/>
    <w:uiPriority w:val="99"/>
    <w:rsid w:val="00351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5717</Words>
  <Characters>32587</Characters>
  <Application>Microsoft Office Word</Application>
  <DocSecurity>0</DocSecurity>
  <Lines>271</Lines>
  <Paragraphs>76</Paragraphs>
  <ScaleCrop>false</ScaleCrop>
  <Company/>
  <LinksUpToDate>false</LinksUpToDate>
  <CharactersWithSpaces>38228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5</cp:revision>
  <dcterms:created xsi:type="dcterms:W3CDTF">2026-04-21T19:43:00Z</dcterms:created>
  <dcterms:modified xsi:type="dcterms:W3CDTF">2026-04-23T13:24:00Z</dcterms:modified>
</cp:coreProperties>
</file>